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charts/chart1.xml" ContentType="application/vnd.openxmlformats-officedocument.drawingml.chart+xml"/>
  <Override PartName="/word/charts/style1.xml" ContentType="application/vnd.ms-office.chartstyle+xml"/>
  <Override PartName="/word/charts/colors1.xml" ContentType="application/vnd.ms-office.chartcolorstyle+xml"/>
  <Override PartName="/word/charts/chart2.xml" ContentType="application/vnd.openxmlformats-officedocument.drawingml.chart+xml"/>
  <Override PartName="/word/charts/style2.xml" ContentType="application/vnd.ms-office.chartstyle+xml"/>
  <Override PartName="/word/charts/colors2.xml" ContentType="application/vnd.ms-office.chartcolorstyle+xml"/>
  <Override PartName="/word/theme/themeOverride1.xml" ContentType="application/vnd.openxmlformats-officedocument.themeOverride+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Style w:val="TableGrid1"/>
        <w:tblW w:w="5528" w:type="pct"/>
        <w:tblInd w:w="-28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968"/>
        <w:gridCol w:w="1462"/>
        <w:gridCol w:w="2121"/>
        <w:gridCol w:w="5797"/>
      </w:tblGrid>
      <w:tr w:rsidR="004772AC" w:rsidRPr="00D2758E" w14:paraId="2C480918" w14:textId="77777777" w:rsidTr="006B066D">
        <w:trPr>
          <w:trHeight w:val="851"/>
        </w:trPr>
        <w:tc>
          <w:tcPr>
            <w:tcW w:w="468" w:type="pct"/>
            <w:tcBorders>
              <w:bottom w:val="single" w:sz="8" w:space="0" w:color="auto"/>
            </w:tcBorders>
            <w:vAlign w:val="bottom"/>
          </w:tcPr>
          <w:p w14:paraId="74AC959C" w14:textId="77777777" w:rsidR="004772AC" w:rsidRPr="00D2758E" w:rsidRDefault="004772AC" w:rsidP="00EF66AD">
            <w:pPr>
              <w:spacing w:after="120"/>
              <w:jc w:val="left"/>
            </w:pPr>
            <w:bookmarkStart w:id="0" w:name="_Hlk137651738"/>
            <w:r w:rsidRPr="00D2758E">
              <w:rPr>
                <w:noProof/>
              </w:rPr>
              <w:drawing>
                <wp:inline distT="0" distB="0" distL="0" distR="0" wp14:anchorId="62919EAE" wp14:editId="07816590">
                  <wp:extent cx="476494" cy="403200"/>
                  <wp:effectExtent l="0" t="0" r="6350" b="3810"/>
                  <wp:docPr id="670181705" name="Picture 670181705" descr="Macintosh HD:Users:bilodeau:Desktop:logos:template 2017:un.em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Macintosh HD:Users:bilodeau:Desktop:logos:template 2017:un.emf"/>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476494" cy="403200"/>
                          </a:xfrm>
                          <a:prstGeom prst="rect">
                            <a:avLst/>
                          </a:prstGeom>
                          <a:noFill/>
                          <a:ln>
                            <a:noFill/>
                          </a:ln>
                        </pic:spPr>
                      </pic:pic>
                    </a:graphicData>
                  </a:graphic>
                </wp:inline>
              </w:drawing>
            </w:r>
          </w:p>
        </w:tc>
        <w:tc>
          <w:tcPr>
            <w:tcW w:w="706" w:type="pct"/>
            <w:tcBorders>
              <w:bottom w:val="single" w:sz="8" w:space="0" w:color="auto"/>
            </w:tcBorders>
            <w:tcFitText/>
            <w:vAlign w:val="bottom"/>
          </w:tcPr>
          <w:p w14:paraId="1BF487B9" w14:textId="77777777" w:rsidR="004772AC" w:rsidRPr="00D2758E" w:rsidRDefault="004772AC" w:rsidP="00EF66AD">
            <w:pPr>
              <w:spacing w:after="120"/>
              <w:jc w:val="left"/>
            </w:pPr>
            <w:r w:rsidRPr="00D2758E">
              <w:rPr>
                <w:noProof/>
              </w:rPr>
              <w:drawing>
                <wp:inline distT="0" distB="0" distL="0" distR="0" wp14:anchorId="0A21EB74" wp14:editId="52528613">
                  <wp:extent cx="500870" cy="360000"/>
                  <wp:effectExtent l="0" t="0" r="0" b="2540"/>
                  <wp:docPr id="1964043854" name="Picture 1964043854" descr="A picture containing black, darkness&#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5862919" name="Picture 185862919" descr="A picture containing black, darkness&#10;&#10;Description automatically generated"/>
                          <pic:cNvPicPr>
                            <a:picLocks noChangeAspect="1" noChangeArrowheads="1"/>
                          </pic:cNvPicPr>
                        </pic:nvPicPr>
                        <pic:blipFill>
                          <a:blip r:embed="rId12" cstate="print">
                            <a:extLst>
                              <a:ext uri="{28A0092B-C50C-407E-A947-70E740481C1C}">
                                <a14:useLocalDpi xmlns:a14="http://schemas.microsoft.com/office/drawing/2010/main" val="0"/>
                              </a:ext>
                            </a:extLst>
                          </a:blip>
                          <a:srcRect/>
                          <a:stretch>
                            <a:fillRect/>
                          </a:stretch>
                        </pic:blipFill>
                        <pic:spPr bwMode="auto">
                          <a:xfrm>
                            <a:off x="0" y="0"/>
                            <a:ext cx="500870" cy="360000"/>
                          </a:xfrm>
                          <a:prstGeom prst="rect">
                            <a:avLst/>
                          </a:prstGeom>
                          <a:noFill/>
                          <a:ln>
                            <a:noFill/>
                          </a:ln>
                        </pic:spPr>
                      </pic:pic>
                    </a:graphicData>
                  </a:graphic>
                </wp:inline>
              </w:drawing>
            </w:r>
          </w:p>
        </w:tc>
        <w:tc>
          <w:tcPr>
            <w:tcW w:w="3825" w:type="pct"/>
            <w:gridSpan w:val="2"/>
            <w:tcBorders>
              <w:bottom w:val="single" w:sz="8" w:space="0" w:color="auto"/>
            </w:tcBorders>
            <w:vAlign w:val="bottom"/>
          </w:tcPr>
          <w:p w14:paraId="0F07760A" w14:textId="40CF22A8" w:rsidR="004772AC" w:rsidRPr="00D2758E" w:rsidRDefault="004772AC" w:rsidP="00EF66AD">
            <w:pPr>
              <w:spacing w:after="120"/>
              <w:jc w:val="right"/>
              <w:rPr>
                <w:szCs w:val="22"/>
              </w:rPr>
            </w:pPr>
            <w:r w:rsidRPr="00D2758E">
              <w:rPr>
                <w:sz w:val="40"/>
                <w:szCs w:val="40"/>
              </w:rPr>
              <w:t>CBD</w:t>
            </w:r>
            <w:r w:rsidR="009C4C96" w:rsidRPr="00D2758E">
              <w:t>/NP/CC/5/</w:t>
            </w:r>
            <w:r w:rsidR="00845FB9">
              <w:t>4/Add.1</w:t>
            </w:r>
            <w:r w:rsidRPr="00D2758E">
              <w:t>-</w:t>
            </w:r>
            <w:r w:rsidRPr="00D2758E">
              <w:rPr>
                <w:sz w:val="40"/>
                <w:szCs w:val="40"/>
              </w:rPr>
              <w:t>CBD</w:t>
            </w:r>
            <w:r w:rsidR="009C4C96" w:rsidRPr="00D2758E">
              <w:rPr>
                <w:rStyle w:val="normaltextrun"/>
                <w:color w:val="000000"/>
                <w:shd w:val="clear" w:color="auto" w:fill="FFFFFF"/>
              </w:rPr>
              <w:t>/NP/CB</w:t>
            </w:r>
            <w:r w:rsidR="00667E78" w:rsidRPr="00D2758E">
              <w:rPr>
                <w:rStyle w:val="normaltextrun"/>
                <w:color w:val="000000"/>
                <w:shd w:val="clear" w:color="auto" w:fill="FFFFFF"/>
              </w:rPr>
              <w:t>-</w:t>
            </w:r>
            <w:r w:rsidR="009C4C96" w:rsidRPr="00D2758E">
              <w:rPr>
                <w:rStyle w:val="normaltextrun"/>
                <w:color w:val="000000"/>
                <w:shd w:val="clear" w:color="auto" w:fill="FFFFFF"/>
              </w:rPr>
              <w:t>IAC/2026/1/3</w:t>
            </w:r>
            <w:r w:rsidRPr="00D2758E">
              <w:t>-</w:t>
            </w:r>
            <w:r w:rsidRPr="00D2758E">
              <w:rPr>
                <w:sz w:val="40"/>
                <w:szCs w:val="40"/>
              </w:rPr>
              <w:t>CBD</w:t>
            </w:r>
            <w:r w:rsidR="009C4C96" w:rsidRPr="00D2758E">
              <w:t>/SBI/7/7/Add.1</w:t>
            </w:r>
          </w:p>
        </w:tc>
      </w:tr>
      <w:tr w:rsidR="00A96B21" w:rsidRPr="00D2758E" w14:paraId="026E5D1A" w14:textId="77777777" w:rsidTr="006B066D">
        <w:trPr>
          <w:trHeight w:val="1840"/>
        </w:trPr>
        <w:tc>
          <w:tcPr>
            <w:tcW w:w="2199" w:type="pct"/>
            <w:gridSpan w:val="3"/>
            <w:tcBorders>
              <w:top w:val="single" w:sz="8" w:space="0" w:color="auto"/>
              <w:bottom w:val="single" w:sz="12" w:space="0" w:color="auto"/>
            </w:tcBorders>
          </w:tcPr>
          <w:p w14:paraId="4DD2B434" w14:textId="77777777" w:rsidR="00A96B21" w:rsidRPr="00D2758E" w:rsidRDefault="00A96B21" w:rsidP="00C44FC4">
            <w:pPr>
              <w:pStyle w:val="Cornernotation"/>
              <w:suppressLineNumbers/>
              <w:suppressAutoHyphens/>
              <w:spacing w:before="120" w:after="120"/>
              <w:ind w:left="0" w:right="0" w:firstLine="0"/>
            </w:pPr>
            <w:r w:rsidRPr="00D2758E">
              <w:rPr>
                <w:b w:val="0"/>
                <w:bCs/>
                <w:noProof/>
              </w:rPr>
              <w:drawing>
                <wp:inline distT="0" distB="0" distL="0" distR="0" wp14:anchorId="02BE16F1" wp14:editId="5182BD6B">
                  <wp:extent cx="2755076" cy="1028538"/>
                  <wp:effectExtent l="0" t="0" r="0" b="635"/>
                  <wp:docPr id="414008662" name="Picture 414008662" descr="A picture containing black, darkness&#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14008662" name="Picture 414008662" descr="A picture containing black, darkness&#10;&#10;Description automatically generated"/>
                          <pic:cNvPicPr>
                            <a:picLocks noChangeAspect="1" noChangeArrowheads="1"/>
                          </pic:cNvPicPr>
                        </pic:nvPicPr>
                        <pic:blipFill>
                          <a:blip r:embed="rId13" cstate="print">
                            <a:extLst>
                              <a:ext uri="{28A0092B-C50C-407E-A947-70E740481C1C}">
                                <a14:useLocalDpi xmlns:a14="http://schemas.microsoft.com/office/drawing/2010/main" val="0"/>
                              </a:ext>
                            </a:extLst>
                          </a:blip>
                          <a:srcRect/>
                          <a:stretch>
                            <a:fillRect/>
                          </a:stretch>
                        </pic:blipFill>
                        <pic:spPr bwMode="auto">
                          <a:xfrm>
                            <a:off x="0" y="0"/>
                            <a:ext cx="2791383" cy="1042092"/>
                          </a:xfrm>
                          <a:prstGeom prst="rect">
                            <a:avLst/>
                          </a:prstGeom>
                          <a:noFill/>
                        </pic:spPr>
                      </pic:pic>
                    </a:graphicData>
                  </a:graphic>
                </wp:inline>
              </w:drawing>
            </w:r>
          </w:p>
        </w:tc>
        <w:tc>
          <w:tcPr>
            <w:tcW w:w="2801" w:type="pct"/>
            <w:tcBorders>
              <w:top w:val="single" w:sz="8" w:space="0" w:color="auto"/>
              <w:bottom w:val="single" w:sz="12" w:space="0" w:color="auto"/>
            </w:tcBorders>
          </w:tcPr>
          <w:p w14:paraId="27581565" w14:textId="77777777" w:rsidR="00A96B21" w:rsidRPr="00D2758E" w:rsidRDefault="00A96B21" w:rsidP="003C6F10">
            <w:pPr>
              <w:ind w:left="2584"/>
              <w:rPr>
                <w:sz w:val="22"/>
                <w:szCs w:val="22"/>
              </w:rPr>
            </w:pPr>
            <w:r w:rsidRPr="00D2758E">
              <w:rPr>
                <w:sz w:val="22"/>
                <w:szCs w:val="22"/>
              </w:rPr>
              <w:t>Distr.: General</w:t>
            </w:r>
          </w:p>
          <w:p w14:paraId="2F665E39" w14:textId="28E90EC7" w:rsidR="00A96B21" w:rsidRPr="00D2758E" w:rsidRDefault="00667E78" w:rsidP="003C6F10">
            <w:pPr>
              <w:ind w:left="2584"/>
              <w:rPr>
                <w:sz w:val="22"/>
                <w:szCs w:val="22"/>
              </w:rPr>
            </w:pPr>
            <w:r w:rsidRPr="00D2758E">
              <w:rPr>
                <w:sz w:val="22"/>
                <w:szCs w:val="22"/>
              </w:rPr>
              <w:t>4</w:t>
            </w:r>
            <w:r w:rsidRPr="00D2758E">
              <w:t xml:space="preserve"> May 2026</w:t>
            </w:r>
          </w:p>
          <w:p w14:paraId="32AEB641" w14:textId="77777777" w:rsidR="00305C99" w:rsidRPr="00D2758E" w:rsidRDefault="00305C99" w:rsidP="003C6F10">
            <w:pPr>
              <w:ind w:left="2584"/>
              <w:rPr>
                <w:sz w:val="22"/>
                <w:szCs w:val="22"/>
              </w:rPr>
            </w:pPr>
          </w:p>
          <w:p w14:paraId="053971AC" w14:textId="478C6BE0" w:rsidR="00A96B21" w:rsidRPr="00D2758E" w:rsidRDefault="004D20BD" w:rsidP="003C6F10">
            <w:pPr>
              <w:ind w:left="2584"/>
              <w:rPr>
                <w:sz w:val="22"/>
                <w:szCs w:val="22"/>
              </w:rPr>
            </w:pPr>
            <w:r w:rsidRPr="00D2758E">
              <w:rPr>
                <w:sz w:val="22"/>
                <w:szCs w:val="22"/>
              </w:rPr>
              <w:t xml:space="preserve">Original: </w:t>
            </w:r>
            <w:r w:rsidR="00A96B21" w:rsidRPr="00D2758E">
              <w:rPr>
                <w:sz w:val="22"/>
                <w:szCs w:val="22"/>
              </w:rPr>
              <w:t>English</w:t>
            </w:r>
            <w:r w:rsidR="00165495" w:rsidRPr="00D2758E">
              <w:rPr>
                <w:sz w:val="22"/>
                <w:szCs w:val="22"/>
              </w:rPr>
              <w:t xml:space="preserve"> </w:t>
            </w:r>
          </w:p>
          <w:p w14:paraId="07CA9979" w14:textId="77777777" w:rsidR="00A96B21" w:rsidRPr="00D2758E" w:rsidRDefault="00A96B21" w:rsidP="00C44FC4"/>
        </w:tc>
      </w:tr>
    </w:tbl>
    <w:tbl>
      <w:tblPr>
        <w:tblStyle w:val="TableGrid"/>
        <w:tblW w:w="10803" w:type="dxa"/>
        <w:tblInd w:w="-28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0803"/>
      </w:tblGrid>
      <w:tr w:rsidR="009E7724" w:rsidRPr="00D2758E" w14:paraId="1DCDDF4D" w14:textId="77777777" w:rsidTr="006B066D">
        <w:trPr>
          <w:trHeight w:val="1742"/>
        </w:trPr>
        <w:tc>
          <w:tcPr>
            <w:tcW w:w="10803" w:type="dxa"/>
          </w:tcPr>
          <w:tbl>
            <w:tblPr>
              <w:tblStyle w:val="TableGrid2"/>
              <w:tblW w:w="1045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3447"/>
              <w:gridCol w:w="3396"/>
              <w:gridCol w:w="3607"/>
            </w:tblGrid>
            <w:tr w:rsidR="009E7724" w:rsidRPr="00D2758E" w14:paraId="3BC5C814" w14:textId="77777777" w:rsidTr="00FE30EF">
              <w:tc>
                <w:tcPr>
                  <w:tcW w:w="3447" w:type="dxa"/>
                </w:tcPr>
                <w:p w14:paraId="265A71B5" w14:textId="77777777" w:rsidR="009E7724" w:rsidRPr="00D2758E" w:rsidRDefault="009E7724" w:rsidP="00DF07DB">
                  <w:pPr>
                    <w:pStyle w:val="AFCorN12Bold"/>
                    <w:ind w:left="-69"/>
                    <w:rPr>
                      <w:bCs/>
                    </w:rPr>
                  </w:pPr>
                  <w:r w:rsidRPr="00D2758E">
                    <w:t>Compliance Committee under the Nagoya Protocol on Access and Benefit-sharing</w:t>
                  </w:r>
                </w:p>
                <w:p w14:paraId="76C903AB" w14:textId="77777777" w:rsidR="009E7724" w:rsidRPr="00D2758E" w:rsidRDefault="009E7724" w:rsidP="00DF07DB">
                  <w:pPr>
                    <w:pStyle w:val="AFCorNBold"/>
                    <w:ind w:left="-69"/>
                    <w:rPr>
                      <w:sz w:val="22"/>
                      <w:szCs w:val="22"/>
                    </w:rPr>
                  </w:pPr>
                  <w:r w:rsidRPr="00D2758E">
                    <w:rPr>
                      <w:sz w:val="22"/>
                      <w:szCs w:val="22"/>
                    </w:rPr>
                    <w:t xml:space="preserve">Fifth meeting </w:t>
                  </w:r>
                </w:p>
                <w:p w14:paraId="189EABF0" w14:textId="32350C5E" w:rsidR="009E7724" w:rsidRPr="00D2758E" w:rsidRDefault="009E7724" w:rsidP="00DF07DB">
                  <w:pPr>
                    <w:pStyle w:val="AFCorNNormal"/>
                    <w:ind w:left="-69"/>
                    <w:rPr>
                      <w:sz w:val="22"/>
                      <w:szCs w:val="22"/>
                    </w:rPr>
                  </w:pPr>
                  <w:r w:rsidRPr="00D2758E">
                    <w:rPr>
                      <w:sz w:val="22"/>
                      <w:szCs w:val="22"/>
                    </w:rPr>
                    <w:t>Montreal, Canada, 27–29 May 2026</w:t>
                  </w:r>
                </w:p>
                <w:p w14:paraId="190CB02A" w14:textId="77777777" w:rsidR="009E7724" w:rsidRDefault="009E7724" w:rsidP="00DF07DB">
                  <w:pPr>
                    <w:pStyle w:val="AFCorNotNormal"/>
                    <w:ind w:left="-69"/>
                    <w:rPr>
                      <w:sz w:val="22"/>
                      <w:szCs w:val="22"/>
                    </w:rPr>
                  </w:pPr>
                  <w:r w:rsidRPr="00D2758E">
                    <w:rPr>
                      <w:sz w:val="22"/>
                      <w:szCs w:val="22"/>
                    </w:rPr>
                    <w:t>Item 5 of the provisional agenda</w:t>
                  </w:r>
                  <w:r w:rsidRPr="00D2758E">
                    <w:rPr>
                      <w:rStyle w:val="FootnoteReference"/>
                      <w:sz w:val="22"/>
                      <w:szCs w:val="22"/>
                    </w:rPr>
                    <w:footnoteReference w:customMarkFollows="1" w:id="2"/>
                    <w:t>*</w:t>
                  </w:r>
                </w:p>
                <w:p w14:paraId="456D3BE6" w14:textId="43B71933" w:rsidR="009E7724" w:rsidRPr="00D2758E" w:rsidRDefault="009E7724" w:rsidP="006B066D">
                  <w:pPr>
                    <w:pStyle w:val="AFCorNotNormal"/>
                    <w:ind w:left="-69"/>
                    <w:jc w:val="left"/>
                    <w:rPr>
                      <w:b/>
                      <w:bCs/>
                      <w:sz w:val="22"/>
                      <w:szCs w:val="22"/>
                    </w:rPr>
                  </w:pPr>
                  <w:r w:rsidRPr="00E5610B">
                    <w:rPr>
                      <w:b/>
                      <w:bCs/>
                      <w:sz w:val="22"/>
                      <w:szCs w:val="22"/>
                    </w:rPr>
                    <w:t xml:space="preserve">Input to the second assessment </w:t>
                  </w:r>
                  <w:r>
                    <w:rPr>
                      <w:b/>
                      <w:bCs/>
                      <w:sz w:val="22"/>
                      <w:szCs w:val="22"/>
                    </w:rPr>
                    <w:br/>
                  </w:r>
                  <w:r w:rsidRPr="00E5610B">
                    <w:rPr>
                      <w:b/>
                      <w:bCs/>
                      <w:sz w:val="22"/>
                      <w:szCs w:val="22"/>
                    </w:rPr>
                    <w:t xml:space="preserve">and review of the effectiveness </w:t>
                  </w:r>
                  <w:r>
                    <w:rPr>
                      <w:b/>
                      <w:bCs/>
                      <w:sz w:val="22"/>
                      <w:szCs w:val="22"/>
                    </w:rPr>
                    <w:br/>
                  </w:r>
                  <w:r w:rsidRPr="00E5610B">
                    <w:rPr>
                      <w:b/>
                      <w:bCs/>
                      <w:sz w:val="22"/>
                      <w:szCs w:val="22"/>
                    </w:rPr>
                    <w:t>of the Nagoya Protocol</w:t>
                  </w:r>
                </w:p>
              </w:tc>
              <w:tc>
                <w:tcPr>
                  <w:tcW w:w="3396" w:type="dxa"/>
                </w:tcPr>
                <w:p w14:paraId="268100CE" w14:textId="77777777" w:rsidR="009E7724" w:rsidRPr="00D2758E" w:rsidRDefault="009E7724" w:rsidP="009B1EA1">
                  <w:pPr>
                    <w:pStyle w:val="AFCorN12Bold"/>
                  </w:pPr>
                  <w:r w:rsidRPr="00D2758E">
                    <w:rPr>
                      <w:rStyle w:val="normaltextrun"/>
                      <w:bCs/>
                    </w:rPr>
                    <w:t xml:space="preserve">Informal Advisory Committee </w:t>
                  </w:r>
                  <w:r w:rsidRPr="00D2758E">
                    <w:t>on Capacity-building for the Implementation of the Nagoya Protocol</w:t>
                  </w:r>
                </w:p>
                <w:p w14:paraId="3E08AB57" w14:textId="77777777" w:rsidR="009E7724" w:rsidRPr="00D2758E" w:rsidRDefault="009E7724" w:rsidP="00CA324D">
                  <w:pPr>
                    <w:pStyle w:val="AFCorNBold"/>
                    <w:rPr>
                      <w:b w:val="0"/>
                      <w:bCs/>
                      <w:sz w:val="22"/>
                      <w:szCs w:val="22"/>
                    </w:rPr>
                  </w:pPr>
                  <w:r w:rsidRPr="00D2758E">
                    <w:rPr>
                      <w:rStyle w:val="normaltextrun"/>
                      <w:bCs/>
                      <w:sz w:val="22"/>
                      <w:szCs w:val="22"/>
                    </w:rPr>
                    <w:t>Sixth meeting</w:t>
                  </w:r>
                </w:p>
                <w:p w14:paraId="6DA1ED89" w14:textId="79EFD1B2" w:rsidR="009E7724" w:rsidRPr="00D2758E" w:rsidRDefault="009E7724" w:rsidP="00CA324D">
                  <w:pPr>
                    <w:pStyle w:val="AFCorNNormal"/>
                    <w:rPr>
                      <w:sz w:val="22"/>
                      <w:szCs w:val="22"/>
                    </w:rPr>
                  </w:pPr>
                  <w:r w:rsidRPr="00D2758E">
                    <w:rPr>
                      <w:sz w:val="22"/>
                      <w:szCs w:val="22"/>
                    </w:rPr>
                    <w:t>Montreal, Canada, 1–4 June 2026</w:t>
                  </w:r>
                </w:p>
                <w:p w14:paraId="64053FEB" w14:textId="77777777" w:rsidR="009E7724" w:rsidRDefault="009E7724" w:rsidP="00667E78">
                  <w:pPr>
                    <w:pStyle w:val="Cornernotation-Item"/>
                    <w:ind w:right="174"/>
                    <w:rPr>
                      <w:b w:val="0"/>
                      <w:bCs w:val="0"/>
                    </w:rPr>
                  </w:pPr>
                  <w:r w:rsidRPr="00D2758E">
                    <w:rPr>
                      <w:b w:val="0"/>
                      <w:bCs w:val="0"/>
                    </w:rPr>
                    <w:t>Item 3 of the provisional agenda</w:t>
                  </w:r>
                  <w:r w:rsidRPr="00D2758E">
                    <w:rPr>
                      <w:rStyle w:val="FootnoteReference"/>
                      <w:b w:val="0"/>
                      <w:bCs w:val="0"/>
                    </w:rPr>
                    <w:footnoteReference w:customMarkFollows="1" w:id="3"/>
                    <w:t>*</w:t>
                  </w:r>
                  <w:r w:rsidRPr="00D2758E">
                    <w:rPr>
                      <w:rStyle w:val="FootnoteReference"/>
                      <w:b w:val="0"/>
                      <w:bCs w:val="0"/>
                    </w:rPr>
                    <w:footnoteReference w:customMarkFollows="1" w:id="4"/>
                    <w:t>*</w:t>
                  </w:r>
                </w:p>
                <w:p w14:paraId="30A73D7C" w14:textId="3EAE8D74" w:rsidR="009E7724" w:rsidRPr="006B066D" w:rsidRDefault="009E7724" w:rsidP="006B066D">
                  <w:pPr>
                    <w:pStyle w:val="AFCorN12Bold"/>
                    <w:rPr>
                      <w:bCs/>
                      <w:sz w:val="22"/>
                      <w:szCs w:val="22"/>
                    </w:rPr>
                  </w:pPr>
                  <w:r w:rsidRPr="006B066D">
                    <w:rPr>
                      <w:sz w:val="22"/>
                      <w:szCs w:val="22"/>
                    </w:rPr>
                    <w:t>Input to the second assessment and review of the effectiveness of the Nagoya Protocol on</w:t>
                  </w:r>
                  <w:r w:rsidRPr="006B066D">
                    <w:rPr>
                      <w:bCs/>
                      <w:sz w:val="22"/>
                      <w:szCs w:val="22"/>
                    </w:rPr>
                    <w:t xml:space="preserve"> </w:t>
                  </w:r>
                  <w:r w:rsidRPr="006B066D">
                    <w:rPr>
                      <w:sz w:val="22"/>
                      <w:szCs w:val="22"/>
                    </w:rPr>
                    <w:t>Access to Genetic Resources and the Fair and Equitable Sharing of Benefits Arising from Their Utilization</w:t>
                  </w:r>
                </w:p>
              </w:tc>
              <w:tc>
                <w:tcPr>
                  <w:tcW w:w="3607" w:type="dxa"/>
                </w:tcPr>
                <w:p w14:paraId="652FA668" w14:textId="78BD4624" w:rsidR="009E7724" w:rsidRPr="00D2758E" w:rsidRDefault="009E7724" w:rsidP="009B1EA1">
                  <w:pPr>
                    <w:pStyle w:val="AFCorN12Bold"/>
                    <w:rPr>
                      <w:snapToGrid w:val="0"/>
                    </w:rPr>
                  </w:pPr>
                  <w:r w:rsidRPr="00D2758E">
                    <w:rPr>
                      <w:snapToGrid w:val="0"/>
                    </w:rPr>
                    <w:t>Subsidiary Body on Implementation</w:t>
                  </w:r>
                </w:p>
                <w:p w14:paraId="15084EFE" w14:textId="77777777" w:rsidR="009E7724" w:rsidRPr="00D2758E" w:rsidRDefault="009E7724" w:rsidP="00CA324D">
                  <w:pPr>
                    <w:pStyle w:val="AFCorNBold"/>
                    <w:rPr>
                      <w:rStyle w:val="normaltextrun"/>
                      <w:bCs/>
                      <w:sz w:val="22"/>
                      <w:szCs w:val="22"/>
                    </w:rPr>
                  </w:pPr>
                  <w:r w:rsidRPr="00D2758E">
                    <w:rPr>
                      <w:rStyle w:val="normaltextrun"/>
                      <w:bCs/>
                      <w:sz w:val="22"/>
                      <w:szCs w:val="22"/>
                    </w:rPr>
                    <w:t xml:space="preserve">Seventh meeting  </w:t>
                  </w:r>
                </w:p>
                <w:p w14:paraId="7447408E" w14:textId="2258E02D" w:rsidR="009E7724" w:rsidRPr="00D2758E" w:rsidRDefault="009E7724" w:rsidP="00CA324D">
                  <w:pPr>
                    <w:pStyle w:val="AFCorNNormal"/>
                    <w:rPr>
                      <w:sz w:val="22"/>
                      <w:szCs w:val="22"/>
                    </w:rPr>
                  </w:pPr>
                  <w:r w:rsidRPr="00D2758E">
                    <w:rPr>
                      <w:sz w:val="22"/>
                      <w:szCs w:val="22"/>
                    </w:rPr>
                    <w:t>Nairobi, 4–12 August 2026</w:t>
                  </w:r>
                </w:p>
                <w:p w14:paraId="6FCEA633" w14:textId="77777777" w:rsidR="009E7724" w:rsidRDefault="009E7724" w:rsidP="00667E78">
                  <w:pPr>
                    <w:pStyle w:val="Cornernotation-Item"/>
                    <w:ind w:right="174"/>
                  </w:pPr>
                  <w:r w:rsidRPr="00D2758E">
                    <w:rPr>
                      <w:b w:val="0"/>
                      <w:bCs w:val="0"/>
                    </w:rPr>
                    <w:t>Item 7 of the provisional agenda</w:t>
                  </w:r>
                  <w:r w:rsidRPr="00D2758E">
                    <w:rPr>
                      <w:rStyle w:val="FootnoteReference"/>
                      <w:b w:val="0"/>
                      <w:bCs w:val="0"/>
                    </w:rPr>
                    <w:footnoteReference w:customMarkFollows="1" w:id="5"/>
                    <w:t>***</w:t>
                  </w:r>
                  <w:r w:rsidRPr="00D2758E">
                    <w:rPr>
                      <w:rStyle w:val="FootnoteReference"/>
                    </w:rPr>
                    <w:t xml:space="preserve"> </w:t>
                  </w:r>
                </w:p>
                <w:p w14:paraId="4B4BF368" w14:textId="109DAD64" w:rsidR="009E7724" w:rsidRPr="006B066D" w:rsidRDefault="009E7724" w:rsidP="006B066D">
                  <w:pPr>
                    <w:pStyle w:val="AFCorNot12Bold"/>
                    <w:rPr>
                      <w:bCs/>
                      <w:sz w:val="22"/>
                      <w:szCs w:val="22"/>
                    </w:rPr>
                  </w:pPr>
                  <w:r w:rsidRPr="006B066D">
                    <w:rPr>
                      <w:sz w:val="22"/>
                      <w:szCs w:val="22"/>
                    </w:rPr>
                    <w:t xml:space="preserve">Second assessment and review </w:t>
                  </w:r>
                  <w:r w:rsidRPr="006B066D">
                    <w:rPr>
                      <w:sz w:val="22"/>
                      <w:szCs w:val="22"/>
                    </w:rPr>
                    <w:br/>
                    <w:t>of the effectiveness of the Nagoya Protocol on Access to Genetic Resources and the Fair and Equitable Sharing of Benefits Arising from Their Utilization</w:t>
                  </w:r>
                </w:p>
              </w:tc>
            </w:tr>
          </w:tbl>
          <w:p w14:paraId="44201635" w14:textId="64DB2772" w:rsidR="009E7724" w:rsidRPr="00D2758E" w:rsidRDefault="009E7724" w:rsidP="00AB1404">
            <w:pPr>
              <w:pStyle w:val="CBDTitle"/>
              <w:rPr>
                <w:rStyle w:val="normaltextrun"/>
              </w:rPr>
            </w:pPr>
          </w:p>
        </w:tc>
      </w:tr>
    </w:tbl>
    <w:bookmarkEnd w:id="0"/>
    <w:p w14:paraId="3ED72FD7" w14:textId="4B8EAB2C" w:rsidR="00A96B21" w:rsidRPr="00D2758E" w:rsidRDefault="00000000" w:rsidP="00AF5649">
      <w:pPr>
        <w:pStyle w:val="Title"/>
        <w:jc w:val="left"/>
      </w:pPr>
      <w:sdt>
        <w:sdtPr>
          <w:alias w:val="Title"/>
          <w:tag w:val=""/>
          <w:id w:val="-1975355689"/>
          <w:placeholder>
            <w:docPart w:val="CD2337E717F940B6802459FDA6E9CB9B"/>
          </w:placeholder>
          <w:dataBinding w:prefixMappings="xmlns:ns0='http://purl.org/dc/elements/1.1/' xmlns:ns1='http://schemas.openxmlformats.org/package/2006/metadata/core-properties' " w:xpath="/ns1:coreProperties[1]/ns0:title[1]" w:storeItemID="{6C3C8BC8-F283-45AE-878A-BAB7291924A1}"/>
          <w:text/>
        </w:sdtPr>
        <w:sdtContent>
          <w:r w:rsidR="00FF1618" w:rsidRPr="00D2758E">
            <w:t>Analysis of information for the second assessment and review of the effectiveness of the Nagoya Protocol</w:t>
          </w:r>
        </w:sdtContent>
      </w:sdt>
    </w:p>
    <w:p w14:paraId="61487005" w14:textId="77777777" w:rsidR="002219C2" w:rsidRPr="00D2758E" w:rsidRDefault="002219C2" w:rsidP="00AB1404">
      <w:pPr>
        <w:pStyle w:val="CBDSubTitle"/>
      </w:pPr>
      <w:r w:rsidRPr="00D2758E">
        <w:t>Note by the Secretariat</w:t>
      </w:r>
    </w:p>
    <w:p w14:paraId="356D635D" w14:textId="77777777" w:rsidR="00515215" w:rsidRPr="00D2758E" w:rsidRDefault="00515215" w:rsidP="002219C2">
      <w:pPr>
        <w:numPr>
          <w:ilvl w:val="1"/>
          <w:numId w:val="0"/>
        </w:numPr>
        <w:spacing w:before="120" w:after="120"/>
        <w:ind w:left="567"/>
        <w:jc w:val="left"/>
        <w:rPr>
          <w:rFonts w:eastAsiaTheme="minorEastAsia"/>
          <w:b/>
        </w:rPr>
        <w:sectPr w:rsidR="00515215" w:rsidRPr="00D2758E" w:rsidSect="004B0132">
          <w:headerReference w:type="even" r:id="rId14"/>
          <w:headerReference w:type="default" r:id="rId15"/>
          <w:footerReference w:type="even" r:id="rId16"/>
          <w:footerReference w:type="default" r:id="rId17"/>
          <w:headerReference w:type="first" r:id="rId18"/>
          <w:pgSz w:w="12240" w:h="15840" w:code="1"/>
          <w:pgMar w:top="1021" w:right="1440" w:bottom="1134" w:left="1440" w:header="720" w:footer="720" w:gutter="0"/>
          <w:cols w:space="720"/>
          <w:noEndnote/>
          <w:titlePg/>
          <w:docGrid w:linePitch="299"/>
        </w:sectPr>
      </w:pPr>
    </w:p>
    <w:p w14:paraId="357748EA" w14:textId="05B76B4F" w:rsidR="00073D1C" w:rsidRPr="00D2758E" w:rsidRDefault="00073D1C" w:rsidP="002219C2">
      <w:pPr>
        <w:numPr>
          <w:ilvl w:val="1"/>
          <w:numId w:val="0"/>
        </w:numPr>
        <w:spacing w:before="120" w:after="120"/>
        <w:ind w:left="567"/>
        <w:jc w:val="left"/>
        <w:rPr>
          <w:rFonts w:eastAsiaTheme="minorEastAsia"/>
          <w:b/>
        </w:rPr>
      </w:pPr>
      <w:r w:rsidRPr="00D2758E">
        <w:rPr>
          <w:rFonts w:eastAsiaTheme="minorEastAsia"/>
          <w:b/>
        </w:rPr>
        <w:lastRenderedPageBreak/>
        <w:t>Content</w:t>
      </w:r>
      <w:r w:rsidR="00FF62C0">
        <w:rPr>
          <w:rFonts w:eastAsiaTheme="minorEastAsia"/>
          <w:b/>
        </w:rPr>
        <w:t>s</w:t>
      </w:r>
    </w:p>
    <w:p w14:paraId="1F1F215D" w14:textId="7066763E" w:rsidR="007E04C8" w:rsidRDefault="00FB7FEC" w:rsidP="009E3458">
      <w:pPr>
        <w:pStyle w:val="TOC1"/>
        <w:spacing w:before="120"/>
        <w:rPr>
          <w:rFonts w:asciiTheme="minorHAnsi" w:eastAsiaTheme="minorEastAsia" w:hAnsiTheme="minorHAnsi" w:cstheme="minorBidi"/>
          <w:bCs w:val="0"/>
          <w:noProof/>
          <w:kern w:val="2"/>
          <w:sz w:val="24"/>
          <w:szCs w:val="24"/>
          <w:lang w:val="en-CA" w:eastAsia="en-CA"/>
          <w14:ligatures w14:val="standardContextual"/>
        </w:rPr>
      </w:pPr>
      <w:r w:rsidRPr="00D2758E">
        <w:rPr>
          <w:rFonts w:eastAsiaTheme="minorEastAsia"/>
          <w:b/>
          <w:szCs w:val="22"/>
        </w:rPr>
        <w:fldChar w:fldCharType="begin"/>
      </w:r>
      <w:r w:rsidRPr="00D2758E">
        <w:rPr>
          <w:rFonts w:eastAsiaTheme="minorEastAsia"/>
          <w:b/>
          <w:szCs w:val="22"/>
        </w:rPr>
        <w:instrText xml:space="preserve"> TOC \o "1-2" \h \z \u </w:instrText>
      </w:r>
      <w:r w:rsidRPr="00D2758E">
        <w:rPr>
          <w:rFonts w:eastAsiaTheme="minorEastAsia"/>
          <w:b/>
          <w:szCs w:val="22"/>
        </w:rPr>
        <w:fldChar w:fldCharType="separate"/>
      </w:r>
      <w:hyperlink w:anchor="_Toc228803301" w:history="1">
        <w:r w:rsidR="007E04C8" w:rsidRPr="00B64DB0">
          <w:rPr>
            <w:rStyle w:val="Hyperlink"/>
            <w:noProof/>
          </w:rPr>
          <w:t>I.</w:t>
        </w:r>
        <w:r w:rsidR="007E04C8">
          <w:rPr>
            <w:rFonts w:asciiTheme="minorHAnsi" w:eastAsiaTheme="minorEastAsia" w:hAnsiTheme="minorHAnsi" w:cstheme="minorBidi"/>
            <w:bCs w:val="0"/>
            <w:noProof/>
            <w:kern w:val="2"/>
            <w:sz w:val="24"/>
            <w:szCs w:val="24"/>
            <w:lang w:val="en-CA" w:eastAsia="en-CA"/>
            <w14:ligatures w14:val="standardContextual"/>
          </w:rPr>
          <w:tab/>
        </w:r>
        <w:r w:rsidR="007E04C8" w:rsidRPr="00B64DB0">
          <w:rPr>
            <w:rStyle w:val="Hyperlink"/>
            <w:noProof/>
          </w:rPr>
          <w:t>Introduction</w:t>
        </w:r>
        <w:r w:rsidR="007E04C8">
          <w:rPr>
            <w:noProof/>
            <w:webHidden/>
          </w:rPr>
          <w:tab/>
        </w:r>
        <w:r w:rsidR="00BC0CDB">
          <w:rPr>
            <w:noProof/>
            <w:webHidden/>
          </w:rPr>
          <w:tab/>
        </w:r>
        <w:r w:rsidR="007E04C8">
          <w:rPr>
            <w:noProof/>
            <w:webHidden/>
          </w:rPr>
          <w:fldChar w:fldCharType="begin"/>
        </w:r>
        <w:r w:rsidR="007E04C8">
          <w:rPr>
            <w:noProof/>
            <w:webHidden/>
          </w:rPr>
          <w:instrText xml:space="preserve"> PAGEREF _Toc228803301 \h </w:instrText>
        </w:r>
        <w:r w:rsidR="007E04C8">
          <w:rPr>
            <w:noProof/>
            <w:webHidden/>
          </w:rPr>
        </w:r>
        <w:r w:rsidR="007E04C8">
          <w:rPr>
            <w:noProof/>
            <w:webHidden/>
          </w:rPr>
          <w:fldChar w:fldCharType="separate"/>
        </w:r>
        <w:r w:rsidR="00E4188D">
          <w:rPr>
            <w:noProof/>
            <w:webHidden/>
          </w:rPr>
          <w:t>3</w:t>
        </w:r>
        <w:r w:rsidR="007E04C8">
          <w:rPr>
            <w:noProof/>
            <w:webHidden/>
          </w:rPr>
          <w:fldChar w:fldCharType="end"/>
        </w:r>
      </w:hyperlink>
    </w:p>
    <w:p w14:paraId="084FA163" w14:textId="78E36CD8" w:rsidR="007E04C8" w:rsidRDefault="007E04C8" w:rsidP="009E3458">
      <w:pPr>
        <w:pStyle w:val="TOC1"/>
        <w:spacing w:before="120"/>
        <w:rPr>
          <w:rFonts w:asciiTheme="minorHAnsi" w:eastAsiaTheme="minorEastAsia" w:hAnsiTheme="minorHAnsi" w:cstheme="minorBidi"/>
          <w:bCs w:val="0"/>
          <w:noProof/>
          <w:kern w:val="2"/>
          <w:sz w:val="24"/>
          <w:szCs w:val="24"/>
          <w:lang w:val="en-CA" w:eastAsia="en-CA"/>
          <w14:ligatures w14:val="standardContextual"/>
        </w:rPr>
      </w:pPr>
      <w:hyperlink w:anchor="_Toc228803302" w:history="1">
        <w:r w:rsidRPr="00B64DB0">
          <w:rPr>
            <w:rStyle w:val="Hyperlink"/>
            <w:noProof/>
          </w:rPr>
          <w:t>II.</w:t>
        </w:r>
        <w:r>
          <w:rPr>
            <w:rFonts w:asciiTheme="minorHAnsi" w:eastAsiaTheme="minorEastAsia" w:hAnsiTheme="minorHAnsi" w:cstheme="minorBidi"/>
            <w:bCs w:val="0"/>
            <w:noProof/>
            <w:kern w:val="2"/>
            <w:sz w:val="24"/>
            <w:szCs w:val="24"/>
            <w:lang w:val="en-CA" w:eastAsia="en-CA"/>
            <w14:ligatures w14:val="standardContextual"/>
          </w:rPr>
          <w:tab/>
        </w:r>
        <w:r w:rsidRPr="00B64DB0">
          <w:rPr>
            <w:rStyle w:val="Hyperlink"/>
            <w:noProof/>
          </w:rPr>
          <w:t>Updated indicator data</w:t>
        </w:r>
        <w:r>
          <w:rPr>
            <w:noProof/>
            <w:webHidden/>
          </w:rPr>
          <w:tab/>
        </w:r>
        <w:r>
          <w:rPr>
            <w:noProof/>
            <w:webHidden/>
          </w:rPr>
          <w:fldChar w:fldCharType="begin"/>
        </w:r>
        <w:r>
          <w:rPr>
            <w:noProof/>
            <w:webHidden/>
          </w:rPr>
          <w:instrText xml:space="preserve"> PAGEREF _Toc228803302 \h </w:instrText>
        </w:r>
        <w:r>
          <w:rPr>
            <w:noProof/>
            <w:webHidden/>
          </w:rPr>
        </w:r>
        <w:r>
          <w:rPr>
            <w:noProof/>
            <w:webHidden/>
          </w:rPr>
          <w:fldChar w:fldCharType="separate"/>
        </w:r>
        <w:r w:rsidR="00E4188D">
          <w:rPr>
            <w:noProof/>
            <w:webHidden/>
          </w:rPr>
          <w:t>4</w:t>
        </w:r>
        <w:r>
          <w:rPr>
            <w:noProof/>
            <w:webHidden/>
          </w:rPr>
          <w:fldChar w:fldCharType="end"/>
        </w:r>
      </w:hyperlink>
    </w:p>
    <w:p w14:paraId="71EF1A12" w14:textId="6DC91E81" w:rsidR="007E04C8" w:rsidRDefault="007E04C8" w:rsidP="009E3458">
      <w:pPr>
        <w:pStyle w:val="TOC1"/>
        <w:spacing w:before="120"/>
        <w:rPr>
          <w:rFonts w:asciiTheme="minorHAnsi" w:eastAsiaTheme="minorEastAsia" w:hAnsiTheme="minorHAnsi" w:cstheme="minorBidi"/>
          <w:bCs w:val="0"/>
          <w:noProof/>
          <w:kern w:val="2"/>
          <w:sz w:val="24"/>
          <w:szCs w:val="24"/>
          <w:lang w:val="en-CA" w:eastAsia="en-CA"/>
          <w14:ligatures w14:val="standardContextual"/>
        </w:rPr>
      </w:pPr>
      <w:hyperlink w:anchor="_Toc228803303" w:history="1">
        <w:r w:rsidRPr="00B64DB0">
          <w:rPr>
            <w:rStyle w:val="Hyperlink"/>
            <w:rFonts w:asciiTheme="majorBidi" w:hAnsiTheme="majorBidi"/>
            <w:noProof/>
          </w:rPr>
          <w:t>III.</w:t>
        </w:r>
        <w:r>
          <w:rPr>
            <w:rFonts w:asciiTheme="minorHAnsi" w:eastAsiaTheme="minorEastAsia" w:hAnsiTheme="minorHAnsi" w:cstheme="minorBidi"/>
            <w:bCs w:val="0"/>
            <w:noProof/>
            <w:kern w:val="2"/>
            <w:sz w:val="24"/>
            <w:szCs w:val="24"/>
            <w:lang w:val="en-CA" w:eastAsia="en-CA"/>
            <w14:ligatures w14:val="standardContextual"/>
          </w:rPr>
          <w:tab/>
        </w:r>
        <w:r w:rsidRPr="00B64DB0">
          <w:rPr>
            <w:rStyle w:val="Hyperlink"/>
            <w:noProof/>
          </w:rPr>
          <w:t>Analysis of information</w:t>
        </w:r>
        <w:r>
          <w:rPr>
            <w:noProof/>
            <w:webHidden/>
          </w:rPr>
          <w:tab/>
        </w:r>
        <w:r>
          <w:rPr>
            <w:noProof/>
            <w:webHidden/>
          </w:rPr>
          <w:fldChar w:fldCharType="begin"/>
        </w:r>
        <w:r>
          <w:rPr>
            <w:noProof/>
            <w:webHidden/>
          </w:rPr>
          <w:instrText xml:space="preserve"> PAGEREF _Toc228803303 \h </w:instrText>
        </w:r>
        <w:r>
          <w:rPr>
            <w:noProof/>
            <w:webHidden/>
          </w:rPr>
        </w:r>
        <w:r>
          <w:rPr>
            <w:noProof/>
            <w:webHidden/>
          </w:rPr>
          <w:fldChar w:fldCharType="separate"/>
        </w:r>
        <w:r w:rsidR="00E4188D">
          <w:rPr>
            <w:noProof/>
            <w:webHidden/>
          </w:rPr>
          <w:t>4</w:t>
        </w:r>
        <w:r>
          <w:rPr>
            <w:noProof/>
            <w:webHidden/>
          </w:rPr>
          <w:fldChar w:fldCharType="end"/>
        </w:r>
      </w:hyperlink>
    </w:p>
    <w:p w14:paraId="7CC80CD6" w14:textId="3E747983" w:rsidR="007E04C8" w:rsidRDefault="007E04C8" w:rsidP="009E3458">
      <w:pPr>
        <w:pStyle w:val="TOC2"/>
        <w:spacing w:before="120"/>
        <w:rPr>
          <w:rFonts w:asciiTheme="minorHAnsi" w:eastAsiaTheme="minorEastAsia" w:hAnsiTheme="minorHAnsi" w:cstheme="minorBidi"/>
          <w:noProof/>
          <w:kern w:val="2"/>
          <w:sz w:val="24"/>
          <w:szCs w:val="24"/>
          <w:lang w:val="en-CA" w:eastAsia="en-CA"/>
          <w14:ligatures w14:val="standardContextual"/>
        </w:rPr>
      </w:pPr>
      <w:hyperlink w:anchor="_Toc228803304" w:history="1">
        <w:r w:rsidRPr="00B64DB0">
          <w:rPr>
            <w:rStyle w:val="Hyperlink"/>
            <w:noProof/>
          </w:rPr>
          <w:t>A.</w:t>
        </w:r>
        <w:r>
          <w:rPr>
            <w:rFonts w:asciiTheme="minorHAnsi" w:eastAsiaTheme="minorEastAsia" w:hAnsiTheme="minorHAnsi" w:cstheme="minorBidi"/>
            <w:noProof/>
            <w:kern w:val="2"/>
            <w:sz w:val="24"/>
            <w:szCs w:val="24"/>
            <w:lang w:val="en-CA" w:eastAsia="en-CA"/>
            <w14:ligatures w14:val="standardContextual"/>
          </w:rPr>
          <w:tab/>
        </w:r>
        <w:r w:rsidRPr="00B64DB0">
          <w:rPr>
            <w:rStyle w:val="Hyperlink"/>
            <w:noProof/>
          </w:rPr>
          <w:t>Extent of implementation of the provisions of the Nagoya Protocol and related obligations of Parties, including assessment of progress by Parties in establishing institutional structures and access and benefit-sharing measures to implement  the Protocol</w:t>
        </w:r>
        <w:r>
          <w:rPr>
            <w:noProof/>
            <w:webHidden/>
          </w:rPr>
          <w:tab/>
        </w:r>
        <w:r>
          <w:rPr>
            <w:noProof/>
            <w:webHidden/>
          </w:rPr>
          <w:fldChar w:fldCharType="begin"/>
        </w:r>
        <w:r>
          <w:rPr>
            <w:noProof/>
            <w:webHidden/>
          </w:rPr>
          <w:instrText xml:space="preserve"> PAGEREF _Toc228803304 \h </w:instrText>
        </w:r>
        <w:r>
          <w:rPr>
            <w:noProof/>
            <w:webHidden/>
          </w:rPr>
        </w:r>
        <w:r>
          <w:rPr>
            <w:noProof/>
            <w:webHidden/>
          </w:rPr>
          <w:fldChar w:fldCharType="separate"/>
        </w:r>
        <w:r w:rsidR="00E4188D">
          <w:rPr>
            <w:noProof/>
            <w:webHidden/>
          </w:rPr>
          <w:t>4</w:t>
        </w:r>
        <w:r>
          <w:rPr>
            <w:noProof/>
            <w:webHidden/>
          </w:rPr>
          <w:fldChar w:fldCharType="end"/>
        </w:r>
      </w:hyperlink>
    </w:p>
    <w:p w14:paraId="21A167F4" w14:textId="65715C39" w:rsidR="007E04C8" w:rsidRDefault="007E04C8" w:rsidP="009E3458">
      <w:pPr>
        <w:pStyle w:val="TOC2"/>
        <w:spacing w:before="120"/>
        <w:rPr>
          <w:rFonts w:asciiTheme="minorHAnsi" w:eastAsiaTheme="minorEastAsia" w:hAnsiTheme="minorHAnsi" w:cstheme="minorBidi"/>
          <w:noProof/>
          <w:kern w:val="2"/>
          <w:sz w:val="24"/>
          <w:szCs w:val="24"/>
          <w:lang w:val="en-CA" w:eastAsia="en-CA"/>
          <w14:ligatures w14:val="standardContextual"/>
        </w:rPr>
      </w:pPr>
      <w:hyperlink w:anchor="_Toc228803305" w:history="1">
        <w:r w:rsidRPr="00B64DB0">
          <w:rPr>
            <w:rStyle w:val="Hyperlink"/>
            <w:noProof/>
          </w:rPr>
          <w:t>B.</w:t>
        </w:r>
        <w:r>
          <w:rPr>
            <w:rFonts w:asciiTheme="minorHAnsi" w:eastAsiaTheme="minorEastAsia" w:hAnsiTheme="minorHAnsi" w:cstheme="minorBidi"/>
            <w:noProof/>
            <w:kern w:val="2"/>
            <w:sz w:val="24"/>
            <w:szCs w:val="24"/>
            <w:lang w:val="en-CA" w:eastAsia="en-CA"/>
            <w14:ligatures w14:val="standardContextual"/>
          </w:rPr>
          <w:tab/>
        </w:r>
        <w:r w:rsidRPr="00B64DB0">
          <w:rPr>
            <w:rStyle w:val="Hyperlink"/>
            <w:noProof/>
          </w:rPr>
          <w:t>Assessment of effectiveness</w:t>
        </w:r>
        <w:r>
          <w:rPr>
            <w:noProof/>
            <w:webHidden/>
          </w:rPr>
          <w:tab/>
        </w:r>
        <w:r>
          <w:rPr>
            <w:noProof/>
            <w:webHidden/>
          </w:rPr>
          <w:fldChar w:fldCharType="begin"/>
        </w:r>
        <w:r>
          <w:rPr>
            <w:noProof/>
            <w:webHidden/>
          </w:rPr>
          <w:instrText xml:space="preserve"> PAGEREF _Toc228803305 \h </w:instrText>
        </w:r>
        <w:r>
          <w:rPr>
            <w:noProof/>
            <w:webHidden/>
          </w:rPr>
        </w:r>
        <w:r>
          <w:rPr>
            <w:noProof/>
            <w:webHidden/>
          </w:rPr>
          <w:fldChar w:fldCharType="separate"/>
        </w:r>
        <w:r w:rsidR="00E4188D">
          <w:rPr>
            <w:noProof/>
            <w:webHidden/>
          </w:rPr>
          <w:t>21</w:t>
        </w:r>
        <w:r>
          <w:rPr>
            <w:noProof/>
            <w:webHidden/>
          </w:rPr>
          <w:fldChar w:fldCharType="end"/>
        </w:r>
      </w:hyperlink>
    </w:p>
    <w:p w14:paraId="481DB902" w14:textId="48EBE4B4" w:rsidR="007E04C8" w:rsidRDefault="007E04C8" w:rsidP="009E3458">
      <w:pPr>
        <w:pStyle w:val="TOC2"/>
        <w:spacing w:before="120"/>
        <w:rPr>
          <w:rFonts w:asciiTheme="minorHAnsi" w:eastAsiaTheme="minorEastAsia" w:hAnsiTheme="minorHAnsi" w:cstheme="minorBidi"/>
          <w:noProof/>
          <w:kern w:val="2"/>
          <w:sz w:val="24"/>
          <w:szCs w:val="24"/>
          <w:lang w:val="en-CA" w:eastAsia="en-CA"/>
          <w14:ligatures w14:val="standardContextual"/>
        </w:rPr>
      </w:pPr>
      <w:hyperlink w:anchor="_Toc228803306" w:history="1">
        <w:r w:rsidRPr="00B64DB0">
          <w:rPr>
            <w:rStyle w:val="Hyperlink"/>
            <w:noProof/>
          </w:rPr>
          <w:t>C.</w:t>
        </w:r>
        <w:r>
          <w:rPr>
            <w:rFonts w:asciiTheme="minorHAnsi" w:eastAsiaTheme="minorEastAsia" w:hAnsiTheme="minorHAnsi" w:cstheme="minorBidi"/>
            <w:noProof/>
            <w:kern w:val="2"/>
            <w:sz w:val="24"/>
            <w:szCs w:val="24"/>
            <w:lang w:val="en-CA" w:eastAsia="en-CA"/>
            <w14:ligatures w14:val="standardContextual"/>
          </w:rPr>
          <w:tab/>
        </w:r>
        <w:r w:rsidRPr="00B64DB0">
          <w:rPr>
            <w:rStyle w:val="Hyperlink"/>
            <w:noProof/>
          </w:rPr>
          <w:t>Assessment of support available for implementation</w:t>
        </w:r>
        <w:r>
          <w:rPr>
            <w:noProof/>
            <w:webHidden/>
          </w:rPr>
          <w:tab/>
        </w:r>
        <w:r>
          <w:rPr>
            <w:noProof/>
            <w:webHidden/>
          </w:rPr>
          <w:fldChar w:fldCharType="begin"/>
        </w:r>
        <w:r>
          <w:rPr>
            <w:noProof/>
            <w:webHidden/>
          </w:rPr>
          <w:instrText xml:space="preserve"> PAGEREF _Toc228803306 \h </w:instrText>
        </w:r>
        <w:r>
          <w:rPr>
            <w:noProof/>
            <w:webHidden/>
          </w:rPr>
        </w:r>
        <w:r>
          <w:rPr>
            <w:noProof/>
            <w:webHidden/>
          </w:rPr>
          <w:fldChar w:fldCharType="separate"/>
        </w:r>
        <w:r w:rsidR="00E4188D">
          <w:rPr>
            <w:noProof/>
            <w:webHidden/>
          </w:rPr>
          <w:t>29</w:t>
        </w:r>
        <w:r>
          <w:rPr>
            <w:noProof/>
            <w:webHidden/>
          </w:rPr>
          <w:fldChar w:fldCharType="end"/>
        </w:r>
      </w:hyperlink>
    </w:p>
    <w:p w14:paraId="374F5280" w14:textId="1CB199BF" w:rsidR="007E04C8" w:rsidRDefault="007E04C8" w:rsidP="009E3458">
      <w:pPr>
        <w:pStyle w:val="TOC2"/>
        <w:spacing w:before="120"/>
        <w:rPr>
          <w:rFonts w:asciiTheme="minorHAnsi" w:eastAsiaTheme="minorEastAsia" w:hAnsiTheme="minorHAnsi" w:cstheme="minorBidi"/>
          <w:noProof/>
          <w:kern w:val="2"/>
          <w:sz w:val="24"/>
          <w:szCs w:val="24"/>
          <w:lang w:val="en-CA" w:eastAsia="en-CA"/>
          <w14:ligatures w14:val="standardContextual"/>
        </w:rPr>
      </w:pPr>
      <w:hyperlink w:anchor="_Toc228803307" w:history="1">
        <w:r w:rsidRPr="00B64DB0">
          <w:rPr>
            <w:rStyle w:val="Hyperlink"/>
            <w:noProof/>
          </w:rPr>
          <w:t>D.</w:t>
        </w:r>
        <w:r>
          <w:rPr>
            <w:rFonts w:asciiTheme="minorHAnsi" w:eastAsiaTheme="minorEastAsia" w:hAnsiTheme="minorHAnsi" w:cstheme="minorBidi"/>
            <w:noProof/>
            <w:kern w:val="2"/>
            <w:sz w:val="24"/>
            <w:szCs w:val="24"/>
            <w:lang w:val="en-CA" w:eastAsia="en-CA"/>
            <w14:ligatures w14:val="standardContextual"/>
          </w:rPr>
          <w:tab/>
        </w:r>
        <w:r w:rsidRPr="00B64DB0">
          <w:rPr>
            <w:rStyle w:val="Hyperlink"/>
            <w:noProof/>
          </w:rPr>
          <w:t>Assessment of effectiveness of Article 18 (extent of implementation)</w:t>
        </w:r>
        <w:r>
          <w:rPr>
            <w:noProof/>
            <w:webHidden/>
          </w:rPr>
          <w:tab/>
        </w:r>
        <w:r>
          <w:rPr>
            <w:noProof/>
            <w:webHidden/>
          </w:rPr>
          <w:fldChar w:fldCharType="begin"/>
        </w:r>
        <w:r>
          <w:rPr>
            <w:noProof/>
            <w:webHidden/>
          </w:rPr>
          <w:instrText xml:space="preserve"> PAGEREF _Toc228803307 \h </w:instrText>
        </w:r>
        <w:r>
          <w:rPr>
            <w:noProof/>
            <w:webHidden/>
          </w:rPr>
        </w:r>
        <w:r>
          <w:rPr>
            <w:noProof/>
            <w:webHidden/>
          </w:rPr>
          <w:fldChar w:fldCharType="separate"/>
        </w:r>
        <w:r w:rsidR="00E4188D">
          <w:rPr>
            <w:noProof/>
            <w:webHidden/>
          </w:rPr>
          <w:t>36</w:t>
        </w:r>
        <w:r>
          <w:rPr>
            <w:noProof/>
            <w:webHidden/>
          </w:rPr>
          <w:fldChar w:fldCharType="end"/>
        </w:r>
      </w:hyperlink>
    </w:p>
    <w:p w14:paraId="791CCAFE" w14:textId="6463EB62" w:rsidR="007E04C8" w:rsidRDefault="007E04C8" w:rsidP="009E3458">
      <w:pPr>
        <w:pStyle w:val="TOC2"/>
        <w:spacing w:before="120"/>
        <w:rPr>
          <w:rFonts w:asciiTheme="minorHAnsi" w:eastAsiaTheme="minorEastAsia" w:hAnsiTheme="minorHAnsi" w:cstheme="minorBidi"/>
          <w:noProof/>
          <w:kern w:val="2"/>
          <w:sz w:val="24"/>
          <w:szCs w:val="24"/>
          <w:lang w:val="en-CA" w:eastAsia="en-CA"/>
          <w14:ligatures w14:val="standardContextual"/>
        </w:rPr>
      </w:pPr>
      <w:hyperlink w:anchor="_Toc228803308" w:history="1">
        <w:r w:rsidRPr="00B64DB0">
          <w:rPr>
            <w:rStyle w:val="Hyperlink"/>
            <w:noProof/>
          </w:rPr>
          <w:t>E.</w:t>
        </w:r>
        <w:r>
          <w:rPr>
            <w:rFonts w:asciiTheme="minorHAnsi" w:eastAsiaTheme="minorEastAsia" w:hAnsiTheme="minorHAnsi" w:cstheme="minorBidi"/>
            <w:noProof/>
            <w:kern w:val="2"/>
            <w:sz w:val="24"/>
            <w:szCs w:val="24"/>
            <w:lang w:val="en-CA" w:eastAsia="en-CA"/>
            <w14:ligatures w14:val="standardContextual"/>
          </w:rPr>
          <w:tab/>
        </w:r>
        <w:r w:rsidRPr="00B64DB0">
          <w:rPr>
            <w:rStyle w:val="Hyperlink"/>
            <w:noProof/>
          </w:rPr>
          <w:t xml:space="preserve">Assessment of implementation of Article 16 in </w:t>
        </w:r>
        <w:r w:rsidR="0034338B">
          <w:rPr>
            <w:rStyle w:val="Hyperlink"/>
            <w:noProof/>
          </w:rPr>
          <w:t xml:space="preserve">the </w:t>
        </w:r>
        <w:r w:rsidRPr="00B64DB0">
          <w:rPr>
            <w:rStyle w:val="Hyperlink"/>
            <w:noProof/>
          </w:rPr>
          <w:t>light of developments in other relevant international organizations, including the World Intellectual Property Organization</w:t>
        </w:r>
        <w:r>
          <w:rPr>
            <w:noProof/>
            <w:webHidden/>
          </w:rPr>
          <w:tab/>
        </w:r>
        <w:r>
          <w:rPr>
            <w:noProof/>
            <w:webHidden/>
          </w:rPr>
          <w:fldChar w:fldCharType="begin"/>
        </w:r>
        <w:r>
          <w:rPr>
            <w:noProof/>
            <w:webHidden/>
          </w:rPr>
          <w:instrText xml:space="preserve"> PAGEREF _Toc228803308 \h </w:instrText>
        </w:r>
        <w:r>
          <w:rPr>
            <w:noProof/>
            <w:webHidden/>
          </w:rPr>
        </w:r>
        <w:r>
          <w:rPr>
            <w:noProof/>
            <w:webHidden/>
          </w:rPr>
          <w:fldChar w:fldCharType="separate"/>
        </w:r>
        <w:r w:rsidR="00E4188D">
          <w:rPr>
            <w:noProof/>
            <w:webHidden/>
          </w:rPr>
          <w:t>37</w:t>
        </w:r>
        <w:r>
          <w:rPr>
            <w:noProof/>
            <w:webHidden/>
          </w:rPr>
          <w:fldChar w:fldCharType="end"/>
        </w:r>
      </w:hyperlink>
    </w:p>
    <w:p w14:paraId="60A471F3" w14:textId="6849F4E0" w:rsidR="007E04C8" w:rsidRDefault="007E04C8" w:rsidP="009E3458">
      <w:pPr>
        <w:pStyle w:val="TOC2"/>
        <w:spacing w:before="120"/>
        <w:rPr>
          <w:rFonts w:asciiTheme="minorHAnsi" w:eastAsiaTheme="minorEastAsia" w:hAnsiTheme="minorHAnsi" w:cstheme="minorBidi"/>
          <w:noProof/>
          <w:kern w:val="2"/>
          <w:sz w:val="24"/>
          <w:szCs w:val="24"/>
          <w:lang w:val="en-CA" w:eastAsia="en-CA"/>
          <w14:ligatures w14:val="standardContextual"/>
        </w:rPr>
      </w:pPr>
      <w:hyperlink w:anchor="_Toc228803309" w:history="1">
        <w:r w:rsidRPr="00B64DB0">
          <w:rPr>
            <w:rStyle w:val="Hyperlink"/>
            <w:noProof/>
          </w:rPr>
          <w:t>F.</w:t>
        </w:r>
        <w:r>
          <w:rPr>
            <w:rFonts w:asciiTheme="minorHAnsi" w:eastAsiaTheme="minorEastAsia" w:hAnsiTheme="minorHAnsi" w:cstheme="minorBidi"/>
            <w:noProof/>
            <w:kern w:val="2"/>
            <w:sz w:val="24"/>
            <w:szCs w:val="24"/>
            <w:lang w:val="en-CA" w:eastAsia="en-CA"/>
            <w14:ligatures w14:val="standardContextual"/>
          </w:rPr>
          <w:tab/>
        </w:r>
        <w:r w:rsidRPr="00B64DB0">
          <w:rPr>
            <w:rStyle w:val="Hyperlink"/>
            <w:noProof/>
          </w:rPr>
          <w:t>Stocktaking of the use of model contractual clauses, codes of conduct, guidelines, best practices and standards, as well as the customary laws, community protocols and procedures of indigenous peoples and local communities</w:t>
        </w:r>
        <w:r>
          <w:rPr>
            <w:noProof/>
            <w:webHidden/>
          </w:rPr>
          <w:tab/>
        </w:r>
        <w:r>
          <w:rPr>
            <w:noProof/>
            <w:webHidden/>
          </w:rPr>
          <w:fldChar w:fldCharType="begin"/>
        </w:r>
        <w:r>
          <w:rPr>
            <w:noProof/>
            <w:webHidden/>
          </w:rPr>
          <w:instrText xml:space="preserve"> PAGEREF _Toc228803309 \h </w:instrText>
        </w:r>
        <w:r>
          <w:rPr>
            <w:noProof/>
            <w:webHidden/>
          </w:rPr>
        </w:r>
        <w:r>
          <w:rPr>
            <w:noProof/>
            <w:webHidden/>
          </w:rPr>
          <w:fldChar w:fldCharType="separate"/>
        </w:r>
        <w:r w:rsidR="00E4188D">
          <w:rPr>
            <w:noProof/>
            <w:webHidden/>
          </w:rPr>
          <w:t>38</w:t>
        </w:r>
        <w:r>
          <w:rPr>
            <w:noProof/>
            <w:webHidden/>
          </w:rPr>
          <w:fldChar w:fldCharType="end"/>
        </w:r>
      </w:hyperlink>
    </w:p>
    <w:p w14:paraId="1FB464E6" w14:textId="78443340" w:rsidR="007E04C8" w:rsidRDefault="007E04C8" w:rsidP="006B066D">
      <w:pPr>
        <w:pStyle w:val="TOC2"/>
        <w:spacing w:before="120"/>
        <w:rPr>
          <w:rFonts w:asciiTheme="minorHAnsi" w:eastAsiaTheme="minorEastAsia" w:hAnsiTheme="minorHAnsi" w:cstheme="minorBidi"/>
          <w:noProof/>
          <w:kern w:val="2"/>
          <w:sz w:val="24"/>
          <w:szCs w:val="24"/>
          <w:lang w:val="en-CA" w:eastAsia="en-CA"/>
          <w14:ligatures w14:val="standardContextual"/>
        </w:rPr>
      </w:pPr>
      <w:hyperlink w:anchor="_Toc228803310" w:history="1">
        <w:r w:rsidRPr="00B64DB0">
          <w:rPr>
            <w:rStyle w:val="Hyperlink"/>
            <w:noProof/>
          </w:rPr>
          <w:t>G.</w:t>
        </w:r>
        <w:r>
          <w:rPr>
            <w:rFonts w:asciiTheme="minorHAnsi" w:eastAsiaTheme="minorEastAsia" w:hAnsiTheme="minorHAnsi" w:cstheme="minorBidi"/>
            <w:noProof/>
            <w:kern w:val="2"/>
            <w:sz w:val="24"/>
            <w:szCs w:val="24"/>
            <w:lang w:val="en-CA" w:eastAsia="en-CA"/>
            <w14:ligatures w14:val="standardContextual"/>
          </w:rPr>
          <w:tab/>
        </w:r>
        <w:r w:rsidRPr="00B64DB0">
          <w:rPr>
            <w:rStyle w:val="Hyperlink"/>
            <w:noProof/>
          </w:rPr>
          <w:t>Review of implementation and operation of the Access and Benefit-sharing Clearing-House</w:t>
        </w:r>
        <w:r>
          <w:rPr>
            <w:noProof/>
            <w:webHidden/>
          </w:rPr>
          <w:tab/>
        </w:r>
        <w:r>
          <w:rPr>
            <w:noProof/>
            <w:webHidden/>
          </w:rPr>
          <w:fldChar w:fldCharType="begin"/>
        </w:r>
        <w:r>
          <w:rPr>
            <w:noProof/>
            <w:webHidden/>
          </w:rPr>
          <w:instrText xml:space="preserve"> PAGEREF _Toc228803310 \h </w:instrText>
        </w:r>
        <w:r>
          <w:rPr>
            <w:noProof/>
            <w:webHidden/>
          </w:rPr>
        </w:r>
        <w:r>
          <w:rPr>
            <w:noProof/>
            <w:webHidden/>
          </w:rPr>
          <w:fldChar w:fldCharType="separate"/>
        </w:r>
        <w:r w:rsidR="00E4188D">
          <w:rPr>
            <w:noProof/>
            <w:webHidden/>
          </w:rPr>
          <w:t>41</w:t>
        </w:r>
        <w:r>
          <w:rPr>
            <w:noProof/>
            <w:webHidden/>
          </w:rPr>
          <w:fldChar w:fldCharType="end"/>
        </w:r>
      </w:hyperlink>
    </w:p>
    <w:p w14:paraId="668F9B6D" w14:textId="6B6F2472" w:rsidR="007E04C8" w:rsidRDefault="007E04C8" w:rsidP="006B066D">
      <w:pPr>
        <w:pStyle w:val="TOC2"/>
        <w:spacing w:before="120"/>
        <w:rPr>
          <w:rFonts w:asciiTheme="minorHAnsi" w:eastAsiaTheme="minorEastAsia" w:hAnsiTheme="minorHAnsi" w:cstheme="minorBidi"/>
          <w:noProof/>
          <w:kern w:val="2"/>
          <w:sz w:val="24"/>
          <w:szCs w:val="24"/>
          <w:lang w:val="en-CA" w:eastAsia="en-CA"/>
          <w14:ligatures w14:val="standardContextual"/>
        </w:rPr>
      </w:pPr>
      <w:hyperlink w:anchor="_Toc228803311" w:history="1">
        <w:r w:rsidRPr="00B64DB0">
          <w:rPr>
            <w:rStyle w:val="Hyperlink"/>
            <w:noProof/>
          </w:rPr>
          <w:t>H.</w:t>
        </w:r>
        <w:r>
          <w:rPr>
            <w:rFonts w:asciiTheme="minorHAnsi" w:eastAsiaTheme="minorEastAsia" w:hAnsiTheme="minorHAnsi" w:cstheme="minorBidi"/>
            <w:noProof/>
            <w:kern w:val="2"/>
            <w:sz w:val="24"/>
            <w:szCs w:val="24"/>
            <w:lang w:val="en-CA" w:eastAsia="en-CA"/>
            <w14:ligatures w14:val="standardContextual"/>
          </w:rPr>
          <w:tab/>
        </w:r>
        <w:r w:rsidRPr="00B64DB0">
          <w:rPr>
            <w:rStyle w:val="Hyperlink"/>
            <w:noProof/>
          </w:rPr>
          <w:t>Progress on the implementation of Article 10, on a global multilateral benefit-sharing mechanism</w:t>
        </w:r>
        <w:r>
          <w:rPr>
            <w:noProof/>
            <w:webHidden/>
          </w:rPr>
          <w:tab/>
        </w:r>
        <w:r>
          <w:rPr>
            <w:noProof/>
            <w:webHidden/>
          </w:rPr>
          <w:fldChar w:fldCharType="begin"/>
        </w:r>
        <w:r>
          <w:rPr>
            <w:noProof/>
            <w:webHidden/>
          </w:rPr>
          <w:instrText xml:space="preserve"> PAGEREF _Toc228803311 \h </w:instrText>
        </w:r>
        <w:r>
          <w:rPr>
            <w:noProof/>
            <w:webHidden/>
          </w:rPr>
        </w:r>
        <w:r>
          <w:rPr>
            <w:noProof/>
            <w:webHidden/>
          </w:rPr>
          <w:fldChar w:fldCharType="separate"/>
        </w:r>
        <w:r w:rsidR="00E4188D">
          <w:rPr>
            <w:noProof/>
            <w:webHidden/>
          </w:rPr>
          <w:t>48</w:t>
        </w:r>
        <w:r>
          <w:rPr>
            <w:noProof/>
            <w:webHidden/>
          </w:rPr>
          <w:fldChar w:fldCharType="end"/>
        </w:r>
      </w:hyperlink>
    </w:p>
    <w:p w14:paraId="2E4A9691" w14:textId="21D60F8B" w:rsidR="007E04C8" w:rsidRDefault="007E04C8" w:rsidP="009E3458">
      <w:pPr>
        <w:pStyle w:val="TOC2"/>
        <w:spacing w:before="120"/>
        <w:rPr>
          <w:rFonts w:asciiTheme="minorHAnsi" w:eastAsiaTheme="minorEastAsia" w:hAnsiTheme="minorHAnsi" w:cstheme="minorBidi"/>
          <w:noProof/>
          <w:kern w:val="2"/>
          <w:sz w:val="24"/>
          <w:szCs w:val="24"/>
          <w:lang w:val="en-CA" w:eastAsia="en-CA"/>
          <w14:ligatures w14:val="standardContextual"/>
        </w:rPr>
      </w:pPr>
      <w:hyperlink w:anchor="_Toc228803312" w:history="1">
        <w:r w:rsidRPr="00B64DB0">
          <w:rPr>
            <w:rStyle w:val="Hyperlink"/>
            <w:noProof/>
          </w:rPr>
          <w:t>I.</w:t>
        </w:r>
        <w:r>
          <w:rPr>
            <w:rFonts w:asciiTheme="minorHAnsi" w:eastAsiaTheme="minorEastAsia" w:hAnsiTheme="minorHAnsi" w:cstheme="minorBidi"/>
            <w:noProof/>
            <w:kern w:val="2"/>
            <w:sz w:val="24"/>
            <w:szCs w:val="24"/>
            <w:lang w:val="en-CA" w:eastAsia="en-CA"/>
            <w14:ligatures w14:val="standardContextual"/>
          </w:rPr>
          <w:tab/>
        </w:r>
        <w:r w:rsidRPr="00B64DB0">
          <w:rPr>
            <w:rStyle w:val="Hyperlink"/>
            <w:noProof/>
          </w:rPr>
          <w:t>Progress on the implementation of Article 23, on technology transfer, collaboration and cooperation</w:t>
        </w:r>
        <w:r>
          <w:rPr>
            <w:noProof/>
            <w:webHidden/>
          </w:rPr>
          <w:tab/>
        </w:r>
        <w:r>
          <w:rPr>
            <w:noProof/>
            <w:webHidden/>
          </w:rPr>
          <w:fldChar w:fldCharType="begin"/>
        </w:r>
        <w:r>
          <w:rPr>
            <w:noProof/>
            <w:webHidden/>
          </w:rPr>
          <w:instrText xml:space="preserve"> PAGEREF _Toc228803312 \h </w:instrText>
        </w:r>
        <w:r>
          <w:rPr>
            <w:noProof/>
            <w:webHidden/>
          </w:rPr>
        </w:r>
        <w:r>
          <w:rPr>
            <w:noProof/>
            <w:webHidden/>
          </w:rPr>
          <w:fldChar w:fldCharType="separate"/>
        </w:r>
        <w:r w:rsidR="00E4188D">
          <w:rPr>
            <w:noProof/>
            <w:webHidden/>
          </w:rPr>
          <w:t>48</w:t>
        </w:r>
        <w:r>
          <w:rPr>
            <w:noProof/>
            <w:webHidden/>
          </w:rPr>
          <w:fldChar w:fldCharType="end"/>
        </w:r>
      </w:hyperlink>
    </w:p>
    <w:p w14:paraId="1FCAFD0A" w14:textId="7E7EF6B7" w:rsidR="00CD2C50" w:rsidRPr="00D2758E" w:rsidRDefault="00FB7FEC" w:rsidP="002219C2">
      <w:pPr>
        <w:numPr>
          <w:ilvl w:val="1"/>
          <w:numId w:val="0"/>
        </w:numPr>
        <w:spacing w:before="120" w:after="120"/>
        <w:ind w:left="567"/>
        <w:jc w:val="left"/>
        <w:rPr>
          <w:rFonts w:eastAsiaTheme="minorEastAsia"/>
          <w:b/>
        </w:rPr>
        <w:sectPr w:rsidR="00CD2C50" w:rsidRPr="00D2758E" w:rsidSect="00515215">
          <w:pgSz w:w="12240" w:h="15840" w:code="1"/>
          <w:pgMar w:top="1021" w:right="1440" w:bottom="1134" w:left="1440" w:header="720" w:footer="720" w:gutter="0"/>
          <w:cols w:space="720"/>
          <w:noEndnote/>
          <w:docGrid w:linePitch="299"/>
        </w:sectPr>
      </w:pPr>
      <w:r w:rsidRPr="00D2758E">
        <w:rPr>
          <w:rFonts w:eastAsiaTheme="minorEastAsia"/>
          <w:b/>
        </w:rPr>
        <w:fldChar w:fldCharType="end"/>
      </w:r>
    </w:p>
    <w:p w14:paraId="32FE5CC3" w14:textId="7E05260C" w:rsidR="002219C2" w:rsidRPr="00D2758E" w:rsidRDefault="00CD2C50" w:rsidP="00CD2C50">
      <w:pPr>
        <w:pStyle w:val="CBDH1"/>
      </w:pPr>
      <w:bookmarkStart w:id="3" w:name="_Toc228803301"/>
      <w:r w:rsidRPr="00D2758E">
        <w:lastRenderedPageBreak/>
        <w:t>I.</w:t>
      </w:r>
      <w:r w:rsidRPr="00D2758E">
        <w:tab/>
      </w:r>
      <w:r w:rsidR="002219C2" w:rsidRPr="00D2758E">
        <w:t>Introduction</w:t>
      </w:r>
      <w:bookmarkEnd w:id="3"/>
    </w:p>
    <w:p w14:paraId="1B9F61BB" w14:textId="7A326834" w:rsidR="00607EC9" w:rsidRPr="00D2758E" w:rsidRDefault="00607EC9" w:rsidP="00CD2C50">
      <w:pPr>
        <w:pStyle w:val="CBDNormalNumber"/>
      </w:pPr>
      <w:r w:rsidRPr="00D2758E">
        <w:t xml:space="preserve">In its decision </w:t>
      </w:r>
      <w:hyperlink r:id="rId19" w:tgtFrame="_blank" w:history="1">
        <w:r w:rsidRPr="00D2758E">
          <w:rPr>
            <w:rStyle w:val="Hyperlink"/>
          </w:rPr>
          <w:t>NP-3/1</w:t>
        </w:r>
      </w:hyperlink>
      <w:r w:rsidRPr="00D2758E">
        <w:t xml:space="preserve">, the Conference of the Parties serving as the meeting of the Parties to the Nagoya Protocol </w:t>
      </w:r>
      <w:r w:rsidR="00FA29E1" w:rsidRPr="00FA29E1">
        <w:t>on Access to Genetic Resources and the Fair and Equitable Sharing of Benefits Arising from Their Utilization to the Convention on Biological Diversity</w:t>
      </w:r>
      <w:r w:rsidR="00FA29E1">
        <w:t xml:space="preserve"> </w:t>
      </w:r>
      <w:r w:rsidRPr="00D2758E">
        <w:t xml:space="preserve">decided to conduct the second assessment and review of the effectiveness of the Protocol at its sixth meeting. </w:t>
      </w:r>
      <w:proofErr w:type="gramStart"/>
      <w:r w:rsidR="00A4189D">
        <w:t>I</w:t>
      </w:r>
      <w:r w:rsidRPr="00D2758E">
        <w:t>n  decision</w:t>
      </w:r>
      <w:proofErr w:type="gramEnd"/>
      <w:r w:rsidRPr="00D2758E">
        <w:t xml:space="preserve"> </w:t>
      </w:r>
      <w:hyperlink r:id="rId20" w:tgtFrame="_blank" w:history="1">
        <w:r w:rsidRPr="00D2758E">
          <w:rPr>
            <w:rStyle w:val="Hyperlink"/>
          </w:rPr>
          <w:t>NP-5/5</w:t>
        </w:r>
      </w:hyperlink>
      <w:r w:rsidRPr="00D2758E">
        <w:t xml:space="preserve">, </w:t>
      </w:r>
      <w:r w:rsidR="009868FB" w:rsidRPr="009868FB">
        <w:t xml:space="preserve">the Conference of the Parties serving as the meeting of the Parties to the Nagoya </w:t>
      </w:r>
      <w:proofErr w:type="gramStart"/>
      <w:r w:rsidR="009868FB" w:rsidRPr="009868FB">
        <w:t xml:space="preserve">Protocol </w:t>
      </w:r>
      <w:r w:rsidRPr="00D2758E">
        <w:t xml:space="preserve"> agreed</w:t>
      </w:r>
      <w:proofErr w:type="gramEnd"/>
      <w:r w:rsidRPr="00D2758E">
        <w:t xml:space="preserve"> on a methodology for conducting the second assessment and review </w:t>
      </w:r>
      <w:proofErr w:type="gramStart"/>
      <w:r w:rsidRPr="00D2758E">
        <w:t>on the basis of</w:t>
      </w:r>
      <w:proofErr w:type="gramEnd"/>
      <w:r w:rsidRPr="00D2758E">
        <w:t xml:space="preserve"> the elements and sources of information </w:t>
      </w:r>
      <w:r w:rsidR="00186B74">
        <w:t>listed</w:t>
      </w:r>
      <w:r w:rsidRPr="00D2758E">
        <w:t xml:space="preserve"> in the annex to th</w:t>
      </w:r>
      <w:r w:rsidR="00BB015D">
        <w:t>at</w:t>
      </w:r>
      <w:r w:rsidRPr="00D2758E">
        <w:t xml:space="preserve"> decision. The elements address</w:t>
      </w:r>
      <w:r w:rsidR="007A2CD0">
        <w:t>e</w:t>
      </w:r>
      <w:r w:rsidR="006D2DB6">
        <w:t>d</w:t>
      </w:r>
      <w:r w:rsidRPr="00D2758E">
        <w:t xml:space="preserve"> various aspects of the implementation of the Protocol.</w:t>
      </w:r>
    </w:p>
    <w:p w14:paraId="73206C75" w14:textId="2F934BE3" w:rsidR="00040190" w:rsidRPr="00D2758E" w:rsidRDefault="000B3AFF" w:rsidP="00CD2C50">
      <w:pPr>
        <w:pStyle w:val="CBDNormalNumber"/>
        <w:rPr>
          <w:rFonts w:asciiTheme="majorBidi" w:hAnsiTheme="majorBidi" w:cstheme="majorBidi"/>
        </w:rPr>
      </w:pPr>
      <w:r>
        <w:rPr>
          <w:rFonts w:asciiTheme="majorBidi" w:hAnsiTheme="majorBidi" w:cstheme="majorBidi"/>
        </w:rPr>
        <w:t xml:space="preserve">Also in decision NP-5/5, </w:t>
      </w:r>
      <w:r w:rsidR="008435C5">
        <w:rPr>
          <w:rFonts w:asciiTheme="majorBidi" w:hAnsiTheme="majorBidi" w:cstheme="majorBidi"/>
        </w:rPr>
        <w:t>t</w:t>
      </w:r>
      <w:r w:rsidR="00040190" w:rsidRPr="00D2758E">
        <w:rPr>
          <w:rFonts w:asciiTheme="majorBidi" w:hAnsiTheme="majorBidi" w:cstheme="majorBidi"/>
        </w:rPr>
        <w:t>he Executive Secretary was requested to analyse and synthesize information on the implementation of the Nagoya Protocol using the sources of information listed in the annex to th</w:t>
      </w:r>
      <w:r w:rsidR="007212D1">
        <w:rPr>
          <w:rFonts w:asciiTheme="majorBidi" w:hAnsiTheme="majorBidi" w:cstheme="majorBidi"/>
        </w:rPr>
        <w:t>at</w:t>
      </w:r>
      <w:r w:rsidR="00040190" w:rsidRPr="00D2758E">
        <w:rPr>
          <w:rFonts w:asciiTheme="majorBidi" w:hAnsiTheme="majorBidi" w:cstheme="majorBidi"/>
        </w:rPr>
        <w:t xml:space="preserve"> decision</w:t>
      </w:r>
      <w:r w:rsidR="00B11866">
        <w:rPr>
          <w:rFonts w:asciiTheme="majorBidi" w:hAnsiTheme="majorBidi" w:cstheme="majorBidi"/>
        </w:rPr>
        <w:t>,</w:t>
      </w:r>
      <w:r w:rsidR="00040190" w:rsidRPr="00D2758E">
        <w:rPr>
          <w:rFonts w:asciiTheme="majorBidi" w:hAnsiTheme="majorBidi" w:cstheme="majorBidi"/>
        </w:rPr>
        <w:t xml:space="preserve"> measure the </w:t>
      </w:r>
      <w:r w:rsidR="00040190" w:rsidRPr="00D2758E">
        <w:t>indicators</w:t>
      </w:r>
      <w:r w:rsidR="00040190" w:rsidRPr="00D2758E">
        <w:rPr>
          <w:rFonts w:asciiTheme="majorBidi" w:hAnsiTheme="majorBidi" w:cstheme="majorBidi"/>
        </w:rPr>
        <w:t xml:space="preserve"> in the framework of indicators contained in annex II to decision </w:t>
      </w:r>
      <w:hyperlink r:id="rId21" w:history="1">
        <w:r w:rsidR="00040190" w:rsidRPr="00D2758E">
          <w:rPr>
            <w:rStyle w:val="Hyperlink"/>
            <w:rFonts w:asciiTheme="majorBidi" w:hAnsiTheme="majorBidi" w:cstheme="majorBidi"/>
          </w:rPr>
          <w:t>NP-3/1</w:t>
        </w:r>
      </w:hyperlink>
      <w:r w:rsidR="00040190" w:rsidRPr="00D2758E">
        <w:rPr>
          <w:rFonts w:asciiTheme="majorBidi" w:hAnsiTheme="majorBidi" w:cstheme="majorBidi"/>
        </w:rPr>
        <w:t xml:space="preserve"> and make the information available to the Informal Advisory Committee on Capacity-building for the Implementation of the Nagoya Protocol, the Compliance Committee under the Nagoya Protocol </w:t>
      </w:r>
      <w:r w:rsidR="00E25D04">
        <w:rPr>
          <w:rFonts w:asciiTheme="majorBidi" w:hAnsiTheme="majorBidi" w:cstheme="majorBidi"/>
        </w:rPr>
        <w:t xml:space="preserve">on Access and Benefit-sharing </w:t>
      </w:r>
      <w:r w:rsidR="00040190" w:rsidRPr="00D2758E">
        <w:rPr>
          <w:rFonts w:asciiTheme="majorBidi" w:hAnsiTheme="majorBidi" w:cstheme="majorBidi"/>
        </w:rPr>
        <w:t xml:space="preserve">and the Subsidiary Body on Implementation. </w:t>
      </w:r>
    </w:p>
    <w:p w14:paraId="310B6097" w14:textId="40D31AD5" w:rsidR="0095649C" w:rsidRPr="00D2758E" w:rsidRDefault="00607EC9" w:rsidP="00CD2C50">
      <w:pPr>
        <w:pStyle w:val="CBDNormalNumber"/>
        <w:rPr>
          <w:rFonts w:asciiTheme="majorBidi" w:hAnsiTheme="majorBidi" w:cstheme="majorBidi"/>
        </w:rPr>
      </w:pPr>
      <w:r w:rsidRPr="00D2758E">
        <w:rPr>
          <w:rFonts w:asciiTheme="majorBidi" w:hAnsiTheme="majorBidi" w:cstheme="majorBidi"/>
        </w:rPr>
        <w:t>The Informal Advisory Committee on Capacity-building for the Implementation of the Nagoya Protocol and the Compliance Committee under the Nagoya Protocol were requested to work in a complementary and non-duplicative manner, to contribute to the second assessment and review and submit their conclusions for consideration by the Subsidiary Body on Implementation.</w:t>
      </w:r>
    </w:p>
    <w:p w14:paraId="110433AD" w14:textId="0157C18A" w:rsidR="007B600F" w:rsidRPr="00D2758E" w:rsidRDefault="005056B4" w:rsidP="00CD2C50">
      <w:pPr>
        <w:pStyle w:val="CBDNormalNumber"/>
        <w:rPr>
          <w:rFonts w:asciiTheme="majorBidi" w:hAnsiTheme="majorBidi" w:cstheme="majorBidi"/>
        </w:rPr>
      </w:pPr>
      <w:r>
        <w:rPr>
          <w:rFonts w:asciiTheme="majorBidi" w:hAnsiTheme="majorBidi" w:cstheme="majorBidi"/>
        </w:rPr>
        <w:t xml:space="preserve">In subparagraph </w:t>
      </w:r>
      <w:r w:rsidR="00DC7626" w:rsidRPr="00D2758E">
        <w:rPr>
          <w:rFonts w:asciiTheme="majorBidi" w:hAnsiTheme="majorBidi" w:cstheme="majorBidi"/>
        </w:rPr>
        <w:t>18 (a)</w:t>
      </w:r>
      <w:r w:rsidR="00DD1645">
        <w:rPr>
          <w:rFonts w:asciiTheme="majorBidi" w:hAnsiTheme="majorBidi" w:cstheme="majorBidi"/>
        </w:rPr>
        <w:t xml:space="preserve"> of</w:t>
      </w:r>
      <w:r w:rsidR="00DD1645" w:rsidRPr="00DD1645">
        <w:rPr>
          <w:rFonts w:asciiTheme="majorBidi" w:hAnsiTheme="majorBidi" w:cstheme="majorBidi"/>
        </w:rPr>
        <w:t xml:space="preserve"> </w:t>
      </w:r>
      <w:r w:rsidR="00DD1645" w:rsidRPr="00D2758E">
        <w:rPr>
          <w:rFonts w:asciiTheme="majorBidi" w:hAnsiTheme="majorBidi" w:cstheme="majorBidi"/>
        </w:rPr>
        <w:t xml:space="preserve">decision </w:t>
      </w:r>
      <w:hyperlink r:id="rId22" w:history="1">
        <w:r w:rsidR="00DD1645" w:rsidRPr="00D2758E">
          <w:rPr>
            <w:rStyle w:val="Hyperlink"/>
            <w:rFonts w:asciiTheme="majorBidi" w:hAnsiTheme="majorBidi" w:cstheme="majorBidi"/>
          </w:rPr>
          <w:t>NP-3/1</w:t>
        </w:r>
      </w:hyperlink>
      <w:r w:rsidR="00DD1645" w:rsidRPr="00D2758E">
        <w:rPr>
          <w:rFonts w:asciiTheme="majorBidi" w:hAnsiTheme="majorBidi" w:cstheme="majorBidi"/>
        </w:rPr>
        <w:t>,</w:t>
      </w:r>
      <w:r w:rsidR="00535A51">
        <w:rPr>
          <w:rFonts w:asciiTheme="majorBidi" w:hAnsiTheme="majorBidi" w:cstheme="majorBidi"/>
        </w:rPr>
        <w:t xml:space="preserve"> t</w:t>
      </w:r>
      <w:r w:rsidR="0095649C" w:rsidRPr="00D2758E">
        <w:rPr>
          <w:rFonts w:asciiTheme="majorBidi" w:hAnsiTheme="majorBidi" w:cstheme="majorBidi"/>
        </w:rPr>
        <w:t>he E</w:t>
      </w:r>
      <w:r w:rsidR="00C674A3" w:rsidRPr="00D2758E">
        <w:rPr>
          <w:rFonts w:asciiTheme="majorBidi" w:hAnsiTheme="majorBidi" w:cstheme="majorBidi"/>
        </w:rPr>
        <w:t xml:space="preserve">xecutive Secretary </w:t>
      </w:r>
      <w:r w:rsidR="0095649C" w:rsidRPr="00D2758E">
        <w:rPr>
          <w:rFonts w:asciiTheme="majorBidi" w:hAnsiTheme="majorBidi" w:cstheme="majorBidi"/>
        </w:rPr>
        <w:t xml:space="preserve">was requested to carry out </w:t>
      </w:r>
      <w:r w:rsidR="007B600F" w:rsidRPr="00D2758E">
        <w:rPr>
          <w:rFonts w:asciiTheme="majorBidi" w:hAnsiTheme="majorBidi" w:cstheme="majorBidi"/>
        </w:rPr>
        <w:t>targeted survey</w:t>
      </w:r>
      <w:r w:rsidR="00483816">
        <w:rPr>
          <w:rFonts w:asciiTheme="majorBidi" w:hAnsiTheme="majorBidi" w:cstheme="majorBidi"/>
        </w:rPr>
        <w:t>s</w:t>
      </w:r>
      <w:r w:rsidR="007B600F" w:rsidRPr="00D2758E">
        <w:rPr>
          <w:rFonts w:asciiTheme="majorBidi" w:hAnsiTheme="majorBidi" w:cstheme="majorBidi"/>
        </w:rPr>
        <w:t xml:space="preserve"> of access and benefit-sharing </w:t>
      </w:r>
      <w:r w:rsidR="007B600F" w:rsidRPr="00D2758E">
        <w:t>national</w:t>
      </w:r>
      <w:r w:rsidR="007B600F" w:rsidRPr="00D2758E">
        <w:rPr>
          <w:rFonts w:asciiTheme="majorBidi" w:hAnsiTheme="majorBidi" w:cstheme="majorBidi"/>
        </w:rPr>
        <w:t xml:space="preserve"> focal points, competent</w:t>
      </w:r>
      <w:r w:rsidR="00C674A3" w:rsidRPr="00D2758E">
        <w:rPr>
          <w:rFonts w:asciiTheme="majorBidi" w:hAnsiTheme="majorBidi" w:cstheme="majorBidi"/>
        </w:rPr>
        <w:t xml:space="preserve"> national authorities, and users and providers of genetic resources and/or associated traditional knowledge </w:t>
      </w:r>
      <w:r w:rsidR="00B15ED1" w:rsidRPr="00D2758E">
        <w:rPr>
          <w:rFonts w:asciiTheme="majorBidi" w:hAnsiTheme="majorBidi" w:cstheme="majorBidi"/>
        </w:rPr>
        <w:t xml:space="preserve">on </w:t>
      </w:r>
      <w:r w:rsidR="00C674A3" w:rsidRPr="00D2758E">
        <w:rPr>
          <w:rFonts w:asciiTheme="majorBidi" w:hAnsiTheme="majorBidi" w:cstheme="majorBidi"/>
        </w:rPr>
        <w:t xml:space="preserve">challenges related to the implementation of the Protocol </w:t>
      </w:r>
      <w:r w:rsidR="00C71581">
        <w:rPr>
          <w:rFonts w:asciiTheme="majorBidi" w:hAnsiTheme="majorBidi" w:cstheme="majorBidi"/>
        </w:rPr>
        <w:t xml:space="preserve">in order </w:t>
      </w:r>
      <w:r w:rsidR="00C674A3" w:rsidRPr="00D2758E">
        <w:rPr>
          <w:rFonts w:asciiTheme="majorBidi" w:hAnsiTheme="majorBidi" w:cstheme="majorBidi"/>
        </w:rPr>
        <w:t>to provide an additional source of information in future processes for the assessment and review of the effectiveness of the Protocol</w:t>
      </w:r>
      <w:r w:rsidR="00587E8E">
        <w:rPr>
          <w:rFonts w:asciiTheme="majorBidi" w:hAnsiTheme="majorBidi" w:cstheme="majorBidi"/>
        </w:rPr>
        <w:t>.</w:t>
      </w:r>
    </w:p>
    <w:p w14:paraId="32CA0769" w14:textId="1DEFE3FC" w:rsidR="005151C6" w:rsidRPr="00D2758E" w:rsidRDefault="00CE19D2" w:rsidP="00CD2C50">
      <w:pPr>
        <w:pStyle w:val="CBDNormalNumber"/>
        <w:rPr>
          <w:rFonts w:asciiTheme="majorBidi" w:hAnsiTheme="majorBidi" w:cstheme="majorBidi"/>
        </w:rPr>
      </w:pPr>
      <w:r>
        <w:rPr>
          <w:rFonts w:asciiTheme="majorBidi" w:hAnsiTheme="majorBidi" w:cstheme="majorBidi"/>
        </w:rPr>
        <w:t>A</w:t>
      </w:r>
      <w:r w:rsidRPr="00D2758E">
        <w:rPr>
          <w:rFonts w:asciiTheme="majorBidi" w:hAnsiTheme="majorBidi" w:cstheme="majorBidi"/>
        </w:rPr>
        <w:t>s requested</w:t>
      </w:r>
      <w:r w:rsidRPr="00D2758E">
        <w:t xml:space="preserve"> </w:t>
      </w:r>
      <w:r w:rsidRPr="00D2758E">
        <w:rPr>
          <w:rFonts w:asciiTheme="majorBidi" w:hAnsiTheme="majorBidi" w:cstheme="majorBidi"/>
        </w:rPr>
        <w:t xml:space="preserve">in </w:t>
      </w:r>
      <w:r>
        <w:rPr>
          <w:rFonts w:asciiTheme="majorBidi" w:hAnsiTheme="majorBidi" w:cstheme="majorBidi"/>
        </w:rPr>
        <w:t>sub</w:t>
      </w:r>
      <w:r w:rsidRPr="00D2758E">
        <w:rPr>
          <w:rFonts w:asciiTheme="majorBidi" w:hAnsiTheme="majorBidi" w:cstheme="majorBidi"/>
        </w:rPr>
        <w:t>paragraph 7</w:t>
      </w:r>
      <w:r>
        <w:rPr>
          <w:rFonts w:asciiTheme="majorBidi" w:hAnsiTheme="majorBidi" w:cstheme="majorBidi"/>
        </w:rPr>
        <w:t> </w:t>
      </w:r>
      <w:r w:rsidRPr="00D2758E">
        <w:rPr>
          <w:rFonts w:asciiTheme="majorBidi" w:hAnsiTheme="majorBidi" w:cstheme="majorBidi"/>
        </w:rPr>
        <w:t>(b)</w:t>
      </w:r>
      <w:r>
        <w:rPr>
          <w:rFonts w:asciiTheme="majorBidi" w:hAnsiTheme="majorBidi" w:cstheme="majorBidi"/>
        </w:rPr>
        <w:t xml:space="preserve"> of </w:t>
      </w:r>
      <w:r w:rsidRPr="00D2758E">
        <w:rPr>
          <w:rFonts w:asciiTheme="majorBidi" w:hAnsiTheme="majorBidi" w:cstheme="majorBidi"/>
        </w:rPr>
        <w:t xml:space="preserve">decision </w:t>
      </w:r>
      <w:hyperlink r:id="rId23" w:history="1">
        <w:r w:rsidRPr="00D2758E">
          <w:rPr>
            <w:rStyle w:val="Hyperlink"/>
            <w:rFonts w:asciiTheme="majorBidi" w:hAnsiTheme="majorBidi" w:cstheme="majorBidi"/>
          </w:rPr>
          <w:t>NP-5/5</w:t>
        </w:r>
      </w:hyperlink>
      <w:r>
        <w:t xml:space="preserve">, </w:t>
      </w:r>
      <w:r w:rsidRPr="00D2758E">
        <w:rPr>
          <w:rFonts w:asciiTheme="majorBidi" w:hAnsiTheme="majorBidi" w:cstheme="majorBidi"/>
        </w:rPr>
        <w:t>the Executive Secretary</w:t>
      </w:r>
      <w:r w:rsidRPr="00D2758E" w:rsidDel="00AB3D4B">
        <w:rPr>
          <w:rFonts w:asciiTheme="majorBidi" w:hAnsiTheme="majorBidi" w:cstheme="majorBidi"/>
        </w:rPr>
        <w:t xml:space="preserve"> </w:t>
      </w:r>
      <w:r w:rsidRPr="00D2758E">
        <w:rPr>
          <w:rFonts w:asciiTheme="majorBidi" w:hAnsiTheme="majorBidi" w:cstheme="majorBidi"/>
        </w:rPr>
        <w:t>commissioned</w:t>
      </w:r>
      <w:r w:rsidRPr="00D2758E" w:rsidDel="00AB3D4B">
        <w:rPr>
          <w:rFonts w:asciiTheme="majorBidi" w:hAnsiTheme="majorBidi" w:cstheme="majorBidi"/>
        </w:rPr>
        <w:t xml:space="preserve"> </w:t>
      </w:r>
      <w:r>
        <w:rPr>
          <w:rFonts w:asciiTheme="majorBidi" w:hAnsiTheme="majorBidi" w:cstheme="majorBidi"/>
        </w:rPr>
        <w:t>a</w:t>
      </w:r>
      <w:r w:rsidR="00B64561" w:rsidRPr="00D2758E">
        <w:rPr>
          <w:rFonts w:asciiTheme="majorBidi" w:hAnsiTheme="majorBidi" w:cstheme="majorBidi"/>
        </w:rPr>
        <w:t xml:space="preserve"> scoping study </w:t>
      </w:r>
      <w:r w:rsidR="005151C6" w:rsidRPr="00D2758E">
        <w:rPr>
          <w:rFonts w:asciiTheme="majorBidi" w:hAnsiTheme="majorBidi" w:cstheme="majorBidi"/>
        </w:rPr>
        <w:t xml:space="preserve">on the possible reasons and underlying root causes for the challenges to effective implementation of and compliance with the Nagoya Protocol and on possible ways to enhance its </w:t>
      </w:r>
      <w:r w:rsidR="005151C6" w:rsidRPr="00D2758E">
        <w:t>implementation</w:t>
      </w:r>
      <w:r w:rsidR="005151C6" w:rsidRPr="00D2758E">
        <w:rPr>
          <w:rFonts w:asciiTheme="majorBidi" w:hAnsiTheme="majorBidi" w:cstheme="majorBidi"/>
        </w:rPr>
        <w:t>, taking into account the specific challenges faced by developing country Parties, including those related to means of implementation. The main conclusions of the study are to be included within the context of the elements under review, as a complementary source of information, as relevant.</w:t>
      </w:r>
      <w:r w:rsidR="00542A0E" w:rsidRPr="00D2758E">
        <w:rPr>
          <w:rFonts w:asciiTheme="majorBidi" w:hAnsiTheme="majorBidi" w:cstheme="majorBidi"/>
        </w:rPr>
        <w:t xml:space="preserve"> The targeted surveys </w:t>
      </w:r>
      <w:r w:rsidR="00B126FD" w:rsidRPr="00D2758E">
        <w:rPr>
          <w:rFonts w:asciiTheme="majorBidi" w:hAnsiTheme="majorBidi" w:cstheme="majorBidi"/>
        </w:rPr>
        <w:t>referred to in paragraph</w:t>
      </w:r>
      <w:r w:rsidR="007458BD">
        <w:rPr>
          <w:rFonts w:asciiTheme="majorBidi" w:hAnsiTheme="majorBidi" w:cstheme="majorBidi"/>
        </w:rPr>
        <w:t xml:space="preserve"> 4</w:t>
      </w:r>
      <w:r w:rsidR="00B126FD" w:rsidRPr="00D2758E">
        <w:rPr>
          <w:rFonts w:asciiTheme="majorBidi" w:hAnsiTheme="majorBidi" w:cstheme="majorBidi"/>
        </w:rPr>
        <w:t xml:space="preserve"> above were conducted and analysed </w:t>
      </w:r>
      <w:r w:rsidR="0063720F">
        <w:rPr>
          <w:rFonts w:asciiTheme="majorBidi" w:hAnsiTheme="majorBidi" w:cstheme="majorBidi"/>
        </w:rPr>
        <w:t>with</w:t>
      </w:r>
      <w:r w:rsidR="00B126FD" w:rsidRPr="00D2758E">
        <w:rPr>
          <w:rFonts w:asciiTheme="majorBidi" w:hAnsiTheme="majorBidi" w:cstheme="majorBidi"/>
        </w:rPr>
        <w:t>in the context of the scoping study.</w:t>
      </w:r>
    </w:p>
    <w:p w14:paraId="3B3882B6" w14:textId="67C1C403" w:rsidR="00607EC9" w:rsidRPr="00D2758E" w:rsidRDefault="00607EC9" w:rsidP="00CD2C50">
      <w:pPr>
        <w:pStyle w:val="CBDNormalNumber"/>
        <w:rPr>
          <w:rFonts w:asciiTheme="majorBidi" w:hAnsiTheme="majorBidi" w:cstheme="majorBidi"/>
        </w:rPr>
      </w:pPr>
      <w:r w:rsidRPr="00D2758E">
        <w:rPr>
          <w:rFonts w:asciiTheme="majorBidi" w:hAnsiTheme="majorBidi" w:cstheme="majorBidi"/>
        </w:rPr>
        <w:t xml:space="preserve">The </w:t>
      </w:r>
      <w:r w:rsidR="006F4020">
        <w:rPr>
          <w:rFonts w:asciiTheme="majorBidi" w:hAnsiTheme="majorBidi" w:cstheme="majorBidi"/>
        </w:rPr>
        <w:t>present</w:t>
      </w:r>
      <w:r w:rsidRPr="00D2758E">
        <w:rPr>
          <w:rFonts w:asciiTheme="majorBidi" w:hAnsiTheme="majorBidi" w:cstheme="majorBidi"/>
        </w:rPr>
        <w:t xml:space="preserve"> </w:t>
      </w:r>
      <w:r w:rsidRPr="00D2758E">
        <w:t>document</w:t>
      </w:r>
      <w:r w:rsidRPr="00D2758E">
        <w:rPr>
          <w:rFonts w:asciiTheme="majorBidi" w:hAnsiTheme="majorBidi" w:cstheme="majorBidi"/>
        </w:rPr>
        <w:t xml:space="preserve"> includes</w:t>
      </w:r>
      <w:r w:rsidR="004D163A" w:rsidRPr="004D163A">
        <w:rPr>
          <w:rFonts w:asciiTheme="majorBidi" w:hAnsiTheme="majorBidi" w:cstheme="majorBidi"/>
        </w:rPr>
        <w:t xml:space="preserve"> </w:t>
      </w:r>
      <w:r w:rsidR="004D163A" w:rsidRPr="00D2758E">
        <w:rPr>
          <w:rFonts w:asciiTheme="majorBidi" w:hAnsiTheme="majorBidi" w:cstheme="majorBidi"/>
        </w:rPr>
        <w:t>the following information</w:t>
      </w:r>
      <w:r w:rsidRPr="00D2758E">
        <w:rPr>
          <w:rFonts w:asciiTheme="majorBidi" w:hAnsiTheme="majorBidi" w:cstheme="majorBidi"/>
        </w:rPr>
        <w:t xml:space="preserve"> </w:t>
      </w:r>
      <w:r w:rsidR="0001215E">
        <w:rPr>
          <w:rFonts w:asciiTheme="majorBidi" w:hAnsiTheme="majorBidi" w:cstheme="majorBidi"/>
        </w:rPr>
        <w:t>f</w:t>
      </w:r>
      <w:r w:rsidRPr="00D2758E">
        <w:rPr>
          <w:rFonts w:asciiTheme="majorBidi" w:hAnsiTheme="majorBidi" w:cstheme="majorBidi"/>
        </w:rPr>
        <w:t>or elements (a) to (</w:t>
      </w:r>
      <w:proofErr w:type="spellStart"/>
      <w:r w:rsidRPr="00D2758E">
        <w:rPr>
          <w:rFonts w:asciiTheme="majorBidi" w:hAnsiTheme="majorBidi" w:cstheme="majorBidi"/>
        </w:rPr>
        <w:t>i</w:t>
      </w:r>
      <w:proofErr w:type="spellEnd"/>
      <w:r w:rsidRPr="00D2758E">
        <w:rPr>
          <w:rFonts w:asciiTheme="majorBidi" w:hAnsiTheme="majorBidi" w:cstheme="majorBidi"/>
        </w:rPr>
        <w:t xml:space="preserve">) </w:t>
      </w:r>
      <w:r w:rsidR="007516F7">
        <w:rPr>
          <w:rFonts w:asciiTheme="majorBidi" w:hAnsiTheme="majorBidi" w:cstheme="majorBidi"/>
        </w:rPr>
        <w:t>presented</w:t>
      </w:r>
      <w:r w:rsidRPr="00D2758E">
        <w:rPr>
          <w:rFonts w:asciiTheme="majorBidi" w:hAnsiTheme="majorBidi" w:cstheme="majorBidi"/>
        </w:rPr>
        <w:t xml:space="preserve"> in the annex to decision </w:t>
      </w:r>
      <w:hyperlink r:id="rId24" w:history="1">
        <w:r w:rsidRPr="00D2758E">
          <w:rPr>
            <w:rStyle w:val="Hyperlink"/>
            <w:rFonts w:asciiTheme="majorBidi" w:hAnsiTheme="majorBidi" w:cstheme="majorBidi"/>
          </w:rPr>
          <w:t>NP-5/5</w:t>
        </w:r>
      </w:hyperlink>
      <w:r w:rsidRPr="00D2758E">
        <w:rPr>
          <w:rFonts w:asciiTheme="majorBidi" w:hAnsiTheme="majorBidi" w:cstheme="majorBidi"/>
        </w:rPr>
        <w:t>:</w:t>
      </w:r>
    </w:p>
    <w:p w14:paraId="01FB5D2F" w14:textId="2BE43C73" w:rsidR="00607EC9" w:rsidRPr="00D2758E" w:rsidRDefault="00004747" w:rsidP="00A558F3">
      <w:pPr>
        <w:pStyle w:val="CBDNormalNumber"/>
        <w:numPr>
          <w:ilvl w:val="1"/>
          <w:numId w:val="7"/>
        </w:numPr>
      </w:pPr>
      <w:r w:rsidRPr="00D2758E">
        <w:t xml:space="preserve">Progress made in implementation and </w:t>
      </w:r>
      <w:r w:rsidR="0058474A" w:rsidRPr="00D2758E">
        <w:t xml:space="preserve">updated </w:t>
      </w:r>
      <w:r w:rsidR="145ECF2E" w:rsidRPr="00D2758E">
        <w:t xml:space="preserve">indicator </w:t>
      </w:r>
      <w:r w:rsidR="0058474A" w:rsidRPr="00D2758E">
        <w:t xml:space="preserve">data </w:t>
      </w:r>
      <w:r w:rsidR="00C860B4" w:rsidRPr="00D2758E">
        <w:t>(</w:t>
      </w:r>
      <w:r w:rsidR="480B508E" w:rsidRPr="00D2758E">
        <w:t xml:space="preserve">framework of indicators </w:t>
      </w:r>
      <w:r w:rsidR="00DA35F8">
        <w:t xml:space="preserve">contained </w:t>
      </w:r>
      <w:r w:rsidR="00E26EC0">
        <w:t xml:space="preserve">in </w:t>
      </w:r>
      <w:r w:rsidR="00C860B4" w:rsidRPr="00D2758E">
        <w:t xml:space="preserve">annex II </w:t>
      </w:r>
      <w:r w:rsidR="00E26EC0">
        <w:t xml:space="preserve">to </w:t>
      </w:r>
      <w:r w:rsidR="00C860B4" w:rsidRPr="00D2758E">
        <w:t xml:space="preserve">decision </w:t>
      </w:r>
      <w:hyperlink r:id="rId25" w:history="1">
        <w:r w:rsidR="00C860B4" w:rsidRPr="00D2758E">
          <w:rPr>
            <w:rStyle w:val="Hyperlink"/>
            <w:rFonts w:asciiTheme="majorBidi" w:hAnsiTheme="majorBidi" w:cstheme="majorBidi"/>
          </w:rPr>
          <w:t>NP-3/1</w:t>
        </w:r>
      </w:hyperlink>
      <w:r w:rsidR="00C860B4" w:rsidRPr="00D2758E">
        <w:t>)</w:t>
      </w:r>
      <w:r w:rsidR="008F2A62" w:rsidRPr="00D2758E">
        <w:t>;</w:t>
      </w:r>
      <w:r w:rsidR="00607EC9" w:rsidRPr="00D2758E">
        <w:t xml:space="preserve"> </w:t>
      </w:r>
    </w:p>
    <w:p w14:paraId="2332781E" w14:textId="3D4A8C58" w:rsidR="00607EC9" w:rsidRPr="00D2758E" w:rsidRDefault="00F86062" w:rsidP="00A558F3">
      <w:pPr>
        <w:pStyle w:val="CBDNormalNumber"/>
        <w:numPr>
          <w:ilvl w:val="1"/>
          <w:numId w:val="7"/>
        </w:numPr>
        <w:rPr>
          <w:rFonts w:asciiTheme="majorBidi" w:hAnsiTheme="majorBidi" w:cstheme="majorBidi"/>
        </w:rPr>
      </w:pPr>
      <w:r>
        <w:rPr>
          <w:rFonts w:asciiTheme="majorBidi" w:hAnsiTheme="majorBidi" w:cstheme="majorBidi"/>
        </w:rPr>
        <w:t>C</w:t>
      </w:r>
      <w:r w:rsidR="00A230DD" w:rsidRPr="00D2758E">
        <w:rPr>
          <w:rFonts w:asciiTheme="majorBidi" w:hAnsiTheme="majorBidi" w:cstheme="majorBidi"/>
        </w:rPr>
        <w:t>hallenges</w:t>
      </w:r>
      <w:r>
        <w:rPr>
          <w:rFonts w:asciiTheme="majorBidi" w:hAnsiTheme="majorBidi" w:cstheme="majorBidi"/>
        </w:rPr>
        <w:t xml:space="preserve">, </w:t>
      </w:r>
      <w:r w:rsidR="00005F8F">
        <w:rPr>
          <w:rFonts w:asciiTheme="majorBidi" w:hAnsiTheme="majorBidi" w:cstheme="majorBidi"/>
        </w:rPr>
        <w:t xml:space="preserve">root causes </w:t>
      </w:r>
      <w:r w:rsidR="00C3566F" w:rsidRPr="00D2758E">
        <w:rPr>
          <w:rFonts w:asciiTheme="majorBidi" w:hAnsiTheme="majorBidi" w:cstheme="majorBidi"/>
        </w:rPr>
        <w:t xml:space="preserve">and possible </w:t>
      </w:r>
      <w:r w:rsidR="00C80C37">
        <w:rPr>
          <w:rFonts w:asciiTheme="majorBidi" w:hAnsiTheme="majorBidi" w:cstheme="majorBidi"/>
        </w:rPr>
        <w:t>me</w:t>
      </w:r>
      <w:r w:rsidR="00970160">
        <w:rPr>
          <w:rFonts w:asciiTheme="majorBidi" w:hAnsiTheme="majorBidi" w:cstheme="majorBidi"/>
        </w:rPr>
        <w:t>a</w:t>
      </w:r>
      <w:r w:rsidR="00C80C37">
        <w:rPr>
          <w:rFonts w:asciiTheme="majorBidi" w:hAnsiTheme="majorBidi" w:cstheme="majorBidi"/>
        </w:rPr>
        <w:t xml:space="preserve">ns of </w:t>
      </w:r>
      <w:r w:rsidR="00C3566F" w:rsidRPr="00D2758E">
        <w:rPr>
          <w:rFonts w:asciiTheme="majorBidi" w:hAnsiTheme="majorBidi" w:cstheme="majorBidi"/>
        </w:rPr>
        <w:t>enhanc</w:t>
      </w:r>
      <w:r w:rsidR="00C80C37">
        <w:rPr>
          <w:rFonts w:asciiTheme="majorBidi" w:hAnsiTheme="majorBidi" w:cstheme="majorBidi"/>
        </w:rPr>
        <w:t>ing</w:t>
      </w:r>
      <w:r w:rsidR="000B3A24">
        <w:rPr>
          <w:rFonts w:asciiTheme="majorBidi" w:hAnsiTheme="majorBidi" w:cstheme="majorBidi"/>
        </w:rPr>
        <w:t xml:space="preserve"> implementation</w:t>
      </w:r>
      <w:r w:rsidR="00483825">
        <w:rPr>
          <w:rFonts w:asciiTheme="majorBidi" w:hAnsiTheme="majorBidi" w:cstheme="majorBidi"/>
        </w:rPr>
        <w:t xml:space="preserve"> of the Nagoya </w:t>
      </w:r>
      <w:r w:rsidR="00B6513F">
        <w:rPr>
          <w:rFonts w:asciiTheme="majorBidi" w:hAnsiTheme="majorBidi" w:cstheme="majorBidi"/>
        </w:rPr>
        <w:t>Protocol</w:t>
      </w:r>
      <w:r w:rsidR="0079183C" w:rsidRPr="00D2758E">
        <w:rPr>
          <w:rFonts w:asciiTheme="majorBidi" w:hAnsiTheme="majorBidi" w:cstheme="majorBidi"/>
        </w:rPr>
        <w:t>.</w:t>
      </w:r>
    </w:p>
    <w:p w14:paraId="2204080F" w14:textId="62E1DE5B" w:rsidR="006477D3" w:rsidRPr="00D2758E" w:rsidRDefault="00465576" w:rsidP="00CD2C50">
      <w:pPr>
        <w:pStyle w:val="CBDNormalNumber"/>
        <w:rPr>
          <w:rFonts w:asciiTheme="majorBidi" w:hAnsiTheme="majorBidi" w:cstheme="majorBidi"/>
        </w:rPr>
      </w:pPr>
      <w:r>
        <w:rPr>
          <w:rFonts w:asciiTheme="majorBidi" w:hAnsiTheme="majorBidi" w:cstheme="majorBidi"/>
        </w:rPr>
        <w:t>This document</w:t>
      </w:r>
      <w:r w:rsidR="00A31765" w:rsidRPr="00D2758E">
        <w:rPr>
          <w:rFonts w:asciiTheme="majorBidi" w:hAnsiTheme="majorBidi" w:cstheme="majorBidi"/>
        </w:rPr>
        <w:t xml:space="preserve"> draws from </w:t>
      </w:r>
      <w:r w:rsidR="001E159D">
        <w:rPr>
          <w:rFonts w:asciiTheme="majorBidi" w:hAnsiTheme="majorBidi" w:cstheme="majorBidi"/>
        </w:rPr>
        <w:t xml:space="preserve">various </w:t>
      </w:r>
      <w:r w:rsidR="00A1103C" w:rsidRPr="00D2758E">
        <w:rPr>
          <w:rFonts w:asciiTheme="majorBidi" w:hAnsiTheme="majorBidi" w:cstheme="majorBidi"/>
        </w:rPr>
        <w:t>sources of information</w:t>
      </w:r>
      <w:r w:rsidR="00C034C2" w:rsidRPr="00D2758E">
        <w:rPr>
          <w:rFonts w:asciiTheme="majorBidi" w:hAnsiTheme="majorBidi" w:cstheme="majorBidi"/>
        </w:rPr>
        <w:t xml:space="preserve"> as </w:t>
      </w:r>
      <w:r w:rsidR="00C70902" w:rsidRPr="00D2758E">
        <w:rPr>
          <w:rFonts w:asciiTheme="majorBidi" w:hAnsiTheme="majorBidi" w:cstheme="majorBidi"/>
        </w:rPr>
        <w:t xml:space="preserve">presented and </w:t>
      </w:r>
      <w:r w:rsidR="00C034C2" w:rsidRPr="00D2758E">
        <w:rPr>
          <w:rFonts w:asciiTheme="majorBidi" w:hAnsiTheme="majorBidi" w:cstheme="majorBidi"/>
        </w:rPr>
        <w:t xml:space="preserve">analysed in </w:t>
      </w:r>
      <w:r w:rsidR="00B12939">
        <w:rPr>
          <w:rFonts w:asciiTheme="majorBidi" w:hAnsiTheme="majorBidi" w:cstheme="majorBidi"/>
        </w:rPr>
        <w:t xml:space="preserve">the </w:t>
      </w:r>
      <w:r w:rsidR="00C034C2" w:rsidRPr="00D2758E">
        <w:rPr>
          <w:rFonts w:asciiTheme="majorBidi" w:hAnsiTheme="majorBidi" w:cstheme="majorBidi"/>
        </w:rPr>
        <w:t>different complementary information documents</w:t>
      </w:r>
      <w:r w:rsidR="00B12939">
        <w:rPr>
          <w:rFonts w:asciiTheme="majorBidi" w:hAnsiTheme="majorBidi" w:cstheme="majorBidi"/>
        </w:rPr>
        <w:t xml:space="preserve"> li</w:t>
      </w:r>
      <w:r w:rsidR="00543CCB">
        <w:rPr>
          <w:rFonts w:asciiTheme="majorBidi" w:hAnsiTheme="majorBidi" w:cstheme="majorBidi"/>
        </w:rPr>
        <w:t>s</w:t>
      </w:r>
      <w:r w:rsidR="00B12939">
        <w:rPr>
          <w:rFonts w:asciiTheme="majorBidi" w:hAnsiTheme="majorBidi" w:cstheme="majorBidi"/>
        </w:rPr>
        <w:t>ted directly below</w:t>
      </w:r>
      <w:r w:rsidR="006477D3" w:rsidRPr="00D2758E">
        <w:rPr>
          <w:rFonts w:asciiTheme="majorBidi" w:hAnsiTheme="majorBidi" w:cstheme="majorBidi"/>
        </w:rPr>
        <w:t>:</w:t>
      </w:r>
      <w:r w:rsidR="00C70902" w:rsidRPr="00C70902">
        <w:rPr>
          <w:rFonts w:asciiTheme="majorBidi" w:hAnsiTheme="majorBidi" w:cstheme="majorBidi"/>
        </w:rPr>
        <w:t xml:space="preserve"> </w:t>
      </w:r>
    </w:p>
    <w:p w14:paraId="3241E67A" w14:textId="0E1C3E66" w:rsidR="005F3F95" w:rsidRPr="00D2758E" w:rsidRDefault="005F3F95" w:rsidP="00A558F3">
      <w:pPr>
        <w:pStyle w:val="CBDNormalNumber"/>
        <w:numPr>
          <w:ilvl w:val="1"/>
          <w:numId w:val="7"/>
        </w:numPr>
        <w:rPr>
          <w:rFonts w:asciiTheme="majorBidi" w:hAnsiTheme="majorBidi" w:cstheme="majorBidi"/>
        </w:rPr>
      </w:pPr>
      <w:r w:rsidRPr="00D2758E">
        <w:t>Analysis</w:t>
      </w:r>
      <w:r w:rsidRPr="00D2758E">
        <w:rPr>
          <w:rFonts w:asciiTheme="majorBidi" w:hAnsiTheme="majorBidi" w:cstheme="majorBidi"/>
        </w:rPr>
        <w:t xml:space="preserve"> of information from national reports and other sources for the second assessment and review of the effectiveness of the Nagoya Protocol</w:t>
      </w:r>
      <w:r w:rsidR="00984502">
        <w:rPr>
          <w:rFonts w:asciiTheme="majorBidi" w:hAnsiTheme="majorBidi" w:cstheme="majorBidi"/>
        </w:rPr>
        <w:t>;</w:t>
      </w:r>
      <w:r w:rsidRPr="00D2758E">
        <w:rPr>
          <w:rStyle w:val="FootnoteReference"/>
          <w:rFonts w:asciiTheme="majorBidi" w:hAnsiTheme="majorBidi" w:cstheme="majorBidi"/>
        </w:rPr>
        <w:footnoteReference w:id="6"/>
      </w:r>
    </w:p>
    <w:p w14:paraId="53DC2B4E" w14:textId="6C9293C3" w:rsidR="005F3F95" w:rsidRPr="00D2758E" w:rsidRDefault="00750FCE" w:rsidP="00A558F3">
      <w:pPr>
        <w:pStyle w:val="CBDNormalNumber"/>
        <w:numPr>
          <w:ilvl w:val="1"/>
          <w:numId w:val="7"/>
        </w:numPr>
        <w:rPr>
          <w:rFonts w:asciiTheme="majorBidi" w:hAnsiTheme="majorBidi" w:cstheme="majorBidi"/>
        </w:rPr>
      </w:pPr>
      <w:r w:rsidRPr="00D2758E">
        <w:rPr>
          <w:rFonts w:asciiTheme="majorBidi" w:hAnsiTheme="majorBidi" w:cstheme="majorBidi"/>
        </w:rPr>
        <w:t xml:space="preserve">Scoping study </w:t>
      </w:r>
      <w:r w:rsidR="00C35851" w:rsidRPr="00D2758E">
        <w:rPr>
          <w:rFonts w:asciiTheme="majorBidi" w:hAnsiTheme="majorBidi" w:cstheme="majorBidi"/>
        </w:rPr>
        <w:t xml:space="preserve">on the possible reasons and underlying root causes for the challenges to </w:t>
      </w:r>
      <w:r w:rsidR="00C35851" w:rsidRPr="00D2758E">
        <w:t>effective</w:t>
      </w:r>
      <w:r w:rsidR="00C35851" w:rsidRPr="00D2758E">
        <w:rPr>
          <w:rFonts w:asciiTheme="majorBidi" w:hAnsiTheme="majorBidi" w:cstheme="majorBidi"/>
        </w:rPr>
        <w:t xml:space="preserve"> implementation and compliance and on possible ways to enhance implementation</w:t>
      </w:r>
      <w:r w:rsidR="000E04B1">
        <w:rPr>
          <w:rFonts w:asciiTheme="majorBidi" w:hAnsiTheme="majorBidi" w:cstheme="majorBidi"/>
        </w:rPr>
        <w:t>;</w:t>
      </w:r>
      <w:r w:rsidR="00DA087A" w:rsidRPr="00D2758E">
        <w:rPr>
          <w:rFonts w:asciiTheme="majorBidi" w:hAnsiTheme="majorBidi" w:cstheme="majorBidi"/>
          <w:vertAlign w:val="superscript"/>
        </w:rPr>
        <w:footnoteReference w:id="7"/>
      </w:r>
      <w:r w:rsidR="00AE3A37" w:rsidRPr="00D2758E">
        <w:rPr>
          <w:rFonts w:asciiTheme="majorBidi" w:hAnsiTheme="majorBidi" w:cstheme="majorBidi"/>
        </w:rPr>
        <w:t xml:space="preserve"> </w:t>
      </w:r>
    </w:p>
    <w:p w14:paraId="6093A184" w14:textId="4E3B8F55" w:rsidR="00DA087A" w:rsidRPr="00D2758E" w:rsidRDefault="00546CAB" w:rsidP="00A558F3">
      <w:pPr>
        <w:pStyle w:val="CBDNormalNumber"/>
        <w:numPr>
          <w:ilvl w:val="1"/>
          <w:numId w:val="7"/>
        </w:numPr>
        <w:rPr>
          <w:rFonts w:asciiTheme="majorBidi" w:hAnsiTheme="majorBidi" w:cstheme="majorBidi"/>
        </w:rPr>
      </w:pPr>
      <w:r w:rsidRPr="00D2758E">
        <w:rPr>
          <w:rFonts w:asciiTheme="majorBidi" w:hAnsiTheme="majorBidi" w:cstheme="majorBidi"/>
        </w:rPr>
        <w:lastRenderedPageBreak/>
        <w:t xml:space="preserve">Analysis of </w:t>
      </w:r>
      <w:r w:rsidRPr="00D2758E">
        <w:t>information</w:t>
      </w:r>
      <w:r w:rsidRPr="00D2758E">
        <w:rPr>
          <w:rFonts w:asciiTheme="majorBidi" w:hAnsiTheme="majorBidi" w:cstheme="majorBidi"/>
        </w:rPr>
        <w:t xml:space="preserve"> </w:t>
      </w:r>
      <w:r w:rsidR="00C1145B" w:rsidRPr="00D2758E">
        <w:rPr>
          <w:rFonts w:asciiTheme="majorBidi" w:hAnsiTheme="majorBidi" w:cstheme="majorBidi"/>
        </w:rPr>
        <w:t>published in</w:t>
      </w:r>
      <w:r w:rsidRPr="00D2758E">
        <w:rPr>
          <w:rFonts w:asciiTheme="majorBidi" w:hAnsiTheme="majorBidi" w:cstheme="majorBidi"/>
        </w:rPr>
        <w:t xml:space="preserve"> the </w:t>
      </w:r>
      <w:r w:rsidR="00D367B9">
        <w:rPr>
          <w:rFonts w:asciiTheme="majorBidi" w:hAnsiTheme="majorBidi" w:cstheme="majorBidi"/>
        </w:rPr>
        <w:t>Access and Benefit-sharing</w:t>
      </w:r>
      <w:r w:rsidR="00D367B9" w:rsidRPr="00D2758E">
        <w:rPr>
          <w:rFonts w:asciiTheme="majorBidi" w:hAnsiTheme="majorBidi" w:cstheme="majorBidi"/>
        </w:rPr>
        <w:t xml:space="preserve"> </w:t>
      </w:r>
      <w:r w:rsidRPr="00D2758E">
        <w:rPr>
          <w:rFonts w:asciiTheme="majorBidi" w:hAnsiTheme="majorBidi" w:cstheme="majorBidi"/>
        </w:rPr>
        <w:t>Clearing-House;</w:t>
      </w:r>
      <w:r w:rsidR="00C1145B" w:rsidRPr="00D2758E">
        <w:rPr>
          <w:rFonts w:asciiTheme="majorBidi" w:hAnsiTheme="majorBidi" w:cstheme="majorBidi"/>
          <w:vertAlign w:val="superscript"/>
        </w:rPr>
        <w:footnoteReference w:id="8"/>
      </w:r>
    </w:p>
    <w:p w14:paraId="2DC2A96F" w14:textId="7FF71698" w:rsidR="00546CAB" w:rsidRPr="00D2758E" w:rsidRDefault="00154F58" w:rsidP="00A558F3">
      <w:pPr>
        <w:pStyle w:val="CBDNormalNumber"/>
        <w:numPr>
          <w:ilvl w:val="1"/>
          <w:numId w:val="7"/>
        </w:numPr>
        <w:rPr>
          <w:rFonts w:asciiTheme="majorBidi" w:hAnsiTheme="majorBidi" w:cstheme="majorBidi"/>
        </w:rPr>
      </w:pPr>
      <w:r w:rsidRPr="00D2758E">
        <w:rPr>
          <w:rFonts w:asciiTheme="majorBidi" w:hAnsiTheme="majorBidi" w:cstheme="majorBidi"/>
        </w:rPr>
        <w:t xml:space="preserve">Analysis of </w:t>
      </w:r>
      <w:r w:rsidRPr="00D2758E">
        <w:t>responses</w:t>
      </w:r>
      <w:r w:rsidRPr="00D2758E">
        <w:rPr>
          <w:rFonts w:asciiTheme="majorBidi" w:hAnsiTheme="majorBidi" w:cstheme="majorBidi"/>
        </w:rPr>
        <w:t xml:space="preserve"> to the </w:t>
      </w:r>
      <w:r w:rsidR="00BC1481">
        <w:rPr>
          <w:rFonts w:asciiTheme="majorBidi" w:hAnsiTheme="majorBidi" w:cstheme="majorBidi"/>
        </w:rPr>
        <w:t>Access and Benefit-sharing</w:t>
      </w:r>
      <w:r w:rsidR="00BC1481" w:rsidRPr="00D2758E">
        <w:rPr>
          <w:rFonts w:asciiTheme="majorBidi" w:hAnsiTheme="majorBidi" w:cstheme="majorBidi"/>
        </w:rPr>
        <w:t xml:space="preserve"> </w:t>
      </w:r>
      <w:r w:rsidRPr="00D2758E">
        <w:rPr>
          <w:rFonts w:asciiTheme="majorBidi" w:hAnsiTheme="majorBidi" w:cstheme="majorBidi"/>
        </w:rPr>
        <w:t xml:space="preserve">Clearing-House </w:t>
      </w:r>
      <w:r w:rsidR="00021CDE">
        <w:rPr>
          <w:rFonts w:asciiTheme="majorBidi" w:hAnsiTheme="majorBidi" w:cstheme="majorBidi"/>
        </w:rPr>
        <w:t>t</w:t>
      </w:r>
      <w:r w:rsidRPr="00D2758E">
        <w:rPr>
          <w:rFonts w:asciiTheme="majorBidi" w:hAnsiTheme="majorBidi" w:cstheme="majorBidi"/>
        </w:rPr>
        <w:t xml:space="preserve">argeted </w:t>
      </w:r>
      <w:r w:rsidR="00021CDE">
        <w:rPr>
          <w:rFonts w:asciiTheme="majorBidi" w:hAnsiTheme="majorBidi" w:cstheme="majorBidi"/>
        </w:rPr>
        <w:t>s</w:t>
      </w:r>
      <w:r w:rsidRPr="00D2758E">
        <w:rPr>
          <w:rFonts w:asciiTheme="majorBidi" w:hAnsiTheme="majorBidi" w:cstheme="majorBidi"/>
        </w:rPr>
        <w:t>urvey</w:t>
      </w:r>
      <w:r w:rsidR="00C1145B" w:rsidRPr="00D2758E">
        <w:rPr>
          <w:rFonts w:asciiTheme="majorBidi" w:hAnsiTheme="majorBidi" w:cstheme="majorBidi"/>
        </w:rPr>
        <w:t>;</w:t>
      </w:r>
      <w:r w:rsidR="00C1145B" w:rsidRPr="00D2758E">
        <w:rPr>
          <w:rFonts w:asciiTheme="majorBidi" w:hAnsiTheme="majorBidi" w:cstheme="majorBidi"/>
          <w:vertAlign w:val="superscript"/>
        </w:rPr>
        <w:footnoteReference w:id="9"/>
      </w:r>
    </w:p>
    <w:p w14:paraId="2BBC0210" w14:textId="452AC964" w:rsidR="0012324D" w:rsidRPr="00D2758E" w:rsidRDefault="00BD3C78" w:rsidP="00A558F3">
      <w:pPr>
        <w:pStyle w:val="CBDNormalNumber"/>
        <w:numPr>
          <w:ilvl w:val="1"/>
          <w:numId w:val="7"/>
        </w:numPr>
        <w:rPr>
          <w:rFonts w:asciiTheme="majorBidi" w:hAnsiTheme="majorBidi" w:cstheme="majorBidi"/>
        </w:rPr>
      </w:pPr>
      <w:r w:rsidRPr="00D2758E">
        <w:rPr>
          <w:rFonts w:asciiTheme="majorBidi" w:hAnsiTheme="majorBidi" w:cstheme="majorBidi"/>
        </w:rPr>
        <w:t>Analysis of capacity-building support available for the implementation of the Nagoya Protocol</w:t>
      </w:r>
      <w:r w:rsidR="00822C9A" w:rsidRPr="00D2758E">
        <w:rPr>
          <w:rFonts w:asciiTheme="majorBidi" w:hAnsiTheme="majorBidi" w:cstheme="majorBidi"/>
        </w:rPr>
        <w:t>;</w:t>
      </w:r>
      <w:r w:rsidRPr="00D2758E">
        <w:rPr>
          <w:rFonts w:asciiTheme="majorBidi" w:hAnsiTheme="majorBidi" w:cstheme="majorBidi"/>
          <w:vertAlign w:val="superscript"/>
        </w:rPr>
        <w:footnoteReference w:id="10"/>
      </w:r>
    </w:p>
    <w:p w14:paraId="53A82A4F" w14:textId="157CEB0E" w:rsidR="004D020A" w:rsidRPr="00D2758E" w:rsidRDefault="00822C9A" w:rsidP="00A558F3">
      <w:pPr>
        <w:pStyle w:val="CBDNormalNumber"/>
        <w:numPr>
          <w:ilvl w:val="1"/>
          <w:numId w:val="7"/>
        </w:numPr>
        <w:rPr>
          <w:rFonts w:asciiTheme="majorBidi" w:hAnsiTheme="majorBidi" w:cstheme="majorBidi"/>
        </w:rPr>
      </w:pPr>
      <w:r w:rsidRPr="00D2758E">
        <w:rPr>
          <w:rFonts w:asciiTheme="majorBidi" w:hAnsiTheme="majorBidi" w:cstheme="majorBidi"/>
        </w:rPr>
        <w:t>Analysis of</w:t>
      </w:r>
      <w:r w:rsidR="00373D6F" w:rsidRPr="00D2758E">
        <w:rPr>
          <w:rFonts w:asciiTheme="majorBidi" w:hAnsiTheme="majorBidi" w:cstheme="majorBidi"/>
        </w:rPr>
        <w:t xml:space="preserve"> f</w:t>
      </w:r>
      <w:r w:rsidRPr="00D2758E">
        <w:rPr>
          <w:rFonts w:asciiTheme="majorBidi" w:hAnsiTheme="majorBidi" w:cstheme="majorBidi"/>
        </w:rPr>
        <w:t xml:space="preserve">inancial </w:t>
      </w:r>
      <w:r w:rsidR="00373D6F" w:rsidRPr="00D2758E">
        <w:rPr>
          <w:rFonts w:asciiTheme="majorBidi" w:hAnsiTheme="majorBidi" w:cstheme="majorBidi"/>
        </w:rPr>
        <w:t>r</w:t>
      </w:r>
      <w:r w:rsidRPr="00D2758E">
        <w:rPr>
          <w:rFonts w:asciiTheme="majorBidi" w:hAnsiTheme="majorBidi" w:cstheme="majorBidi"/>
        </w:rPr>
        <w:t xml:space="preserve">esources and </w:t>
      </w:r>
      <w:r w:rsidR="00373D6F" w:rsidRPr="00D2758E">
        <w:rPr>
          <w:rFonts w:asciiTheme="majorBidi" w:hAnsiTheme="majorBidi" w:cstheme="majorBidi"/>
        </w:rPr>
        <w:t>r</w:t>
      </w:r>
      <w:r w:rsidRPr="00D2758E">
        <w:rPr>
          <w:rFonts w:asciiTheme="majorBidi" w:hAnsiTheme="majorBidi" w:cstheme="majorBidi"/>
        </w:rPr>
        <w:t xml:space="preserve">esource </w:t>
      </w:r>
      <w:r w:rsidR="00373D6F" w:rsidRPr="00D2758E">
        <w:rPr>
          <w:rFonts w:asciiTheme="majorBidi" w:hAnsiTheme="majorBidi" w:cstheme="majorBidi"/>
        </w:rPr>
        <w:t>m</w:t>
      </w:r>
      <w:r w:rsidRPr="00D2758E">
        <w:rPr>
          <w:rFonts w:asciiTheme="majorBidi" w:hAnsiTheme="majorBidi" w:cstheme="majorBidi"/>
        </w:rPr>
        <w:t>obili</w:t>
      </w:r>
      <w:r w:rsidR="00553548">
        <w:rPr>
          <w:rFonts w:asciiTheme="majorBidi" w:hAnsiTheme="majorBidi" w:cstheme="majorBidi"/>
        </w:rPr>
        <w:t>z</w:t>
      </w:r>
      <w:r w:rsidRPr="00D2758E">
        <w:rPr>
          <w:rFonts w:asciiTheme="majorBidi" w:hAnsiTheme="majorBidi" w:cstheme="majorBidi"/>
        </w:rPr>
        <w:t xml:space="preserve">ation </w:t>
      </w:r>
      <w:r w:rsidR="00373D6F" w:rsidRPr="00D2758E">
        <w:rPr>
          <w:rFonts w:asciiTheme="majorBidi" w:hAnsiTheme="majorBidi" w:cstheme="majorBidi"/>
        </w:rPr>
        <w:t>s</w:t>
      </w:r>
      <w:r w:rsidRPr="00D2758E">
        <w:rPr>
          <w:rFonts w:asciiTheme="majorBidi" w:hAnsiTheme="majorBidi" w:cstheme="majorBidi"/>
        </w:rPr>
        <w:t xml:space="preserve">upporting the </w:t>
      </w:r>
      <w:r w:rsidR="00373D6F" w:rsidRPr="00D2758E">
        <w:rPr>
          <w:rFonts w:asciiTheme="majorBidi" w:hAnsiTheme="majorBidi" w:cstheme="majorBidi"/>
        </w:rPr>
        <w:t>i</w:t>
      </w:r>
      <w:r w:rsidRPr="00D2758E">
        <w:rPr>
          <w:rFonts w:asciiTheme="majorBidi" w:hAnsiTheme="majorBidi" w:cstheme="majorBidi"/>
        </w:rPr>
        <w:t>mplementation of the Nagoya Protocol.</w:t>
      </w:r>
      <w:r w:rsidRPr="00D2758E">
        <w:rPr>
          <w:rFonts w:asciiTheme="majorBidi" w:hAnsiTheme="majorBidi" w:cstheme="majorBidi"/>
          <w:vertAlign w:val="superscript"/>
        </w:rPr>
        <w:footnoteReference w:id="11"/>
      </w:r>
      <w:r w:rsidRPr="00D2758E">
        <w:rPr>
          <w:rFonts w:asciiTheme="majorBidi" w:hAnsiTheme="majorBidi" w:cstheme="majorBidi"/>
        </w:rPr>
        <w:t xml:space="preserve"> </w:t>
      </w:r>
    </w:p>
    <w:p w14:paraId="1B0D8863" w14:textId="4CEC7800" w:rsidR="0002701D" w:rsidRPr="00D2758E" w:rsidRDefault="005D163D" w:rsidP="00CD2C50">
      <w:pPr>
        <w:pStyle w:val="CBDNormalNumber"/>
        <w:rPr>
          <w:rFonts w:asciiTheme="majorBidi" w:hAnsiTheme="majorBidi" w:cstheme="majorBidi"/>
        </w:rPr>
      </w:pPr>
      <w:r w:rsidRPr="00D2758E">
        <w:rPr>
          <w:rFonts w:asciiTheme="majorBidi" w:hAnsiTheme="majorBidi" w:cstheme="majorBidi"/>
        </w:rPr>
        <w:t>Information and c</w:t>
      </w:r>
      <w:r w:rsidR="004958B4" w:rsidRPr="00D2758E">
        <w:rPr>
          <w:rFonts w:asciiTheme="majorBidi" w:hAnsiTheme="majorBidi" w:cstheme="majorBidi"/>
        </w:rPr>
        <w:t xml:space="preserve">onclusions </w:t>
      </w:r>
      <w:r w:rsidR="007103B4">
        <w:rPr>
          <w:rFonts w:asciiTheme="majorBidi" w:hAnsiTheme="majorBidi" w:cstheme="majorBidi"/>
        </w:rPr>
        <w:t xml:space="preserve">derived </w:t>
      </w:r>
      <w:r w:rsidR="004958B4" w:rsidRPr="00D2758E">
        <w:rPr>
          <w:rFonts w:asciiTheme="majorBidi" w:hAnsiTheme="majorBidi" w:cstheme="majorBidi"/>
        </w:rPr>
        <w:t>from the</w:t>
      </w:r>
      <w:r w:rsidR="007103B4">
        <w:rPr>
          <w:rFonts w:asciiTheme="majorBidi" w:hAnsiTheme="majorBidi" w:cstheme="majorBidi"/>
        </w:rPr>
        <w:t xml:space="preserve"> above-mentioned</w:t>
      </w:r>
      <w:r w:rsidR="004958B4" w:rsidRPr="00D2758E">
        <w:rPr>
          <w:rFonts w:asciiTheme="majorBidi" w:hAnsiTheme="majorBidi" w:cstheme="majorBidi"/>
        </w:rPr>
        <w:t xml:space="preserve"> documents are included </w:t>
      </w:r>
      <w:r w:rsidR="007F2964" w:rsidRPr="00D2758E">
        <w:rPr>
          <w:rFonts w:asciiTheme="majorBidi" w:hAnsiTheme="majorBidi" w:cstheme="majorBidi"/>
        </w:rPr>
        <w:t xml:space="preserve">in the section below </w:t>
      </w:r>
      <w:r w:rsidR="00FC5FD0" w:rsidRPr="00D2758E">
        <w:rPr>
          <w:rFonts w:asciiTheme="majorBidi" w:hAnsiTheme="majorBidi" w:cstheme="majorBidi"/>
        </w:rPr>
        <w:t>under the relevant elements.</w:t>
      </w:r>
      <w:r w:rsidR="005B2B37" w:rsidRPr="00D2758E">
        <w:rPr>
          <w:rFonts w:asciiTheme="majorBidi" w:hAnsiTheme="majorBidi" w:cstheme="majorBidi"/>
        </w:rPr>
        <w:t xml:space="preserve"> </w:t>
      </w:r>
      <w:r w:rsidR="00796BB2">
        <w:rPr>
          <w:rFonts w:asciiTheme="majorBidi" w:hAnsiTheme="majorBidi" w:cstheme="majorBidi"/>
        </w:rPr>
        <w:t>Further</w:t>
      </w:r>
      <w:r w:rsidR="00FC5FD0" w:rsidRPr="00D2758E">
        <w:rPr>
          <w:rFonts w:asciiTheme="majorBidi" w:hAnsiTheme="majorBidi" w:cstheme="majorBidi"/>
        </w:rPr>
        <w:t xml:space="preserve"> </w:t>
      </w:r>
      <w:r w:rsidR="005B2B37" w:rsidRPr="00D2758E">
        <w:t>details</w:t>
      </w:r>
      <w:r w:rsidR="005B2B37" w:rsidRPr="00D2758E">
        <w:rPr>
          <w:rFonts w:asciiTheme="majorBidi" w:hAnsiTheme="majorBidi" w:cstheme="majorBidi"/>
        </w:rPr>
        <w:t xml:space="preserve"> </w:t>
      </w:r>
      <w:r w:rsidR="00FC5FD0" w:rsidRPr="00D2758E">
        <w:rPr>
          <w:rFonts w:asciiTheme="majorBidi" w:hAnsiTheme="majorBidi" w:cstheme="majorBidi"/>
        </w:rPr>
        <w:t>on</w:t>
      </w:r>
      <w:r w:rsidR="00964CD8">
        <w:rPr>
          <w:rFonts w:asciiTheme="majorBidi" w:hAnsiTheme="majorBidi" w:cstheme="majorBidi"/>
        </w:rPr>
        <w:t xml:space="preserve"> </w:t>
      </w:r>
      <w:r w:rsidR="00FC5FD0" w:rsidRPr="00D2758E">
        <w:rPr>
          <w:rFonts w:asciiTheme="majorBidi" w:hAnsiTheme="majorBidi" w:cstheme="majorBidi"/>
        </w:rPr>
        <w:t xml:space="preserve">sources </w:t>
      </w:r>
      <w:r w:rsidR="005B2B37" w:rsidRPr="00D2758E">
        <w:rPr>
          <w:rFonts w:asciiTheme="majorBidi" w:hAnsiTheme="majorBidi" w:cstheme="majorBidi"/>
        </w:rPr>
        <w:t xml:space="preserve">of information </w:t>
      </w:r>
      <w:r w:rsidR="00305A58" w:rsidRPr="00D2758E">
        <w:rPr>
          <w:rFonts w:asciiTheme="majorBidi" w:hAnsiTheme="majorBidi" w:cstheme="majorBidi"/>
        </w:rPr>
        <w:t>used</w:t>
      </w:r>
      <w:r w:rsidR="005B2B37" w:rsidRPr="00D2758E">
        <w:rPr>
          <w:rFonts w:asciiTheme="majorBidi" w:hAnsiTheme="majorBidi" w:cstheme="majorBidi"/>
        </w:rPr>
        <w:t xml:space="preserve">, </w:t>
      </w:r>
      <w:r w:rsidR="00FC5FD0" w:rsidRPr="00D2758E">
        <w:rPr>
          <w:rFonts w:asciiTheme="majorBidi" w:hAnsiTheme="majorBidi" w:cstheme="majorBidi"/>
        </w:rPr>
        <w:t>methodolog</w:t>
      </w:r>
      <w:r w:rsidR="00305A58" w:rsidRPr="00D2758E">
        <w:rPr>
          <w:rFonts w:asciiTheme="majorBidi" w:hAnsiTheme="majorBidi" w:cstheme="majorBidi"/>
        </w:rPr>
        <w:t>ies</w:t>
      </w:r>
      <w:r w:rsidR="00FC5FD0" w:rsidRPr="00D2758E">
        <w:rPr>
          <w:rFonts w:asciiTheme="majorBidi" w:hAnsiTheme="majorBidi" w:cstheme="majorBidi"/>
        </w:rPr>
        <w:t xml:space="preserve"> </w:t>
      </w:r>
      <w:r w:rsidR="005B2B37" w:rsidRPr="00D2758E">
        <w:rPr>
          <w:rFonts w:asciiTheme="majorBidi" w:hAnsiTheme="majorBidi" w:cstheme="majorBidi"/>
        </w:rPr>
        <w:t xml:space="preserve">and </w:t>
      </w:r>
      <w:r w:rsidR="00E66303" w:rsidRPr="00D2758E">
        <w:rPr>
          <w:rFonts w:asciiTheme="majorBidi" w:hAnsiTheme="majorBidi" w:cstheme="majorBidi"/>
        </w:rPr>
        <w:t xml:space="preserve">the analysis </w:t>
      </w:r>
      <w:r w:rsidR="007F2964" w:rsidRPr="00D2758E">
        <w:rPr>
          <w:rFonts w:asciiTheme="majorBidi" w:hAnsiTheme="majorBidi" w:cstheme="majorBidi"/>
        </w:rPr>
        <w:t xml:space="preserve">conducted for </w:t>
      </w:r>
      <w:proofErr w:type="gramStart"/>
      <w:r w:rsidR="00392C42" w:rsidRPr="00D2758E">
        <w:rPr>
          <w:rFonts w:asciiTheme="majorBidi" w:hAnsiTheme="majorBidi" w:cstheme="majorBidi"/>
        </w:rPr>
        <w:t>each  element</w:t>
      </w:r>
      <w:proofErr w:type="gramEnd"/>
      <w:r w:rsidR="00392C42" w:rsidRPr="00D2758E">
        <w:rPr>
          <w:rFonts w:asciiTheme="majorBidi" w:hAnsiTheme="majorBidi" w:cstheme="majorBidi"/>
        </w:rPr>
        <w:t xml:space="preserve"> </w:t>
      </w:r>
      <w:r w:rsidR="00664114" w:rsidRPr="00D2758E">
        <w:rPr>
          <w:rFonts w:asciiTheme="majorBidi" w:hAnsiTheme="majorBidi" w:cstheme="majorBidi"/>
        </w:rPr>
        <w:t xml:space="preserve">can be found </w:t>
      </w:r>
      <w:r w:rsidR="00FB01B4" w:rsidRPr="00D2758E">
        <w:rPr>
          <w:rFonts w:asciiTheme="majorBidi" w:hAnsiTheme="majorBidi" w:cstheme="majorBidi"/>
        </w:rPr>
        <w:t xml:space="preserve">in the relevant documents and </w:t>
      </w:r>
      <w:r w:rsidR="009809A0">
        <w:rPr>
          <w:rFonts w:asciiTheme="majorBidi" w:hAnsiTheme="majorBidi" w:cstheme="majorBidi"/>
        </w:rPr>
        <w:t xml:space="preserve">the sources of information </w:t>
      </w:r>
      <w:r w:rsidR="00FB01B4" w:rsidRPr="00D2758E">
        <w:rPr>
          <w:rFonts w:asciiTheme="majorBidi" w:hAnsiTheme="majorBidi" w:cstheme="majorBidi"/>
        </w:rPr>
        <w:t>a</w:t>
      </w:r>
      <w:r w:rsidR="00D72C1E">
        <w:rPr>
          <w:rFonts w:asciiTheme="majorBidi" w:hAnsiTheme="majorBidi" w:cstheme="majorBidi"/>
        </w:rPr>
        <w:t>re</w:t>
      </w:r>
      <w:r w:rsidR="00FB01B4" w:rsidRPr="00D2758E">
        <w:rPr>
          <w:rFonts w:asciiTheme="majorBidi" w:hAnsiTheme="majorBidi" w:cstheme="majorBidi"/>
        </w:rPr>
        <w:t xml:space="preserve"> identified </w:t>
      </w:r>
      <w:r w:rsidR="00B97197" w:rsidRPr="00D2758E">
        <w:rPr>
          <w:rFonts w:asciiTheme="majorBidi" w:hAnsiTheme="majorBidi" w:cstheme="majorBidi"/>
        </w:rPr>
        <w:t>for each of the elements and sub-elements.</w:t>
      </w:r>
    </w:p>
    <w:p w14:paraId="415EE138" w14:textId="00B2F91C" w:rsidR="00794E80" w:rsidRPr="00D2758E" w:rsidRDefault="00B262F5" w:rsidP="00B262F5">
      <w:pPr>
        <w:pStyle w:val="CBDH1"/>
      </w:pPr>
      <w:bookmarkStart w:id="4" w:name="_Toc228803302"/>
      <w:r>
        <w:t>II.</w:t>
      </w:r>
      <w:r>
        <w:tab/>
      </w:r>
      <w:r w:rsidR="00794E80" w:rsidRPr="00D2758E">
        <w:t>Updated indicator data</w:t>
      </w:r>
      <w:bookmarkEnd w:id="4"/>
    </w:p>
    <w:p w14:paraId="4B62DBA3" w14:textId="510062B3" w:rsidR="0060009E" w:rsidRPr="00D2758E" w:rsidRDefault="0060009E" w:rsidP="00CD2C50">
      <w:pPr>
        <w:pStyle w:val="CBDNormalNumber"/>
      </w:pPr>
      <w:r w:rsidRPr="00D2758E">
        <w:rPr>
          <w:rFonts w:asciiTheme="majorBidi" w:hAnsiTheme="majorBidi" w:cstheme="majorBidi"/>
        </w:rPr>
        <w:t>Annex</w:t>
      </w:r>
      <w:r w:rsidRPr="00D2758E">
        <w:t xml:space="preserve"> II </w:t>
      </w:r>
      <w:r w:rsidR="00B86903">
        <w:t>to</w:t>
      </w:r>
      <w:r w:rsidR="00B86903" w:rsidRPr="00D2758E">
        <w:t xml:space="preserve"> </w:t>
      </w:r>
      <w:r w:rsidRPr="00D2758E">
        <w:t xml:space="preserve">decision </w:t>
      </w:r>
      <w:hyperlink r:id="rId26" w:history="1">
        <w:r w:rsidRPr="00D2758E">
          <w:rPr>
            <w:rStyle w:val="Hyperlink"/>
          </w:rPr>
          <w:t>NP-3/1</w:t>
        </w:r>
      </w:hyperlink>
      <w:r w:rsidRPr="00D2758E">
        <w:t xml:space="preserve"> contains a framework of indicators and reference points to measure progress. The indicators in the framework were based </w:t>
      </w:r>
      <w:r w:rsidR="004237C4" w:rsidRPr="00D2758E">
        <w:t xml:space="preserve">largely </w:t>
      </w:r>
      <w:r w:rsidRPr="00D2758E">
        <w:t xml:space="preserve">on questions </w:t>
      </w:r>
      <w:r w:rsidR="00F95914">
        <w:t xml:space="preserve">following </w:t>
      </w:r>
      <w:r w:rsidRPr="00D2758E">
        <w:t>the format for the interim national report.</w:t>
      </w:r>
    </w:p>
    <w:p w14:paraId="00094E53" w14:textId="5EE7E2C7" w:rsidR="0060009E" w:rsidRPr="00D2758E" w:rsidRDefault="0060009E" w:rsidP="00CD2C50">
      <w:pPr>
        <w:pStyle w:val="CBDNormalNumber"/>
      </w:pPr>
      <w:r w:rsidRPr="00D2758E">
        <w:t>Reference points were included for most of the indicators</w:t>
      </w:r>
      <w:r w:rsidR="00831B8B">
        <w:t xml:space="preserve"> and</w:t>
      </w:r>
      <w:r w:rsidRPr="00D2758E">
        <w:t xml:space="preserve"> expressed mostly in numbers and percentages calculated </w:t>
      </w:r>
      <w:proofErr w:type="gramStart"/>
      <w:r w:rsidRPr="00D2758E">
        <w:t>on the basis of</w:t>
      </w:r>
      <w:proofErr w:type="gramEnd"/>
      <w:r w:rsidRPr="00D2758E">
        <w:t xml:space="preserve"> the total number of Parties (105) at the time of the 2018 analysis. Th</w:t>
      </w:r>
      <w:r w:rsidR="00B271DC">
        <w:t>o</w:t>
      </w:r>
      <w:r w:rsidRPr="00D2758E">
        <w:t>se reference points determine</w:t>
      </w:r>
      <w:r w:rsidR="00B37215">
        <w:t>d</w:t>
      </w:r>
      <w:r w:rsidRPr="00D2758E">
        <w:t xml:space="preserve"> a baseline against which progress c</w:t>
      </w:r>
      <w:r w:rsidR="00086B80">
        <w:t>ould</w:t>
      </w:r>
      <w:r w:rsidRPr="00D2758E">
        <w:t xml:space="preserve"> be measured in the future for each indicator. However, </w:t>
      </w:r>
      <w:r w:rsidR="000468CB">
        <w:t xml:space="preserve">as </w:t>
      </w:r>
      <w:r w:rsidRPr="00D2758E">
        <w:t>there were instances where no conclusive information could be drawn from the responses to the interim national report, a new text, which was incorporated in the format for the first national report on the implementation of the Protocol</w:t>
      </w:r>
      <w:r w:rsidR="003B479D">
        <w:t xml:space="preserve">, </w:t>
      </w:r>
      <w:r w:rsidR="003B479D" w:rsidRPr="00D2758E">
        <w:t>was therefore suggested for those indicators</w:t>
      </w:r>
      <w:r w:rsidRPr="00D2758E">
        <w:t xml:space="preserve">. </w:t>
      </w:r>
      <w:r w:rsidR="00A77708">
        <w:t>They</w:t>
      </w:r>
      <w:r w:rsidR="00DB2024">
        <w:t xml:space="preserve"> </w:t>
      </w:r>
      <w:r w:rsidRPr="00D2758E">
        <w:t>include</w:t>
      </w:r>
      <w:r w:rsidR="007C05FD">
        <w:t>d</w:t>
      </w:r>
      <w:r w:rsidRPr="00D2758E">
        <w:t xml:space="preserve"> as reference point the </w:t>
      </w:r>
      <w:r w:rsidR="001B2DF5">
        <w:t xml:space="preserve">following phrase: </w:t>
      </w:r>
      <w:r w:rsidRPr="00D2758E">
        <w:t>“Not conclusive data”</w:t>
      </w:r>
      <w:r w:rsidR="003B79E3" w:rsidRPr="00D2758E">
        <w:t>.</w:t>
      </w:r>
    </w:p>
    <w:p w14:paraId="0FAD5D11" w14:textId="23B82400" w:rsidR="0060009E" w:rsidRPr="00D2758E" w:rsidRDefault="0060009E" w:rsidP="00CD2C50">
      <w:pPr>
        <w:pStyle w:val="CBDNormalNumber"/>
      </w:pPr>
      <w:r w:rsidRPr="00D2758E">
        <w:t xml:space="preserve">The updated data for the indicators as at 9 March 2026 </w:t>
      </w:r>
      <w:r w:rsidR="0059049A">
        <w:t>are</w:t>
      </w:r>
      <w:r w:rsidRPr="00D2758E">
        <w:t xml:space="preserve"> based on the </w:t>
      </w:r>
      <w:r w:rsidR="001B2DF5" w:rsidRPr="00D2758E">
        <w:t xml:space="preserve">information </w:t>
      </w:r>
      <w:r w:rsidRPr="00D2758E">
        <w:t xml:space="preserve">available from the identified sources. The information is presented in </w:t>
      </w:r>
      <w:r w:rsidR="004C3FCA">
        <w:t xml:space="preserve">the form of </w:t>
      </w:r>
      <w:r w:rsidRPr="00D2758E">
        <w:t>numbers and percentages</w:t>
      </w:r>
      <w:r w:rsidR="00263E84">
        <w:t xml:space="preserve"> </w:t>
      </w:r>
      <w:r w:rsidR="00D01137">
        <w:t xml:space="preserve">which </w:t>
      </w:r>
      <w:r w:rsidR="001B54DC">
        <w:t>were</w:t>
      </w:r>
      <w:r w:rsidRPr="00D2758E">
        <w:t xml:space="preserve"> calculated based on the number of Parties (142).</w:t>
      </w:r>
    </w:p>
    <w:p w14:paraId="40B96527" w14:textId="08A4C699" w:rsidR="0060009E" w:rsidRPr="00D2758E" w:rsidRDefault="0001004C" w:rsidP="00CD2C50">
      <w:pPr>
        <w:pStyle w:val="CBDNormalNumber"/>
      </w:pPr>
      <w:r w:rsidRPr="00D2758E">
        <w:t>The framework was adopted as a flexible tool that c</w:t>
      </w:r>
      <w:r w:rsidR="0059049A">
        <w:t>ould</w:t>
      </w:r>
      <w:r w:rsidRPr="00D2758E">
        <w:t xml:space="preserve"> be adapted as further progress </w:t>
      </w:r>
      <w:r w:rsidR="008E6017">
        <w:t>wa</w:t>
      </w:r>
      <w:r w:rsidRPr="00D2758E">
        <w:t xml:space="preserve">s made in implementation. </w:t>
      </w:r>
      <w:r w:rsidR="001B54DC">
        <w:t>S</w:t>
      </w:r>
      <w:r w:rsidRPr="00D2758E">
        <w:t xml:space="preserve">ome suggestions </w:t>
      </w:r>
      <w:r w:rsidR="00986DCA">
        <w:t xml:space="preserve">have </w:t>
      </w:r>
      <w:r w:rsidR="001B54DC">
        <w:t xml:space="preserve">therefore </w:t>
      </w:r>
      <w:r w:rsidR="00F23684">
        <w:t xml:space="preserve">been </w:t>
      </w:r>
      <w:r w:rsidRPr="00D2758E">
        <w:t xml:space="preserve">made for changes to indicators in </w:t>
      </w:r>
      <w:r w:rsidR="0034338B">
        <w:t xml:space="preserve">the </w:t>
      </w:r>
      <w:r w:rsidRPr="00D2758E">
        <w:t>light of changes to questions in the reporting format</w:t>
      </w:r>
      <w:r w:rsidR="002C658C">
        <w:t xml:space="preserve"> or</w:t>
      </w:r>
      <w:r w:rsidRPr="00D2758E">
        <w:t xml:space="preserve"> changes in methodologies or </w:t>
      </w:r>
      <w:proofErr w:type="gramStart"/>
      <w:r w:rsidR="007E6DC8">
        <w:t>in order</w:t>
      </w:r>
      <w:r w:rsidR="00A4189D">
        <w:t xml:space="preserve"> </w:t>
      </w:r>
      <w:r w:rsidRPr="00D2758E">
        <w:t>to</w:t>
      </w:r>
      <w:proofErr w:type="gramEnd"/>
      <w:r w:rsidRPr="00D2758E">
        <w:t xml:space="preserve"> provide more clarity in relation to indicator</w:t>
      </w:r>
      <w:r w:rsidR="00A4189D">
        <w:t>s</w:t>
      </w:r>
      <w:r w:rsidRPr="00D2758E">
        <w:t xml:space="preserve">. Footnotes have been </w:t>
      </w:r>
      <w:r w:rsidR="007318FA" w:rsidRPr="00D2758E">
        <w:t>provide</w:t>
      </w:r>
      <w:r w:rsidR="007318FA">
        <w:t>d</w:t>
      </w:r>
      <w:r w:rsidRPr="00D2758E">
        <w:t xml:space="preserve"> as necessary to </w:t>
      </w:r>
      <w:r w:rsidR="002F7684">
        <w:t xml:space="preserve">enable </w:t>
      </w:r>
      <w:r w:rsidRPr="00D2758E">
        <w:t xml:space="preserve">further explanation </w:t>
      </w:r>
      <w:r w:rsidR="002F7684">
        <w:t>of</w:t>
      </w:r>
      <w:r w:rsidRPr="00D2758E">
        <w:t xml:space="preserve"> the suggested changes to the framework of indicators</w:t>
      </w:r>
      <w:r w:rsidR="00367E2E">
        <w:t>.</w:t>
      </w:r>
    </w:p>
    <w:p w14:paraId="2F496B6A" w14:textId="6D0B64B0" w:rsidR="00CB23B5" w:rsidRPr="00D2758E" w:rsidRDefault="00B262F5" w:rsidP="00B60F41">
      <w:pPr>
        <w:pStyle w:val="CBDH1"/>
      </w:pPr>
      <w:bookmarkStart w:id="5" w:name="_Toc228803303"/>
      <w:r>
        <w:rPr>
          <w:rFonts w:asciiTheme="majorBidi" w:hAnsiTheme="majorBidi"/>
        </w:rPr>
        <w:t>III.</w:t>
      </w:r>
      <w:r>
        <w:rPr>
          <w:rFonts w:asciiTheme="majorBidi" w:hAnsiTheme="majorBidi"/>
        </w:rPr>
        <w:tab/>
      </w:r>
      <w:r w:rsidR="00CB23B5" w:rsidRPr="00D2758E">
        <w:t xml:space="preserve">Analysis of </w:t>
      </w:r>
      <w:r w:rsidR="00CB23B5" w:rsidRPr="00B60F41">
        <w:t>information</w:t>
      </w:r>
      <w:bookmarkEnd w:id="5"/>
    </w:p>
    <w:p w14:paraId="2EAA9C8C" w14:textId="6C53617D" w:rsidR="00CB23B5" w:rsidRPr="00D2758E" w:rsidRDefault="00CB23B5" w:rsidP="00B262F5">
      <w:pPr>
        <w:pStyle w:val="CBDH2"/>
        <w:jc w:val="left"/>
      </w:pPr>
      <w:bookmarkStart w:id="6" w:name="_Toc228803304"/>
      <w:r w:rsidRPr="00D2758E">
        <w:t>A.</w:t>
      </w:r>
      <w:r w:rsidRPr="00D2758E">
        <w:tab/>
        <w:t xml:space="preserve">Extent of implementation of the provisions of the Nagoya Protocol and related obligations of Parties, including assessment of progress by Parties in establishing institutional structures and access and benefit-sharing measures to implement </w:t>
      </w:r>
      <w:r w:rsidR="00B262F5">
        <w:br/>
      </w:r>
      <w:r w:rsidRPr="00D2758E">
        <w:t>the Protocol</w:t>
      </w:r>
      <w:bookmarkEnd w:id="6"/>
    </w:p>
    <w:p w14:paraId="5E246EA5" w14:textId="42A022DD" w:rsidR="007C7FE1" w:rsidRPr="00D2758E" w:rsidRDefault="00B262F5" w:rsidP="00B262F5">
      <w:pPr>
        <w:pStyle w:val="CBDH3"/>
      </w:pPr>
      <w:r>
        <w:t>1.</w:t>
      </w:r>
      <w:r>
        <w:tab/>
      </w:r>
      <w:r w:rsidR="00CB23B5" w:rsidRPr="00D2758E">
        <w:t>Ratification of the Protocol</w:t>
      </w:r>
    </w:p>
    <w:p w14:paraId="66698AF7" w14:textId="30EDDAED" w:rsidR="00D72E88" w:rsidRPr="00D2758E" w:rsidRDefault="00D72E88" w:rsidP="00CD2C50">
      <w:pPr>
        <w:pStyle w:val="CBDNormalNumber"/>
        <w:rPr>
          <w:rFonts w:asciiTheme="majorBidi" w:hAnsiTheme="majorBidi" w:cstheme="majorBidi"/>
        </w:rPr>
      </w:pPr>
      <w:r w:rsidRPr="00D2758E">
        <w:rPr>
          <w:rFonts w:asciiTheme="majorBidi" w:hAnsiTheme="majorBidi" w:cstheme="majorBidi"/>
        </w:rPr>
        <w:t xml:space="preserve">Since </w:t>
      </w:r>
      <w:r w:rsidRPr="00D2758E">
        <w:t>February</w:t>
      </w:r>
      <w:r w:rsidRPr="00D2758E">
        <w:rPr>
          <w:rFonts w:asciiTheme="majorBidi" w:hAnsiTheme="majorBidi" w:cstheme="majorBidi"/>
        </w:rPr>
        <w:t xml:space="preserve"> 2018, 37 countries have ratified the Nagoya Protocol</w:t>
      </w:r>
      <w:r w:rsidR="00D42CB9">
        <w:rPr>
          <w:rFonts w:asciiTheme="majorBidi" w:hAnsiTheme="majorBidi" w:cstheme="majorBidi"/>
        </w:rPr>
        <w:t>; 6</w:t>
      </w:r>
      <w:r w:rsidRPr="00D2758E">
        <w:rPr>
          <w:rFonts w:asciiTheme="majorBidi" w:hAnsiTheme="majorBidi" w:cstheme="majorBidi"/>
        </w:rPr>
        <w:t xml:space="preserve"> countries have indicated </w:t>
      </w:r>
      <w:r w:rsidR="00D42CB9">
        <w:rPr>
          <w:rFonts w:asciiTheme="majorBidi" w:hAnsiTheme="majorBidi" w:cstheme="majorBidi"/>
        </w:rPr>
        <w:t xml:space="preserve">that </w:t>
      </w:r>
      <w:r w:rsidRPr="00D2758E">
        <w:rPr>
          <w:rFonts w:asciiTheme="majorBidi" w:hAnsiTheme="majorBidi" w:cstheme="majorBidi"/>
        </w:rPr>
        <w:t xml:space="preserve">they </w:t>
      </w:r>
      <w:r w:rsidR="00CC373C">
        <w:rPr>
          <w:rFonts w:asciiTheme="majorBidi" w:hAnsiTheme="majorBidi" w:cstheme="majorBidi"/>
        </w:rPr>
        <w:t>were</w:t>
      </w:r>
      <w:r w:rsidR="00CC373C" w:rsidRPr="00D2758E">
        <w:rPr>
          <w:rFonts w:asciiTheme="majorBidi" w:hAnsiTheme="majorBidi" w:cstheme="majorBidi"/>
        </w:rPr>
        <w:t xml:space="preserve"> </w:t>
      </w:r>
      <w:r w:rsidRPr="00D2758E">
        <w:rPr>
          <w:rFonts w:asciiTheme="majorBidi" w:hAnsiTheme="majorBidi" w:cstheme="majorBidi"/>
        </w:rPr>
        <w:t>taking concrete steps towards ratification</w:t>
      </w:r>
      <w:r w:rsidR="002A6C96">
        <w:rPr>
          <w:rFonts w:asciiTheme="majorBidi" w:hAnsiTheme="majorBidi" w:cstheme="majorBidi"/>
        </w:rPr>
        <w:t xml:space="preserve"> of the Protocol</w:t>
      </w:r>
      <w:r w:rsidR="00536CD0">
        <w:rPr>
          <w:rFonts w:asciiTheme="majorBidi" w:hAnsiTheme="majorBidi" w:cstheme="majorBidi"/>
        </w:rPr>
        <w:t xml:space="preserve">; </w:t>
      </w:r>
      <w:r w:rsidRPr="00D2758E">
        <w:rPr>
          <w:rFonts w:asciiTheme="majorBidi" w:hAnsiTheme="majorBidi" w:cstheme="majorBidi"/>
        </w:rPr>
        <w:t xml:space="preserve">and </w:t>
      </w:r>
      <w:r w:rsidR="00536CD0">
        <w:rPr>
          <w:rFonts w:asciiTheme="majorBidi" w:hAnsiTheme="majorBidi" w:cstheme="majorBidi"/>
        </w:rPr>
        <w:t>12</w:t>
      </w:r>
      <w:r w:rsidRPr="00D2758E">
        <w:rPr>
          <w:rFonts w:asciiTheme="majorBidi" w:hAnsiTheme="majorBidi" w:cstheme="majorBidi"/>
        </w:rPr>
        <w:t xml:space="preserve"> </w:t>
      </w:r>
      <w:r w:rsidR="00536CD0">
        <w:rPr>
          <w:rFonts w:asciiTheme="majorBidi" w:hAnsiTheme="majorBidi" w:cstheme="majorBidi"/>
        </w:rPr>
        <w:t xml:space="preserve">countries </w:t>
      </w:r>
      <w:r w:rsidR="00586E12">
        <w:rPr>
          <w:rFonts w:asciiTheme="majorBidi" w:hAnsiTheme="majorBidi" w:cstheme="majorBidi"/>
        </w:rPr>
        <w:t xml:space="preserve">have stated </w:t>
      </w:r>
      <w:r w:rsidR="00C10B80">
        <w:rPr>
          <w:rFonts w:asciiTheme="majorBidi" w:hAnsiTheme="majorBidi" w:cstheme="majorBidi"/>
        </w:rPr>
        <w:t>that they were</w:t>
      </w:r>
      <w:r w:rsidRPr="00D2758E">
        <w:rPr>
          <w:rFonts w:asciiTheme="majorBidi" w:hAnsiTheme="majorBidi" w:cstheme="majorBidi"/>
        </w:rPr>
        <w:t xml:space="preserve"> plan</w:t>
      </w:r>
      <w:r w:rsidR="00C10B80">
        <w:rPr>
          <w:rFonts w:asciiTheme="majorBidi" w:hAnsiTheme="majorBidi" w:cstheme="majorBidi"/>
        </w:rPr>
        <w:t>ning</w:t>
      </w:r>
      <w:r w:rsidRPr="00D2758E">
        <w:rPr>
          <w:rFonts w:asciiTheme="majorBidi" w:hAnsiTheme="majorBidi" w:cstheme="majorBidi"/>
        </w:rPr>
        <w:t xml:space="preserve"> to ratify</w:t>
      </w:r>
      <w:r w:rsidR="00C10B80">
        <w:rPr>
          <w:rFonts w:asciiTheme="majorBidi" w:hAnsiTheme="majorBidi" w:cstheme="majorBidi"/>
        </w:rPr>
        <w:t xml:space="preserve"> the Protocol</w:t>
      </w:r>
      <w:r w:rsidRPr="00D2758E">
        <w:rPr>
          <w:rFonts w:asciiTheme="majorBidi" w:hAnsiTheme="majorBidi" w:cstheme="majorBidi"/>
        </w:rPr>
        <w:t>.</w:t>
      </w:r>
    </w:p>
    <w:p w14:paraId="7A05245B" w14:textId="2FF47C02" w:rsidR="00D72E88" w:rsidRPr="00D2758E" w:rsidRDefault="00D72E88" w:rsidP="009E3458">
      <w:pPr>
        <w:pStyle w:val="CBDTableTitle"/>
      </w:pPr>
      <w:r w:rsidRPr="00B60F41">
        <w:rPr>
          <w:b w:val="0"/>
        </w:rPr>
        <w:lastRenderedPageBreak/>
        <w:t>Table 1</w:t>
      </w:r>
      <w:r w:rsidR="00B60F41">
        <w:br/>
      </w:r>
      <w:r w:rsidRPr="00D2758E">
        <w:t xml:space="preserve">Indicators to measure progress in </w:t>
      </w:r>
      <w:r w:rsidRPr="00D2758E">
        <w:rPr>
          <w:iCs/>
        </w:rPr>
        <w:t xml:space="preserve">ratifying the </w:t>
      </w:r>
      <w:r w:rsidR="00DC4526">
        <w:rPr>
          <w:iCs/>
        </w:rPr>
        <w:t xml:space="preserve">Nagoya </w:t>
      </w:r>
      <w:r w:rsidRPr="00D2758E">
        <w:rPr>
          <w:iCs/>
        </w:rPr>
        <w:t>Protocol</w:t>
      </w:r>
    </w:p>
    <w:tbl>
      <w:tblPr>
        <w:tblW w:w="8709" w:type="dxa"/>
        <w:tblInd w:w="562" w:type="dxa"/>
        <w:tblLayout w:type="fixed"/>
        <w:tblLook w:val="04A0" w:firstRow="1" w:lastRow="0" w:firstColumn="1" w:lastColumn="0" w:noHBand="0" w:noVBand="1"/>
      </w:tblPr>
      <w:tblGrid>
        <w:gridCol w:w="4819"/>
        <w:gridCol w:w="2269"/>
        <w:gridCol w:w="1621"/>
      </w:tblGrid>
      <w:tr w:rsidR="00D72E88" w:rsidRPr="009905FC" w14:paraId="51402EF6" w14:textId="77777777" w:rsidTr="006B066D">
        <w:trPr>
          <w:cantSplit/>
          <w:tblHeader/>
        </w:trPr>
        <w:tc>
          <w:tcPr>
            <w:tcW w:w="4819" w:type="dxa"/>
            <w:tcBorders>
              <w:top w:val="single" w:sz="4" w:space="0" w:color="auto"/>
              <w:bottom w:val="single" w:sz="4" w:space="0" w:color="auto"/>
            </w:tcBorders>
            <w:shd w:val="clear" w:color="auto" w:fill="FFFFFF" w:themeFill="background1"/>
            <w:tcMar>
              <w:top w:w="29" w:type="dxa"/>
              <w:left w:w="115" w:type="dxa"/>
              <w:bottom w:w="29" w:type="dxa"/>
              <w:right w:w="115" w:type="dxa"/>
            </w:tcMar>
            <w:vAlign w:val="bottom"/>
            <w:hideMark/>
          </w:tcPr>
          <w:p w14:paraId="3250B637" w14:textId="77777777" w:rsidR="00D72E88" w:rsidRPr="009905FC" w:rsidRDefault="00D72E88" w:rsidP="00895EB7">
            <w:pPr>
              <w:suppressLineNumbers/>
              <w:suppressAutoHyphens/>
              <w:kinsoku w:val="0"/>
              <w:overflowPunct w:val="0"/>
              <w:autoSpaceDE w:val="0"/>
              <w:autoSpaceDN w:val="0"/>
              <w:adjustRightInd w:val="0"/>
              <w:snapToGrid w:val="0"/>
              <w:jc w:val="left"/>
              <w:rPr>
                <w:rFonts w:asciiTheme="majorBidi" w:eastAsia="Malgun Gothic" w:hAnsiTheme="majorBidi" w:cstheme="majorBidi"/>
                <w:bCs/>
                <w:i/>
                <w:iCs/>
                <w:kern w:val="22"/>
                <w:sz w:val="20"/>
                <w:szCs w:val="20"/>
              </w:rPr>
            </w:pPr>
            <w:r w:rsidRPr="009905FC">
              <w:rPr>
                <w:rFonts w:asciiTheme="majorBidi" w:eastAsia="Malgun Gothic" w:hAnsiTheme="majorBidi" w:cstheme="majorBidi"/>
                <w:bCs/>
                <w:i/>
                <w:iCs/>
                <w:kern w:val="22"/>
                <w:sz w:val="20"/>
                <w:szCs w:val="20"/>
              </w:rPr>
              <w:t>Framework of indicators</w:t>
            </w:r>
          </w:p>
        </w:tc>
        <w:tc>
          <w:tcPr>
            <w:tcW w:w="2269" w:type="dxa"/>
            <w:tcBorders>
              <w:top w:val="single" w:sz="4" w:space="0" w:color="auto"/>
              <w:bottom w:val="single" w:sz="4" w:space="0" w:color="auto"/>
            </w:tcBorders>
            <w:shd w:val="clear" w:color="auto" w:fill="FFFFFF" w:themeFill="background1"/>
            <w:tcMar>
              <w:top w:w="29" w:type="dxa"/>
              <w:left w:w="115" w:type="dxa"/>
              <w:bottom w:w="29" w:type="dxa"/>
              <w:right w:w="115" w:type="dxa"/>
            </w:tcMar>
            <w:vAlign w:val="bottom"/>
            <w:hideMark/>
          </w:tcPr>
          <w:p w14:paraId="5D6B18E5" w14:textId="40CAF3ED" w:rsidR="00D72E88" w:rsidRPr="009905FC" w:rsidRDefault="00D72E88" w:rsidP="006B066D">
            <w:pPr>
              <w:suppressLineNumbers/>
              <w:suppressAutoHyphens/>
              <w:kinsoku w:val="0"/>
              <w:overflowPunct w:val="0"/>
              <w:autoSpaceDE w:val="0"/>
              <w:autoSpaceDN w:val="0"/>
              <w:adjustRightInd w:val="0"/>
              <w:snapToGrid w:val="0"/>
              <w:jc w:val="right"/>
              <w:rPr>
                <w:rFonts w:asciiTheme="majorBidi" w:eastAsia="Malgun Gothic" w:hAnsiTheme="majorBidi" w:cstheme="majorBidi"/>
                <w:bCs/>
                <w:i/>
                <w:iCs/>
                <w:kern w:val="22"/>
                <w:sz w:val="20"/>
                <w:szCs w:val="20"/>
              </w:rPr>
            </w:pPr>
            <w:r w:rsidRPr="009905FC">
              <w:rPr>
                <w:rFonts w:asciiTheme="majorBidi" w:eastAsia="Malgun Gothic" w:hAnsiTheme="majorBidi" w:cstheme="majorBidi"/>
                <w:bCs/>
                <w:i/>
                <w:iCs/>
                <w:kern w:val="22"/>
                <w:sz w:val="20"/>
                <w:szCs w:val="20"/>
              </w:rPr>
              <w:t xml:space="preserve">Reference point </w:t>
            </w:r>
            <w:r w:rsidR="00FA1719">
              <w:rPr>
                <w:rFonts w:asciiTheme="majorBidi" w:eastAsia="Malgun Gothic" w:hAnsiTheme="majorBidi" w:cstheme="majorBidi"/>
                <w:bCs/>
                <w:i/>
                <w:iCs/>
                <w:kern w:val="22"/>
                <w:sz w:val="20"/>
                <w:szCs w:val="20"/>
              </w:rPr>
              <w:br/>
            </w:r>
            <w:r w:rsidRPr="009905FC">
              <w:rPr>
                <w:rFonts w:asciiTheme="majorBidi" w:eastAsia="Malgun Gothic" w:hAnsiTheme="majorBidi" w:cstheme="majorBidi"/>
                <w:bCs/>
                <w:i/>
                <w:iCs/>
                <w:kern w:val="22"/>
                <w:sz w:val="20"/>
                <w:szCs w:val="20"/>
              </w:rPr>
              <w:t xml:space="preserve">(as </w:t>
            </w:r>
            <w:r w:rsidR="00FA1719">
              <w:rPr>
                <w:rFonts w:asciiTheme="majorBidi" w:eastAsia="Malgun Gothic" w:hAnsiTheme="majorBidi" w:cstheme="majorBidi"/>
                <w:bCs/>
                <w:i/>
                <w:iCs/>
                <w:kern w:val="22"/>
                <w:sz w:val="20"/>
                <w:szCs w:val="20"/>
              </w:rPr>
              <w:t>at</w:t>
            </w:r>
            <w:r w:rsidRPr="009905FC">
              <w:rPr>
                <w:rFonts w:asciiTheme="majorBidi" w:eastAsia="Malgun Gothic" w:hAnsiTheme="majorBidi" w:cstheme="majorBidi"/>
                <w:bCs/>
                <w:i/>
                <w:iCs/>
                <w:kern w:val="22"/>
                <w:sz w:val="20"/>
                <w:szCs w:val="20"/>
              </w:rPr>
              <w:t xml:space="preserve"> 22 February 2018)</w:t>
            </w:r>
          </w:p>
        </w:tc>
        <w:tc>
          <w:tcPr>
            <w:tcW w:w="1621" w:type="dxa"/>
            <w:tcBorders>
              <w:top w:val="single" w:sz="4" w:space="0" w:color="auto"/>
              <w:bottom w:val="single" w:sz="4" w:space="0" w:color="auto"/>
            </w:tcBorders>
            <w:shd w:val="clear" w:color="auto" w:fill="FFFFFF" w:themeFill="background1"/>
            <w:vAlign w:val="bottom"/>
          </w:tcPr>
          <w:p w14:paraId="70A6FCE1" w14:textId="2E3FCCEA" w:rsidR="00D72E88" w:rsidRPr="009905FC" w:rsidRDefault="00BE6F3C" w:rsidP="006B066D">
            <w:pPr>
              <w:suppressLineNumbers/>
              <w:suppressAutoHyphens/>
              <w:kinsoku w:val="0"/>
              <w:overflowPunct w:val="0"/>
              <w:autoSpaceDE w:val="0"/>
              <w:autoSpaceDN w:val="0"/>
              <w:adjustRightInd w:val="0"/>
              <w:snapToGrid w:val="0"/>
              <w:jc w:val="right"/>
              <w:rPr>
                <w:rFonts w:asciiTheme="majorBidi" w:eastAsia="Malgun Gothic" w:hAnsiTheme="majorBidi" w:cstheme="majorBidi"/>
                <w:bCs/>
                <w:i/>
                <w:iCs/>
                <w:kern w:val="22"/>
                <w:sz w:val="20"/>
                <w:szCs w:val="20"/>
              </w:rPr>
            </w:pPr>
            <w:r>
              <w:rPr>
                <w:rFonts w:asciiTheme="majorBidi" w:eastAsia="Malgun Gothic" w:hAnsiTheme="majorBidi" w:cstheme="majorBidi"/>
                <w:bCs/>
                <w:i/>
                <w:iCs/>
                <w:kern w:val="22"/>
                <w:sz w:val="20"/>
                <w:szCs w:val="20"/>
              </w:rPr>
              <w:t>Progress</w:t>
            </w:r>
            <w:r w:rsidR="00E76FDC">
              <w:rPr>
                <w:rFonts w:asciiTheme="majorBidi" w:eastAsia="Malgun Gothic" w:hAnsiTheme="majorBidi" w:cstheme="majorBidi"/>
                <w:bCs/>
                <w:i/>
                <w:iCs/>
                <w:kern w:val="22"/>
                <w:sz w:val="20"/>
                <w:szCs w:val="20"/>
              </w:rPr>
              <w:t xml:space="preserve"> </w:t>
            </w:r>
            <w:r w:rsidR="00443FE4">
              <w:rPr>
                <w:rFonts w:asciiTheme="majorBidi" w:eastAsia="Malgun Gothic" w:hAnsiTheme="majorBidi" w:cstheme="majorBidi"/>
                <w:bCs/>
                <w:i/>
                <w:iCs/>
                <w:kern w:val="22"/>
                <w:sz w:val="20"/>
                <w:szCs w:val="20"/>
              </w:rPr>
              <w:t xml:space="preserve">as at </w:t>
            </w:r>
            <w:r w:rsidR="00D72E88" w:rsidRPr="009905FC">
              <w:rPr>
                <w:rFonts w:asciiTheme="majorBidi" w:eastAsia="Malgun Gothic" w:hAnsiTheme="majorBidi" w:cstheme="majorBidi"/>
                <w:bCs/>
                <w:i/>
                <w:iCs/>
                <w:kern w:val="22"/>
                <w:sz w:val="20"/>
                <w:szCs w:val="20"/>
              </w:rPr>
              <w:t>9 March 2026</w:t>
            </w:r>
          </w:p>
        </w:tc>
      </w:tr>
      <w:tr w:rsidR="00D72E88" w:rsidRPr="00D2758E" w14:paraId="23227E56" w14:textId="77777777" w:rsidTr="006B066D">
        <w:trPr>
          <w:cantSplit/>
        </w:trPr>
        <w:tc>
          <w:tcPr>
            <w:tcW w:w="4819" w:type="dxa"/>
            <w:tcBorders>
              <w:top w:val="single" w:sz="4" w:space="0" w:color="auto"/>
              <w:bottom w:val="single" w:sz="4" w:space="0" w:color="auto"/>
            </w:tcBorders>
            <w:tcMar>
              <w:top w:w="29" w:type="dxa"/>
              <w:left w:w="115" w:type="dxa"/>
              <w:bottom w:w="29" w:type="dxa"/>
              <w:right w:w="115" w:type="dxa"/>
            </w:tcMar>
            <w:hideMark/>
          </w:tcPr>
          <w:p w14:paraId="26566A83" w14:textId="57DC260F" w:rsidR="00D72E88" w:rsidRPr="00D2758E" w:rsidRDefault="00D72E88" w:rsidP="00FA1719">
            <w:pPr>
              <w:suppressLineNumbers/>
              <w:suppressAutoHyphens/>
              <w:kinsoku w:val="0"/>
              <w:overflowPunct w:val="0"/>
              <w:autoSpaceDE w:val="0"/>
              <w:autoSpaceDN w:val="0"/>
              <w:adjustRightInd w:val="0"/>
              <w:snapToGrid w:val="0"/>
              <w:jc w:val="left"/>
              <w:rPr>
                <w:rFonts w:asciiTheme="majorBidi" w:eastAsia="Malgun Gothic" w:hAnsiTheme="majorBidi" w:cstheme="majorBidi"/>
                <w:kern w:val="22"/>
                <w:sz w:val="20"/>
                <w:szCs w:val="20"/>
              </w:rPr>
            </w:pPr>
            <w:r w:rsidRPr="00D2758E">
              <w:rPr>
                <w:rFonts w:asciiTheme="majorBidi" w:eastAsia="Malgun Gothic" w:hAnsiTheme="majorBidi" w:cstheme="majorBidi"/>
                <w:kern w:val="22"/>
                <w:sz w:val="20"/>
                <w:szCs w:val="20"/>
              </w:rPr>
              <w:t xml:space="preserve">Number of Parties to the </w:t>
            </w:r>
            <w:r w:rsidR="00EB28C2">
              <w:rPr>
                <w:rFonts w:asciiTheme="majorBidi" w:eastAsia="Malgun Gothic" w:hAnsiTheme="majorBidi" w:cstheme="majorBidi"/>
                <w:kern w:val="22"/>
                <w:sz w:val="20"/>
                <w:szCs w:val="20"/>
              </w:rPr>
              <w:t>Convention</w:t>
            </w:r>
            <w:r w:rsidR="00776F18">
              <w:rPr>
                <w:rFonts w:asciiTheme="majorBidi" w:eastAsia="Malgun Gothic" w:hAnsiTheme="majorBidi" w:cstheme="majorBidi"/>
                <w:kern w:val="22"/>
                <w:sz w:val="20"/>
                <w:szCs w:val="20"/>
              </w:rPr>
              <w:t xml:space="preserve"> on Biological Diversity</w:t>
            </w:r>
            <w:r w:rsidRPr="00D2758E">
              <w:rPr>
                <w:rFonts w:asciiTheme="majorBidi" w:eastAsia="Malgun Gothic" w:hAnsiTheme="majorBidi" w:cstheme="majorBidi"/>
                <w:kern w:val="22"/>
                <w:sz w:val="20"/>
                <w:szCs w:val="20"/>
              </w:rPr>
              <w:t xml:space="preserve"> that have ratified the Nagoya Protocol</w:t>
            </w:r>
          </w:p>
        </w:tc>
        <w:tc>
          <w:tcPr>
            <w:tcW w:w="2269" w:type="dxa"/>
            <w:tcBorders>
              <w:top w:val="single" w:sz="4" w:space="0" w:color="auto"/>
              <w:bottom w:val="single" w:sz="4" w:space="0" w:color="auto"/>
            </w:tcBorders>
            <w:tcMar>
              <w:top w:w="29" w:type="dxa"/>
              <w:left w:w="115" w:type="dxa"/>
              <w:bottom w:w="29" w:type="dxa"/>
              <w:right w:w="115" w:type="dxa"/>
            </w:tcMar>
            <w:vAlign w:val="bottom"/>
            <w:hideMark/>
          </w:tcPr>
          <w:p w14:paraId="5C40E094" w14:textId="51461E42" w:rsidR="00D72E88" w:rsidRPr="00D2758E" w:rsidRDefault="00D72E88" w:rsidP="006B066D">
            <w:pPr>
              <w:suppressLineNumbers/>
              <w:suppressAutoHyphens/>
              <w:kinsoku w:val="0"/>
              <w:overflowPunct w:val="0"/>
              <w:autoSpaceDE w:val="0"/>
              <w:autoSpaceDN w:val="0"/>
              <w:adjustRightInd w:val="0"/>
              <w:snapToGrid w:val="0"/>
              <w:jc w:val="right"/>
              <w:rPr>
                <w:rFonts w:asciiTheme="majorBidi" w:eastAsia="Calibri" w:hAnsiTheme="majorBidi" w:cstheme="majorBidi"/>
                <w:kern w:val="22"/>
                <w:sz w:val="20"/>
                <w:szCs w:val="20"/>
              </w:rPr>
            </w:pPr>
            <w:r w:rsidRPr="00D2758E">
              <w:rPr>
                <w:rFonts w:asciiTheme="majorBidi" w:eastAsia="Calibri" w:hAnsiTheme="majorBidi" w:cstheme="majorBidi"/>
                <w:kern w:val="22"/>
                <w:sz w:val="20"/>
                <w:szCs w:val="20"/>
              </w:rPr>
              <w:t>105 (54</w:t>
            </w:r>
            <w:r w:rsidR="008B2163">
              <w:rPr>
                <w:rFonts w:asciiTheme="majorBidi" w:eastAsia="Calibri" w:hAnsiTheme="majorBidi" w:cstheme="majorBidi"/>
                <w:kern w:val="22"/>
                <w:sz w:val="20"/>
                <w:szCs w:val="20"/>
              </w:rPr>
              <w:t xml:space="preserve"> per cent</w:t>
            </w:r>
            <w:r w:rsidRPr="00D2758E">
              <w:rPr>
                <w:rFonts w:asciiTheme="majorBidi" w:eastAsia="Calibri" w:hAnsiTheme="majorBidi" w:cstheme="majorBidi"/>
                <w:kern w:val="22"/>
                <w:sz w:val="20"/>
                <w:szCs w:val="20"/>
              </w:rPr>
              <w:t>)</w:t>
            </w:r>
          </w:p>
        </w:tc>
        <w:tc>
          <w:tcPr>
            <w:tcW w:w="1621" w:type="dxa"/>
            <w:tcBorders>
              <w:top w:val="single" w:sz="4" w:space="0" w:color="auto"/>
              <w:bottom w:val="single" w:sz="4" w:space="0" w:color="auto"/>
            </w:tcBorders>
            <w:vAlign w:val="bottom"/>
          </w:tcPr>
          <w:p w14:paraId="3FF4886C" w14:textId="4BEC355A" w:rsidR="00D72E88" w:rsidRPr="00D2758E" w:rsidRDefault="00D72E88" w:rsidP="006B066D">
            <w:pPr>
              <w:suppressLineNumbers/>
              <w:suppressAutoHyphens/>
              <w:kinsoku w:val="0"/>
              <w:overflowPunct w:val="0"/>
              <w:autoSpaceDE w:val="0"/>
              <w:autoSpaceDN w:val="0"/>
              <w:adjustRightInd w:val="0"/>
              <w:snapToGrid w:val="0"/>
              <w:jc w:val="right"/>
              <w:rPr>
                <w:rFonts w:asciiTheme="majorBidi" w:eastAsia="Calibri" w:hAnsiTheme="majorBidi" w:cstheme="majorBidi"/>
                <w:kern w:val="22"/>
                <w:sz w:val="20"/>
                <w:szCs w:val="20"/>
              </w:rPr>
            </w:pPr>
            <w:r w:rsidRPr="00D2758E">
              <w:rPr>
                <w:rFonts w:asciiTheme="majorBidi" w:eastAsia="Calibri" w:hAnsiTheme="majorBidi" w:cstheme="majorBidi"/>
                <w:kern w:val="22"/>
                <w:sz w:val="20"/>
                <w:szCs w:val="20"/>
              </w:rPr>
              <w:t>142 (72</w:t>
            </w:r>
            <w:r w:rsidR="008B2163">
              <w:rPr>
                <w:rFonts w:asciiTheme="majorBidi" w:eastAsia="Calibri" w:hAnsiTheme="majorBidi" w:cstheme="majorBidi"/>
                <w:kern w:val="22"/>
                <w:sz w:val="20"/>
                <w:szCs w:val="20"/>
              </w:rPr>
              <w:t xml:space="preserve"> per</w:t>
            </w:r>
            <w:r w:rsidR="000F1E57">
              <w:rPr>
                <w:rFonts w:asciiTheme="majorBidi" w:eastAsia="Calibri" w:hAnsiTheme="majorBidi" w:cstheme="majorBidi"/>
                <w:kern w:val="22"/>
                <w:sz w:val="20"/>
                <w:szCs w:val="20"/>
              </w:rPr>
              <w:t xml:space="preserve"> cent)</w:t>
            </w:r>
            <w:r w:rsidR="008B2163">
              <w:rPr>
                <w:rFonts w:asciiTheme="majorBidi" w:eastAsia="Calibri" w:hAnsiTheme="majorBidi" w:cstheme="majorBidi"/>
                <w:kern w:val="22"/>
                <w:sz w:val="20"/>
                <w:szCs w:val="20"/>
              </w:rPr>
              <w:t xml:space="preserve"> </w:t>
            </w:r>
          </w:p>
        </w:tc>
      </w:tr>
    </w:tbl>
    <w:p w14:paraId="79D4C6AD" w14:textId="6B199357" w:rsidR="00455F03" w:rsidRPr="00D2758E" w:rsidRDefault="00B262F5" w:rsidP="00A818EB">
      <w:pPr>
        <w:pStyle w:val="CBDH3"/>
      </w:pPr>
      <w:r>
        <w:t>2.</w:t>
      </w:r>
      <w:r>
        <w:tab/>
      </w:r>
      <w:r w:rsidR="00455F03" w:rsidRPr="00D2758E">
        <w:t>Institutional structures and access and benefit-sharing measures for the implementation of the Protocol</w:t>
      </w:r>
      <w:r w:rsidR="000A483F" w:rsidRPr="00D2758E">
        <w:rPr>
          <w:vertAlign w:val="superscript"/>
        </w:rPr>
        <w:footnoteReference w:id="12"/>
      </w:r>
    </w:p>
    <w:p w14:paraId="389D7D8C" w14:textId="19B13310" w:rsidR="0041229D" w:rsidRPr="00D2758E" w:rsidRDefault="00B262F5" w:rsidP="00A818EB">
      <w:pPr>
        <w:pStyle w:val="CBDH4"/>
      </w:pPr>
      <w:r>
        <w:t>(a)</w:t>
      </w:r>
      <w:r>
        <w:tab/>
      </w:r>
      <w:r w:rsidR="00196739" w:rsidRPr="00D2758E">
        <w:t>Progress made in implementation and updated indicator data</w:t>
      </w:r>
    </w:p>
    <w:p w14:paraId="7B5D0EB8" w14:textId="2B215E8D" w:rsidR="007A2A62" w:rsidRPr="00D2758E" w:rsidRDefault="007A2A62" w:rsidP="00CD2C50">
      <w:pPr>
        <w:pStyle w:val="CBDNormalNumber"/>
        <w:rPr>
          <w:rFonts w:asciiTheme="majorBidi" w:hAnsiTheme="majorBidi" w:cstheme="majorBidi"/>
        </w:rPr>
      </w:pPr>
      <w:r w:rsidRPr="00D2758E">
        <w:rPr>
          <w:rFonts w:asciiTheme="majorBidi" w:hAnsiTheme="majorBidi" w:cstheme="majorBidi"/>
        </w:rPr>
        <w:t xml:space="preserve">The </w:t>
      </w:r>
      <w:r w:rsidRPr="00D2758E">
        <w:t>Nagoya</w:t>
      </w:r>
      <w:r w:rsidRPr="00D2758E">
        <w:rPr>
          <w:rFonts w:asciiTheme="majorBidi" w:hAnsiTheme="majorBidi" w:cstheme="majorBidi"/>
        </w:rPr>
        <w:t xml:space="preserve"> Protocol establishes obligations for Parties as both providers and users of genetic resources. While </w:t>
      </w:r>
      <w:r w:rsidR="00935EE9" w:rsidRPr="00D2758E">
        <w:rPr>
          <w:rFonts w:asciiTheme="majorBidi" w:hAnsiTheme="majorBidi" w:cstheme="majorBidi"/>
        </w:rPr>
        <w:t xml:space="preserve">Parties </w:t>
      </w:r>
      <w:r w:rsidRPr="00D2758E">
        <w:rPr>
          <w:rFonts w:asciiTheme="majorBidi" w:hAnsiTheme="majorBidi" w:cstheme="majorBidi"/>
        </w:rPr>
        <w:t xml:space="preserve">may </w:t>
      </w:r>
      <w:r w:rsidR="00D23F20" w:rsidRPr="00D2758E">
        <w:rPr>
          <w:rFonts w:asciiTheme="majorBidi" w:hAnsiTheme="majorBidi" w:cstheme="majorBidi"/>
        </w:rPr>
        <w:t xml:space="preserve">decide not </w:t>
      </w:r>
      <w:r w:rsidRPr="00D2758E">
        <w:rPr>
          <w:rFonts w:asciiTheme="majorBidi" w:hAnsiTheme="majorBidi" w:cstheme="majorBidi"/>
        </w:rPr>
        <w:t xml:space="preserve">to regulate access to their genetic resources, all countries have the obligation to adopt measures to ensure that users within their jurisdiction respect the national </w:t>
      </w:r>
      <w:r w:rsidR="00935EE9" w:rsidRPr="00D2758E">
        <w:rPr>
          <w:rFonts w:asciiTheme="majorBidi" w:hAnsiTheme="majorBidi" w:cstheme="majorBidi"/>
        </w:rPr>
        <w:t xml:space="preserve">access and benefit-sharing </w:t>
      </w:r>
      <w:r w:rsidRPr="00D2758E">
        <w:rPr>
          <w:rFonts w:asciiTheme="majorBidi" w:hAnsiTheme="majorBidi" w:cstheme="majorBidi"/>
        </w:rPr>
        <w:t>requirements of provider countries.</w:t>
      </w:r>
    </w:p>
    <w:p w14:paraId="5D07C7A0" w14:textId="3A350424" w:rsidR="00174370" w:rsidRPr="00D2758E" w:rsidRDefault="00174370" w:rsidP="00CD2C50">
      <w:pPr>
        <w:pStyle w:val="CBDNormalNumber"/>
        <w:rPr>
          <w:rFonts w:asciiTheme="majorBidi" w:hAnsiTheme="majorBidi" w:cstheme="majorBidi"/>
        </w:rPr>
      </w:pPr>
      <w:r w:rsidRPr="00D2758E">
        <w:rPr>
          <w:rFonts w:asciiTheme="majorBidi" w:hAnsiTheme="majorBidi" w:cstheme="majorBidi"/>
        </w:rPr>
        <w:t>As can be seen in table 2 below, there has been significant progress since February 2018 in the designation of authorities</w:t>
      </w:r>
      <w:r w:rsidR="00AF4657" w:rsidRPr="00D2758E">
        <w:rPr>
          <w:rFonts w:asciiTheme="majorBidi" w:hAnsiTheme="majorBidi" w:cstheme="majorBidi"/>
        </w:rPr>
        <w:t xml:space="preserve">, such as </w:t>
      </w:r>
      <w:r w:rsidR="003F42BB" w:rsidRPr="00D2758E">
        <w:rPr>
          <w:rFonts w:asciiTheme="majorBidi" w:hAnsiTheme="majorBidi" w:cstheme="majorBidi"/>
        </w:rPr>
        <w:t>c</w:t>
      </w:r>
      <w:r w:rsidRPr="00D2758E">
        <w:rPr>
          <w:rFonts w:asciiTheme="majorBidi" w:hAnsiTheme="majorBidi" w:cstheme="majorBidi"/>
        </w:rPr>
        <w:t xml:space="preserve">ompetent </w:t>
      </w:r>
      <w:r w:rsidR="003F42BB" w:rsidRPr="00D2758E">
        <w:rPr>
          <w:rFonts w:asciiTheme="majorBidi" w:hAnsiTheme="majorBidi" w:cstheme="majorBidi"/>
        </w:rPr>
        <w:t>n</w:t>
      </w:r>
      <w:r w:rsidRPr="00D2758E">
        <w:rPr>
          <w:rFonts w:asciiTheme="majorBidi" w:hAnsiTheme="majorBidi" w:cstheme="majorBidi"/>
        </w:rPr>
        <w:t xml:space="preserve">ational </w:t>
      </w:r>
      <w:r w:rsidR="003F42BB" w:rsidRPr="00D2758E">
        <w:rPr>
          <w:rFonts w:asciiTheme="majorBidi" w:hAnsiTheme="majorBidi" w:cstheme="majorBidi"/>
        </w:rPr>
        <w:t>a</w:t>
      </w:r>
      <w:r w:rsidRPr="00D2758E">
        <w:rPr>
          <w:rFonts w:asciiTheme="majorBidi" w:hAnsiTheme="majorBidi" w:cstheme="majorBidi"/>
        </w:rPr>
        <w:t>uthorities</w:t>
      </w:r>
      <w:r w:rsidR="00402B31" w:rsidRPr="00D2758E">
        <w:rPr>
          <w:rFonts w:asciiTheme="majorBidi" w:hAnsiTheme="majorBidi" w:cstheme="majorBidi"/>
        </w:rPr>
        <w:t xml:space="preserve"> </w:t>
      </w:r>
      <w:r w:rsidRPr="00D2758E">
        <w:rPr>
          <w:rFonts w:asciiTheme="majorBidi" w:hAnsiTheme="majorBidi" w:cstheme="majorBidi"/>
        </w:rPr>
        <w:t>and checkpoints</w:t>
      </w:r>
      <w:r w:rsidR="002B128E">
        <w:rPr>
          <w:rFonts w:asciiTheme="majorBidi" w:hAnsiTheme="majorBidi" w:cstheme="majorBidi"/>
        </w:rPr>
        <w:t>,</w:t>
      </w:r>
      <w:r w:rsidRPr="00D2758E">
        <w:rPr>
          <w:rFonts w:asciiTheme="majorBidi" w:hAnsiTheme="majorBidi" w:cstheme="majorBidi"/>
        </w:rPr>
        <w:t xml:space="preserve"> to implement the Protocol, as </w:t>
      </w:r>
      <w:r w:rsidRPr="00D2758E">
        <w:t>well</w:t>
      </w:r>
      <w:r w:rsidRPr="00D2758E">
        <w:rPr>
          <w:rFonts w:asciiTheme="majorBidi" w:hAnsiTheme="majorBidi" w:cstheme="majorBidi"/>
        </w:rPr>
        <w:t xml:space="preserve"> as </w:t>
      </w:r>
      <w:r w:rsidR="00D2036B" w:rsidRPr="00D2758E">
        <w:rPr>
          <w:rFonts w:asciiTheme="majorBidi" w:hAnsiTheme="majorBidi" w:cstheme="majorBidi"/>
        </w:rPr>
        <w:t xml:space="preserve">moderate progress in </w:t>
      </w:r>
      <w:r w:rsidRPr="00D2758E">
        <w:rPr>
          <w:rFonts w:asciiTheme="majorBidi" w:hAnsiTheme="majorBidi" w:cstheme="majorBidi"/>
        </w:rPr>
        <w:t>putting in place the necessary legislative, administrative and policy measures</w:t>
      </w:r>
      <w:r w:rsidR="003F48B7" w:rsidRPr="003F48B7">
        <w:rPr>
          <w:rFonts w:asciiTheme="majorBidi" w:hAnsiTheme="majorBidi" w:cstheme="majorBidi"/>
        </w:rPr>
        <w:t xml:space="preserve"> </w:t>
      </w:r>
      <w:r w:rsidR="003C2889">
        <w:rPr>
          <w:rFonts w:asciiTheme="majorBidi" w:hAnsiTheme="majorBidi" w:cstheme="majorBidi"/>
        </w:rPr>
        <w:t>for</w:t>
      </w:r>
      <w:r w:rsidR="00E202FE">
        <w:rPr>
          <w:rFonts w:asciiTheme="majorBidi" w:hAnsiTheme="majorBidi" w:cstheme="majorBidi"/>
        </w:rPr>
        <w:t xml:space="preserve"> </w:t>
      </w:r>
      <w:r w:rsidR="003F48B7" w:rsidRPr="00B91B07">
        <w:rPr>
          <w:rFonts w:asciiTheme="majorBidi" w:hAnsiTheme="majorBidi" w:cstheme="majorBidi"/>
        </w:rPr>
        <w:t>access and benefit</w:t>
      </w:r>
      <w:r w:rsidR="003C3E7C">
        <w:rPr>
          <w:rFonts w:asciiTheme="majorBidi" w:hAnsiTheme="majorBidi" w:cstheme="majorBidi"/>
        </w:rPr>
        <w:t xml:space="preserve"> </w:t>
      </w:r>
      <w:r w:rsidR="003F48B7" w:rsidRPr="00B91B07">
        <w:rPr>
          <w:rFonts w:asciiTheme="majorBidi" w:hAnsiTheme="majorBidi" w:cstheme="majorBidi"/>
        </w:rPr>
        <w:t>sharing</w:t>
      </w:r>
      <w:r w:rsidRPr="00D2758E">
        <w:rPr>
          <w:rFonts w:asciiTheme="majorBidi" w:hAnsiTheme="majorBidi" w:cstheme="majorBidi"/>
        </w:rPr>
        <w:t xml:space="preserve">. </w:t>
      </w:r>
      <w:r w:rsidR="00C34DE3" w:rsidRPr="00D2758E">
        <w:rPr>
          <w:rFonts w:asciiTheme="majorBidi" w:hAnsiTheme="majorBidi" w:cstheme="majorBidi"/>
        </w:rPr>
        <w:t>Almost all Parties have designated national focal points.</w:t>
      </w:r>
    </w:p>
    <w:p w14:paraId="24E55C40" w14:textId="09F55C5D" w:rsidR="00E37556" w:rsidRPr="00D2758E" w:rsidRDefault="00D5752B" w:rsidP="00CD2C50">
      <w:pPr>
        <w:pStyle w:val="CBDNormalNumber"/>
        <w:rPr>
          <w:rFonts w:asciiTheme="majorBidi" w:hAnsiTheme="majorBidi" w:cstheme="majorBidi"/>
        </w:rPr>
      </w:pPr>
      <w:proofErr w:type="gramStart"/>
      <w:r w:rsidRPr="00D2758E">
        <w:rPr>
          <w:rFonts w:asciiTheme="majorBidi" w:hAnsiTheme="majorBidi" w:cstheme="majorBidi"/>
        </w:rPr>
        <w:t xml:space="preserve">It is clear that </w:t>
      </w:r>
      <w:r w:rsidR="00174370" w:rsidRPr="00D2758E">
        <w:rPr>
          <w:rFonts w:asciiTheme="majorBidi" w:hAnsiTheme="majorBidi" w:cstheme="majorBidi"/>
        </w:rPr>
        <w:t>many</w:t>
      </w:r>
      <w:proofErr w:type="gramEnd"/>
      <w:r w:rsidR="00174370" w:rsidRPr="00D2758E">
        <w:rPr>
          <w:rFonts w:asciiTheme="majorBidi" w:hAnsiTheme="majorBidi" w:cstheme="majorBidi"/>
        </w:rPr>
        <w:t xml:space="preserve"> Parties still need to adopt some type of </w:t>
      </w:r>
      <w:r w:rsidR="003C2889" w:rsidRPr="003C2889">
        <w:rPr>
          <w:rFonts w:asciiTheme="majorBidi" w:hAnsiTheme="majorBidi" w:cstheme="majorBidi"/>
        </w:rPr>
        <w:t>access and benefit-</w:t>
      </w:r>
      <w:proofErr w:type="gramStart"/>
      <w:r w:rsidR="003C2889" w:rsidRPr="003C2889">
        <w:rPr>
          <w:rFonts w:asciiTheme="majorBidi" w:hAnsiTheme="majorBidi" w:cstheme="majorBidi"/>
        </w:rPr>
        <w:t xml:space="preserve">sharing </w:t>
      </w:r>
      <w:r w:rsidR="00174370" w:rsidRPr="00D2758E">
        <w:rPr>
          <w:rFonts w:asciiTheme="majorBidi" w:hAnsiTheme="majorBidi" w:cstheme="majorBidi"/>
        </w:rPr>
        <w:t xml:space="preserve"> measure</w:t>
      </w:r>
      <w:proofErr w:type="gramEnd"/>
      <w:r w:rsidR="00174370" w:rsidRPr="00D2758E">
        <w:rPr>
          <w:rFonts w:asciiTheme="majorBidi" w:hAnsiTheme="majorBidi" w:cstheme="majorBidi"/>
        </w:rPr>
        <w:t xml:space="preserve"> </w:t>
      </w:r>
      <w:r w:rsidR="002F611C">
        <w:rPr>
          <w:rFonts w:asciiTheme="majorBidi" w:hAnsiTheme="majorBidi" w:cstheme="majorBidi"/>
        </w:rPr>
        <w:t>for</w:t>
      </w:r>
      <w:r w:rsidR="00174370" w:rsidRPr="00D2758E">
        <w:rPr>
          <w:rFonts w:asciiTheme="majorBidi" w:hAnsiTheme="majorBidi" w:cstheme="majorBidi"/>
        </w:rPr>
        <w:t xml:space="preserve"> </w:t>
      </w:r>
      <w:r w:rsidR="00F74623">
        <w:rPr>
          <w:rFonts w:asciiTheme="majorBidi" w:hAnsiTheme="majorBidi" w:cstheme="majorBidi"/>
        </w:rPr>
        <w:t>render</w:t>
      </w:r>
      <w:r w:rsidR="002F611C">
        <w:rPr>
          <w:rFonts w:asciiTheme="majorBidi" w:hAnsiTheme="majorBidi" w:cstheme="majorBidi"/>
        </w:rPr>
        <w:t>ing</w:t>
      </w:r>
      <w:r w:rsidR="00174370" w:rsidRPr="00D2758E">
        <w:rPr>
          <w:rFonts w:asciiTheme="majorBidi" w:hAnsiTheme="majorBidi" w:cstheme="majorBidi"/>
        </w:rPr>
        <w:t xml:space="preserve"> the Nagoya Protocol fully operational </w:t>
      </w:r>
      <w:r w:rsidR="00174370" w:rsidRPr="00D2758E">
        <w:t>and</w:t>
      </w:r>
      <w:r w:rsidR="00174370" w:rsidRPr="00D2758E">
        <w:rPr>
          <w:rFonts w:asciiTheme="majorBidi" w:hAnsiTheme="majorBidi" w:cstheme="majorBidi"/>
        </w:rPr>
        <w:t xml:space="preserve"> trans</w:t>
      </w:r>
      <w:r w:rsidR="00133958">
        <w:rPr>
          <w:rFonts w:asciiTheme="majorBidi" w:hAnsiTheme="majorBidi" w:cstheme="majorBidi"/>
        </w:rPr>
        <w:t>late</w:t>
      </w:r>
      <w:r w:rsidR="00174370" w:rsidRPr="00D2758E">
        <w:rPr>
          <w:rFonts w:asciiTheme="majorBidi" w:hAnsiTheme="majorBidi" w:cstheme="majorBidi"/>
        </w:rPr>
        <w:t xml:space="preserve"> </w:t>
      </w:r>
      <w:r w:rsidR="00CA6E79" w:rsidRPr="00CA6E79">
        <w:rPr>
          <w:rFonts w:asciiTheme="majorBidi" w:hAnsiTheme="majorBidi" w:cstheme="majorBidi"/>
        </w:rPr>
        <w:t xml:space="preserve">access and benefit-sharing </w:t>
      </w:r>
      <w:r w:rsidR="00174370" w:rsidRPr="00D2758E">
        <w:rPr>
          <w:rFonts w:asciiTheme="majorBidi" w:hAnsiTheme="majorBidi" w:cstheme="majorBidi"/>
        </w:rPr>
        <w:t>measures and principles into practic</w:t>
      </w:r>
      <w:r w:rsidR="004E2081">
        <w:rPr>
          <w:rFonts w:asciiTheme="majorBidi" w:hAnsiTheme="majorBidi" w:cstheme="majorBidi"/>
        </w:rPr>
        <w:t>e</w:t>
      </w:r>
      <w:r w:rsidR="00174370" w:rsidRPr="00D2758E">
        <w:rPr>
          <w:rFonts w:asciiTheme="majorBidi" w:hAnsiTheme="majorBidi" w:cstheme="majorBidi"/>
        </w:rPr>
        <w:t>.</w:t>
      </w:r>
      <w:r w:rsidR="004B3280" w:rsidRPr="00D2758E">
        <w:t xml:space="preserve"> Often, </w:t>
      </w:r>
      <w:r w:rsidR="004B3280" w:rsidRPr="00D2758E">
        <w:rPr>
          <w:rFonts w:asciiTheme="majorBidi" w:hAnsiTheme="majorBidi" w:cstheme="majorBidi"/>
        </w:rPr>
        <w:t xml:space="preserve">the designation </w:t>
      </w:r>
      <w:r w:rsidR="008F2A62" w:rsidRPr="00D2758E">
        <w:rPr>
          <w:rFonts w:asciiTheme="majorBidi" w:hAnsiTheme="majorBidi" w:cstheme="majorBidi"/>
        </w:rPr>
        <w:t>of competent</w:t>
      </w:r>
      <w:r w:rsidR="00114D8F" w:rsidRPr="00D2758E">
        <w:rPr>
          <w:rFonts w:asciiTheme="majorBidi" w:hAnsiTheme="majorBidi" w:cstheme="majorBidi"/>
        </w:rPr>
        <w:t xml:space="preserve"> national authorities </w:t>
      </w:r>
      <w:r w:rsidR="00C40F2F" w:rsidRPr="00D2758E">
        <w:rPr>
          <w:rFonts w:asciiTheme="majorBidi" w:hAnsiTheme="majorBidi" w:cstheme="majorBidi"/>
        </w:rPr>
        <w:t xml:space="preserve">and checkpoints </w:t>
      </w:r>
      <w:r w:rsidR="004E09DE">
        <w:rPr>
          <w:rFonts w:asciiTheme="majorBidi" w:hAnsiTheme="majorBidi" w:cstheme="majorBidi"/>
        </w:rPr>
        <w:t xml:space="preserve">must </w:t>
      </w:r>
      <w:r w:rsidR="00021763">
        <w:rPr>
          <w:rFonts w:asciiTheme="majorBidi" w:hAnsiTheme="majorBidi" w:cstheme="majorBidi"/>
        </w:rPr>
        <w:t>await</w:t>
      </w:r>
      <w:r w:rsidR="004B3280" w:rsidRPr="00D2758E">
        <w:rPr>
          <w:rFonts w:asciiTheme="majorBidi" w:hAnsiTheme="majorBidi" w:cstheme="majorBidi"/>
        </w:rPr>
        <w:t xml:space="preserve"> the adoption of legislative, administrative or policy measures </w:t>
      </w:r>
      <w:r w:rsidR="00706E8A">
        <w:rPr>
          <w:rFonts w:asciiTheme="majorBidi" w:hAnsiTheme="majorBidi" w:cstheme="majorBidi"/>
        </w:rPr>
        <w:t>related to</w:t>
      </w:r>
      <w:r w:rsidR="004B3280" w:rsidRPr="00D2758E">
        <w:rPr>
          <w:rFonts w:asciiTheme="majorBidi" w:hAnsiTheme="majorBidi" w:cstheme="majorBidi"/>
        </w:rPr>
        <w:t xml:space="preserve"> </w:t>
      </w:r>
      <w:r w:rsidR="00706E8A">
        <w:rPr>
          <w:rFonts w:asciiTheme="majorBidi" w:hAnsiTheme="majorBidi" w:cstheme="majorBidi"/>
        </w:rPr>
        <w:t>access and benefit</w:t>
      </w:r>
      <w:r w:rsidR="00D166F6">
        <w:rPr>
          <w:rFonts w:asciiTheme="majorBidi" w:hAnsiTheme="majorBidi" w:cstheme="majorBidi"/>
        </w:rPr>
        <w:t xml:space="preserve"> </w:t>
      </w:r>
      <w:proofErr w:type="gramStart"/>
      <w:r w:rsidR="00706E8A">
        <w:rPr>
          <w:rFonts w:asciiTheme="majorBidi" w:hAnsiTheme="majorBidi" w:cstheme="majorBidi"/>
        </w:rPr>
        <w:t>sharing.</w:t>
      </w:r>
      <w:r w:rsidR="00C40F2F" w:rsidRPr="00D2758E">
        <w:rPr>
          <w:rFonts w:asciiTheme="majorBidi" w:hAnsiTheme="majorBidi" w:cstheme="majorBidi"/>
        </w:rPr>
        <w:t>.</w:t>
      </w:r>
      <w:proofErr w:type="gramEnd"/>
    </w:p>
    <w:p w14:paraId="0E823D17" w14:textId="0CC27050" w:rsidR="00174370" w:rsidRPr="00D2758E" w:rsidRDefault="00174370" w:rsidP="00CD2C50">
      <w:pPr>
        <w:pStyle w:val="CBDNormalNumber"/>
        <w:rPr>
          <w:rFonts w:asciiTheme="majorBidi" w:hAnsiTheme="majorBidi" w:cstheme="majorBidi"/>
        </w:rPr>
      </w:pPr>
      <w:proofErr w:type="gramStart"/>
      <w:r w:rsidRPr="00D2758E">
        <w:rPr>
          <w:rFonts w:asciiTheme="majorBidi" w:hAnsiTheme="majorBidi" w:cstheme="majorBidi"/>
        </w:rPr>
        <w:t xml:space="preserve">In particular, </w:t>
      </w:r>
      <w:r w:rsidR="00C32B09" w:rsidRPr="00D2758E">
        <w:rPr>
          <w:rFonts w:asciiTheme="majorBidi" w:hAnsiTheme="majorBidi" w:cstheme="majorBidi"/>
        </w:rPr>
        <w:t>only</w:t>
      </w:r>
      <w:proofErr w:type="gramEnd"/>
      <w:r w:rsidR="00C32B09" w:rsidRPr="00D2758E">
        <w:rPr>
          <w:rFonts w:asciiTheme="majorBidi" w:hAnsiTheme="majorBidi" w:cstheme="majorBidi"/>
        </w:rPr>
        <w:t xml:space="preserve"> 46</w:t>
      </w:r>
      <w:r w:rsidR="00A50F25">
        <w:rPr>
          <w:rFonts w:asciiTheme="majorBidi" w:hAnsiTheme="majorBidi" w:cstheme="majorBidi"/>
        </w:rPr>
        <w:t xml:space="preserve"> per cent</w:t>
      </w:r>
      <w:r w:rsidR="00C32B09" w:rsidRPr="00D2758E">
        <w:rPr>
          <w:rFonts w:asciiTheme="majorBidi" w:hAnsiTheme="majorBidi" w:cstheme="majorBidi"/>
        </w:rPr>
        <w:t xml:space="preserve"> of Parties have </w:t>
      </w:r>
      <w:r w:rsidR="00326F92" w:rsidRPr="00D2758E">
        <w:rPr>
          <w:rFonts w:asciiTheme="majorBidi" w:hAnsiTheme="majorBidi" w:cstheme="majorBidi"/>
        </w:rPr>
        <w:t>designated one or m</w:t>
      </w:r>
      <w:r w:rsidR="00CA22A4" w:rsidRPr="00D2758E">
        <w:rPr>
          <w:rFonts w:asciiTheme="majorBidi" w:hAnsiTheme="majorBidi" w:cstheme="majorBidi"/>
        </w:rPr>
        <w:t xml:space="preserve">ore </w:t>
      </w:r>
      <w:r w:rsidRPr="00D2758E">
        <w:rPr>
          <w:rFonts w:asciiTheme="majorBidi" w:hAnsiTheme="majorBidi" w:cstheme="majorBidi"/>
        </w:rPr>
        <w:t>checkpoints</w:t>
      </w:r>
      <w:r w:rsidR="00F176AD" w:rsidRPr="00D2758E">
        <w:rPr>
          <w:rFonts w:asciiTheme="majorBidi" w:hAnsiTheme="majorBidi" w:cstheme="majorBidi"/>
        </w:rPr>
        <w:t xml:space="preserve">. </w:t>
      </w:r>
      <w:r w:rsidR="00A61C30">
        <w:rPr>
          <w:rFonts w:asciiTheme="majorBidi" w:hAnsiTheme="majorBidi" w:cstheme="majorBidi"/>
        </w:rPr>
        <w:t xml:space="preserve">With respect </w:t>
      </w:r>
      <w:r w:rsidR="003772A4">
        <w:rPr>
          <w:rFonts w:asciiTheme="majorBidi" w:hAnsiTheme="majorBidi" w:cstheme="majorBidi"/>
        </w:rPr>
        <w:t xml:space="preserve">to </w:t>
      </w:r>
      <w:r w:rsidR="00E37556" w:rsidRPr="00D2758E">
        <w:rPr>
          <w:rFonts w:asciiTheme="majorBidi" w:hAnsiTheme="majorBidi" w:cstheme="majorBidi"/>
        </w:rPr>
        <w:t xml:space="preserve">progress by region, most </w:t>
      </w:r>
      <w:r w:rsidR="002D540D" w:rsidRPr="00D2758E">
        <w:rPr>
          <w:rFonts w:asciiTheme="majorBidi" w:hAnsiTheme="majorBidi" w:cstheme="majorBidi"/>
        </w:rPr>
        <w:t xml:space="preserve">progress in </w:t>
      </w:r>
      <w:r w:rsidR="002D540D" w:rsidRPr="00D2758E">
        <w:t>designating</w:t>
      </w:r>
      <w:r w:rsidR="002D540D" w:rsidRPr="00D2758E">
        <w:rPr>
          <w:rFonts w:asciiTheme="majorBidi" w:hAnsiTheme="majorBidi" w:cstheme="majorBidi"/>
        </w:rPr>
        <w:t xml:space="preserve"> </w:t>
      </w:r>
      <w:r w:rsidR="00F176AD" w:rsidRPr="00D2758E">
        <w:rPr>
          <w:rFonts w:asciiTheme="majorBidi" w:hAnsiTheme="majorBidi" w:cstheme="majorBidi"/>
        </w:rPr>
        <w:t>checkpoints</w:t>
      </w:r>
      <w:r w:rsidR="002D540D" w:rsidRPr="00D2758E">
        <w:rPr>
          <w:rFonts w:asciiTheme="majorBidi" w:hAnsiTheme="majorBidi" w:cstheme="majorBidi"/>
        </w:rPr>
        <w:t xml:space="preserve"> </w:t>
      </w:r>
      <w:r w:rsidR="00E37556" w:rsidRPr="00D2758E">
        <w:rPr>
          <w:rFonts w:asciiTheme="majorBidi" w:hAnsiTheme="majorBidi" w:cstheme="majorBidi"/>
        </w:rPr>
        <w:t xml:space="preserve">has been </w:t>
      </w:r>
      <w:r w:rsidR="00B633B8" w:rsidRPr="00D2758E">
        <w:rPr>
          <w:rFonts w:asciiTheme="majorBidi" w:hAnsiTheme="majorBidi" w:cstheme="majorBidi"/>
        </w:rPr>
        <w:t xml:space="preserve">made </w:t>
      </w:r>
      <w:r w:rsidR="00E37556" w:rsidRPr="00D2758E">
        <w:rPr>
          <w:rFonts w:asciiTheme="majorBidi" w:hAnsiTheme="majorBidi" w:cstheme="majorBidi"/>
        </w:rPr>
        <w:t>in</w:t>
      </w:r>
      <w:r w:rsidR="00B633B8" w:rsidRPr="00D2758E">
        <w:rPr>
          <w:rFonts w:asciiTheme="majorBidi" w:hAnsiTheme="majorBidi" w:cstheme="majorBidi"/>
        </w:rPr>
        <w:t xml:space="preserve"> </w:t>
      </w:r>
      <w:r w:rsidR="004E09DE">
        <w:rPr>
          <w:rFonts w:asciiTheme="majorBidi" w:hAnsiTheme="majorBidi" w:cstheme="majorBidi"/>
        </w:rPr>
        <w:t xml:space="preserve">the </w:t>
      </w:r>
      <w:r w:rsidR="00E37556" w:rsidRPr="00D2758E">
        <w:rPr>
          <w:rFonts w:asciiTheme="majorBidi" w:hAnsiTheme="majorBidi" w:cstheme="majorBidi"/>
        </w:rPr>
        <w:t>Western European and other</w:t>
      </w:r>
      <w:r w:rsidR="004E5CAA">
        <w:rPr>
          <w:rFonts w:asciiTheme="majorBidi" w:hAnsiTheme="majorBidi" w:cstheme="majorBidi"/>
        </w:rPr>
        <w:t xml:space="preserve"> State</w:t>
      </w:r>
      <w:r w:rsidR="00E37556" w:rsidRPr="00D2758E">
        <w:rPr>
          <w:rFonts w:asciiTheme="majorBidi" w:hAnsiTheme="majorBidi" w:cstheme="majorBidi"/>
        </w:rPr>
        <w:t>s</w:t>
      </w:r>
      <w:r w:rsidR="006625C2">
        <w:rPr>
          <w:rFonts w:asciiTheme="majorBidi" w:hAnsiTheme="majorBidi" w:cstheme="majorBidi"/>
        </w:rPr>
        <w:t xml:space="preserve"> regional group</w:t>
      </w:r>
      <w:r w:rsidR="00E37556" w:rsidRPr="00D2758E">
        <w:rPr>
          <w:rFonts w:asciiTheme="majorBidi" w:hAnsiTheme="majorBidi" w:cstheme="majorBidi"/>
        </w:rPr>
        <w:t>, while 74</w:t>
      </w:r>
      <w:r w:rsidR="00E57EBB">
        <w:rPr>
          <w:rFonts w:asciiTheme="majorBidi" w:hAnsiTheme="majorBidi" w:cstheme="majorBidi"/>
        </w:rPr>
        <w:t xml:space="preserve"> per cent</w:t>
      </w:r>
      <w:r w:rsidR="00E37556" w:rsidRPr="00D2758E">
        <w:rPr>
          <w:rFonts w:asciiTheme="majorBidi" w:hAnsiTheme="majorBidi" w:cstheme="majorBidi"/>
        </w:rPr>
        <w:t xml:space="preserve"> of Parties in Asia</w:t>
      </w:r>
      <w:r w:rsidR="00E57EBB">
        <w:rPr>
          <w:rFonts w:asciiTheme="majorBidi" w:hAnsiTheme="majorBidi" w:cstheme="majorBidi"/>
        </w:rPr>
        <w:t>-</w:t>
      </w:r>
      <w:r w:rsidR="00E37556" w:rsidRPr="00D2758E">
        <w:rPr>
          <w:rFonts w:asciiTheme="majorBidi" w:hAnsiTheme="majorBidi" w:cstheme="majorBidi"/>
        </w:rPr>
        <w:t>Pacific and 65</w:t>
      </w:r>
      <w:r w:rsidR="0056052F">
        <w:rPr>
          <w:rFonts w:asciiTheme="majorBidi" w:hAnsiTheme="majorBidi" w:cstheme="majorBidi"/>
        </w:rPr>
        <w:t xml:space="preserve"> per cent</w:t>
      </w:r>
      <w:r w:rsidR="00E37556" w:rsidRPr="00D2758E">
        <w:rPr>
          <w:rFonts w:asciiTheme="majorBidi" w:hAnsiTheme="majorBidi" w:cstheme="majorBidi"/>
        </w:rPr>
        <w:t xml:space="preserve"> of Parties in </w:t>
      </w:r>
      <w:r w:rsidR="002D540D" w:rsidRPr="00D2758E">
        <w:rPr>
          <w:rFonts w:asciiTheme="majorBidi" w:hAnsiTheme="majorBidi" w:cstheme="majorBidi"/>
        </w:rPr>
        <w:t>Africa have</w:t>
      </w:r>
      <w:r w:rsidR="00E37556" w:rsidRPr="00D2758E">
        <w:rPr>
          <w:rFonts w:asciiTheme="majorBidi" w:hAnsiTheme="majorBidi" w:cstheme="majorBidi"/>
        </w:rPr>
        <w:t xml:space="preserve"> not yet</w:t>
      </w:r>
      <w:r w:rsidR="002D540D" w:rsidRPr="00D2758E">
        <w:rPr>
          <w:rFonts w:asciiTheme="majorBidi" w:hAnsiTheme="majorBidi" w:cstheme="majorBidi"/>
        </w:rPr>
        <w:t xml:space="preserve"> </w:t>
      </w:r>
      <w:r w:rsidR="00792CFA" w:rsidRPr="00D2758E">
        <w:rPr>
          <w:rFonts w:asciiTheme="majorBidi" w:hAnsiTheme="majorBidi" w:cstheme="majorBidi"/>
        </w:rPr>
        <w:t>designated a checkpoint</w:t>
      </w:r>
      <w:r w:rsidR="00E37556" w:rsidRPr="00D2758E">
        <w:rPr>
          <w:rFonts w:asciiTheme="majorBidi" w:hAnsiTheme="majorBidi" w:cstheme="majorBidi"/>
        </w:rPr>
        <w:t>.</w:t>
      </w:r>
    </w:p>
    <w:p w14:paraId="62B67FDA" w14:textId="3E8AC031" w:rsidR="00174370" w:rsidRPr="00D2758E" w:rsidRDefault="005C72C3" w:rsidP="00CD2C50">
      <w:pPr>
        <w:pStyle w:val="CBDNormalNumber"/>
        <w:rPr>
          <w:rFonts w:asciiTheme="majorBidi" w:hAnsiTheme="majorBidi" w:cstheme="majorBidi"/>
        </w:rPr>
      </w:pPr>
      <w:r w:rsidRPr="00D2758E">
        <w:rPr>
          <w:rFonts w:asciiTheme="majorBidi" w:hAnsiTheme="majorBidi" w:cstheme="majorBidi"/>
        </w:rPr>
        <w:t xml:space="preserve">A variety of approaches </w:t>
      </w:r>
      <w:r w:rsidR="009226C2" w:rsidRPr="00D2758E">
        <w:rPr>
          <w:rFonts w:asciiTheme="majorBidi" w:hAnsiTheme="majorBidi" w:cstheme="majorBidi"/>
        </w:rPr>
        <w:t>ha</w:t>
      </w:r>
      <w:r w:rsidR="0074791D">
        <w:rPr>
          <w:rFonts w:asciiTheme="majorBidi" w:hAnsiTheme="majorBidi" w:cstheme="majorBidi"/>
        </w:rPr>
        <w:t>ve</w:t>
      </w:r>
      <w:r w:rsidR="009226C2" w:rsidRPr="00D2758E">
        <w:rPr>
          <w:rFonts w:asciiTheme="majorBidi" w:hAnsiTheme="majorBidi" w:cstheme="majorBidi"/>
        </w:rPr>
        <w:t xml:space="preserve"> been adopted by Parties for establishing </w:t>
      </w:r>
      <w:r w:rsidR="004D4BF4" w:rsidRPr="004D4BF4">
        <w:rPr>
          <w:rFonts w:asciiTheme="majorBidi" w:hAnsiTheme="majorBidi" w:cstheme="majorBidi"/>
        </w:rPr>
        <w:t xml:space="preserve">access and benefit-sharing </w:t>
      </w:r>
      <w:r w:rsidR="009226C2" w:rsidRPr="00D2758E">
        <w:rPr>
          <w:rFonts w:asciiTheme="majorBidi" w:hAnsiTheme="majorBidi" w:cstheme="majorBidi"/>
        </w:rPr>
        <w:t>BS measures and institutional structures</w:t>
      </w:r>
      <w:r w:rsidR="00A82677" w:rsidRPr="00D2758E">
        <w:rPr>
          <w:rFonts w:asciiTheme="majorBidi" w:hAnsiTheme="majorBidi" w:cstheme="majorBidi"/>
        </w:rPr>
        <w:t xml:space="preserve"> to implement the Protocol, according to their national circumstances and priorities.</w:t>
      </w:r>
      <w:r w:rsidR="00133577" w:rsidRPr="00D2758E">
        <w:rPr>
          <w:rStyle w:val="FootnoteReference"/>
          <w:rFonts w:asciiTheme="majorBidi" w:hAnsiTheme="majorBidi" w:cstheme="majorBidi"/>
        </w:rPr>
        <w:footnoteReference w:id="13"/>
      </w:r>
      <w:r w:rsidR="00A82677" w:rsidRPr="00D2758E">
        <w:rPr>
          <w:rFonts w:asciiTheme="majorBidi" w:hAnsiTheme="majorBidi" w:cstheme="majorBidi"/>
        </w:rPr>
        <w:t xml:space="preserve"> </w:t>
      </w:r>
    </w:p>
    <w:p w14:paraId="0E53BFF1" w14:textId="313C5E58" w:rsidR="00174370" w:rsidRPr="00D2758E" w:rsidRDefault="00120A09" w:rsidP="00CD2C50">
      <w:pPr>
        <w:pStyle w:val="CBDNormalNumber"/>
        <w:rPr>
          <w:rFonts w:asciiTheme="majorBidi" w:hAnsiTheme="majorBidi" w:cstheme="majorBidi"/>
        </w:rPr>
      </w:pPr>
      <w:r>
        <w:rPr>
          <w:rFonts w:asciiTheme="majorBidi" w:hAnsiTheme="majorBidi" w:cstheme="majorBidi"/>
        </w:rPr>
        <w:t>Al</w:t>
      </w:r>
      <w:r w:rsidR="00174370" w:rsidRPr="00D2758E">
        <w:rPr>
          <w:rFonts w:asciiTheme="majorBidi" w:hAnsiTheme="majorBidi" w:cstheme="majorBidi"/>
        </w:rPr>
        <w:t xml:space="preserve">though progress </w:t>
      </w:r>
      <w:r w:rsidR="00174370" w:rsidRPr="00D2758E">
        <w:t>has</w:t>
      </w:r>
      <w:r w:rsidR="00174370" w:rsidRPr="00D2758E">
        <w:rPr>
          <w:rFonts w:asciiTheme="majorBidi" w:hAnsiTheme="majorBidi" w:cstheme="majorBidi"/>
        </w:rPr>
        <w:t xml:space="preserve"> been made in publishing available national information </w:t>
      </w:r>
      <w:r w:rsidR="00C648B0">
        <w:rPr>
          <w:rFonts w:asciiTheme="majorBidi" w:hAnsiTheme="majorBidi" w:cstheme="majorBidi"/>
        </w:rPr>
        <w:t>o</w:t>
      </w:r>
      <w:r w:rsidR="00174370" w:rsidRPr="00D2758E">
        <w:rPr>
          <w:rFonts w:asciiTheme="majorBidi" w:hAnsiTheme="majorBidi" w:cstheme="majorBidi"/>
        </w:rPr>
        <w:t xml:space="preserve">n the </w:t>
      </w:r>
      <w:r w:rsidR="00DB7D74" w:rsidRPr="00DB7D74">
        <w:rPr>
          <w:rFonts w:asciiTheme="majorBidi" w:hAnsiTheme="majorBidi" w:cstheme="majorBidi"/>
        </w:rPr>
        <w:t xml:space="preserve">Access and Benefit-sharing </w:t>
      </w:r>
      <w:r w:rsidR="00174370" w:rsidRPr="00D2758E">
        <w:rPr>
          <w:rFonts w:asciiTheme="majorBidi" w:hAnsiTheme="majorBidi" w:cstheme="majorBidi"/>
        </w:rPr>
        <w:t xml:space="preserve">Clearing-House, </w:t>
      </w:r>
      <w:r w:rsidR="00037F09">
        <w:rPr>
          <w:rFonts w:asciiTheme="majorBidi" w:hAnsiTheme="majorBidi" w:cstheme="majorBidi"/>
        </w:rPr>
        <w:t>further</w:t>
      </w:r>
      <w:r w:rsidR="00174370" w:rsidRPr="00D2758E">
        <w:rPr>
          <w:rFonts w:asciiTheme="majorBidi" w:hAnsiTheme="majorBidi" w:cstheme="majorBidi"/>
        </w:rPr>
        <w:t xml:space="preserve"> efforts need to be </w:t>
      </w:r>
      <w:r w:rsidR="00570E60">
        <w:rPr>
          <w:rFonts w:asciiTheme="majorBidi" w:hAnsiTheme="majorBidi" w:cstheme="majorBidi"/>
        </w:rPr>
        <w:t xml:space="preserve">directed towards </w:t>
      </w:r>
      <w:r w:rsidR="001A4A6B">
        <w:rPr>
          <w:rFonts w:asciiTheme="majorBidi" w:hAnsiTheme="majorBidi" w:cstheme="majorBidi"/>
        </w:rPr>
        <w:t xml:space="preserve">ensuring that </w:t>
      </w:r>
      <w:r w:rsidR="00174370" w:rsidRPr="00D2758E">
        <w:rPr>
          <w:rFonts w:asciiTheme="majorBidi" w:hAnsiTheme="majorBidi" w:cstheme="majorBidi"/>
        </w:rPr>
        <w:t xml:space="preserve">all information </w:t>
      </w:r>
      <w:r w:rsidR="00C95A08">
        <w:rPr>
          <w:rFonts w:asciiTheme="majorBidi" w:hAnsiTheme="majorBidi" w:cstheme="majorBidi"/>
        </w:rPr>
        <w:t xml:space="preserve">related to access and benefit sharing </w:t>
      </w:r>
      <w:r w:rsidR="00D968B8">
        <w:rPr>
          <w:rFonts w:asciiTheme="majorBidi" w:hAnsiTheme="majorBidi" w:cstheme="majorBidi"/>
        </w:rPr>
        <w:t xml:space="preserve">is </w:t>
      </w:r>
      <w:r w:rsidR="00174370" w:rsidRPr="00D2758E">
        <w:rPr>
          <w:rFonts w:asciiTheme="majorBidi" w:hAnsiTheme="majorBidi" w:cstheme="majorBidi"/>
        </w:rPr>
        <w:t>available, reliable and up to date.</w:t>
      </w:r>
    </w:p>
    <w:p w14:paraId="1B487BC2" w14:textId="73FC20BF" w:rsidR="00174370" w:rsidRPr="00D2758E" w:rsidRDefault="00174370" w:rsidP="00B60F41">
      <w:pPr>
        <w:pStyle w:val="CBDTableTitle"/>
      </w:pPr>
      <w:r w:rsidRPr="00AC0C6D">
        <w:rPr>
          <w:b w:val="0"/>
          <w:bCs/>
        </w:rPr>
        <w:t>Table 2</w:t>
      </w:r>
      <w:r w:rsidR="00B60F41">
        <w:t xml:space="preserve"> </w:t>
      </w:r>
      <w:r w:rsidR="00B60F41">
        <w:br/>
      </w:r>
      <w:r w:rsidRPr="00D2758E">
        <w:t>Indicators to measure progress in establishing structures and access and benefit-sharing measures for the implementation of the Protocol</w:t>
      </w:r>
    </w:p>
    <w:tbl>
      <w:tblPr>
        <w:tblW w:w="9138" w:type="dxa"/>
        <w:tblInd w:w="562" w:type="dxa"/>
        <w:tblLayout w:type="fixed"/>
        <w:tblLook w:val="04A0" w:firstRow="1" w:lastRow="0" w:firstColumn="1" w:lastColumn="0" w:noHBand="0" w:noVBand="1"/>
      </w:tblPr>
      <w:tblGrid>
        <w:gridCol w:w="5392"/>
        <w:gridCol w:w="2268"/>
        <w:gridCol w:w="1478"/>
      </w:tblGrid>
      <w:tr w:rsidR="00174370" w:rsidRPr="00F13499" w14:paraId="038971E1" w14:textId="77777777" w:rsidTr="006B066D">
        <w:trPr>
          <w:cantSplit/>
          <w:tblHeader/>
        </w:trPr>
        <w:tc>
          <w:tcPr>
            <w:tcW w:w="5392" w:type="dxa"/>
            <w:tcBorders>
              <w:top w:val="single" w:sz="4" w:space="0" w:color="auto"/>
              <w:bottom w:val="single" w:sz="4" w:space="0" w:color="auto"/>
            </w:tcBorders>
            <w:shd w:val="clear" w:color="auto" w:fill="FFFFFF" w:themeFill="background1"/>
            <w:tcMar>
              <w:top w:w="29" w:type="dxa"/>
              <w:left w:w="115" w:type="dxa"/>
              <w:bottom w:w="29" w:type="dxa"/>
              <w:right w:w="115" w:type="dxa"/>
            </w:tcMar>
            <w:vAlign w:val="bottom"/>
            <w:hideMark/>
          </w:tcPr>
          <w:p w14:paraId="46C0807E" w14:textId="77777777" w:rsidR="00174370" w:rsidRPr="00F13499" w:rsidRDefault="00174370" w:rsidP="00670C5C">
            <w:pPr>
              <w:suppressLineNumbers/>
              <w:suppressAutoHyphens/>
              <w:kinsoku w:val="0"/>
              <w:overflowPunct w:val="0"/>
              <w:autoSpaceDE w:val="0"/>
              <w:autoSpaceDN w:val="0"/>
              <w:adjustRightInd w:val="0"/>
              <w:snapToGrid w:val="0"/>
              <w:jc w:val="left"/>
              <w:rPr>
                <w:rFonts w:asciiTheme="majorBidi" w:eastAsia="Malgun Gothic" w:hAnsiTheme="majorBidi" w:cstheme="majorBidi"/>
                <w:bCs/>
                <w:i/>
                <w:iCs/>
                <w:kern w:val="22"/>
                <w:sz w:val="20"/>
                <w:szCs w:val="20"/>
              </w:rPr>
            </w:pPr>
            <w:r w:rsidRPr="00F13499">
              <w:rPr>
                <w:rFonts w:asciiTheme="majorBidi" w:eastAsia="Malgun Gothic" w:hAnsiTheme="majorBidi" w:cstheme="majorBidi"/>
                <w:bCs/>
                <w:i/>
                <w:iCs/>
                <w:kern w:val="22"/>
                <w:sz w:val="20"/>
                <w:szCs w:val="20"/>
              </w:rPr>
              <w:t>Framework of indicators</w:t>
            </w:r>
          </w:p>
        </w:tc>
        <w:tc>
          <w:tcPr>
            <w:tcW w:w="2268" w:type="dxa"/>
            <w:tcBorders>
              <w:top w:val="single" w:sz="4" w:space="0" w:color="auto"/>
              <w:bottom w:val="single" w:sz="4" w:space="0" w:color="auto"/>
            </w:tcBorders>
            <w:shd w:val="clear" w:color="auto" w:fill="FFFFFF" w:themeFill="background1"/>
            <w:tcMar>
              <w:top w:w="29" w:type="dxa"/>
              <w:left w:w="115" w:type="dxa"/>
              <w:bottom w:w="29" w:type="dxa"/>
              <w:right w:w="115" w:type="dxa"/>
            </w:tcMar>
            <w:vAlign w:val="bottom"/>
            <w:hideMark/>
          </w:tcPr>
          <w:p w14:paraId="620E3DE5" w14:textId="315CEDDF" w:rsidR="00174370" w:rsidRPr="00F13499" w:rsidRDefault="00174370" w:rsidP="006B066D">
            <w:pPr>
              <w:suppressLineNumbers/>
              <w:suppressAutoHyphens/>
              <w:kinsoku w:val="0"/>
              <w:overflowPunct w:val="0"/>
              <w:autoSpaceDE w:val="0"/>
              <w:autoSpaceDN w:val="0"/>
              <w:adjustRightInd w:val="0"/>
              <w:snapToGrid w:val="0"/>
              <w:jc w:val="right"/>
              <w:rPr>
                <w:rFonts w:asciiTheme="majorBidi" w:eastAsia="Malgun Gothic" w:hAnsiTheme="majorBidi" w:cstheme="majorBidi"/>
                <w:bCs/>
                <w:i/>
                <w:iCs/>
                <w:kern w:val="22"/>
                <w:sz w:val="20"/>
                <w:szCs w:val="20"/>
              </w:rPr>
            </w:pPr>
            <w:r w:rsidRPr="00F13499">
              <w:rPr>
                <w:rFonts w:asciiTheme="majorBidi" w:eastAsia="Malgun Gothic" w:hAnsiTheme="majorBidi" w:cstheme="majorBidi"/>
                <w:bCs/>
                <w:i/>
                <w:iCs/>
                <w:kern w:val="22"/>
                <w:sz w:val="20"/>
                <w:szCs w:val="20"/>
              </w:rPr>
              <w:t xml:space="preserve">Reference point </w:t>
            </w:r>
            <w:r w:rsidR="00F13499">
              <w:rPr>
                <w:rFonts w:asciiTheme="majorBidi" w:eastAsia="Malgun Gothic" w:hAnsiTheme="majorBidi" w:cstheme="majorBidi"/>
                <w:bCs/>
                <w:i/>
                <w:iCs/>
                <w:kern w:val="22"/>
                <w:sz w:val="20"/>
                <w:szCs w:val="20"/>
              </w:rPr>
              <w:br/>
            </w:r>
            <w:r w:rsidRPr="00F13499">
              <w:rPr>
                <w:rFonts w:asciiTheme="majorBidi" w:eastAsia="Malgun Gothic" w:hAnsiTheme="majorBidi" w:cstheme="majorBidi"/>
                <w:bCs/>
                <w:i/>
                <w:iCs/>
                <w:kern w:val="22"/>
                <w:sz w:val="20"/>
                <w:szCs w:val="20"/>
              </w:rPr>
              <w:t xml:space="preserve">(as </w:t>
            </w:r>
            <w:r w:rsidR="00F13499">
              <w:rPr>
                <w:rFonts w:asciiTheme="majorBidi" w:eastAsia="Malgun Gothic" w:hAnsiTheme="majorBidi" w:cstheme="majorBidi"/>
                <w:bCs/>
                <w:i/>
                <w:iCs/>
                <w:kern w:val="22"/>
                <w:sz w:val="20"/>
                <w:szCs w:val="20"/>
              </w:rPr>
              <w:t>at</w:t>
            </w:r>
            <w:r w:rsidRPr="00F13499">
              <w:rPr>
                <w:rFonts w:asciiTheme="majorBidi" w:eastAsia="Malgun Gothic" w:hAnsiTheme="majorBidi" w:cstheme="majorBidi"/>
                <w:bCs/>
                <w:i/>
                <w:iCs/>
                <w:kern w:val="22"/>
                <w:sz w:val="20"/>
                <w:szCs w:val="20"/>
              </w:rPr>
              <w:t xml:space="preserve"> 22 February 2018)</w:t>
            </w:r>
          </w:p>
        </w:tc>
        <w:tc>
          <w:tcPr>
            <w:tcW w:w="1478" w:type="dxa"/>
            <w:tcBorders>
              <w:top w:val="single" w:sz="4" w:space="0" w:color="auto"/>
              <w:bottom w:val="single" w:sz="4" w:space="0" w:color="auto"/>
            </w:tcBorders>
            <w:shd w:val="clear" w:color="auto" w:fill="FFFFFF" w:themeFill="background1"/>
            <w:vAlign w:val="bottom"/>
          </w:tcPr>
          <w:p w14:paraId="576973B9" w14:textId="73E71C3C" w:rsidR="00174370" w:rsidRPr="00F13499" w:rsidRDefault="001167A4" w:rsidP="006B066D">
            <w:pPr>
              <w:suppressLineNumbers/>
              <w:suppressAutoHyphens/>
              <w:kinsoku w:val="0"/>
              <w:overflowPunct w:val="0"/>
              <w:autoSpaceDE w:val="0"/>
              <w:autoSpaceDN w:val="0"/>
              <w:adjustRightInd w:val="0"/>
              <w:snapToGrid w:val="0"/>
              <w:jc w:val="right"/>
              <w:rPr>
                <w:rFonts w:asciiTheme="majorBidi" w:eastAsia="Malgun Gothic" w:hAnsiTheme="majorBidi" w:cstheme="majorBidi"/>
                <w:bCs/>
                <w:i/>
                <w:iCs/>
                <w:kern w:val="22"/>
                <w:sz w:val="20"/>
                <w:szCs w:val="20"/>
              </w:rPr>
            </w:pPr>
            <w:r>
              <w:rPr>
                <w:rFonts w:asciiTheme="majorBidi" w:eastAsia="Malgun Gothic" w:hAnsiTheme="majorBidi" w:cstheme="majorBidi"/>
                <w:bCs/>
                <w:i/>
                <w:iCs/>
                <w:kern w:val="22"/>
                <w:sz w:val="20"/>
                <w:szCs w:val="20"/>
              </w:rPr>
              <w:t xml:space="preserve">Progress </w:t>
            </w:r>
            <w:r w:rsidR="005C2BED">
              <w:rPr>
                <w:rFonts w:asciiTheme="majorBidi" w:eastAsia="Malgun Gothic" w:hAnsiTheme="majorBidi" w:cstheme="majorBidi"/>
                <w:bCs/>
                <w:i/>
                <w:iCs/>
                <w:kern w:val="22"/>
                <w:sz w:val="20"/>
                <w:szCs w:val="20"/>
              </w:rPr>
              <w:t xml:space="preserve">as at </w:t>
            </w:r>
            <w:r w:rsidR="00174370" w:rsidRPr="00F13499">
              <w:rPr>
                <w:rFonts w:asciiTheme="majorBidi" w:eastAsia="Malgun Gothic" w:hAnsiTheme="majorBidi" w:cstheme="majorBidi"/>
                <w:bCs/>
                <w:i/>
                <w:iCs/>
                <w:kern w:val="22"/>
                <w:sz w:val="20"/>
                <w:szCs w:val="20"/>
              </w:rPr>
              <w:t>9 March 2026</w:t>
            </w:r>
          </w:p>
        </w:tc>
      </w:tr>
      <w:tr w:rsidR="00174370" w:rsidRPr="00D2758E" w14:paraId="69FD2DD5" w14:textId="77777777" w:rsidTr="006B066D">
        <w:trPr>
          <w:cantSplit/>
        </w:trPr>
        <w:tc>
          <w:tcPr>
            <w:tcW w:w="5392" w:type="dxa"/>
            <w:tcBorders>
              <w:top w:val="single" w:sz="4" w:space="0" w:color="auto"/>
            </w:tcBorders>
            <w:tcMar>
              <w:top w:w="29" w:type="dxa"/>
              <w:left w:w="115" w:type="dxa"/>
              <w:bottom w:w="29" w:type="dxa"/>
              <w:right w:w="115" w:type="dxa"/>
            </w:tcMar>
            <w:hideMark/>
          </w:tcPr>
          <w:p w14:paraId="4AE266E8" w14:textId="2A8123DE" w:rsidR="00174370" w:rsidRPr="00D2758E" w:rsidRDefault="00174370" w:rsidP="005906B3">
            <w:pPr>
              <w:suppressLineNumbers/>
              <w:suppressAutoHyphens/>
              <w:kinsoku w:val="0"/>
              <w:overflowPunct w:val="0"/>
              <w:autoSpaceDE w:val="0"/>
              <w:autoSpaceDN w:val="0"/>
              <w:adjustRightInd w:val="0"/>
              <w:snapToGrid w:val="0"/>
              <w:jc w:val="left"/>
              <w:rPr>
                <w:rFonts w:asciiTheme="majorBidi" w:eastAsia="Malgun Gothic" w:hAnsiTheme="majorBidi" w:cstheme="majorBidi"/>
                <w:kern w:val="22"/>
                <w:sz w:val="20"/>
                <w:szCs w:val="20"/>
              </w:rPr>
            </w:pPr>
            <w:r w:rsidRPr="00D2758E">
              <w:rPr>
                <w:rFonts w:asciiTheme="majorBidi" w:eastAsia="Malgun Gothic" w:hAnsiTheme="majorBidi" w:cstheme="majorBidi"/>
                <w:kern w:val="22"/>
                <w:sz w:val="20"/>
                <w:szCs w:val="20"/>
              </w:rPr>
              <w:t xml:space="preserve">Number and percentage of Parties with </w:t>
            </w:r>
            <w:r w:rsidR="005906B3" w:rsidRPr="005906B3">
              <w:rPr>
                <w:rFonts w:asciiTheme="majorBidi" w:eastAsia="Malgun Gothic" w:hAnsiTheme="majorBidi" w:cstheme="majorBidi"/>
                <w:kern w:val="22"/>
                <w:sz w:val="20"/>
                <w:szCs w:val="20"/>
              </w:rPr>
              <w:t xml:space="preserve">access and </w:t>
            </w:r>
            <w:r w:rsidR="00B01903">
              <w:rPr>
                <w:rFonts w:asciiTheme="majorBidi" w:eastAsia="Malgun Gothic" w:hAnsiTheme="majorBidi" w:cstheme="majorBidi"/>
                <w:kern w:val="22"/>
                <w:sz w:val="20"/>
                <w:szCs w:val="20"/>
              </w:rPr>
              <w:br/>
            </w:r>
            <w:r w:rsidR="005906B3" w:rsidRPr="005906B3">
              <w:rPr>
                <w:rFonts w:asciiTheme="majorBidi" w:eastAsia="Malgun Gothic" w:hAnsiTheme="majorBidi" w:cstheme="majorBidi"/>
                <w:kern w:val="22"/>
                <w:sz w:val="20"/>
                <w:szCs w:val="20"/>
              </w:rPr>
              <w:t xml:space="preserve">benefit-sharing </w:t>
            </w:r>
            <w:r w:rsidR="00FD10AF" w:rsidRPr="00D2758E">
              <w:rPr>
                <w:rFonts w:asciiTheme="majorBidi" w:eastAsia="Malgun Gothic" w:hAnsiTheme="majorBidi" w:cstheme="majorBidi"/>
                <w:kern w:val="22"/>
                <w:sz w:val="20"/>
                <w:szCs w:val="20"/>
              </w:rPr>
              <w:t>national</w:t>
            </w:r>
            <w:r w:rsidR="00FD10AF" w:rsidRPr="00D2758E" w:rsidDel="00E307D2">
              <w:rPr>
                <w:rFonts w:asciiTheme="majorBidi" w:eastAsia="Malgun Gothic" w:hAnsiTheme="majorBidi" w:cstheme="majorBidi"/>
                <w:kern w:val="22"/>
                <w:sz w:val="20"/>
                <w:szCs w:val="20"/>
              </w:rPr>
              <w:t xml:space="preserve"> </w:t>
            </w:r>
            <w:r w:rsidRPr="00D2758E">
              <w:rPr>
                <w:rFonts w:asciiTheme="majorBidi" w:eastAsia="Malgun Gothic" w:hAnsiTheme="majorBidi" w:cstheme="majorBidi"/>
                <w:kern w:val="22"/>
                <w:sz w:val="20"/>
                <w:szCs w:val="20"/>
              </w:rPr>
              <w:t xml:space="preserve">focal points </w:t>
            </w:r>
          </w:p>
        </w:tc>
        <w:tc>
          <w:tcPr>
            <w:tcW w:w="2268" w:type="dxa"/>
            <w:tcBorders>
              <w:top w:val="single" w:sz="4" w:space="0" w:color="auto"/>
            </w:tcBorders>
            <w:tcMar>
              <w:top w:w="29" w:type="dxa"/>
              <w:left w:w="115" w:type="dxa"/>
              <w:bottom w:w="29" w:type="dxa"/>
              <w:right w:w="115" w:type="dxa"/>
            </w:tcMar>
            <w:vAlign w:val="bottom"/>
            <w:hideMark/>
          </w:tcPr>
          <w:p w14:paraId="6A92A586" w14:textId="3749C574" w:rsidR="00174370" w:rsidRPr="00D2758E" w:rsidRDefault="00174370" w:rsidP="00670C5C">
            <w:pPr>
              <w:suppressLineNumbers/>
              <w:suppressAutoHyphens/>
              <w:kinsoku w:val="0"/>
              <w:overflowPunct w:val="0"/>
              <w:autoSpaceDE w:val="0"/>
              <w:autoSpaceDN w:val="0"/>
              <w:adjustRightInd w:val="0"/>
              <w:snapToGrid w:val="0"/>
              <w:jc w:val="right"/>
              <w:rPr>
                <w:rFonts w:asciiTheme="majorBidi" w:eastAsia="Calibri" w:hAnsiTheme="majorBidi" w:cstheme="majorBidi"/>
                <w:kern w:val="22"/>
                <w:sz w:val="20"/>
                <w:szCs w:val="20"/>
              </w:rPr>
            </w:pPr>
            <w:r w:rsidRPr="00D2758E">
              <w:rPr>
                <w:rFonts w:asciiTheme="majorBidi" w:eastAsia="Calibri" w:hAnsiTheme="majorBidi" w:cstheme="majorBidi"/>
                <w:kern w:val="22"/>
                <w:sz w:val="20"/>
                <w:szCs w:val="20"/>
              </w:rPr>
              <w:t>103 (98</w:t>
            </w:r>
            <w:r w:rsidR="005C2BED">
              <w:rPr>
                <w:rFonts w:asciiTheme="majorBidi" w:eastAsia="Calibri" w:hAnsiTheme="majorBidi" w:cstheme="majorBidi"/>
                <w:kern w:val="22"/>
                <w:sz w:val="20"/>
                <w:szCs w:val="20"/>
              </w:rPr>
              <w:t xml:space="preserve"> per cent</w:t>
            </w:r>
            <w:r w:rsidRPr="00D2758E">
              <w:rPr>
                <w:rFonts w:asciiTheme="majorBidi" w:eastAsia="Calibri" w:hAnsiTheme="majorBidi" w:cstheme="majorBidi"/>
                <w:kern w:val="22"/>
                <w:sz w:val="20"/>
                <w:szCs w:val="20"/>
              </w:rPr>
              <w:t>)</w:t>
            </w:r>
          </w:p>
        </w:tc>
        <w:tc>
          <w:tcPr>
            <w:tcW w:w="1478" w:type="dxa"/>
            <w:tcBorders>
              <w:top w:val="single" w:sz="4" w:space="0" w:color="auto"/>
            </w:tcBorders>
            <w:vAlign w:val="bottom"/>
          </w:tcPr>
          <w:p w14:paraId="16E4FE51" w14:textId="2428C9C2" w:rsidR="00174370" w:rsidRPr="00D2758E" w:rsidRDefault="00174370" w:rsidP="00670C5C">
            <w:pPr>
              <w:suppressLineNumbers/>
              <w:suppressAutoHyphens/>
              <w:kinsoku w:val="0"/>
              <w:overflowPunct w:val="0"/>
              <w:autoSpaceDE w:val="0"/>
              <w:autoSpaceDN w:val="0"/>
              <w:adjustRightInd w:val="0"/>
              <w:snapToGrid w:val="0"/>
              <w:jc w:val="right"/>
              <w:rPr>
                <w:rFonts w:asciiTheme="majorBidi" w:eastAsia="Calibri" w:hAnsiTheme="majorBidi" w:cstheme="majorBidi"/>
                <w:kern w:val="22"/>
                <w:sz w:val="20"/>
                <w:szCs w:val="20"/>
              </w:rPr>
            </w:pPr>
            <w:r w:rsidRPr="00D2758E">
              <w:rPr>
                <w:rFonts w:asciiTheme="majorBidi" w:eastAsia="Calibri" w:hAnsiTheme="majorBidi" w:cstheme="majorBidi"/>
                <w:kern w:val="22"/>
                <w:sz w:val="20"/>
                <w:szCs w:val="20"/>
              </w:rPr>
              <w:t>138 (97</w:t>
            </w:r>
            <w:r w:rsidR="005C2BED">
              <w:rPr>
                <w:rFonts w:asciiTheme="majorBidi" w:eastAsia="Calibri" w:hAnsiTheme="majorBidi" w:cstheme="majorBidi"/>
                <w:kern w:val="22"/>
                <w:sz w:val="20"/>
                <w:szCs w:val="20"/>
              </w:rPr>
              <w:t>per cent</w:t>
            </w:r>
            <w:r w:rsidRPr="00D2758E">
              <w:rPr>
                <w:rFonts w:asciiTheme="majorBidi" w:eastAsia="Calibri" w:hAnsiTheme="majorBidi" w:cstheme="majorBidi"/>
                <w:kern w:val="22"/>
                <w:sz w:val="20"/>
                <w:szCs w:val="20"/>
              </w:rPr>
              <w:t>)</w:t>
            </w:r>
          </w:p>
        </w:tc>
      </w:tr>
      <w:tr w:rsidR="00174370" w:rsidRPr="00D2758E" w14:paraId="10F7F9AF" w14:textId="77777777" w:rsidTr="006B066D">
        <w:trPr>
          <w:cantSplit/>
        </w:trPr>
        <w:tc>
          <w:tcPr>
            <w:tcW w:w="5392" w:type="dxa"/>
            <w:tcMar>
              <w:top w:w="29" w:type="dxa"/>
              <w:left w:w="115" w:type="dxa"/>
              <w:bottom w:w="29" w:type="dxa"/>
              <w:right w:w="115" w:type="dxa"/>
            </w:tcMar>
            <w:hideMark/>
          </w:tcPr>
          <w:p w14:paraId="30D43E5D" w14:textId="6B5FB89F" w:rsidR="00174370" w:rsidRPr="00D2758E" w:rsidRDefault="00174370" w:rsidP="005906B3">
            <w:pPr>
              <w:suppressLineNumbers/>
              <w:suppressAutoHyphens/>
              <w:kinsoku w:val="0"/>
              <w:overflowPunct w:val="0"/>
              <w:autoSpaceDE w:val="0"/>
              <w:autoSpaceDN w:val="0"/>
              <w:adjustRightInd w:val="0"/>
              <w:snapToGrid w:val="0"/>
              <w:jc w:val="left"/>
              <w:rPr>
                <w:rFonts w:asciiTheme="majorBidi" w:eastAsia="Malgun Gothic" w:hAnsiTheme="majorBidi" w:cstheme="majorBidi"/>
                <w:kern w:val="22"/>
                <w:sz w:val="20"/>
                <w:szCs w:val="20"/>
              </w:rPr>
            </w:pPr>
            <w:r w:rsidRPr="00D2758E">
              <w:rPr>
                <w:rFonts w:asciiTheme="majorBidi" w:eastAsia="Malgun Gothic" w:hAnsiTheme="majorBidi" w:cstheme="majorBidi"/>
                <w:kern w:val="22"/>
                <w:sz w:val="20"/>
                <w:szCs w:val="20"/>
              </w:rPr>
              <w:t xml:space="preserve">Number and percentage of Parties with one or </w:t>
            </w:r>
            <w:r w:rsidR="00EA12FF">
              <w:rPr>
                <w:rFonts w:asciiTheme="majorBidi" w:eastAsia="Malgun Gothic" w:hAnsiTheme="majorBidi" w:cstheme="majorBidi"/>
                <w:kern w:val="22"/>
                <w:sz w:val="20"/>
                <w:szCs w:val="20"/>
              </w:rPr>
              <w:br/>
            </w:r>
            <w:r w:rsidRPr="00D2758E">
              <w:rPr>
                <w:rFonts w:asciiTheme="majorBidi" w:eastAsia="Malgun Gothic" w:hAnsiTheme="majorBidi" w:cstheme="majorBidi"/>
                <w:kern w:val="22"/>
                <w:sz w:val="20"/>
                <w:szCs w:val="20"/>
              </w:rPr>
              <w:t>more competent national authorities</w:t>
            </w:r>
          </w:p>
        </w:tc>
        <w:tc>
          <w:tcPr>
            <w:tcW w:w="2268" w:type="dxa"/>
            <w:tcMar>
              <w:top w:w="29" w:type="dxa"/>
              <w:left w:w="115" w:type="dxa"/>
              <w:bottom w:w="29" w:type="dxa"/>
              <w:right w:w="115" w:type="dxa"/>
            </w:tcMar>
            <w:vAlign w:val="bottom"/>
            <w:hideMark/>
          </w:tcPr>
          <w:p w14:paraId="59694489" w14:textId="4BD0F06B" w:rsidR="00174370" w:rsidRPr="00D2758E" w:rsidRDefault="00174370" w:rsidP="00670C5C">
            <w:pPr>
              <w:suppressLineNumbers/>
              <w:suppressAutoHyphens/>
              <w:kinsoku w:val="0"/>
              <w:overflowPunct w:val="0"/>
              <w:autoSpaceDE w:val="0"/>
              <w:autoSpaceDN w:val="0"/>
              <w:adjustRightInd w:val="0"/>
              <w:snapToGrid w:val="0"/>
              <w:jc w:val="right"/>
              <w:rPr>
                <w:rFonts w:asciiTheme="majorBidi" w:eastAsia="Calibri" w:hAnsiTheme="majorBidi" w:cstheme="majorBidi"/>
                <w:kern w:val="22"/>
                <w:sz w:val="20"/>
                <w:szCs w:val="20"/>
              </w:rPr>
            </w:pPr>
            <w:r w:rsidRPr="00D2758E">
              <w:rPr>
                <w:rFonts w:asciiTheme="majorBidi" w:eastAsia="Calibri" w:hAnsiTheme="majorBidi" w:cstheme="majorBidi"/>
                <w:kern w:val="22"/>
                <w:sz w:val="20"/>
                <w:szCs w:val="20"/>
              </w:rPr>
              <w:t>57 (54</w:t>
            </w:r>
            <w:r w:rsidR="00F87A2E">
              <w:rPr>
                <w:rFonts w:asciiTheme="majorBidi" w:eastAsia="Calibri" w:hAnsiTheme="majorBidi" w:cstheme="majorBidi"/>
                <w:kern w:val="22"/>
                <w:sz w:val="20"/>
                <w:szCs w:val="20"/>
              </w:rPr>
              <w:t xml:space="preserve"> per cent</w:t>
            </w:r>
            <w:r w:rsidRPr="00D2758E">
              <w:rPr>
                <w:rFonts w:asciiTheme="majorBidi" w:eastAsia="Calibri" w:hAnsiTheme="majorBidi" w:cstheme="majorBidi"/>
                <w:kern w:val="22"/>
                <w:sz w:val="20"/>
                <w:szCs w:val="20"/>
              </w:rPr>
              <w:t>)</w:t>
            </w:r>
          </w:p>
        </w:tc>
        <w:tc>
          <w:tcPr>
            <w:tcW w:w="1478" w:type="dxa"/>
            <w:vAlign w:val="bottom"/>
          </w:tcPr>
          <w:p w14:paraId="367711F0" w14:textId="29A403A7" w:rsidR="00174370" w:rsidRPr="00D2758E" w:rsidRDefault="00174370" w:rsidP="00670C5C">
            <w:pPr>
              <w:suppressLineNumbers/>
              <w:suppressAutoHyphens/>
              <w:kinsoku w:val="0"/>
              <w:overflowPunct w:val="0"/>
              <w:autoSpaceDE w:val="0"/>
              <w:autoSpaceDN w:val="0"/>
              <w:adjustRightInd w:val="0"/>
              <w:snapToGrid w:val="0"/>
              <w:jc w:val="right"/>
              <w:rPr>
                <w:rFonts w:asciiTheme="majorBidi" w:eastAsia="Calibri" w:hAnsiTheme="majorBidi" w:cstheme="majorBidi"/>
                <w:kern w:val="22"/>
                <w:sz w:val="20"/>
                <w:szCs w:val="20"/>
              </w:rPr>
            </w:pPr>
            <w:r w:rsidRPr="00D2758E">
              <w:rPr>
                <w:rFonts w:asciiTheme="majorBidi" w:eastAsia="Calibri" w:hAnsiTheme="majorBidi" w:cstheme="majorBidi"/>
                <w:kern w:val="22"/>
                <w:sz w:val="20"/>
                <w:szCs w:val="20"/>
              </w:rPr>
              <w:t>105 (74</w:t>
            </w:r>
            <w:r w:rsidR="00F87A2E">
              <w:rPr>
                <w:rFonts w:asciiTheme="majorBidi" w:eastAsia="Calibri" w:hAnsiTheme="majorBidi" w:cstheme="majorBidi"/>
                <w:kern w:val="22"/>
                <w:sz w:val="20"/>
                <w:szCs w:val="20"/>
              </w:rPr>
              <w:t xml:space="preserve"> per cent</w:t>
            </w:r>
            <w:r w:rsidRPr="00D2758E">
              <w:rPr>
                <w:rFonts w:asciiTheme="majorBidi" w:eastAsia="Calibri" w:hAnsiTheme="majorBidi" w:cstheme="majorBidi"/>
                <w:kern w:val="22"/>
                <w:sz w:val="20"/>
                <w:szCs w:val="20"/>
              </w:rPr>
              <w:t>)</w:t>
            </w:r>
          </w:p>
        </w:tc>
      </w:tr>
      <w:tr w:rsidR="00174370" w:rsidRPr="00D2758E" w14:paraId="2DEEB82A" w14:textId="77777777" w:rsidTr="006B066D">
        <w:trPr>
          <w:cantSplit/>
        </w:trPr>
        <w:tc>
          <w:tcPr>
            <w:tcW w:w="5392" w:type="dxa"/>
            <w:tcBorders>
              <w:bottom w:val="single" w:sz="4" w:space="0" w:color="auto"/>
            </w:tcBorders>
            <w:tcMar>
              <w:top w:w="29" w:type="dxa"/>
              <w:left w:w="115" w:type="dxa"/>
              <w:bottom w:w="29" w:type="dxa"/>
              <w:right w:w="115" w:type="dxa"/>
            </w:tcMar>
            <w:hideMark/>
          </w:tcPr>
          <w:p w14:paraId="14326BB8" w14:textId="00DB350B" w:rsidR="00174370" w:rsidRPr="00D2758E" w:rsidRDefault="00174370" w:rsidP="005906B3">
            <w:pPr>
              <w:suppressLineNumbers/>
              <w:suppressAutoHyphens/>
              <w:kinsoku w:val="0"/>
              <w:overflowPunct w:val="0"/>
              <w:autoSpaceDE w:val="0"/>
              <w:autoSpaceDN w:val="0"/>
              <w:adjustRightInd w:val="0"/>
              <w:snapToGrid w:val="0"/>
              <w:jc w:val="left"/>
              <w:rPr>
                <w:rFonts w:asciiTheme="majorBidi" w:eastAsia="Malgun Gothic" w:hAnsiTheme="majorBidi" w:cstheme="majorBidi"/>
                <w:kern w:val="22"/>
                <w:sz w:val="20"/>
                <w:szCs w:val="20"/>
              </w:rPr>
            </w:pPr>
            <w:r w:rsidRPr="00D2758E">
              <w:rPr>
                <w:rFonts w:asciiTheme="majorBidi" w:eastAsia="Malgun Gothic" w:hAnsiTheme="majorBidi" w:cstheme="majorBidi"/>
                <w:kern w:val="22"/>
                <w:sz w:val="20"/>
                <w:szCs w:val="20"/>
              </w:rPr>
              <w:lastRenderedPageBreak/>
              <w:t xml:space="preserve">Number and percentage of Parties with one or </w:t>
            </w:r>
            <w:r w:rsidR="00EA12FF">
              <w:rPr>
                <w:rFonts w:asciiTheme="majorBidi" w:eastAsia="Malgun Gothic" w:hAnsiTheme="majorBidi" w:cstheme="majorBidi"/>
                <w:kern w:val="22"/>
                <w:sz w:val="20"/>
                <w:szCs w:val="20"/>
              </w:rPr>
              <w:br/>
            </w:r>
            <w:r w:rsidRPr="00D2758E">
              <w:rPr>
                <w:rFonts w:asciiTheme="majorBidi" w:eastAsia="Malgun Gothic" w:hAnsiTheme="majorBidi" w:cstheme="majorBidi"/>
                <w:kern w:val="22"/>
                <w:sz w:val="20"/>
                <w:szCs w:val="20"/>
              </w:rPr>
              <w:t>more checkpoints</w:t>
            </w:r>
          </w:p>
        </w:tc>
        <w:tc>
          <w:tcPr>
            <w:tcW w:w="2268" w:type="dxa"/>
            <w:tcBorders>
              <w:bottom w:val="single" w:sz="4" w:space="0" w:color="auto"/>
            </w:tcBorders>
            <w:tcMar>
              <w:top w:w="29" w:type="dxa"/>
              <w:left w:w="115" w:type="dxa"/>
              <w:bottom w:w="29" w:type="dxa"/>
              <w:right w:w="115" w:type="dxa"/>
            </w:tcMar>
            <w:vAlign w:val="bottom"/>
            <w:hideMark/>
          </w:tcPr>
          <w:p w14:paraId="6D5B2DB6" w14:textId="142CDBC9" w:rsidR="00174370" w:rsidRPr="00D2758E" w:rsidRDefault="00174370" w:rsidP="00670C5C">
            <w:pPr>
              <w:suppressLineNumbers/>
              <w:suppressAutoHyphens/>
              <w:kinsoku w:val="0"/>
              <w:overflowPunct w:val="0"/>
              <w:autoSpaceDE w:val="0"/>
              <w:autoSpaceDN w:val="0"/>
              <w:adjustRightInd w:val="0"/>
              <w:snapToGrid w:val="0"/>
              <w:jc w:val="right"/>
              <w:rPr>
                <w:rFonts w:asciiTheme="majorBidi" w:eastAsia="Calibri" w:hAnsiTheme="majorBidi" w:cstheme="majorBidi"/>
                <w:kern w:val="22"/>
                <w:sz w:val="20"/>
                <w:szCs w:val="20"/>
              </w:rPr>
            </w:pPr>
            <w:r w:rsidRPr="00D2758E">
              <w:rPr>
                <w:rFonts w:asciiTheme="majorBidi" w:eastAsia="Calibri" w:hAnsiTheme="majorBidi" w:cstheme="majorBidi"/>
                <w:kern w:val="22"/>
                <w:sz w:val="20"/>
                <w:szCs w:val="20"/>
              </w:rPr>
              <w:t>29 (27</w:t>
            </w:r>
            <w:r w:rsidR="00F87A2E">
              <w:rPr>
                <w:rFonts w:asciiTheme="majorBidi" w:eastAsia="Calibri" w:hAnsiTheme="majorBidi" w:cstheme="majorBidi"/>
                <w:kern w:val="22"/>
                <w:sz w:val="20"/>
                <w:szCs w:val="20"/>
              </w:rPr>
              <w:t xml:space="preserve"> per cent</w:t>
            </w:r>
            <w:r w:rsidRPr="00D2758E">
              <w:rPr>
                <w:rFonts w:asciiTheme="majorBidi" w:eastAsia="Calibri" w:hAnsiTheme="majorBidi" w:cstheme="majorBidi"/>
                <w:kern w:val="22"/>
                <w:sz w:val="20"/>
                <w:szCs w:val="20"/>
              </w:rPr>
              <w:t>)</w:t>
            </w:r>
          </w:p>
        </w:tc>
        <w:tc>
          <w:tcPr>
            <w:tcW w:w="1478" w:type="dxa"/>
            <w:tcBorders>
              <w:bottom w:val="single" w:sz="4" w:space="0" w:color="auto"/>
            </w:tcBorders>
            <w:vAlign w:val="bottom"/>
          </w:tcPr>
          <w:p w14:paraId="5DF57DFA" w14:textId="17F877C0" w:rsidR="00174370" w:rsidRPr="00D2758E" w:rsidRDefault="00174370" w:rsidP="00670C5C">
            <w:pPr>
              <w:suppressLineNumbers/>
              <w:suppressAutoHyphens/>
              <w:kinsoku w:val="0"/>
              <w:overflowPunct w:val="0"/>
              <w:autoSpaceDE w:val="0"/>
              <w:autoSpaceDN w:val="0"/>
              <w:adjustRightInd w:val="0"/>
              <w:snapToGrid w:val="0"/>
              <w:jc w:val="right"/>
              <w:rPr>
                <w:rFonts w:asciiTheme="majorBidi" w:eastAsia="Calibri" w:hAnsiTheme="majorBidi" w:cstheme="majorBidi"/>
                <w:kern w:val="22"/>
                <w:sz w:val="20"/>
                <w:szCs w:val="20"/>
              </w:rPr>
            </w:pPr>
            <w:r w:rsidRPr="00D2758E">
              <w:rPr>
                <w:rFonts w:asciiTheme="majorBidi" w:eastAsia="Calibri" w:hAnsiTheme="majorBidi" w:cstheme="majorBidi"/>
                <w:kern w:val="22"/>
                <w:sz w:val="20"/>
                <w:szCs w:val="20"/>
              </w:rPr>
              <w:t>65 (46</w:t>
            </w:r>
            <w:r w:rsidR="00F87A2E">
              <w:rPr>
                <w:rFonts w:asciiTheme="majorBidi" w:eastAsia="Calibri" w:hAnsiTheme="majorBidi" w:cstheme="majorBidi"/>
                <w:kern w:val="22"/>
                <w:sz w:val="20"/>
                <w:szCs w:val="20"/>
              </w:rPr>
              <w:t xml:space="preserve"> per cent</w:t>
            </w:r>
            <w:r w:rsidRPr="00D2758E">
              <w:rPr>
                <w:rFonts w:asciiTheme="majorBidi" w:eastAsia="Calibri" w:hAnsiTheme="majorBidi" w:cstheme="majorBidi"/>
                <w:kern w:val="22"/>
                <w:sz w:val="20"/>
                <w:szCs w:val="20"/>
              </w:rPr>
              <w:t>)</w:t>
            </w:r>
          </w:p>
        </w:tc>
      </w:tr>
      <w:tr w:rsidR="00174370" w:rsidRPr="00D2758E" w14:paraId="09FC0D4B" w14:textId="77777777" w:rsidTr="006B066D">
        <w:trPr>
          <w:cantSplit/>
        </w:trPr>
        <w:tc>
          <w:tcPr>
            <w:tcW w:w="5392" w:type="dxa"/>
            <w:tcBorders>
              <w:top w:val="single" w:sz="4" w:space="0" w:color="auto"/>
            </w:tcBorders>
            <w:tcMar>
              <w:top w:w="29" w:type="dxa"/>
              <w:left w:w="115" w:type="dxa"/>
              <w:bottom w:w="29" w:type="dxa"/>
              <w:right w:w="115" w:type="dxa"/>
            </w:tcMar>
          </w:tcPr>
          <w:p w14:paraId="3A1BDCA7" w14:textId="3216D066" w:rsidR="00174370" w:rsidRPr="00D2758E" w:rsidRDefault="00174370" w:rsidP="00610FC0">
            <w:pPr>
              <w:suppressLineNumbers/>
              <w:suppressAutoHyphens/>
              <w:kinsoku w:val="0"/>
              <w:overflowPunct w:val="0"/>
              <w:autoSpaceDE w:val="0"/>
              <w:autoSpaceDN w:val="0"/>
              <w:adjustRightInd w:val="0"/>
              <w:snapToGrid w:val="0"/>
              <w:jc w:val="left"/>
              <w:rPr>
                <w:rFonts w:asciiTheme="majorBidi" w:eastAsia="Malgun Gothic" w:hAnsiTheme="majorBidi" w:cstheme="majorBidi"/>
                <w:kern w:val="22"/>
                <w:sz w:val="20"/>
                <w:szCs w:val="20"/>
              </w:rPr>
            </w:pPr>
            <w:r w:rsidRPr="00D2758E">
              <w:rPr>
                <w:rFonts w:asciiTheme="majorBidi" w:eastAsia="Malgun Gothic" w:hAnsiTheme="majorBidi" w:cstheme="majorBidi"/>
                <w:kern w:val="22"/>
                <w:sz w:val="20"/>
                <w:szCs w:val="20"/>
              </w:rPr>
              <w:t xml:space="preserve">Number and percentage of Parties with legislative, administrative and policy measures on </w:t>
            </w:r>
            <w:r w:rsidR="005906B3" w:rsidRPr="005906B3">
              <w:rPr>
                <w:rFonts w:asciiTheme="majorBidi" w:eastAsia="Malgun Gothic" w:hAnsiTheme="majorBidi" w:cstheme="majorBidi"/>
                <w:kern w:val="22"/>
                <w:sz w:val="20"/>
                <w:szCs w:val="20"/>
              </w:rPr>
              <w:t xml:space="preserve">access and </w:t>
            </w:r>
            <w:r w:rsidR="00EA12FF">
              <w:rPr>
                <w:rFonts w:asciiTheme="majorBidi" w:eastAsia="Malgun Gothic" w:hAnsiTheme="majorBidi" w:cstheme="majorBidi"/>
                <w:kern w:val="22"/>
                <w:sz w:val="20"/>
                <w:szCs w:val="20"/>
              </w:rPr>
              <w:br/>
            </w:r>
            <w:r w:rsidR="005906B3" w:rsidRPr="005906B3">
              <w:rPr>
                <w:rFonts w:asciiTheme="majorBidi" w:eastAsia="Malgun Gothic" w:hAnsiTheme="majorBidi" w:cstheme="majorBidi"/>
                <w:kern w:val="22"/>
                <w:sz w:val="20"/>
                <w:szCs w:val="20"/>
              </w:rPr>
              <w:t>benefit</w:t>
            </w:r>
            <w:r w:rsidR="005B26CF">
              <w:rPr>
                <w:rFonts w:asciiTheme="majorBidi" w:eastAsia="Malgun Gothic" w:hAnsiTheme="majorBidi" w:cstheme="majorBidi"/>
                <w:kern w:val="22"/>
                <w:sz w:val="20"/>
                <w:szCs w:val="20"/>
              </w:rPr>
              <w:t xml:space="preserve"> </w:t>
            </w:r>
            <w:r w:rsidR="005906B3" w:rsidRPr="005906B3">
              <w:rPr>
                <w:rFonts w:asciiTheme="majorBidi" w:eastAsia="Malgun Gothic" w:hAnsiTheme="majorBidi" w:cstheme="majorBidi"/>
                <w:kern w:val="22"/>
                <w:sz w:val="20"/>
                <w:szCs w:val="20"/>
              </w:rPr>
              <w:t>sharing</w:t>
            </w:r>
          </w:p>
        </w:tc>
        <w:tc>
          <w:tcPr>
            <w:tcW w:w="2268" w:type="dxa"/>
            <w:tcBorders>
              <w:top w:val="single" w:sz="4" w:space="0" w:color="auto"/>
            </w:tcBorders>
            <w:tcMar>
              <w:top w:w="29" w:type="dxa"/>
              <w:left w:w="115" w:type="dxa"/>
              <w:bottom w:w="29" w:type="dxa"/>
              <w:right w:w="115" w:type="dxa"/>
            </w:tcMar>
            <w:vAlign w:val="bottom"/>
          </w:tcPr>
          <w:p w14:paraId="59ECD1C0" w14:textId="3045B61E" w:rsidR="00174370" w:rsidRPr="00D2758E" w:rsidRDefault="00174370" w:rsidP="00EA12FF">
            <w:pPr>
              <w:suppressLineNumbers/>
              <w:suppressAutoHyphens/>
              <w:kinsoku w:val="0"/>
              <w:overflowPunct w:val="0"/>
              <w:autoSpaceDE w:val="0"/>
              <w:autoSpaceDN w:val="0"/>
              <w:adjustRightInd w:val="0"/>
              <w:snapToGrid w:val="0"/>
              <w:jc w:val="right"/>
              <w:rPr>
                <w:rFonts w:asciiTheme="majorBidi" w:eastAsia="Calibri" w:hAnsiTheme="majorBidi" w:cstheme="majorBidi"/>
                <w:kern w:val="22"/>
                <w:sz w:val="20"/>
                <w:szCs w:val="20"/>
              </w:rPr>
            </w:pPr>
            <w:r w:rsidRPr="00D2758E">
              <w:rPr>
                <w:rFonts w:asciiTheme="majorBidi" w:eastAsia="Malgun Gothic" w:hAnsiTheme="majorBidi" w:cstheme="majorBidi"/>
                <w:kern w:val="22"/>
                <w:sz w:val="20"/>
                <w:szCs w:val="20"/>
              </w:rPr>
              <w:t>75 (71</w:t>
            </w:r>
            <w:r w:rsidR="00F87A2E">
              <w:rPr>
                <w:rFonts w:asciiTheme="majorBidi" w:eastAsia="Malgun Gothic" w:hAnsiTheme="majorBidi" w:cstheme="majorBidi"/>
                <w:kern w:val="22"/>
                <w:sz w:val="20"/>
                <w:szCs w:val="20"/>
              </w:rPr>
              <w:t xml:space="preserve"> per cent</w:t>
            </w:r>
            <w:r w:rsidRPr="00D2758E">
              <w:rPr>
                <w:rFonts w:asciiTheme="majorBidi" w:eastAsia="Malgun Gothic" w:hAnsiTheme="majorBidi" w:cstheme="majorBidi"/>
                <w:kern w:val="22"/>
                <w:sz w:val="20"/>
                <w:szCs w:val="20"/>
              </w:rPr>
              <w:t>)</w:t>
            </w:r>
          </w:p>
        </w:tc>
        <w:tc>
          <w:tcPr>
            <w:tcW w:w="1478" w:type="dxa"/>
            <w:tcBorders>
              <w:top w:val="single" w:sz="4" w:space="0" w:color="auto"/>
            </w:tcBorders>
            <w:vAlign w:val="bottom"/>
          </w:tcPr>
          <w:p w14:paraId="6D379FD8" w14:textId="7D68674C" w:rsidR="00174370" w:rsidRPr="00D2758E" w:rsidRDefault="00174370" w:rsidP="00EA12FF">
            <w:pPr>
              <w:suppressLineNumbers/>
              <w:suppressAutoHyphens/>
              <w:kinsoku w:val="0"/>
              <w:overflowPunct w:val="0"/>
              <w:autoSpaceDE w:val="0"/>
              <w:autoSpaceDN w:val="0"/>
              <w:adjustRightInd w:val="0"/>
              <w:snapToGrid w:val="0"/>
              <w:jc w:val="right"/>
              <w:rPr>
                <w:rFonts w:asciiTheme="majorBidi" w:eastAsia="Calibri" w:hAnsiTheme="majorBidi" w:cstheme="majorBidi"/>
                <w:kern w:val="22"/>
                <w:sz w:val="20"/>
                <w:szCs w:val="20"/>
              </w:rPr>
            </w:pPr>
            <w:r w:rsidRPr="00D2758E">
              <w:rPr>
                <w:rFonts w:asciiTheme="majorBidi" w:eastAsia="Calibri" w:hAnsiTheme="majorBidi" w:cstheme="majorBidi"/>
                <w:kern w:val="22"/>
                <w:sz w:val="20"/>
                <w:szCs w:val="20"/>
              </w:rPr>
              <w:t>110 (78</w:t>
            </w:r>
            <w:r w:rsidR="00656519">
              <w:rPr>
                <w:rFonts w:asciiTheme="majorBidi" w:eastAsia="Calibri" w:hAnsiTheme="majorBidi" w:cstheme="majorBidi"/>
                <w:kern w:val="22"/>
                <w:sz w:val="20"/>
                <w:szCs w:val="20"/>
              </w:rPr>
              <w:t xml:space="preserve"> per cent</w:t>
            </w:r>
            <w:r w:rsidRPr="00D2758E">
              <w:rPr>
                <w:rFonts w:asciiTheme="majorBidi" w:eastAsia="Calibri" w:hAnsiTheme="majorBidi" w:cstheme="majorBidi"/>
                <w:kern w:val="22"/>
                <w:sz w:val="20"/>
                <w:szCs w:val="20"/>
              </w:rPr>
              <w:t>)</w:t>
            </w:r>
          </w:p>
        </w:tc>
      </w:tr>
      <w:tr w:rsidR="00174370" w:rsidRPr="00D2758E" w14:paraId="5C9F7BF4" w14:textId="77777777" w:rsidTr="006B066D">
        <w:trPr>
          <w:cantSplit/>
        </w:trPr>
        <w:tc>
          <w:tcPr>
            <w:tcW w:w="5392" w:type="dxa"/>
            <w:tcMar>
              <w:top w:w="29" w:type="dxa"/>
              <w:left w:w="115" w:type="dxa"/>
              <w:bottom w:w="29" w:type="dxa"/>
              <w:right w:w="115" w:type="dxa"/>
            </w:tcMar>
          </w:tcPr>
          <w:p w14:paraId="2596B869" w14:textId="698E4489" w:rsidR="00174370" w:rsidRPr="00D2758E" w:rsidRDefault="00174370" w:rsidP="00610FC0">
            <w:pPr>
              <w:suppressLineNumbers/>
              <w:suppressAutoHyphens/>
              <w:kinsoku w:val="0"/>
              <w:overflowPunct w:val="0"/>
              <w:autoSpaceDE w:val="0"/>
              <w:autoSpaceDN w:val="0"/>
              <w:adjustRightInd w:val="0"/>
              <w:snapToGrid w:val="0"/>
              <w:jc w:val="left"/>
              <w:rPr>
                <w:rFonts w:asciiTheme="majorBidi" w:eastAsia="Malgun Gothic" w:hAnsiTheme="majorBidi" w:cstheme="majorBidi"/>
                <w:kern w:val="22"/>
                <w:sz w:val="20"/>
                <w:szCs w:val="20"/>
              </w:rPr>
            </w:pPr>
            <w:r w:rsidRPr="00D2758E">
              <w:rPr>
                <w:rFonts w:asciiTheme="majorBidi" w:eastAsia="Malgun Gothic" w:hAnsiTheme="majorBidi" w:cstheme="majorBidi"/>
                <w:kern w:val="22"/>
                <w:sz w:val="20"/>
                <w:szCs w:val="20"/>
              </w:rPr>
              <w:t xml:space="preserve">Number and percentage of Parties that have made information available to the </w:t>
            </w:r>
            <w:r w:rsidR="005906B3">
              <w:rPr>
                <w:rFonts w:asciiTheme="majorBidi" w:eastAsia="Malgun Gothic" w:hAnsiTheme="majorBidi" w:cstheme="majorBidi"/>
                <w:kern w:val="22"/>
                <w:sz w:val="20"/>
                <w:szCs w:val="20"/>
              </w:rPr>
              <w:t>Access and Benefit-sharing</w:t>
            </w:r>
            <w:r w:rsidRPr="00D2758E">
              <w:rPr>
                <w:rFonts w:asciiTheme="majorBidi" w:eastAsia="Malgun Gothic" w:hAnsiTheme="majorBidi" w:cstheme="majorBidi"/>
                <w:kern w:val="22"/>
                <w:sz w:val="20"/>
                <w:szCs w:val="20"/>
              </w:rPr>
              <w:t xml:space="preserve"> Clearing-House </w:t>
            </w:r>
            <w:r w:rsidR="004403CD">
              <w:rPr>
                <w:rFonts w:asciiTheme="majorBidi" w:eastAsia="Malgun Gothic" w:hAnsiTheme="majorBidi" w:cstheme="majorBidi"/>
                <w:kern w:val="22"/>
                <w:sz w:val="20"/>
                <w:szCs w:val="20"/>
              </w:rPr>
              <w:t>on competent national authorities</w:t>
            </w:r>
            <w:r w:rsidRPr="00D2758E">
              <w:rPr>
                <w:rFonts w:asciiTheme="majorBidi" w:eastAsia="Malgun Gothic" w:hAnsiTheme="majorBidi" w:cstheme="majorBidi"/>
                <w:kern w:val="22"/>
                <w:sz w:val="20"/>
                <w:szCs w:val="20"/>
              </w:rPr>
              <w:t>, checkpoint</w:t>
            </w:r>
            <w:r w:rsidR="004403CD">
              <w:rPr>
                <w:rFonts w:asciiTheme="majorBidi" w:eastAsia="Malgun Gothic" w:hAnsiTheme="majorBidi" w:cstheme="majorBidi"/>
                <w:kern w:val="22"/>
                <w:sz w:val="20"/>
                <w:szCs w:val="20"/>
              </w:rPr>
              <w:t>s</w:t>
            </w:r>
            <w:r w:rsidRPr="00D2758E">
              <w:rPr>
                <w:rFonts w:asciiTheme="majorBidi" w:eastAsia="Malgun Gothic" w:hAnsiTheme="majorBidi" w:cstheme="majorBidi"/>
                <w:kern w:val="22"/>
                <w:sz w:val="20"/>
                <w:szCs w:val="20"/>
              </w:rPr>
              <w:t xml:space="preserve">, </w:t>
            </w:r>
            <w:r w:rsidR="004403CD">
              <w:rPr>
                <w:rFonts w:asciiTheme="majorBidi" w:eastAsia="Malgun Gothic" w:hAnsiTheme="majorBidi" w:cstheme="majorBidi"/>
                <w:kern w:val="22"/>
                <w:sz w:val="20"/>
                <w:szCs w:val="20"/>
              </w:rPr>
              <w:t xml:space="preserve">access and benefit-sharing </w:t>
            </w:r>
            <w:r w:rsidRPr="00D2758E">
              <w:rPr>
                <w:rFonts w:asciiTheme="majorBidi" w:eastAsia="Malgun Gothic" w:hAnsiTheme="majorBidi" w:cstheme="majorBidi"/>
                <w:kern w:val="22"/>
                <w:sz w:val="20"/>
                <w:szCs w:val="20"/>
              </w:rPr>
              <w:t>measures</w:t>
            </w:r>
            <w:r w:rsidR="00833BA0">
              <w:rPr>
                <w:rFonts w:asciiTheme="majorBidi" w:eastAsia="Malgun Gothic" w:hAnsiTheme="majorBidi" w:cstheme="majorBidi"/>
                <w:kern w:val="22"/>
                <w:sz w:val="20"/>
                <w:szCs w:val="20"/>
              </w:rPr>
              <w:t xml:space="preserve"> and</w:t>
            </w:r>
            <w:r w:rsidRPr="00D2758E">
              <w:rPr>
                <w:rFonts w:asciiTheme="majorBidi" w:eastAsia="Malgun Gothic" w:hAnsiTheme="majorBidi" w:cstheme="majorBidi"/>
                <w:kern w:val="22"/>
                <w:sz w:val="20"/>
                <w:szCs w:val="20"/>
              </w:rPr>
              <w:t xml:space="preserve"> </w:t>
            </w:r>
            <w:r w:rsidR="00C61FA0">
              <w:rPr>
                <w:rFonts w:asciiTheme="majorBidi" w:eastAsia="Malgun Gothic" w:hAnsiTheme="majorBidi" w:cstheme="majorBidi"/>
                <w:kern w:val="22"/>
                <w:sz w:val="20"/>
                <w:szCs w:val="20"/>
              </w:rPr>
              <w:t>internationally recognized certificate of compliance</w:t>
            </w:r>
          </w:p>
        </w:tc>
        <w:tc>
          <w:tcPr>
            <w:tcW w:w="2268" w:type="dxa"/>
            <w:tcMar>
              <w:top w:w="29" w:type="dxa"/>
              <w:left w:w="115" w:type="dxa"/>
              <w:bottom w:w="29" w:type="dxa"/>
              <w:right w:w="115" w:type="dxa"/>
            </w:tcMar>
            <w:vAlign w:val="bottom"/>
          </w:tcPr>
          <w:p w14:paraId="222D5688" w14:textId="11E8220D" w:rsidR="00174370" w:rsidRPr="00D2758E" w:rsidRDefault="00174370" w:rsidP="00EA12FF">
            <w:pPr>
              <w:pStyle w:val="ListParagraph"/>
              <w:suppressLineNumbers/>
              <w:suppressAutoHyphens/>
              <w:kinsoku w:val="0"/>
              <w:overflowPunct w:val="0"/>
              <w:autoSpaceDE w:val="0"/>
              <w:autoSpaceDN w:val="0"/>
              <w:adjustRightInd w:val="0"/>
              <w:snapToGrid w:val="0"/>
              <w:ind w:left="167"/>
              <w:jc w:val="right"/>
              <w:rPr>
                <w:rFonts w:asciiTheme="majorBidi" w:eastAsia="Malgun Gothic" w:hAnsiTheme="majorBidi" w:cstheme="majorBidi"/>
                <w:kern w:val="22"/>
                <w:sz w:val="20"/>
                <w:szCs w:val="20"/>
              </w:rPr>
            </w:pPr>
            <w:r w:rsidRPr="00D2758E">
              <w:rPr>
                <w:rFonts w:asciiTheme="majorBidi" w:eastAsia="Calibri" w:hAnsiTheme="majorBidi" w:cstheme="majorBidi"/>
                <w:kern w:val="22"/>
                <w:sz w:val="20"/>
                <w:szCs w:val="20"/>
              </w:rPr>
              <w:t>54 (51</w:t>
            </w:r>
            <w:r w:rsidR="00656519">
              <w:rPr>
                <w:rFonts w:asciiTheme="majorBidi" w:eastAsia="Calibri" w:hAnsiTheme="majorBidi" w:cstheme="majorBidi"/>
                <w:kern w:val="22"/>
                <w:sz w:val="20"/>
                <w:szCs w:val="20"/>
              </w:rPr>
              <w:t xml:space="preserve"> per cent</w:t>
            </w:r>
            <w:r w:rsidRPr="00D2758E">
              <w:rPr>
                <w:rFonts w:asciiTheme="majorBidi" w:eastAsia="Calibri" w:hAnsiTheme="majorBidi" w:cstheme="majorBidi"/>
                <w:kern w:val="22"/>
                <w:sz w:val="20"/>
                <w:szCs w:val="20"/>
              </w:rPr>
              <w:t>)</w:t>
            </w:r>
          </w:p>
        </w:tc>
        <w:tc>
          <w:tcPr>
            <w:tcW w:w="1478" w:type="dxa"/>
            <w:vAlign w:val="bottom"/>
          </w:tcPr>
          <w:p w14:paraId="405D76B3" w14:textId="116EFDE1" w:rsidR="00174370" w:rsidRPr="00D2758E" w:rsidRDefault="00174370" w:rsidP="00EA12FF">
            <w:pPr>
              <w:suppressLineNumbers/>
              <w:suppressAutoHyphens/>
              <w:kinsoku w:val="0"/>
              <w:overflowPunct w:val="0"/>
              <w:autoSpaceDE w:val="0"/>
              <w:autoSpaceDN w:val="0"/>
              <w:adjustRightInd w:val="0"/>
              <w:snapToGrid w:val="0"/>
              <w:jc w:val="right"/>
              <w:rPr>
                <w:rFonts w:asciiTheme="majorBidi" w:eastAsia="Calibri" w:hAnsiTheme="majorBidi" w:cstheme="majorBidi"/>
                <w:kern w:val="22"/>
                <w:sz w:val="20"/>
                <w:szCs w:val="20"/>
              </w:rPr>
            </w:pPr>
            <w:r w:rsidRPr="00D2758E">
              <w:rPr>
                <w:rFonts w:asciiTheme="majorBidi" w:eastAsia="Calibri" w:hAnsiTheme="majorBidi" w:cstheme="majorBidi"/>
                <w:kern w:val="22"/>
                <w:sz w:val="20"/>
                <w:szCs w:val="20"/>
              </w:rPr>
              <w:t>93 (66</w:t>
            </w:r>
            <w:r w:rsidR="00656519">
              <w:rPr>
                <w:rFonts w:asciiTheme="majorBidi" w:eastAsia="Calibri" w:hAnsiTheme="majorBidi" w:cstheme="majorBidi"/>
                <w:kern w:val="22"/>
                <w:sz w:val="20"/>
                <w:szCs w:val="20"/>
              </w:rPr>
              <w:t xml:space="preserve"> per cent</w:t>
            </w:r>
            <w:r w:rsidRPr="00D2758E">
              <w:rPr>
                <w:rFonts w:asciiTheme="majorBidi" w:eastAsia="Calibri" w:hAnsiTheme="majorBidi" w:cstheme="majorBidi"/>
                <w:kern w:val="22"/>
                <w:sz w:val="20"/>
                <w:szCs w:val="20"/>
              </w:rPr>
              <w:t>)</w:t>
            </w:r>
          </w:p>
        </w:tc>
      </w:tr>
      <w:tr w:rsidR="00174370" w:rsidRPr="00D2758E" w14:paraId="63325540" w14:textId="77777777" w:rsidTr="006B066D">
        <w:trPr>
          <w:cantSplit/>
        </w:trPr>
        <w:tc>
          <w:tcPr>
            <w:tcW w:w="5392" w:type="dxa"/>
            <w:tcMar>
              <w:top w:w="29" w:type="dxa"/>
              <w:left w:w="115" w:type="dxa"/>
              <w:bottom w:w="29" w:type="dxa"/>
              <w:right w:w="115" w:type="dxa"/>
            </w:tcMar>
          </w:tcPr>
          <w:p w14:paraId="6D63320E" w14:textId="36B4FDF9" w:rsidR="00174370" w:rsidRPr="00D2758E" w:rsidRDefault="00174370" w:rsidP="00610FC0">
            <w:pPr>
              <w:suppressLineNumbers/>
              <w:suppressAutoHyphens/>
              <w:kinsoku w:val="0"/>
              <w:overflowPunct w:val="0"/>
              <w:autoSpaceDE w:val="0"/>
              <w:autoSpaceDN w:val="0"/>
              <w:adjustRightInd w:val="0"/>
              <w:snapToGrid w:val="0"/>
              <w:jc w:val="left"/>
              <w:rPr>
                <w:rFonts w:asciiTheme="majorBidi" w:eastAsia="Malgun Gothic" w:hAnsiTheme="majorBidi" w:cstheme="majorBidi"/>
                <w:kern w:val="22"/>
                <w:sz w:val="20"/>
                <w:szCs w:val="20"/>
              </w:rPr>
            </w:pPr>
            <w:r w:rsidRPr="00D2758E">
              <w:rPr>
                <w:rFonts w:asciiTheme="majorBidi" w:eastAsia="Malgun Gothic" w:hAnsiTheme="majorBidi" w:cstheme="majorBidi"/>
                <w:kern w:val="22"/>
                <w:sz w:val="20"/>
                <w:szCs w:val="20"/>
              </w:rPr>
              <w:t xml:space="preserve">Number and percentage of Parties that have information </w:t>
            </w:r>
            <w:r w:rsidR="00EA12FF">
              <w:rPr>
                <w:rFonts w:asciiTheme="majorBidi" w:eastAsia="Malgun Gothic" w:hAnsiTheme="majorBidi" w:cstheme="majorBidi"/>
                <w:kern w:val="22"/>
                <w:sz w:val="20"/>
                <w:szCs w:val="20"/>
              </w:rPr>
              <w:br/>
            </w:r>
            <w:r w:rsidR="00D104E6">
              <w:rPr>
                <w:rFonts w:asciiTheme="majorBidi" w:eastAsia="Malgun Gothic" w:hAnsiTheme="majorBidi" w:cstheme="majorBidi"/>
                <w:kern w:val="22"/>
                <w:sz w:val="20"/>
                <w:szCs w:val="20"/>
              </w:rPr>
              <w:t>on comp</w:t>
            </w:r>
            <w:r w:rsidR="002E7E25">
              <w:rPr>
                <w:rFonts w:asciiTheme="majorBidi" w:eastAsia="Malgun Gothic" w:hAnsiTheme="majorBidi" w:cstheme="majorBidi"/>
                <w:kern w:val="22"/>
                <w:sz w:val="20"/>
                <w:szCs w:val="20"/>
              </w:rPr>
              <w:t>e</w:t>
            </w:r>
            <w:r w:rsidR="00D104E6">
              <w:rPr>
                <w:rFonts w:asciiTheme="majorBidi" w:eastAsia="Malgun Gothic" w:hAnsiTheme="majorBidi" w:cstheme="majorBidi"/>
                <w:kern w:val="22"/>
                <w:sz w:val="20"/>
                <w:szCs w:val="20"/>
              </w:rPr>
              <w:t xml:space="preserve">tent </w:t>
            </w:r>
            <w:r w:rsidR="00833BA0">
              <w:rPr>
                <w:rFonts w:asciiTheme="majorBidi" w:eastAsia="Malgun Gothic" w:hAnsiTheme="majorBidi" w:cstheme="majorBidi"/>
                <w:kern w:val="22"/>
                <w:sz w:val="20"/>
                <w:szCs w:val="20"/>
              </w:rPr>
              <w:t>national authorities</w:t>
            </w:r>
            <w:r w:rsidRPr="00D2758E">
              <w:rPr>
                <w:rFonts w:asciiTheme="majorBidi" w:eastAsia="Malgun Gothic" w:hAnsiTheme="majorBidi" w:cstheme="majorBidi"/>
                <w:kern w:val="22"/>
                <w:sz w:val="20"/>
                <w:szCs w:val="20"/>
              </w:rPr>
              <w:t>, checkpoint</w:t>
            </w:r>
            <w:r w:rsidR="001B03A2">
              <w:rPr>
                <w:rFonts w:asciiTheme="majorBidi" w:eastAsia="Malgun Gothic" w:hAnsiTheme="majorBidi" w:cstheme="majorBidi"/>
                <w:kern w:val="22"/>
                <w:sz w:val="20"/>
                <w:szCs w:val="20"/>
              </w:rPr>
              <w:t>s</w:t>
            </w:r>
            <w:r w:rsidRPr="00D2758E">
              <w:rPr>
                <w:rFonts w:asciiTheme="majorBidi" w:eastAsia="Malgun Gothic" w:hAnsiTheme="majorBidi" w:cstheme="majorBidi"/>
                <w:kern w:val="22"/>
                <w:sz w:val="20"/>
                <w:szCs w:val="20"/>
              </w:rPr>
              <w:t xml:space="preserve">, </w:t>
            </w:r>
            <w:r w:rsidR="001B03A2" w:rsidRPr="001B03A2">
              <w:rPr>
                <w:rFonts w:asciiTheme="majorBidi" w:eastAsia="Malgun Gothic" w:hAnsiTheme="majorBidi" w:cstheme="majorBidi"/>
                <w:kern w:val="22"/>
                <w:sz w:val="20"/>
                <w:szCs w:val="20"/>
              </w:rPr>
              <w:t xml:space="preserve">access and benefit-sharing </w:t>
            </w:r>
            <w:r w:rsidRPr="00D2758E">
              <w:rPr>
                <w:rFonts w:asciiTheme="majorBidi" w:eastAsia="Malgun Gothic" w:hAnsiTheme="majorBidi" w:cstheme="majorBidi"/>
                <w:kern w:val="22"/>
                <w:sz w:val="20"/>
                <w:szCs w:val="20"/>
              </w:rPr>
              <w:t>measures</w:t>
            </w:r>
            <w:r w:rsidR="00294AB2">
              <w:rPr>
                <w:rFonts w:asciiTheme="majorBidi" w:eastAsia="Malgun Gothic" w:hAnsiTheme="majorBidi" w:cstheme="majorBidi"/>
                <w:kern w:val="22"/>
                <w:sz w:val="20"/>
                <w:szCs w:val="20"/>
              </w:rPr>
              <w:t xml:space="preserve"> and</w:t>
            </w:r>
            <w:r w:rsidRPr="00D2758E">
              <w:rPr>
                <w:rFonts w:asciiTheme="majorBidi" w:eastAsia="Malgun Gothic" w:hAnsiTheme="majorBidi" w:cstheme="majorBidi"/>
                <w:kern w:val="22"/>
                <w:sz w:val="20"/>
                <w:szCs w:val="20"/>
              </w:rPr>
              <w:t xml:space="preserve"> permits that ha</w:t>
            </w:r>
            <w:r w:rsidR="000239B0">
              <w:rPr>
                <w:rFonts w:asciiTheme="majorBidi" w:eastAsia="Malgun Gothic" w:hAnsiTheme="majorBidi" w:cstheme="majorBidi"/>
                <w:kern w:val="22"/>
                <w:sz w:val="20"/>
                <w:szCs w:val="20"/>
              </w:rPr>
              <w:t>s</w:t>
            </w:r>
            <w:r w:rsidRPr="00D2758E">
              <w:rPr>
                <w:rFonts w:asciiTheme="majorBidi" w:eastAsia="Malgun Gothic" w:hAnsiTheme="majorBidi" w:cstheme="majorBidi"/>
                <w:kern w:val="22"/>
                <w:sz w:val="20"/>
                <w:szCs w:val="20"/>
              </w:rPr>
              <w:t xml:space="preserve"> not yet been made available to the </w:t>
            </w:r>
            <w:r w:rsidR="00830C4A">
              <w:rPr>
                <w:rFonts w:eastAsia="Malgun Gothic"/>
                <w:kern w:val="22"/>
                <w:sz w:val="20"/>
                <w:szCs w:val="20"/>
              </w:rPr>
              <w:t>Access and Benefit-sharing</w:t>
            </w:r>
            <w:r w:rsidR="00830C4A" w:rsidRPr="00D2758E">
              <w:rPr>
                <w:rFonts w:eastAsia="Malgun Gothic"/>
                <w:kern w:val="22"/>
                <w:sz w:val="20"/>
                <w:szCs w:val="20"/>
              </w:rPr>
              <w:t xml:space="preserve"> </w:t>
            </w:r>
            <w:r w:rsidRPr="00D2758E">
              <w:rPr>
                <w:rFonts w:asciiTheme="majorBidi" w:eastAsia="Malgun Gothic" w:hAnsiTheme="majorBidi" w:cstheme="majorBidi"/>
                <w:kern w:val="22"/>
                <w:sz w:val="20"/>
                <w:szCs w:val="20"/>
              </w:rPr>
              <w:t>Clearing-House</w:t>
            </w:r>
          </w:p>
        </w:tc>
        <w:tc>
          <w:tcPr>
            <w:tcW w:w="2268" w:type="dxa"/>
            <w:tcMar>
              <w:top w:w="29" w:type="dxa"/>
              <w:left w:w="115" w:type="dxa"/>
              <w:bottom w:w="29" w:type="dxa"/>
              <w:right w:w="115" w:type="dxa"/>
            </w:tcMar>
            <w:vAlign w:val="bottom"/>
          </w:tcPr>
          <w:p w14:paraId="11842AF1" w14:textId="588018C4" w:rsidR="00174370" w:rsidRPr="00D2758E" w:rsidRDefault="00174370" w:rsidP="00EA12FF">
            <w:pPr>
              <w:pStyle w:val="ListParagraph"/>
              <w:suppressLineNumbers/>
              <w:suppressAutoHyphens/>
              <w:kinsoku w:val="0"/>
              <w:overflowPunct w:val="0"/>
              <w:autoSpaceDE w:val="0"/>
              <w:autoSpaceDN w:val="0"/>
              <w:adjustRightInd w:val="0"/>
              <w:snapToGrid w:val="0"/>
              <w:ind w:left="167"/>
              <w:jc w:val="right"/>
              <w:rPr>
                <w:rFonts w:asciiTheme="majorBidi" w:eastAsia="Malgun Gothic" w:hAnsiTheme="majorBidi" w:cstheme="majorBidi"/>
                <w:kern w:val="22"/>
                <w:sz w:val="20"/>
                <w:szCs w:val="20"/>
              </w:rPr>
            </w:pPr>
            <w:r w:rsidRPr="00D2758E">
              <w:rPr>
                <w:rFonts w:asciiTheme="majorBidi" w:eastAsia="Calibri" w:hAnsiTheme="majorBidi" w:cstheme="majorBidi"/>
                <w:kern w:val="22"/>
                <w:sz w:val="20"/>
                <w:szCs w:val="20"/>
              </w:rPr>
              <w:t>46 (44</w:t>
            </w:r>
            <w:r w:rsidR="00656519">
              <w:rPr>
                <w:rFonts w:asciiTheme="majorBidi" w:eastAsia="Calibri" w:hAnsiTheme="majorBidi" w:cstheme="majorBidi"/>
                <w:kern w:val="22"/>
                <w:sz w:val="20"/>
                <w:szCs w:val="20"/>
              </w:rPr>
              <w:t xml:space="preserve"> per cent</w:t>
            </w:r>
            <w:r w:rsidRPr="00D2758E">
              <w:rPr>
                <w:rFonts w:asciiTheme="majorBidi" w:eastAsia="Calibri" w:hAnsiTheme="majorBidi" w:cstheme="majorBidi"/>
                <w:kern w:val="22"/>
                <w:sz w:val="20"/>
                <w:szCs w:val="20"/>
              </w:rPr>
              <w:t>)</w:t>
            </w:r>
          </w:p>
        </w:tc>
        <w:tc>
          <w:tcPr>
            <w:tcW w:w="1478" w:type="dxa"/>
            <w:vAlign w:val="bottom"/>
          </w:tcPr>
          <w:p w14:paraId="167009BD" w14:textId="4542F2D7" w:rsidR="00174370" w:rsidRPr="00D2758E" w:rsidRDefault="00174370" w:rsidP="00EA12FF">
            <w:pPr>
              <w:suppressLineNumbers/>
              <w:suppressAutoHyphens/>
              <w:kinsoku w:val="0"/>
              <w:overflowPunct w:val="0"/>
              <w:autoSpaceDE w:val="0"/>
              <w:autoSpaceDN w:val="0"/>
              <w:adjustRightInd w:val="0"/>
              <w:snapToGrid w:val="0"/>
              <w:jc w:val="right"/>
              <w:rPr>
                <w:rFonts w:asciiTheme="majorBidi" w:eastAsia="Calibri" w:hAnsiTheme="majorBidi" w:cstheme="majorBidi"/>
                <w:kern w:val="22"/>
                <w:sz w:val="20"/>
                <w:szCs w:val="20"/>
              </w:rPr>
            </w:pPr>
            <w:r w:rsidRPr="00D2758E">
              <w:rPr>
                <w:rFonts w:asciiTheme="majorBidi" w:eastAsia="Calibri" w:hAnsiTheme="majorBidi" w:cstheme="majorBidi"/>
                <w:kern w:val="22"/>
                <w:sz w:val="20"/>
                <w:szCs w:val="20"/>
              </w:rPr>
              <w:t>68 (48</w:t>
            </w:r>
            <w:r w:rsidR="00656519">
              <w:rPr>
                <w:rFonts w:asciiTheme="majorBidi" w:eastAsia="Calibri" w:hAnsiTheme="majorBidi" w:cstheme="majorBidi"/>
                <w:kern w:val="22"/>
                <w:sz w:val="20"/>
                <w:szCs w:val="20"/>
              </w:rPr>
              <w:t xml:space="preserve"> per cent</w:t>
            </w:r>
            <w:r w:rsidRPr="00D2758E">
              <w:rPr>
                <w:rFonts w:asciiTheme="majorBidi" w:eastAsia="Calibri" w:hAnsiTheme="majorBidi" w:cstheme="majorBidi"/>
                <w:kern w:val="22"/>
                <w:sz w:val="20"/>
                <w:szCs w:val="20"/>
              </w:rPr>
              <w:t>)</w:t>
            </w:r>
          </w:p>
        </w:tc>
      </w:tr>
    </w:tbl>
    <w:p w14:paraId="77F41168" w14:textId="039B1B8B" w:rsidR="00196739" w:rsidRPr="00D2758E" w:rsidRDefault="00B262F5" w:rsidP="00A818EB">
      <w:pPr>
        <w:pStyle w:val="CBDH4"/>
      </w:pPr>
      <w:r>
        <w:t>(b)</w:t>
      </w:r>
      <w:r>
        <w:tab/>
      </w:r>
      <w:r w:rsidR="00196739" w:rsidRPr="00D2758E">
        <w:t>Challenges</w:t>
      </w:r>
      <w:r w:rsidR="00B4165A" w:rsidRPr="00D2758E">
        <w:t xml:space="preserve"> in implementation and</w:t>
      </w:r>
      <w:r w:rsidR="00196739" w:rsidRPr="00D2758E">
        <w:t xml:space="preserve"> root causes </w:t>
      </w:r>
    </w:p>
    <w:p w14:paraId="01221850" w14:textId="57340712" w:rsidR="00A76600" w:rsidRPr="00D2758E" w:rsidRDefault="00A76600" w:rsidP="00CD2C50">
      <w:pPr>
        <w:pStyle w:val="CBDNormalNumber"/>
        <w:rPr>
          <w:rFonts w:asciiTheme="majorBidi" w:hAnsiTheme="majorBidi" w:cstheme="majorBidi"/>
        </w:rPr>
      </w:pPr>
      <w:r w:rsidRPr="00D2758E">
        <w:rPr>
          <w:rFonts w:asciiTheme="majorBidi" w:hAnsiTheme="majorBidi" w:cstheme="majorBidi"/>
        </w:rPr>
        <w:t xml:space="preserve">Many Parties still need to adopt some type of </w:t>
      </w:r>
      <w:r w:rsidR="001929AD" w:rsidRPr="001929AD">
        <w:rPr>
          <w:rFonts w:asciiTheme="majorBidi" w:hAnsiTheme="majorBidi" w:cstheme="majorBidi"/>
        </w:rPr>
        <w:t xml:space="preserve">access and benefit-sharing </w:t>
      </w:r>
      <w:r w:rsidRPr="00D2758E">
        <w:rPr>
          <w:rFonts w:asciiTheme="majorBidi" w:hAnsiTheme="majorBidi" w:cstheme="majorBidi"/>
        </w:rPr>
        <w:t>measure for making the Nagoya Protocol fully operational. For some</w:t>
      </w:r>
      <w:r w:rsidR="00DD6A82">
        <w:rPr>
          <w:rFonts w:asciiTheme="majorBidi" w:hAnsiTheme="majorBidi" w:cstheme="majorBidi"/>
        </w:rPr>
        <w:t xml:space="preserve"> of them</w:t>
      </w:r>
      <w:r w:rsidRPr="00D2758E">
        <w:rPr>
          <w:rFonts w:asciiTheme="majorBidi" w:hAnsiTheme="majorBidi" w:cstheme="majorBidi"/>
        </w:rPr>
        <w:t>, th</w:t>
      </w:r>
      <w:r w:rsidR="00390585">
        <w:rPr>
          <w:rFonts w:asciiTheme="majorBidi" w:hAnsiTheme="majorBidi" w:cstheme="majorBidi"/>
        </w:rPr>
        <w:t>at</w:t>
      </w:r>
      <w:r w:rsidRPr="00D2758E">
        <w:rPr>
          <w:rFonts w:asciiTheme="majorBidi" w:hAnsiTheme="majorBidi" w:cstheme="majorBidi"/>
        </w:rPr>
        <w:t xml:space="preserve"> step is a challenge for various reasons, including political instability </w:t>
      </w:r>
      <w:r w:rsidR="00606E72">
        <w:rPr>
          <w:rFonts w:asciiTheme="majorBidi" w:hAnsiTheme="majorBidi" w:cstheme="majorBidi"/>
        </w:rPr>
        <w:t xml:space="preserve">and </w:t>
      </w:r>
      <w:r w:rsidRPr="00D2758E">
        <w:rPr>
          <w:rFonts w:asciiTheme="majorBidi" w:hAnsiTheme="majorBidi" w:cstheme="majorBidi"/>
        </w:rPr>
        <w:t xml:space="preserve">government changes. </w:t>
      </w:r>
      <w:r w:rsidR="007B7A2D">
        <w:rPr>
          <w:rFonts w:asciiTheme="majorBidi" w:hAnsiTheme="majorBidi" w:cstheme="majorBidi"/>
        </w:rPr>
        <w:t>Moreover</w:t>
      </w:r>
      <w:r w:rsidR="009E2D72" w:rsidRPr="00D2758E">
        <w:rPr>
          <w:rFonts w:asciiTheme="majorBidi" w:hAnsiTheme="majorBidi" w:cstheme="majorBidi"/>
        </w:rPr>
        <w:t>,</w:t>
      </w:r>
      <w:r w:rsidR="005B10BD" w:rsidRPr="00D2758E">
        <w:rPr>
          <w:rFonts w:asciiTheme="majorBidi" w:hAnsiTheme="majorBidi" w:cstheme="majorBidi"/>
        </w:rPr>
        <w:t xml:space="preserve"> for </w:t>
      </w:r>
      <w:r w:rsidR="007A1BD4" w:rsidRPr="00D2758E">
        <w:rPr>
          <w:rFonts w:asciiTheme="majorBidi" w:hAnsiTheme="majorBidi" w:cstheme="majorBidi"/>
        </w:rPr>
        <w:t xml:space="preserve">many </w:t>
      </w:r>
      <w:r w:rsidR="00EA7DCC">
        <w:rPr>
          <w:rFonts w:asciiTheme="majorBidi" w:hAnsiTheme="majorBidi" w:cstheme="majorBidi"/>
        </w:rPr>
        <w:t xml:space="preserve">of </w:t>
      </w:r>
      <w:r w:rsidR="005B10BD" w:rsidRPr="00D2758E">
        <w:rPr>
          <w:rFonts w:asciiTheme="majorBidi" w:hAnsiTheme="majorBidi" w:cstheme="majorBidi"/>
        </w:rPr>
        <w:t xml:space="preserve">those Parties </w:t>
      </w:r>
      <w:r w:rsidR="00D900D8">
        <w:rPr>
          <w:rFonts w:asciiTheme="majorBidi" w:hAnsiTheme="majorBidi" w:cstheme="majorBidi"/>
        </w:rPr>
        <w:t xml:space="preserve">that have adopted such </w:t>
      </w:r>
      <w:r w:rsidR="005B10BD" w:rsidRPr="00D2758E">
        <w:rPr>
          <w:rFonts w:asciiTheme="majorBidi" w:hAnsiTheme="majorBidi" w:cstheme="majorBidi"/>
        </w:rPr>
        <w:t>measure</w:t>
      </w:r>
      <w:r w:rsidR="002C01D6">
        <w:rPr>
          <w:rFonts w:asciiTheme="majorBidi" w:hAnsiTheme="majorBidi" w:cstheme="majorBidi"/>
        </w:rPr>
        <w:t>s</w:t>
      </w:r>
      <w:r w:rsidR="005B10BD" w:rsidRPr="00D2758E">
        <w:rPr>
          <w:rFonts w:asciiTheme="majorBidi" w:hAnsiTheme="majorBidi" w:cstheme="majorBidi"/>
        </w:rPr>
        <w:t>,</w:t>
      </w:r>
      <w:r w:rsidR="009E2D72" w:rsidRPr="00D2758E">
        <w:rPr>
          <w:rFonts w:asciiTheme="majorBidi" w:hAnsiTheme="majorBidi" w:cstheme="majorBidi"/>
        </w:rPr>
        <w:t xml:space="preserve"> t</w:t>
      </w:r>
      <w:r w:rsidR="006833CD" w:rsidRPr="00D2758E">
        <w:rPr>
          <w:rFonts w:asciiTheme="majorBidi" w:hAnsiTheme="majorBidi" w:cstheme="majorBidi"/>
        </w:rPr>
        <w:t xml:space="preserve">ranslating </w:t>
      </w:r>
      <w:r w:rsidR="005B10BD" w:rsidRPr="00D2758E">
        <w:rPr>
          <w:rFonts w:asciiTheme="majorBidi" w:hAnsiTheme="majorBidi" w:cstheme="majorBidi"/>
        </w:rPr>
        <w:t>th</w:t>
      </w:r>
      <w:r w:rsidR="001910B7">
        <w:rPr>
          <w:rFonts w:asciiTheme="majorBidi" w:hAnsiTheme="majorBidi" w:cstheme="majorBidi"/>
        </w:rPr>
        <w:t>ose</w:t>
      </w:r>
      <w:r w:rsidR="006833CD" w:rsidRPr="00D2758E">
        <w:rPr>
          <w:rFonts w:asciiTheme="majorBidi" w:hAnsiTheme="majorBidi" w:cstheme="majorBidi"/>
        </w:rPr>
        <w:t xml:space="preserve"> measures and</w:t>
      </w:r>
      <w:r w:rsidR="005B10BD" w:rsidRPr="00D2758E">
        <w:rPr>
          <w:rFonts w:asciiTheme="majorBidi" w:hAnsiTheme="majorBidi" w:cstheme="majorBidi"/>
        </w:rPr>
        <w:t xml:space="preserve"> </w:t>
      </w:r>
      <w:r w:rsidR="001910B7" w:rsidRPr="001910B7">
        <w:rPr>
          <w:rFonts w:asciiTheme="majorBidi" w:hAnsiTheme="majorBidi" w:cstheme="majorBidi"/>
        </w:rPr>
        <w:t xml:space="preserve">access and benefit-sharing </w:t>
      </w:r>
      <w:r w:rsidR="006833CD" w:rsidRPr="00D2758E">
        <w:rPr>
          <w:rFonts w:asciiTheme="majorBidi" w:hAnsiTheme="majorBidi" w:cstheme="majorBidi"/>
        </w:rPr>
        <w:t xml:space="preserve">principles into practice is not </w:t>
      </w:r>
      <w:r w:rsidR="001F6012">
        <w:rPr>
          <w:rFonts w:asciiTheme="majorBidi" w:hAnsiTheme="majorBidi" w:cstheme="majorBidi"/>
        </w:rPr>
        <w:t xml:space="preserve">a </w:t>
      </w:r>
      <w:r w:rsidR="006833CD" w:rsidRPr="00D2758E">
        <w:rPr>
          <w:rFonts w:asciiTheme="majorBidi" w:hAnsiTheme="majorBidi" w:cstheme="majorBidi"/>
        </w:rPr>
        <w:t xml:space="preserve">straightforward </w:t>
      </w:r>
      <w:r w:rsidR="001F6012">
        <w:rPr>
          <w:rFonts w:asciiTheme="majorBidi" w:hAnsiTheme="majorBidi" w:cstheme="majorBidi"/>
        </w:rPr>
        <w:t>process</w:t>
      </w:r>
      <w:r w:rsidR="006833CD" w:rsidRPr="00D2758E">
        <w:rPr>
          <w:rFonts w:asciiTheme="majorBidi" w:hAnsiTheme="majorBidi" w:cstheme="majorBidi"/>
        </w:rPr>
        <w:t>.</w:t>
      </w:r>
    </w:p>
    <w:p w14:paraId="355EEF20" w14:textId="5234ED87" w:rsidR="00C21A18" w:rsidRPr="00D2758E" w:rsidRDefault="00CD7D08" w:rsidP="00CD2C50">
      <w:pPr>
        <w:pStyle w:val="CBDNormalNumber"/>
      </w:pPr>
      <w:r w:rsidRPr="00D2758E">
        <w:rPr>
          <w:rFonts w:asciiTheme="majorBidi" w:hAnsiTheme="majorBidi" w:cstheme="majorBidi"/>
        </w:rPr>
        <w:t xml:space="preserve">There </w:t>
      </w:r>
      <w:r w:rsidR="005B103D" w:rsidRPr="00D2758E">
        <w:rPr>
          <w:rFonts w:asciiTheme="majorBidi" w:hAnsiTheme="majorBidi" w:cstheme="majorBidi"/>
        </w:rPr>
        <w:t xml:space="preserve">are </w:t>
      </w:r>
      <w:proofErr w:type="gramStart"/>
      <w:r w:rsidRPr="00D2758E">
        <w:rPr>
          <w:rFonts w:asciiTheme="majorBidi" w:hAnsiTheme="majorBidi" w:cstheme="majorBidi"/>
        </w:rPr>
        <w:t>a number of</w:t>
      </w:r>
      <w:proofErr w:type="gramEnd"/>
      <w:r w:rsidRPr="00D2758E">
        <w:rPr>
          <w:rFonts w:asciiTheme="majorBidi" w:hAnsiTheme="majorBidi" w:cstheme="majorBidi"/>
        </w:rPr>
        <w:t xml:space="preserve"> c</w:t>
      </w:r>
      <w:r w:rsidR="002460D1" w:rsidRPr="00D2758E">
        <w:rPr>
          <w:rFonts w:asciiTheme="majorBidi" w:hAnsiTheme="majorBidi" w:cstheme="majorBidi"/>
        </w:rPr>
        <w:t xml:space="preserve">hallenges </w:t>
      </w:r>
      <w:r w:rsidR="00C30A19" w:rsidRPr="00D2758E">
        <w:rPr>
          <w:rFonts w:asciiTheme="majorBidi" w:hAnsiTheme="majorBidi" w:cstheme="majorBidi"/>
        </w:rPr>
        <w:t>encountered</w:t>
      </w:r>
      <w:r w:rsidR="00C30A19">
        <w:rPr>
          <w:rFonts w:asciiTheme="majorBidi" w:hAnsiTheme="majorBidi" w:cstheme="majorBidi"/>
        </w:rPr>
        <w:t xml:space="preserve"> by </w:t>
      </w:r>
      <w:r w:rsidR="00610FC0">
        <w:rPr>
          <w:rFonts w:asciiTheme="majorBidi" w:hAnsiTheme="majorBidi" w:cstheme="majorBidi"/>
        </w:rPr>
        <w:t>G</w:t>
      </w:r>
      <w:r w:rsidR="00942504" w:rsidRPr="00D2758E">
        <w:rPr>
          <w:rFonts w:asciiTheme="majorBidi" w:hAnsiTheme="majorBidi" w:cstheme="majorBidi"/>
        </w:rPr>
        <w:t xml:space="preserve">overnments that </w:t>
      </w:r>
      <w:r w:rsidR="00C20A40" w:rsidRPr="00D2758E">
        <w:rPr>
          <w:rFonts w:asciiTheme="majorBidi" w:hAnsiTheme="majorBidi" w:cstheme="majorBidi"/>
        </w:rPr>
        <w:t xml:space="preserve">have </w:t>
      </w:r>
      <w:r w:rsidR="002460D1" w:rsidRPr="00D2758E">
        <w:rPr>
          <w:rFonts w:asciiTheme="majorBidi" w:hAnsiTheme="majorBidi" w:cstheme="majorBidi"/>
        </w:rPr>
        <w:t>delayed national</w:t>
      </w:r>
      <w:r w:rsidR="00942504" w:rsidRPr="00D2758E">
        <w:rPr>
          <w:rFonts w:asciiTheme="majorBidi" w:hAnsiTheme="majorBidi" w:cstheme="majorBidi"/>
        </w:rPr>
        <w:t xml:space="preserve"> </w:t>
      </w:r>
      <w:r w:rsidR="00F352E4" w:rsidRPr="00D2758E">
        <w:rPr>
          <w:rFonts w:asciiTheme="majorBidi" w:hAnsiTheme="majorBidi" w:cstheme="majorBidi"/>
        </w:rPr>
        <w:t>implementation</w:t>
      </w:r>
      <w:r w:rsidRPr="00D2758E">
        <w:rPr>
          <w:rFonts w:asciiTheme="majorBidi" w:hAnsiTheme="majorBidi" w:cstheme="majorBidi"/>
        </w:rPr>
        <w:t>. Th</w:t>
      </w:r>
      <w:r w:rsidR="00C20A40">
        <w:rPr>
          <w:rFonts w:asciiTheme="majorBidi" w:hAnsiTheme="majorBidi" w:cstheme="majorBidi"/>
        </w:rPr>
        <w:t>o</w:t>
      </w:r>
      <w:r w:rsidRPr="00D2758E">
        <w:rPr>
          <w:rFonts w:asciiTheme="majorBidi" w:hAnsiTheme="majorBidi" w:cstheme="majorBidi"/>
        </w:rPr>
        <w:t xml:space="preserve">se </w:t>
      </w:r>
      <w:r w:rsidR="00FB4358">
        <w:rPr>
          <w:rFonts w:asciiTheme="majorBidi" w:hAnsiTheme="majorBidi" w:cstheme="majorBidi"/>
        </w:rPr>
        <w:t xml:space="preserve">challenges </w:t>
      </w:r>
      <w:r w:rsidRPr="00D2758E">
        <w:rPr>
          <w:rFonts w:asciiTheme="majorBidi" w:hAnsiTheme="majorBidi" w:cstheme="majorBidi"/>
        </w:rPr>
        <w:t>include</w:t>
      </w:r>
      <w:r w:rsidR="002460D1" w:rsidRPr="00D2758E">
        <w:rPr>
          <w:rFonts w:asciiTheme="majorBidi" w:hAnsiTheme="majorBidi" w:cstheme="majorBidi"/>
        </w:rPr>
        <w:t xml:space="preserve"> limited financial resources or budgetary constraints; limited human resources and technical expertise at the </w:t>
      </w:r>
      <w:r w:rsidR="002460D1" w:rsidRPr="00D2758E">
        <w:t>government</w:t>
      </w:r>
      <w:r w:rsidR="002460D1" w:rsidRPr="00D2758E">
        <w:rPr>
          <w:rFonts w:asciiTheme="majorBidi" w:hAnsiTheme="majorBidi" w:cstheme="majorBidi"/>
        </w:rPr>
        <w:t xml:space="preserve"> level; limited understanding of the value of genetic resources and/or </w:t>
      </w:r>
      <w:r w:rsidR="00CE3011" w:rsidRPr="00D2758E">
        <w:rPr>
          <w:rFonts w:asciiTheme="majorBidi" w:hAnsiTheme="majorBidi" w:cstheme="majorBidi"/>
        </w:rPr>
        <w:t>associated traditional knowledge</w:t>
      </w:r>
      <w:r w:rsidR="002460D1" w:rsidRPr="00D2758E">
        <w:rPr>
          <w:rFonts w:asciiTheme="majorBidi" w:hAnsiTheme="majorBidi" w:cstheme="majorBidi"/>
        </w:rPr>
        <w:t xml:space="preserve">; </w:t>
      </w:r>
      <w:r w:rsidR="00FB4358">
        <w:rPr>
          <w:rFonts w:asciiTheme="majorBidi" w:hAnsiTheme="majorBidi" w:cstheme="majorBidi"/>
        </w:rPr>
        <w:t xml:space="preserve">and </w:t>
      </w:r>
      <w:r w:rsidR="002460D1" w:rsidRPr="00D2758E">
        <w:rPr>
          <w:rFonts w:asciiTheme="majorBidi" w:hAnsiTheme="majorBidi" w:cstheme="majorBidi"/>
        </w:rPr>
        <w:t xml:space="preserve">limited awareness </w:t>
      </w:r>
      <w:r w:rsidR="00B229A4">
        <w:rPr>
          <w:rFonts w:asciiTheme="majorBidi" w:hAnsiTheme="majorBidi" w:cstheme="majorBidi"/>
        </w:rPr>
        <w:t xml:space="preserve">on the part of </w:t>
      </w:r>
      <w:r w:rsidR="00E43C01" w:rsidRPr="00D2758E">
        <w:rPr>
          <w:rFonts w:asciiTheme="majorBidi" w:hAnsiTheme="majorBidi" w:cstheme="majorBidi"/>
        </w:rPr>
        <w:t xml:space="preserve">indigenous peoples and local communities and stakeholders such as the business and scientific communities </w:t>
      </w:r>
      <w:r w:rsidR="00D1659A" w:rsidRPr="00D2758E">
        <w:rPr>
          <w:rFonts w:asciiTheme="majorBidi" w:hAnsiTheme="majorBidi" w:cstheme="majorBidi"/>
        </w:rPr>
        <w:t xml:space="preserve">of </w:t>
      </w:r>
      <w:r w:rsidR="002460D1" w:rsidRPr="00D2758E">
        <w:rPr>
          <w:rFonts w:asciiTheme="majorBidi" w:hAnsiTheme="majorBidi" w:cstheme="majorBidi"/>
        </w:rPr>
        <w:t xml:space="preserve">the concept of </w:t>
      </w:r>
      <w:r w:rsidR="00DF3B17" w:rsidRPr="00DF3B17">
        <w:rPr>
          <w:rFonts w:asciiTheme="majorBidi" w:hAnsiTheme="majorBidi" w:cstheme="majorBidi"/>
        </w:rPr>
        <w:t>access and benefit</w:t>
      </w:r>
      <w:r w:rsidR="00DF3B17">
        <w:rPr>
          <w:rFonts w:asciiTheme="majorBidi" w:hAnsiTheme="majorBidi" w:cstheme="majorBidi"/>
        </w:rPr>
        <w:t xml:space="preserve"> </w:t>
      </w:r>
      <w:r w:rsidR="00DF3B17" w:rsidRPr="00DF3B17">
        <w:rPr>
          <w:rFonts w:asciiTheme="majorBidi" w:hAnsiTheme="majorBidi" w:cstheme="majorBidi"/>
        </w:rPr>
        <w:t>sharing</w:t>
      </w:r>
      <w:r w:rsidR="00B229A4">
        <w:rPr>
          <w:rFonts w:asciiTheme="majorBidi" w:hAnsiTheme="majorBidi" w:cstheme="majorBidi"/>
        </w:rPr>
        <w:t>,</w:t>
      </w:r>
      <w:r w:rsidR="002460D1" w:rsidRPr="00D2758E">
        <w:rPr>
          <w:rFonts w:asciiTheme="majorBidi" w:hAnsiTheme="majorBidi" w:cstheme="majorBidi"/>
        </w:rPr>
        <w:t xml:space="preserve"> as well as lack of political will and political instability.</w:t>
      </w:r>
      <w:r w:rsidR="00A80675" w:rsidRPr="00D2758E">
        <w:rPr>
          <w:rStyle w:val="FootnoteReference"/>
          <w:rFonts w:asciiTheme="majorBidi" w:hAnsiTheme="majorBidi" w:cstheme="majorBidi"/>
        </w:rPr>
        <w:footnoteReference w:id="14"/>
      </w:r>
      <w:r w:rsidR="009C7D4D" w:rsidRPr="00D2758E">
        <w:rPr>
          <w:rFonts w:asciiTheme="majorBidi" w:hAnsiTheme="majorBidi" w:cstheme="majorBidi"/>
        </w:rPr>
        <w:t xml:space="preserve"> </w:t>
      </w:r>
      <w:r w:rsidR="00EB56F6" w:rsidRPr="00D2758E">
        <w:t xml:space="preserve">Staff turnover is </w:t>
      </w:r>
      <w:r w:rsidR="002644C5" w:rsidRPr="00D2758E">
        <w:t>considered an important challenge</w:t>
      </w:r>
      <w:r w:rsidR="00927271">
        <w:t xml:space="preserve"> as well</w:t>
      </w:r>
      <w:r w:rsidR="002644C5" w:rsidRPr="00D2758E">
        <w:t xml:space="preserve">, </w:t>
      </w:r>
      <w:r w:rsidR="00230A4E">
        <w:t xml:space="preserve">in </w:t>
      </w:r>
      <w:r w:rsidR="002644C5" w:rsidRPr="00D2758E">
        <w:t xml:space="preserve">particular in a general context of lack of human </w:t>
      </w:r>
      <w:r w:rsidR="002644C5" w:rsidRPr="00D2758E">
        <w:rPr>
          <w:rFonts w:asciiTheme="majorBidi" w:hAnsiTheme="majorBidi" w:cstheme="majorBidi"/>
        </w:rPr>
        <w:t>resources</w:t>
      </w:r>
      <w:r w:rsidR="002644C5" w:rsidRPr="00D2758E">
        <w:t xml:space="preserve">. </w:t>
      </w:r>
    </w:p>
    <w:p w14:paraId="24B6270C" w14:textId="6C2B037F" w:rsidR="001321C9" w:rsidRPr="00D2758E" w:rsidRDefault="007807AA" w:rsidP="00CD2C50">
      <w:pPr>
        <w:pStyle w:val="CBDNormalNumber"/>
      </w:pPr>
      <w:r w:rsidRPr="00D2758E">
        <w:t xml:space="preserve">According to </w:t>
      </w:r>
      <w:r w:rsidR="002C4B6B">
        <w:t xml:space="preserve">the </w:t>
      </w:r>
      <w:r w:rsidR="00B00AD1" w:rsidRPr="00D2758E">
        <w:t>users</w:t>
      </w:r>
      <w:r w:rsidR="000D64DA" w:rsidRPr="00D2758E">
        <w:t xml:space="preserve"> surveyed</w:t>
      </w:r>
      <w:r w:rsidR="009C697E" w:rsidRPr="00D2758E">
        <w:t>,</w:t>
      </w:r>
      <w:r w:rsidR="007E497A" w:rsidRPr="00D2758E">
        <w:rPr>
          <w:rStyle w:val="FootnoteReference"/>
        </w:rPr>
        <w:footnoteReference w:id="15"/>
      </w:r>
      <w:r w:rsidR="00C166A4" w:rsidRPr="00D2758E">
        <w:t xml:space="preserve"> </w:t>
      </w:r>
      <w:r w:rsidR="00405A03" w:rsidRPr="00D2758E">
        <w:t xml:space="preserve">the main challenges </w:t>
      </w:r>
      <w:r w:rsidR="00DF228C" w:rsidRPr="00D2758E">
        <w:t xml:space="preserve">identified </w:t>
      </w:r>
      <w:r w:rsidR="00405A03" w:rsidRPr="00D2758E">
        <w:t>related to access</w:t>
      </w:r>
      <w:r w:rsidR="007A0D82" w:rsidRPr="00D2758E">
        <w:t>ing</w:t>
      </w:r>
      <w:r w:rsidR="00405A03" w:rsidRPr="00D2758E">
        <w:t xml:space="preserve"> genetic resources and/or associated traditional </w:t>
      </w:r>
      <w:r w:rsidR="00E10344" w:rsidRPr="00D2758E">
        <w:t>knowledge</w:t>
      </w:r>
      <w:r w:rsidR="00273C9F" w:rsidRPr="00D2758E">
        <w:t>.</w:t>
      </w:r>
      <w:r w:rsidR="00405A03" w:rsidRPr="00D2758E">
        <w:t xml:space="preserve"> </w:t>
      </w:r>
      <w:r w:rsidR="00633D6C" w:rsidRPr="00D2758E">
        <w:t xml:space="preserve">Users found </w:t>
      </w:r>
      <w:r w:rsidR="000E5598" w:rsidRPr="00D2758E">
        <w:t xml:space="preserve">that </w:t>
      </w:r>
      <w:r w:rsidR="005153A0">
        <w:t>access and benefit-</w:t>
      </w:r>
      <w:proofErr w:type="gramStart"/>
      <w:r w:rsidR="005153A0">
        <w:t xml:space="preserve">sharing </w:t>
      </w:r>
      <w:r w:rsidR="00294A14" w:rsidRPr="00D2758E">
        <w:t xml:space="preserve"> </w:t>
      </w:r>
      <w:r w:rsidR="00C166A4" w:rsidRPr="00D2758E">
        <w:t>national</w:t>
      </w:r>
      <w:proofErr w:type="gramEnd"/>
      <w:r w:rsidR="00C166A4" w:rsidRPr="00D2758E">
        <w:t xml:space="preserve"> focal points </w:t>
      </w:r>
      <w:r w:rsidR="00294A14" w:rsidRPr="00D2758E">
        <w:t xml:space="preserve">or </w:t>
      </w:r>
      <w:r w:rsidR="00C166A4" w:rsidRPr="00D2758E">
        <w:t>competent national authorities</w:t>
      </w:r>
      <w:r w:rsidR="00294A14" w:rsidRPr="00D2758E">
        <w:t xml:space="preserve"> </w:t>
      </w:r>
      <w:r w:rsidR="00027908">
        <w:t>were</w:t>
      </w:r>
      <w:r w:rsidR="00027908" w:rsidRPr="00D2758E">
        <w:t xml:space="preserve"> </w:t>
      </w:r>
      <w:r w:rsidR="00633D6C" w:rsidRPr="00D2758E">
        <w:t xml:space="preserve">often </w:t>
      </w:r>
      <w:r w:rsidR="00294A14" w:rsidRPr="00D2758E">
        <w:t>not responsive or difficult to reach</w:t>
      </w:r>
      <w:r w:rsidR="000E5598" w:rsidRPr="00D2758E">
        <w:t xml:space="preserve"> </w:t>
      </w:r>
      <w:r w:rsidR="001321C9" w:rsidRPr="00D2758E">
        <w:t xml:space="preserve">and </w:t>
      </w:r>
      <w:r w:rsidR="00DE5F4B" w:rsidRPr="00D2758E">
        <w:t>that i</w:t>
      </w:r>
      <w:r w:rsidR="001321C9" w:rsidRPr="00D2758E">
        <w:t xml:space="preserve">nformation on national </w:t>
      </w:r>
      <w:r w:rsidR="00D212AB" w:rsidRPr="00D212AB">
        <w:t xml:space="preserve">access and benefit-sharing </w:t>
      </w:r>
      <w:r w:rsidR="001321C9" w:rsidRPr="00D2758E">
        <w:t xml:space="preserve">authorities and/or national </w:t>
      </w:r>
      <w:r w:rsidR="00D212AB" w:rsidRPr="00D212AB">
        <w:t xml:space="preserve">access and benefit-sharing </w:t>
      </w:r>
      <w:r w:rsidR="001321C9" w:rsidRPr="00D2758E">
        <w:t xml:space="preserve">requirements </w:t>
      </w:r>
      <w:r w:rsidR="00174C1F">
        <w:t>was</w:t>
      </w:r>
      <w:r w:rsidR="00174C1F" w:rsidRPr="00D2758E">
        <w:t xml:space="preserve"> </w:t>
      </w:r>
      <w:r w:rsidR="001321C9" w:rsidRPr="00D2758E">
        <w:t xml:space="preserve">not always available or </w:t>
      </w:r>
      <w:r w:rsidR="00174C1F">
        <w:t>was</w:t>
      </w:r>
      <w:r w:rsidR="00174C1F" w:rsidRPr="00D2758E">
        <w:t xml:space="preserve"> </w:t>
      </w:r>
      <w:r w:rsidR="001321C9" w:rsidRPr="00D2758E">
        <w:t xml:space="preserve">unclear on </w:t>
      </w:r>
      <w:r w:rsidR="00174C1F">
        <w:t xml:space="preserve">the </w:t>
      </w:r>
      <w:r w:rsidR="006A704B">
        <w:t xml:space="preserve">Access and Benefit-sharing </w:t>
      </w:r>
      <w:r w:rsidR="00DE5F4B" w:rsidRPr="00D2758E">
        <w:t>Clearing-House</w:t>
      </w:r>
      <w:r w:rsidR="009C697E" w:rsidRPr="00D2758E">
        <w:t>.</w:t>
      </w:r>
      <w:r w:rsidR="00DE5F4B" w:rsidRPr="00D2758E">
        <w:rPr>
          <w:rStyle w:val="FootnoteReference"/>
        </w:rPr>
        <w:footnoteReference w:id="16"/>
      </w:r>
    </w:p>
    <w:p w14:paraId="27C522AB" w14:textId="02FA9B9C" w:rsidR="00043F6A" w:rsidRPr="00D2758E" w:rsidRDefault="006979CA" w:rsidP="00CD2C50">
      <w:pPr>
        <w:pStyle w:val="CBDNormalNumber"/>
        <w:rPr>
          <w:rFonts w:asciiTheme="majorBidi" w:hAnsiTheme="majorBidi" w:cstheme="majorBidi"/>
        </w:rPr>
      </w:pPr>
      <w:r w:rsidRPr="00D2758E">
        <w:rPr>
          <w:rFonts w:asciiTheme="majorBidi" w:hAnsiTheme="majorBidi" w:cstheme="majorBidi"/>
        </w:rPr>
        <w:t>M</w:t>
      </w:r>
      <w:r w:rsidR="001258E8" w:rsidRPr="00D2758E">
        <w:rPr>
          <w:rFonts w:asciiTheme="majorBidi" w:hAnsiTheme="majorBidi" w:cstheme="majorBidi"/>
        </w:rPr>
        <w:t xml:space="preserve">any Parties have designated </w:t>
      </w:r>
      <w:r w:rsidR="006678B7">
        <w:rPr>
          <w:rFonts w:asciiTheme="majorBidi" w:hAnsiTheme="majorBidi" w:cstheme="majorBidi"/>
        </w:rPr>
        <w:t xml:space="preserve">a person </w:t>
      </w:r>
      <w:r w:rsidR="00716AD0">
        <w:rPr>
          <w:rFonts w:asciiTheme="majorBidi" w:hAnsiTheme="majorBidi" w:cstheme="majorBidi"/>
        </w:rPr>
        <w:t xml:space="preserve">working </w:t>
      </w:r>
      <w:r w:rsidR="001258E8" w:rsidRPr="00D2758E">
        <w:rPr>
          <w:rFonts w:asciiTheme="majorBidi" w:hAnsiTheme="majorBidi" w:cstheme="majorBidi"/>
        </w:rPr>
        <w:t xml:space="preserve">in the ministry </w:t>
      </w:r>
      <w:r w:rsidR="00AE4377">
        <w:rPr>
          <w:rFonts w:asciiTheme="majorBidi" w:hAnsiTheme="majorBidi" w:cstheme="majorBidi"/>
        </w:rPr>
        <w:t>of</w:t>
      </w:r>
      <w:r w:rsidR="00A96F8F">
        <w:rPr>
          <w:rFonts w:asciiTheme="majorBidi" w:hAnsiTheme="majorBidi" w:cstheme="majorBidi"/>
        </w:rPr>
        <w:t xml:space="preserve"> </w:t>
      </w:r>
      <w:proofErr w:type="gramStart"/>
      <w:r w:rsidR="00A96F8F">
        <w:rPr>
          <w:rFonts w:asciiTheme="majorBidi" w:hAnsiTheme="majorBidi" w:cstheme="majorBidi"/>
        </w:rPr>
        <w:t xml:space="preserve">the </w:t>
      </w:r>
      <w:r w:rsidR="001258E8" w:rsidRPr="00D2758E">
        <w:rPr>
          <w:rFonts w:asciiTheme="majorBidi" w:hAnsiTheme="majorBidi" w:cstheme="majorBidi"/>
        </w:rPr>
        <w:t xml:space="preserve"> environment</w:t>
      </w:r>
      <w:proofErr w:type="gramEnd"/>
      <w:r w:rsidR="001258E8" w:rsidRPr="00D2758E">
        <w:rPr>
          <w:rFonts w:asciiTheme="majorBidi" w:hAnsiTheme="majorBidi" w:cstheme="majorBidi"/>
        </w:rPr>
        <w:t xml:space="preserve"> or a related institution as the national focal </w:t>
      </w:r>
      <w:r w:rsidR="001258E8" w:rsidRPr="000254DF">
        <w:rPr>
          <w:rFonts w:asciiTheme="majorBidi" w:hAnsiTheme="majorBidi" w:cstheme="majorBidi"/>
        </w:rPr>
        <w:t>point</w:t>
      </w:r>
      <w:r w:rsidRPr="000254DF">
        <w:rPr>
          <w:rFonts w:asciiTheme="majorBidi" w:hAnsiTheme="majorBidi" w:cstheme="majorBidi"/>
        </w:rPr>
        <w:t>.</w:t>
      </w:r>
      <w:r w:rsidR="00C7700B" w:rsidRPr="000254DF">
        <w:rPr>
          <w:rFonts w:asciiTheme="majorBidi" w:hAnsiTheme="majorBidi" w:cstheme="majorBidi"/>
        </w:rPr>
        <w:t xml:space="preserve"> </w:t>
      </w:r>
      <w:r w:rsidRPr="000254DF">
        <w:rPr>
          <w:rFonts w:asciiTheme="majorBidi" w:hAnsiTheme="majorBidi" w:cstheme="majorBidi"/>
        </w:rPr>
        <w:t>In some Parties</w:t>
      </w:r>
      <w:r w:rsidR="001258E8" w:rsidRPr="000254DF">
        <w:rPr>
          <w:rFonts w:asciiTheme="majorBidi" w:hAnsiTheme="majorBidi" w:cstheme="majorBidi"/>
        </w:rPr>
        <w:t>,</w:t>
      </w:r>
      <w:r w:rsidRPr="000254DF">
        <w:rPr>
          <w:rFonts w:asciiTheme="majorBidi" w:hAnsiTheme="majorBidi" w:cstheme="majorBidi"/>
        </w:rPr>
        <w:t xml:space="preserve"> however,</w:t>
      </w:r>
      <w:r w:rsidR="001258E8" w:rsidRPr="000254DF">
        <w:rPr>
          <w:rFonts w:asciiTheme="majorBidi" w:hAnsiTheme="majorBidi" w:cstheme="majorBidi"/>
        </w:rPr>
        <w:t xml:space="preserve"> the </w:t>
      </w:r>
      <w:r w:rsidR="00446822" w:rsidRPr="000254DF">
        <w:rPr>
          <w:rFonts w:asciiTheme="majorBidi" w:hAnsiTheme="majorBidi" w:cstheme="majorBidi"/>
        </w:rPr>
        <w:t xml:space="preserve">national focal point </w:t>
      </w:r>
      <w:r w:rsidR="001258E8" w:rsidRPr="000254DF">
        <w:rPr>
          <w:rFonts w:asciiTheme="majorBidi" w:hAnsiTheme="majorBidi" w:cstheme="majorBidi"/>
        </w:rPr>
        <w:t xml:space="preserve">is </w:t>
      </w:r>
      <w:r w:rsidR="006B3E11">
        <w:rPr>
          <w:rFonts w:asciiTheme="majorBidi" w:hAnsiTheme="majorBidi" w:cstheme="majorBidi"/>
        </w:rPr>
        <w:t xml:space="preserve">associated </w:t>
      </w:r>
      <w:proofErr w:type="gramStart"/>
      <w:r w:rsidR="006B3E11">
        <w:rPr>
          <w:rFonts w:asciiTheme="majorBidi" w:hAnsiTheme="majorBidi" w:cstheme="majorBidi"/>
        </w:rPr>
        <w:t xml:space="preserve">with </w:t>
      </w:r>
      <w:r w:rsidR="001258E8" w:rsidRPr="000254DF">
        <w:rPr>
          <w:rFonts w:asciiTheme="majorBidi" w:hAnsiTheme="majorBidi" w:cstheme="majorBidi"/>
        </w:rPr>
        <w:t xml:space="preserve"> the</w:t>
      </w:r>
      <w:proofErr w:type="gramEnd"/>
      <w:r w:rsidR="001258E8" w:rsidRPr="000254DF">
        <w:rPr>
          <w:rFonts w:asciiTheme="majorBidi" w:hAnsiTheme="majorBidi" w:cstheme="majorBidi"/>
        </w:rPr>
        <w:t xml:space="preserve"> ministry </w:t>
      </w:r>
      <w:r w:rsidR="00F13639">
        <w:rPr>
          <w:rFonts w:asciiTheme="majorBidi" w:hAnsiTheme="majorBidi" w:cstheme="majorBidi"/>
        </w:rPr>
        <w:t>for</w:t>
      </w:r>
      <w:r w:rsidR="001258E8" w:rsidRPr="000254DF">
        <w:rPr>
          <w:rFonts w:asciiTheme="majorBidi" w:hAnsiTheme="majorBidi" w:cstheme="majorBidi"/>
        </w:rPr>
        <w:t xml:space="preserve"> foreign relations or </w:t>
      </w:r>
      <w:r w:rsidR="00F13639">
        <w:rPr>
          <w:rFonts w:asciiTheme="majorBidi" w:hAnsiTheme="majorBidi" w:cstheme="majorBidi"/>
        </w:rPr>
        <w:t xml:space="preserve">the ministry </w:t>
      </w:r>
      <w:r w:rsidR="005952E3">
        <w:rPr>
          <w:rFonts w:asciiTheme="majorBidi" w:hAnsiTheme="majorBidi" w:cstheme="majorBidi"/>
        </w:rPr>
        <w:t xml:space="preserve">for </w:t>
      </w:r>
      <w:r w:rsidR="001258E8" w:rsidRPr="000254DF">
        <w:rPr>
          <w:rFonts w:asciiTheme="majorBidi" w:hAnsiTheme="majorBidi" w:cstheme="majorBidi"/>
        </w:rPr>
        <w:t xml:space="preserve">foreign affairs. </w:t>
      </w:r>
      <w:r w:rsidR="00113051" w:rsidRPr="000254DF">
        <w:rPr>
          <w:rFonts w:asciiTheme="majorBidi" w:hAnsiTheme="majorBidi" w:cstheme="majorBidi"/>
        </w:rPr>
        <w:t>Data show that</w:t>
      </w:r>
      <w:r w:rsidR="005952E3">
        <w:rPr>
          <w:rFonts w:asciiTheme="majorBidi" w:hAnsiTheme="majorBidi" w:cstheme="majorBidi"/>
        </w:rPr>
        <w:t>,</w:t>
      </w:r>
      <w:r w:rsidR="00113051" w:rsidRPr="000254DF">
        <w:rPr>
          <w:rFonts w:asciiTheme="majorBidi" w:hAnsiTheme="majorBidi" w:cstheme="majorBidi"/>
        </w:rPr>
        <w:t xml:space="preserve"> </w:t>
      </w:r>
      <w:r w:rsidR="001258E8" w:rsidRPr="000254DF">
        <w:rPr>
          <w:rFonts w:asciiTheme="majorBidi" w:hAnsiTheme="majorBidi" w:cstheme="majorBidi"/>
        </w:rPr>
        <w:t xml:space="preserve">in </w:t>
      </w:r>
      <w:r w:rsidR="00505150">
        <w:rPr>
          <w:rFonts w:asciiTheme="majorBidi" w:hAnsiTheme="majorBidi" w:cstheme="majorBidi"/>
        </w:rPr>
        <w:t>certain</w:t>
      </w:r>
      <w:r w:rsidR="001258E8" w:rsidRPr="000254DF">
        <w:rPr>
          <w:rFonts w:asciiTheme="majorBidi" w:hAnsiTheme="majorBidi" w:cstheme="majorBidi"/>
        </w:rPr>
        <w:t xml:space="preserve"> </w:t>
      </w:r>
      <w:r w:rsidR="00113051" w:rsidRPr="000254DF">
        <w:rPr>
          <w:rFonts w:asciiTheme="majorBidi" w:hAnsiTheme="majorBidi" w:cstheme="majorBidi"/>
        </w:rPr>
        <w:t xml:space="preserve">countries, </w:t>
      </w:r>
      <w:r w:rsidR="001258E8" w:rsidRPr="000254DF">
        <w:rPr>
          <w:rFonts w:asciiTheme="majorBidi" w:hAnsiTheme="majorBidi" w:cstheme="majorBidi"/>
        </w:rPr>
        <w:t>the</w:t>
      </w:r>
      <w:r w:rsidR="00446822" w:rsidRPr="000254DF">
        <w:t xml:space="preserve"> </w:t>
      </w:r>
      <w:r w:rsidR="00446822" w:rsidRPr="000254DF">
        <w:rPr>
          <w:rFonts w:asciiTheme="majorBidi" w:hAnsiTheme="majorBidi" w:cstheme="majorBidi"/>
        </w:rPr>
        <w:t>national focal point</w:t>
      </w:r>
      <w:r w:rsidR="001258E8" w:rsidRPr="000254DF">
        <w:rPr>
          <w:rFonts w:asciiTheme="majorBidi" w:hAnsiTheme="majorBidi" w:cstheme="majorBidi"/>
        </w:rPr>
        <w:t xml:space="preserve"> </w:t>
      </w:r>
      <w:r w:rsidR="002B7C74">
        <w:rPr>
          <w:rFonts w:asciiTheme="majorBidi" w:hAnsiTheme="majorBidi" w:cstheme="majorBidi"/>
        </w:rPr>
        <w:t xml:space="preserve">does </w:t>
      </w:r>
      <w:r w:rsidR="001258E8" w:rsidRPr="000254DF">
        <w:rPr>
          <w:rFonts w:asciiTheme="majorBidi" w:hAnsiTheme="majorBidi" w:cstheme="majorBidi"/>
        </w:rPr>
        <w:t xml:space="preserve">not </w:t>
      </w:r>
      <w:r w:rsidR="00BC6965">
        <w:rPr>
          <w:rFonts w:asciiTheme="majorBidi" w:hAnsiTheme="majorBidi" w:cstheme="majorBidi"/>
        </w:rPr>
        <w:t xml:space="preserve">engage </w:t>
      </w:r>
      <w:r w:rsidR="002B7C74" w:rsidRPr="000254DF">
        <w:rPr>
          <w:rFonts w:asciiTheme="majorBidi" w:hAnsiTheme="majorBidi" w:cstheme="majorBidi"/>
        </w:rPr>
        <w:t xml:space="preserve">only </w:t>
      </w:r>
      <w:r w:rsidR="00BC6965">
        <w:rPr>
          <w:rFonts w:asciiTheme="majorBidi" w:hAnsiTheme="majorBidi" w:cstheme="majorBidi"/>
        </w:rPr>
        <w:t xml:space="preserve">in </w:t>
      </w:r>
      <w:r w:rsidR="001258E8" w:rsidRPr="000254DF">
        <w:rPr>
          <w:rFonts w:asciiTheme="majorBidi" w:hAnsiTheme="majorBidi" w:cstheme="majorBidi"/>
        </w:rPr>
        <w:t>work</w:t>
      </w:r>
      <w:r w:rsidR="00832D45">
        <w:rPr>
          <w:rFonts w:asciiTheme="majorBidi" w:hAnsiTheme="majorBidi" w:cstheme="majorBidi"/>
        </w:rPr>
        <w:t xml:space="preserve"> related to access and benefit sharing</w:t>
      </w:r>
      <w:r w:rsidR="00F33CBC">
        <w:rPr>
          <w:rFonts w:asciiTheme="majorBidi" w:hAnsiTheme="majorBidi" w:cstheme="majorBidi"/>
        </w:rPr>
        <w:t>.</w:t>
      </w:r>
      <w:r w:rsidR="00832D45">
        <w:rPr>
          <w:rFonts w:asciiTheme="majorBidi" w:hAnsiTheme="majorBidi" w:cstheme="majorBidi"/>
        </w:rPr>
        <w:t xml:space="preserve"> </w:t>
      </w:r>
      <w:r w:rsidR="001258E8" w:rsidRPr="000254DF">
        <w:rPr>
          <w:rFonts w:asciiTheme="majorBidi" w:hAnsiTheme="majorBidi" w:cstheme="majorBidi"/>
        </w:rPr>
        <w:t xml:space="preserve"> </w:t>
      </w:r>
      <w:r w:rsidR="00F33CBC">
        <w:rPr>
          <w:rFonts w:asciiTheme="majorBidi" w:hAnsiTheme="majorBidi" w:cstheme="majorBidi"/>
        </w:rPr>
        <w:lastRenderedPageBreak/>
        <w:t xml:space="preserve">Indeed, </w:t>
      </w:r>
      <w:r w:rsidR="00DC5E42">
        <w:rPr>
          <w:rFonts w:asciiTheme="majorBidi" w:hAnsiTheme="majorBidi" w:cstheme="majorBidi"/>
        </w:rPr>
        <w:t>in</w:t>
      </w:r>
      <w:r w:rsidR="0053712C">
        <w:rPr>
          <w:rFonts w:asciiTheme="majorBidi" w:hAnsiTheme="majorBidi" w:cstheme="majorBidi"/>
        </w:rPr>
        <w:t xml:space="preserve"> </w:t>
      </w:r>
      <w:r w:rsidR="00E6723E">
        <w:rPr>
          <w:rFonts w:asciiTheme="majorBidi" w:hAnsiTheme="majorBidi" w:cstheme="majorBidi"/>
        </w:rPr>
        <w:t xml:space="preserve">handling </w:t>
      </w:r>
      <w:r w:rsidR="001258E8" w:rsidRPr="000254DF">
        <w:rPr>
          <w:rFonts w:asciiTheme="majorBidi" w:hAnsiTheme="majorBidi" w:cstheme="majorBidi"/>
        </w:rPr>
        <w:t>cases</w:t>
      </w:r>
      <w:r w:rsidR="00043C6B">
        <w:rPr>
          <w:rFonts w:asciiTheme="majorBidi" w:hAnsiTheme="majorBidi" w:cstheme="majorBidi"/>
        </w:rPr>
        <w:t xml:space="preserve"> the focal point may be presented with the</w:t>
      </w:r>
      <w:r w:rsidR="001258E8" w:rsidRPr="00D2758E">
        <w:rPr>
          <w:rFonts w:asciiTheme="majorBidi" w:hAnsiTheme="majorBidi" w:cstheme="majorBidi"/>
        </w:rPr>
        <w:t xml:space="preserve"> challenge </w:t>
      </w:r>
      <w:r w:rsidR="00043C6B">
        <w:rPr>
          <w:rFonts w:asciiTheme="majorBidi" w:hAnsiTheme="majorBidi" w:cstheme="majorBidi"/>
        </w:rPr>
        <w:t>of</w:t>
      </w:r>
      <w:r w:rsidR="001258E8" w:rsidRPr="00D2758E">
        <w:rPr>
          <w:rFonts w:asciiTheme="majorBidi" w:hAnsiTheme="majorBidi" w:cstheme="majorBidi"/>
        </w:rPr>
        <w:t xml:space="preserve"> serv</w:t>
      </w:r>
      <w:r w:rsidR="00043C6B">
        <w:rPr>
          <w:rFonts w:asciiTheme="majorBidi" w:hAnsiTheme="majorBidi" w:cstheme="majorBidi"/>
        </w:rPr>
        <w:t>ing</w:t>
      </w:r>
      <w:r w:rsidR="001258E8" w:rsidRPr="00D2758E">
        <w:rPr>
          <w:rFonts w:asciiTheme="majorBidi" w:hAnsiTheme="majorBidi" w:cstheme="majorBidi"/>
        </w:rPr>
        <w:t xml:space="preserve"> as the sole liaison with the Secretariat</w:t>
      </w:r>
      <w:r w:rsidR="00446822" w:rsidRPr="00D2758E">
        <w:rPr>
          <w:rFonts w:asciiTheme="majorBidi" w:hAnsiTheme="majorBidi" w:cstheme="majorBidi"/>
        </w:rPr>
        <w:t xml:space="preserve"> of the Convention on Biological Diversity</w:t>
      </w:r>
      <w:r w:rsidR="001258E8" w:rsidRPr="00D2758E">
        <w:rPr>
          <w:rFonts w:asciiTheme="majorBidi" w:hAnsiTheme="majorBidi" w:cstheme="majorBidi"/>
        </w:rPr>
        <w:t xml:space="preserve"> and follow</w:t>
      </w:r>
      <w:r w:rsidR="00757E6D">
        <w:rPr>
          <w:rFonts w:asciiTheme="majorBidi" w:hAnsiTheme="majorBidi" w:cstheme="majorBidi"/>
        </w:rPr>
        <w:t>ing</w:t>
      </w:r>
      <w:r w:rsidR="001258E8" w:rsidRPr="00D2758E">
        <w:rPr>
          <w:rFonts w:asciiTheme="majorBidi" w:hAnsiTheme="majorBidi" w:cstheme="majorBidi"/>
        </w:rPr>
        <w:t xml:space="preserve"> international negotiations, while </w:t>
      </w:r>
      <w:r w:rsidR="005A2F12">
        <w:rPr>
          <w:rFonts w:asciiTheme="majorBidi" w:hAnsiTheme="majorBidi" w:cstheme="majorBidi"/>
        </w:rPr>
        <w:t xml:space="preserve">remaining </w:t>
      </w:r>
      <w:r w:rsidR="001258E8" w:rsidRPr="00D2758E">
        <w:rPr>
          <w:rFonts w:asciiTheme="majorBidi" w:hAnsiTheme="majorBidi" w:cstheme="majorBidi"/>
        </w:rPr>
        <w:t xml:space="preserve">responsible for national implementation of the Nagoya Protocol and </w:t>
      </w:r>
      <w:r w:rsidR="00832D45">
        <w:rPr>
          <w:rFonts w:asciiTheme="majorBidi" w:hAnsiTheme="majorBidi" w:cstheme="majorBidi"/>
        </w:rPr>
        <w:t xml:space="preserve">access and benefit-sharing </w:t>
      </w:r>
      <w:r w:rsidR="001258E8" w:rsidRPr="00D2758E">
        <w:rPr>
          <w:rFonts w:asciiTheme="majorBidi" w:hAnsiTheme="majorBidi" w:cstheme="majorBidi"/>
        </w:rPr>
        <w:t>agreements</w:t>
      </w:r>
      <w:r w:rsidR="00113051" w:rsidRPr="00D2758E">
        <w:rPr>
          <w:rFonts w:asciiTheme="majorBidi" w:hAnsiTheme="majorBidi" w:cstheme="majorBidi"/>
        </w:rPr>
        <w:t>.</w:t>
      </w:r>
      <w:r w:rsidR="00471D85" w:rsidRPr="00D2758E">
        <w:rPr>
          <w:rFonts w:asciiTheme="majorBidi" w:hAnsiTheme="majorBidi" w:cstheme="majorBidi"/>
        </w:rPr>
        <w:t xml:space="preserve"> </w:t>
      </w:r>
      <w:proofErr w:type="gramStart"/>
      <w:r w:rsidR="003A765F" w:rsidRPr="00D2758E">
        <w:rPr>
          <w:rFonts w:asciiTheme="majorBidi" w:hAnsiTheme="majorBidi" w:cstheme="majorBidi"/>
        </w:rPr>
        <w:t xml:space="preserve">As a </w:t>
      </w:r>
      <w:r w:rsidR="00502D0A">
        <w:rPr>
          <w:rFonts w:asciiTheme="majorBidi" w:hAnsiTheme="majorBidi" w:cstheme="majorBidi"/>
        </w:rPr>
        <w:t>c</w:t>
      </w:r>
      <w:r w:rsidR="00F33CBC">
        <w:rPr>
          <w:rFonts w:asciiTheme="majorBidi" w:hAnsiTheme="majorBidi" w:cstheme="majorBidi"/>
        </w:rPr>
        <w:t>o</w:t>
      </w:r>
      <w:r w:rsidR="00502D0A">
        <w:rPr>
          <w:rFonts w:asciiTheme="majorBidi" w:hAnsiTheme="majorBidi" w:cstheme="majorBidi"/>
        </w:rPr>
        <w:t xml:space="preserve">nsequence </w:t>
      </w:r>
      <w:r w:rsidR="003A765F" w:rsidRPr="00D2758E">
        <w:rPr>
          <w:rFonts w:asciiTheme="majorBidi" w:hAnsiTheme="majorBidi" w:cstheme="majorBidi"/>
        </w:rPr>
        <w:t>of</w:t>
      </w:r>
      <w:proofErr w:type="gramEnd"/>
      <w:r w:rsidR="003A765F" w:rsidRPr="00D2758E">
        <w:rPr>
          <w:rFonts w:asciiTheme="majorBidi" w:hAnsiTheme="majorBidi" w:cstheme="majorBidi"/>
        </w:rPr>
        <w:t xml:space="preserve"> </w:t>
      </w:r>
      <w:r w:rsidR="00502D0A">
        <w:rPr>
          <w:rFonts w:asciiTheme="majorBidi" w:hAnsiTheme="majorBidi" w:cstheme="majorBidi"/>
        </w:rPr>
        <w:t xml:space="preserve">their fulfilment of </w:t>
      </w:r>
      <w:r w:rsidR="003A765F" w:rsidRPr="00D2758E">
        <w:rPr>
          <w:rFonts w:asciiTheme="majorBidi" w:hAnsiTheme="majorBidi" w:cstheme="majorBidi"/>
        </w:rPr>
        <w:t>some of th</w:t>
      </w:r>
      <w:r w:rsidR="00C85269">
        <w:rPr>
          <w:rFonts w:asciiTheme="majorBidi" w:hAnsiTheme="majorBidi" w:cstheme="majorBidi"/>
        </w:rPr>
        <w:t>e</w:t>
      </w:r>
      <w:r w:rsidR="003A765F" w:rsidRPr="00D2758E">
        <w:rPr>
          <w:rFonts w:asciiTheme="majorBidi" w:hAnsiTheme="majorBidi" w:cstheme="majorBidi"/>
        </w:rPr>
        <w:t xml:space="preserve">se functions, </w:t>
      </w:r>
      <w:r w:rsidR="00446822" w:rsidRPr="00D2758E">
        <w:rPr>
          <w:rFonts w:asciiTheme="majorBidi" w:hAnsiTheme="majorBidi" w:cstheme="majorBidi"/>
        </w:rPr>
        <w:t>national focal points</w:t>
      </w:r>
      <w:r w:rsidR="003A765F" w:rsidRPr="00D2758E">
        <w:rPr>
          <w:rFonts w:asciiTheme="majorBidi" w:hAnsiTheme="majorBidi" w:cstheme="majorBidi"/>
        </w:rPr>
        <w:t xml:space="preserve"> in </w:t>
      </w:r>
      <w:r w:rsidR="00DC5195">
        <w:rPr>
          <w:rFonts w:asciiTheme="majorBidi" w:hAnsiTheme="majorBidi" w:cstheme="majorBidi"/>
        </w:rPr>
        <w:t>certain</w:t>
      </w:r>
      <w:r w:rsidR="003A765F" w:rsidRPr="00D2758E">
        <w:rPr>
          <w:rFonts w:asciiTheme="majorBidi" w:hAnsiTheme="majorBidi" w:cstheme="majorBidi"/>
        </w:rPr>
        <w:t xml:space="preserve"> Parties </w:t>
      </w:r>
      <w:r w:rsidR="00766673">
        <w:rPr>
          <w:rFonts w:asciiTheme="majorBidi" w:hAnsiTheme="majorBidi" w:cstheme="majorBidi"/>
        </w:rPr>
        <w:t xml:space="preserve">enjoy </w:t>
      </w:r>
      <w:r w:rsidR="003A765F" w:rsidRPr="00D2758E">
        <w:rPr>
          <w:rFonts w:asciiTheme="majorBidi" w:hAnsiTheme="majorBidi" w:cstheme="majorBidi"/>
        </w:rPr>
        <w:t>a high level of seniority</w:t>
      </w:r>
      <w:r w:rsidR="000D2226" w:rsidRPr="00D2758E">
        <w:rPr>
          <w:rFonts w:asciiTheme="majorBidi" w:hAnsiTheme="majorBidi" w:cstheme="majorBidi"/>
        </w:rPr>
        <w:t>.</w:t>
      </w:r>
      <w:r w:rsidR="00043F6A" w:rsidRPr="00D2758E">
        <w:rPr>
          <w:rStyle w:val="FootnoteReference"/>
          <w:rFonts w:asciiTheme="majorBidi" w:hAnsiTheme="majorBidi" w:cstheme="majorBidi"/>
        </w:rPr>
        <w:footnoteReference w:id="17"/>
      </w:r>
      <w:r w:rsidR="00446822" w:rsidRPr="00D2758E">
        <w:rPr>
          <w:rFonts w:asciiTheme="majorBidi" w:hAnsiTheme="majorBidi" w:cstheme="majorBidi"/>
        </w:rPr>
        <w:t xml:space="preserve"> Such </w:t>
      </w:r>
      <w:r w:rsidR="004D21B5">
        <w:rPr>
          <w:rFonts w:asciiTheme="majorBidi" w:hAnsiTheme="majorBidi" w:cstheme="majorBidi"/>
        </w:rPr>
        <w:t xml:space="preserve">an </w:t>
      </w:r>
      <w:r w:rsidR="00446822" w:rsidRPr="00D2758E">
        <w:rPr>
          <w:rFonts w:asciiTheme="majorBidi" w:hAnsiTheme="majorBidi" w:cstheme="majorBidi"/>
        </w:rPr>
        <w:t xml:space="preserve">overlapping </w:t>
      </w:r>
      <w:r w:rsidR="00DD2D75">
        <w:rPr>
          <w:rFonts w:asciiTheme="majorBidi" w:hAnsiTheme="majorBidi" w:cstheme="majorBidi"/>
        </w:rPr>
        <w:t xml:space="preserve">of </w:t>
      </w:r>
      <w:r w:rsidR="00446822" w:rsidRPr="00D2758E">
        <w:rPr>
          <w:rFonts w:asciiTheme="majorBidi" w:hAnsiTheme="majorBidi" w:cstheme="majorBidi"/>
        </w:rPr>
        <w:t>roles may have implications for capacity, including the ability to maintain up</w:t>
      </w:r>
      <w:r w:rsidR="00490181">
        <w:rPr>
          <w:rFonts w:asciiTheme="majorBidi" w:hAnsiTheme="majorBidi" w:cstheme="majorBidi"/>
        </w:rPr>
        <w:t>-</w:t>
      </w:r>
      <w:r w:rsidR="00446822" w:rsidRPr="00D2758E">
        <w:rPr>
          <w:rFonts w:asciiTheme="majorBidi" w:hAnsiTheme="majorBidi" w:cstheme="majorBidi"/>
        </w:rPr>
        <w:t>to</w:t>
      </w:r>
      <w:r w:rsidR="00490181">
        <w:rPr>
          <w:rFonts w:asciiTheme="majorBidi" w:hAnsiTheme="majorBidi" w:cstheme="majorBidi"/>
        </w:rPr>
        <w:t>-</w:t>
      </w:r>
      <w:r w:rsidR="00446822" w:rsidRPr="00D2758E">
        <w:rPr>
          <w:rFonts w:asciiTheme="majorBidi" w:hAnsiTheme="majorBidi" w:cstheme="majorBidi"/>
        </w:rPr>
        <w:t xml:space="preserve">date information and publish records </w:t>
      </w:r>
      <w:r w:rsidR="00490181">
        <w:rPr>
          <w:rFonts w:asciiTheme="majorBidi" w:hAnsiTheme="majorBidi" w:cstheme="majorBidi"/>
        </w:rPr>
        <w:t>o</w:t>
      </w:r>
      <w:r w:rsidR="00446822" w:rsidRPr="00D2758E">
        <w:rPr>
          <w:rFonts w:asciiTheme="majorBidi" w:hAnsiTheme="majorBidi" w:cstheme="majorBidi"/>
        </w:rPr>
        <w:t xml:space="preserve">n the </w:t>
      </w:r>
      <w:r w:rsidR="00F63444">
        <w:rPr>
          <w:rFonts w:asciiTheme="majorBidi" w:hAnsiTheme="majorBidi" w:cstheme="majorBidi"/>
        </w:rPr>
        <w:t>Access and Benefit-</w:t>
      </w:r>
      <w:proofErr w:type="gramStart"/>
      <w:r w:rsidR="00F63444">
        <w:rPr>
          <w:rFonts w:asciiTheme="majorBidi" w:hAnsiTheme="majorBidi" w:cstheme="majorBidi"/>
        </w:rPr>
        <w:t xml:space="preserve">sharing </w:t>
      </w:r>
      <w:r w:rsidR="00446822" w:rsidRPr="00D2758E">
        <w:rPr>
          <w:rFonts w:asciiTheme="majorBidi" w:hAnsiTheme="majorBidi" w:cstheme="majorBidi"/>
        </w:rPr>
        <w:t xml:space="preserve"> Clearing</w:t>
      </w:r>
      <w:proofErr w:type="gramEnd"/>
      <w:r w:rsidR="00446822" w:rsidRPr="00D2758E">
        <w:rPr>
          <w:rFonts w:asciiTheme="majorBidi" w:hAnsiTheme="majorBidi" w:cstheme="majorBidi"/>
        </w:rPr>
        <w:t>-House.</w:t>
      </w:r>
    </w:p>
    <w:p w14:paraId="6339EFC4" w14:textId="2FDB2D8A" w:rsidR="00113051" w:rsidRPr="00D2758E" w:rsidRDefault="00113051" w:rsidP="00CD2C50">
      <w:pPr>
        <w:pStyle w:val="CBDNormalNumber"/>
        <w:rPr>
          <w:rFonts w:asciiTheme="majorBidi" w:hAnsiTheme="majorBidi" w:cstheme="majorBidi"/>
        </w:rPr>
      </w:pPr>
      <w:r w:rsidRPr="00D2758E">
        <w:rPr>
          <w:rFonts w:asciiTheme="majorBidi" w:hAnsiTheme="majorBidi" w:cstheme="majorBidi"/>
        </w:rPr>
        <w:t xml:space="preserve">In certain countries, </w:t>
      </w:r>
      <w:r w:rsidR="00446822" w:rsidRPr="00D2758E">
        <w:rPr>
          <w:rFonts w:asciiTheme="majorBidi" w:hAnsiTheme="majorBidi" w:cstheme="majorBidi"/>
        </w:rPr>
        <w:t xml:space="preserve">national focal points </w:t>
      </w:r>
      <w:r w:rsidR="00A240FB">
        <w:rPr>
          <w:rFonts w:asciiTheme="majorBidi" w:hAnsiTheme="majorBidi" w:cstheme="majorBidi"/>
        </w:rPr>
        <w:t>perform</w:t>
      </w:r>
      <w:r w:rsidRPr="00D2758E">
        <w:rPr>
          <w:rFonts w:asciiTheme="majorBidi" w:hAnsiTheme="majorBidi" w:cstheme="majorBidi"/>
        </w:rPr>
        <w:t xml:space="preserve"> an administrative role and may </w:t>
      </w:r>
      <w:r w:rsidR="00F5649D">
        <w:rPr>
          <w:rFonts w:asciiTheme="majorBidi" w:hAnsiTheme="majorBidi" w:cstheme="majorBidi"/>
        </w:rPr>
        <w:t xml:space="preserve">therefore </w:t>
      </w:r>
      <w:r w:rsidRPr="00D2758E">
        <w:rPr>
          <w:rFonts w:asciiTheme="majorBidi" w:hAnsiTheme="majorBidi" w:cstheme="majorBidi"/>
        </w:rPr>
        <w:t xml:space="preserve">lack the authority to make decisions or answer questions about the scope of </w:t>
      </w:r>
      <w:r w:rsidR="00DC5195">
        <w:rPr>
          <w:rFonts w:asciiTheme="majorBidi" w:hAnsiTheme="majorBidi" w:cstheme="majorBidi"/>
        </w:rPr>
        <w:t>access and benefit</w:t>
      </w:r>
      <w:r w:rsidR="00856CC8">
        <w:rPr>
          <w:rFonts w:asciiTheme="majorBidi" w:hAnsiTheme="majorBidi" w:cstheme="majorBidi"/>
        </w:rPr>
        <w:t>-sharing</w:t>
      </w:r>
      <w:r w:rsidRPr="00D2758E">
        <w:rPr>
          <w:rFonts w:asciiTheme="majorBidi" w:hAnsiTheme="majorBidi" w:cstheme="majorBidi"/>
        </w:rPr>
        <w:t xml:space="preserve"> legal requirements.  Th</w:t>
      </w:r>
      <w:r w:rsidR="00D147D7">
        <w:rPr>
          <w:rFonts w:asciiTheme="majorBidi" w:hAnsiTheme="majorBidi" w:cstheme="majorBidi"/>
        </w:rPr>
        <w:t>at</w:t>
      </w:r>
      <w:r w:rsidRPr="00D2758E">
        <w:rPr>
          <w:rFonts w:asciiTheme="majorBidi" w:hAnsiTheme="majorBidi" w:cstheme="majorBidi"/>
        </w:rPr>
        <w:t xml:space="preserve"> lack of authority and limited skills may prevent them from interpreting national </w:t>
      </w:r>
      <w:r w:rsidR="00D147D7" w:rsidRPr="00D147D7">
        <w:rPr>
          <w:rFonts w:asciiTheme="majorBidi" w:hAnsiTheme="majorBidi" w:cstheme="majorBidi"/>
        </w:rPr>
        <w:t xml:space="preserve">access and benefit-sharing </w:t>
      </w:r>
      <w:r w:rsidRPr="00D2758E">
        <w:rPr>
          <w:rFonts w:asciiTheme="majorBidi" w:hAnsiTheme="majorBidi" w:cstheme="majorBidi"/>
        </w:rPr>
        <w:t>requirements and taking decisions on their applicability.</w:t>
      </w:r>
      <w:r w:rsidR="003D0CB5" w:rsidRPr="00D2758E">
        <w:rPr>
          <w:rStyle w:val="FootnoteReference"/>
          <w:rFonts w:asciiTheme="majorBidi" w:hAnsiTheme="majorBidi" w:cstheme="majorBidi"/>
        </w:rPr>
        <w:footnoteReference w:id="18"/>
      </w:r>
    </w:p>
    <w:p w14:paraId="4531C38A" w14:textId="066ED3F0" w:rsidR="00286FEC" w:rsidRPr="00D2758E" w:rsidRDefault="00286FEC" w:rsidP="00CD2C50">
      <w:pPr>
        <w:pStyle w:val="CBDNormalNumber"/>
        <w:rPr>
          <w:rFonts w:asciiTheme="majorBidi" w:hAnsiTheme="majorBidi" w:cstheme="majorBidi"/>
        </w:rPr>
      </w:pPr>
      <w:r w:rsidRPr="00D2758E">
        <w:rPr>
          <w:rFonts w:asciiTheme="majorBidi" w:hAnsiTheme="majorBidi" w:cstheme="majorBidi"/>
        </w:rPr>
        <w:t>The designation and operationali</w:t>
      </w:r>
      <w:r w:rsidR="00553548">
        <w:rPr>
          <w:rFonts w:asciiTheme="majorBidi" w:hAnsiTheme="majorBidi" w:cstheme="majorBidi"/>
        </w:rPr>
        <w:t>z</w:t>
      </w:r>
      <w:r w:rsidRPr="00D2758E">
        <w:rPr>
          <w:rFonts w:asciiTheme="majorBidi" w:hAnsiTheme="majorBidi" w:cstheme="majorBidi"/>
        </w:rPr>
        <w:t>ation of checkpoints remain an important challenge for many Parties</w:t>
      </w:r>
      <w:r w:rsidR="000E1555" w:rsidRPr="00D2758E">
        <w:rPr>
          <w:rFonts w:asciiTheme="majorBidi" w:hAnsiTheme="majorBidi" w:cstheme="majorBidi"/>
        </w:rPr>
        <w:t>.</w:t>
      </w:r>
      <w:r w:rsidR="00286EF4" w:rsidRPr="00D2758E">
        <w:rPr>
          <w:rStyle w:val="FootnoteReference"/>
          <w:rFonts w:asciiTheme="majorBidi" w:hAnsiTheme="majorBidi" w:cstheme="majorBidi"/>
        </w:rPr>
        <w:footnoteReference w:id="19"/>
      </w:r>
    </w:p>
    <w:p w14:paraId="7C86277B" w14:textId="0C262E10" w:rsidR="006833CD" w:rsidRPr="00D2758E" w:rsidRDefault="00131913" w:rsidP="00CD2C50">
      <w:pPr>
        <w:pStyle w:val="CBDNormalNumber"/>
        <w:rPr>
          <w:rFonts w:asciiTheme="majorBidi" w:hAnsiTheme="majorBidi" w:cstheme="majorBidi"/>
        </w:rPr>
      </w:pPr>
      <w:r w:rsidRPr="00D2758E">
        <w:rPr>
          <w:rFonts w:asciiTheme="majorBidi" w:hAnsiTheme="majorBidi" w:cstheme="majorBidi"/>
        </w:rPr>
        <w:t xml:space="preserve">Often Parties report experiencing challenges with </w:t>
      </w:r>
      <w:r w:rsidR="000F1DF8">
        <w:rPr>
          <w:rFonts w:asciiTheme="majorBidi" w:hAnsiTheme="majorBidi" w:cstheme="majorBidi"/>
        </w:rPr>
        <w:t xml:space="preserve">respect to </w:t>
      </w:r>
      <w:r w:rsidRPr="00D2758E">
        <w:rPr>
          <w:rFonts w:asciiTheme="majorBidi" w:hAnsiTheme="majorBidi" w:cstheme="majorBidi"/>
        </w:rPr>
        <w:t xml:space="preserve">internal coordination among different authorities or ministries or among </w:t>
      </w:r>
      <w:r w:rsidR="002D2C06" w:rsidRPr="00D2758E">
        <w:rPr>
          <w:rFonts w:asciiTheme="majorBidi" w:hAnsiTheme="majorBidi" w:cstheme="majorBidi"/>
        </w:rPr>
        <w:t>c</w:t>
      </w:r>
      <w:r w:rsidR="00A32EA1" w:rsidRPr="00D2758E">
        <w:rPr>
          <w:rFonts w:asciiTheme="majorBidi" w:hAnsiTheme="majorBidi" w:cstheme="majorBidi"/>
        </w:rPr>
        <w:t>ompetent national authorities</w:t>
      </w:r>
      <w:r w:rsidRPr="00D2758E">
        <w:rPr>
          <w:rFonts w:asciiTheme="majorBidi" w:hAnsiTheme="majorBidi" w:cstheme="majorBidi"/>
        </w:rPr>
        <w:t xml:space="preserve"> and checkpoints. </w:t>
      </w:r>
      <w:r w:rsidR="00A8619A" w:rsidRPr="000D087F">
        <w:rPr>
          <w:rFonts w:asciiTheme="majorBidi" w:hAnsiTheme="majorBidi" w:cstheme="majorBidi"/>
        </w:rPr>
        <w:t xml:space="preserve">The difficulty of </w:t>
      </w:r>
      <w:r w:rsidR="00551EE0">
        <w:rPr>
          <w:rFonts w:asciiTheme="majorBidi" w:hAnsiTheme="majorBidi" w:cstheme="majorBidi"/>
        </w:rPr>
        <w:t xml:space="preserve">assigning </w:t>
      </w:r>
      <w:r w:rsidR="00A8619A" w:rsidRPr="000D087F">
        <w:rPr>
          <w:rFonts w:asciiTheme="majorBidi" w:hAnsiTheme="majorBidi" w:cstheme="majorBidi"/>
        </w:rPr>
        <w:t xml:space="preserve">mandates to </w:t>
      </w:r>
      <w:r w:rsidR="00A8619A" w:rsidRPr="000D087F">
        <w:t>institutions</w:t>
      </w:r>
      <w:r w:rsidR="00A8619A" w:rsidRPr="000D087F">
        <w:rPr>
          <w:rFonts w:asciiTheme="majorBidi" w:hAnsiTheme="majorBidi" w:cstheme="majorBidi"/>
        </w:rPr>
        <w:t xml:space="preserve"> not under the </w:t>
      </w:r>
      <w:r w:rsidR="000D087F" w:rsidRPr="006B066D">
        <w:rPr>
          <w:rFonts w:asciiTheme="majorBidi" w:hAnsiTheme="majorBidi" w:cstheme="majorBidi"/>
        </w:rPr>
        <w:t>m</w:t>
      </w:r>
      <w:r w:rsidR="00A8619A" w:rsidRPr="000D087F">
        <w:rPr>
          <w:rFonts w:asciiTheme="majorBidi" w:hAnsiTheme="majorBidi" w:cstheme="majorBidi"/>
        </w:rPr>
        <w:t xml:space="preserve">inistry of </w:t>
      </w:r>
      <w:r w:rsidR="000D087F" w:rsidRPr="006B066D">
        <w:rPr>
          <w:rFonts w:asciiTheme="majorBidi" w:hAnsiTheme="majorBidi" w:cstheme="majorBidi"/>
        </w:rPr>
        <w:t>e</w:t>
      </w:r>
      <w:r w:rsidR="00A8619A" w:rsidRPr="000D087F">
        <w:rPr>
          <w:rFonts w:asciiTheme="majorBidi" w:hAnsiTheme="majorBidi" w:cstheme="majorBidi"/>
        </w:rPr>
        <w:t>nvironment</w:t>
      </w:r>
      <w:r w:rsidR="00A8619A" w:rsidRPr="00D2758E">
        <w:rPr>
          <w:rFonts w:asciiTheme="majorBidi" w:hAnsiTheme="majorBidi" w:cstheme="majorBidi"/>
        </w:rPr>
        <w:t xml:space="preserve"> and resource constraints affecting cross-agency coordination were identified as one of the main obstacles for establishing one or more checkpoints.</w:t>
      </w:r>
      <w:r w:rsidR="004538F5" w:rsidRPr="00D2758E">
        <w:rPr>
          <w:rFonts w:asciiTheme="majorBidi" w:hAnsiTheme="majorBidi" w:cstheme="majorBidi"/>
        </w:rPr>
        <w:t xml:space="preserve"> </w:t>
      </w:r>
    </w:p>
    <w:p w14:paraId="3158C8AC" w14:textId="74F15A9A" w:rsidR="00360B61" w:rsidRPr="00D2758E" w:rsidRDefault="00B262F5" w:rsidP="00A818EB">
      <w:pPr>
        <w:pStyle w:val="CBDH4"/>
        <w:rPr>
          <w:rFonts w:asciiTheme="majorBidi" w:hAnsiTheme="majorBidi" w:cstheme="majorBidi"/>
        </w:rPr>
      </w:pPr>
      <w:r>
        <w:t>(c)</w:t>
      </w:r>
      <w:r>
        <w:tab/>
      </w:r>
      <w:r w:rsidR="00FA518D" w:rsidRPr="00D2758E">
        <w:t xml:space="preserve">Possible ways to enhance the establishment of institutional structures and </w:t>
      </w:r>
      <w:r w:rsidR="00610FC0" w:rsidRPr="00610FC0">
        <w:t xml:space="preserve">access and benefit-sharing </w:t>
      </w:r>
      <w:r w:rsidR="00FA518D" w:rsidRPr="00D2758E">
        <w:t>measures to implement the Protocol</w:t>
      </w:r>
    </w:p>
    <w:p w14:paraId="48E02C7D" w14:textId="1F8788FA" w:rsidR="00360B61" w:rsidRPr="00D2758E" w:rsidRDefault="00360B61" w:rsidP="00CD2C50">
      <w:pPr>
        <w:pStyle w:val="CBDNormalNumber"/>
        <w:rPr>
          <w:rFonts w:asciiTheme="majorBidi" w:hAnsiTheme="majorBidi" w:cstheme="majorBidi"/>
        </w:rPr>
      </w:pPr>
      <w:r w:rsidRPr="00D2758E">
        <w:rPr>
          <w:rFonts w:asciiTheme="majorBidi" w:hAnsiTheme="majorBidi" w:cstheme="majorBidi"/>
        </w:rPr>
        <w:t xml:space="preserve">Integrating and mainstreaming of </w:t>
      </w:r>
      <w:r w:rsidR="00551EE0" w:rsidRPr="00551EE0">
        <w:rPr>
          <w:rFonts w:asciiTheme="majorBidi" w:hAnsiTheme="majorBidi" w:cstheme="majorBidi"/>
        </w:rPr>
        <w:t>access and benefit</w:t>
      </w:r>
      <w:r w:rsidR="007567F0">
        <w:rPr>
          <w:rFonts w:asciiTheme="majorBidi" w:hAnsiTheme="majorBidi" w:cstheme="majorBidi"/>
        </w:rPr>
        <w:t xml:space="preserve"> </w:t>
      </w:r>
      <w:r w:rsidR="00551EE0" w:rsidRPr="00551EE0">
        <w:rPr>
          <w:rFonts w:asciiTheme="majorBidi" w:hAnsiTheme="majorBidi" w:cstheme="majorBidi"/>
        </w:rPr>
        <w:t xml:space="preserve">sharing </w:t>
      </w:r>
      <w:r w:rsidRPr="00D2758E">
        <w:rPr>
          <w:rFonts w:asciiTheme="majorBidi" w:hAnsiTheme="majorBidi" w:cstheme="majorBidi"/>
        </w:rPr>
        <w:t>into broader policy approaches (</w:t>
      </w:r>
      <w:r w:rsidR="007567F0">
        <w:rPr>
          <w:rFonts w:asciiTheme="majorBidi" w:hAnsiTheme="majorBidi" w:cstheme="majorBidi"/>
        </w:rPr>
        <w:t xml:space="preserve">for example, </w:t>
      </w:r>
      <w:r w:rsidRPr="00D2758E">
        <w:rPr>
          <w:rFonts w:asciiTheme="majorBidi" w:hAnsiTheme="majorBidi" w:cstheme="majorBidi"/>
        </w:rPr>
        <w:t xml:space="preserve">national development plans, poverty reduction strategies </w:t>
      </w:r>
      <w:proofErr w:type="gramStart"/>
      <w:r w:rsidR="007567F0">
        <w:rPr>
          <w:rFonts w:asciiTheme="majorBidi" w:hAnsiTheme="majorBidi" w:cstheme="majorBidi"/>
        </w:rPr>
        <w:t xml:space="preserve">or </w:t>
      </w:r>
      <w:r w:rsidRPr="00D2758E">
        <w:rPr>
          <w:rFonts w:asciiTheme="majorBidi" w:hAnsiTheme="majorBidi" w:cstheme="majorBidi"/>
        </w:rPr>
        <w:t xml:space="preserve"> innovation</w:t>
      </w:r>
      <w:proofErr w:type="gramEnd"/>
      <w:r w:rsidRPr="00D2758E">
        <w:rPr>
          <w:rFonts w:asciiTheme="majorBidi" w:hAnsiTheme="majorBidi" w:cstheme="majorBidi"/>
        </w:rPr>
        <w:t xml:space="preserve"> policies) can make </w:t>
      </w:r>
      <w:r w:rsidR="007567F0" w:rsidRPr="007567F0">
        <w:rPr>
          <w:rFonts w:asciiTheme="majorBidi" w:hAnsiTheme="majorBidi" w:cstheme="majorBidi"/>
        </w:rPr>
        <w:t xml:space="preserve">access and benefit sharing </w:t>
      </w:r>
      <w:r w:rsidRPr="00D2758E">
        <w:rPr>
          <w:rFonts w:asciiTheme="majorBidi" w:hAnsiTheme="majorBidi" w:cstheme="majorBidi"/>
        </w:rPr>
        <w:t xml:space="preserve">more politically relevant and help to secure funding and integrate </w:t>
      </w:r>
      <w:r w:rsidR="00386FEA" w:rsidRPr="00386FEA">
        <w:rPr>
          <w:rFonts w:asciiTheme="majorBidi" w:hAnsiTheme="majorBidi" w:cstheme="majorBidi"/>
        </w:rPr>
        <w:t xml:space="preserve">access and benefit </w:t>
      </w:r>
      <w:proofErr w:type="gramStart"/>
      <w:r w:rsidR="00386FEA" w:rsidRPr="00386FEA">
        <w:rPr>
          <w:rFonts w:asciiTheme="majorBidi" w:hAnsiTheme="majorBidi" w:cstheme="majorBidi"/>
        </w:rPr>
        <w:t xml:space="preserve">sharing </w:t>
      </w:r>
      <w:r w:rsidRPr="00D2758E">
        <w:rPr>
          <w:rFonts w:asciiTheme="majorBidi" w:hAnsiTheme="majorBidi" w:cstheme="majorBidi"/>
        </w:rPr>
        <w:t xml:space="preserve"> into</w:t>
      </w:r>
      <w:proofErr w:type="gramEnd"/>
      <w:r w:rsidRPr="00D2758E">
        <w:rPr>
          <w:rFonts w:asciiTheme="majorBidi" w:hAnsiTheme="majorBidi" w:cstheme="majorBidi"/>
        </w:rPr>
        <w:t xml:space="preserve"> broader governance frameworks. </w:t>
      </w:r>
    </w:p>
    <w:p w14:paraId="4D123C63" w14:textId="398A0652" w:rsidR="00613A2A" w:rsidRPr="00D2758E" w:rsidRDefault="00613A2A" w:rsidP="00CD2C50">
      <w:pPr>
        <w:pStyle w:val="CBDNormalNumber"/>
        <w:rPr>
          <w:rFonts w:asciiTheme="majorBidi" w:hAnsiTheme="majorBidi" w:cstheme="majorBidi"/>
        </w:rPr>
      </w:pPr>
      <w:r w:rsidRPr="00D2758E">
        <w:rPr>
          <w:rFonts w:asciiTheme="majorBidi" w:hAnsiTheme="majorBidi" w:cstheme="majorBidi"/>
        </w:rPr>
        <w:t xml:space="preserve">Establishing a clear policy vision prior to drafting legislation was found to support the development of a stronger and more </w:t>
      </w:r>
      <w:r w:rsidRPr="00D2758E">
        <w:t>coherent</w:t>
      </w:r>
      <w:r w:rsidRPr="00D2758E">
        <w:rPr>
          <w:rFonts w:asciiTheme="majorBidi" w:hAnsiTheme="majorBidi" w:cstheme="majorBidi"/>
        </w:rPr>
        <w:t xml:space="preserve"> legal framework</w:t>
      </w:r>
      <w:r w:rsidR="000519BE" w:rsidRPr="00D2758E">
        <w:rPr>
          <w:rFonts w:asciiTheme="majorBidi" w:hAnsiTheme="majorBidi" w:cstheme="majorBidi"/>
        </w:rPr>
        <w:t>. A solid</w:t>
      </w:r>
      <w:r w:rsidRPr="00D2758E">
        <w:rPr>
          <w:rFonts w:asciiTheme="majorBidi" w:hAnsiTheme="majorBidi" w:cstheme="majorBidi"/>
        </w:rPr>
        <w:t xml:space="preserve"> framework that is also flexible enough for adapting to different circumstances can help </w:t>
      </w:r>
      <w:r w:rsidR="00F72737">
        <w:rPr>
          <w:rFonts w:asciiTheme="majorBidi" w:hAnsiTheme="majorBidi" w:cstheme="majorBidi"/>
        </w:rPr>
        <w:t xml:space="preserve">access and benefit-sharing </w:t>
      </w:r>
      <w:r w:rsidRPr="00D2758E">
        <w:rPr>
          <w:rFonts w:asciiTheme="majorBidi" w:hAnsiTheme="majorBidi" w:cstheme="majorBidi"/>
        </w:rPr>
        <w:t>systems evolve</w:t>
      </w:r>
      <w:r w:rsidR="000A687C">
        <w:rPr>
          <w:rFonts w:asciiTheme="majorBidi" w:hAnsiTheme="majorBidi" w:cstheme="majorBidi"/>
        </w:rPr>
        <w:t>,</w:t>
      </w:r>
      <w:r w:rsidRPr="00D2758E">
        <w:rPr>
          <w:rFonts w:asciiTheme="majorBidi" w:hAnsiTheme="majorBidi" w:cstheme="majorBidi"/>
        </w:rPr>
        <w:t xml:space="preserve"> as more experience with implementation is gained. Interim measures can help Parties </w:t>
      </w:r>
      <w:r w:rsidR="00A00101">
        <w:rPr>
          <w:rFonts w:asciiTheme="majorBidi" w:hAnsiTheme="majorBidi" w:cstheme="majorBidi"/>
        </w:rPr>
        <w:t>acquire</w:t>
      </w:r>
      <w:r w:rsidRPr="00D2758E">
        <w:rPr>
          <w:rFonts w:asciiTheme="majorBidi" w:hAnsiTheme="majorBidi" w:cstheme="majorBidi"/>
        </w:rPr>
        <w:t xml:space="preserve"> that experience.</w:t>
      </w:r>
    </w:p>
    <w:p w14:paraId="65822A3D" w14:textId="5B108307" w:rsidR="00490FDF" w:rsidRPr="00D2758E" w:rsidRDefault="00A00101" w:rsidP="00CD2C50">
      <w:pPr>
        <w:pStyle w:val="CBDNormalNumber"/>
        <w:rPr>
          <w:rFonts w:asciiTheme="majorBidi" w:hAnsiTheme="majorBidi" w:cstheme="majorBidi"/>
        </w:rPr>
      </w:pPr>
      <w:r>
        <w:rPr>
          <w:rFonts w:asciiTheme="majorBidi" w:hAnsiTheme="majorBidi" w:cstheme="majorBidi"/>
        </w:rPr>
        <w:t>While i</w:t>
      </w:r>
      <w:r w:rsidRPr="00D2758E">
        <w:rPr>
          <w:rFonts w:asciiTheme="majorBidi" w:hAnsiTheme="majorBidi" w:cstheme="majorBidi"/>
        </w:rPr>
        <w:t xml:space="preserve">mplementation </w:t>
      </w:r>
      <w:r>
        <w:rPr>
          <w:rFonts w:asciiTheme="majorBidi" w:hAnsiTheme="majorBidi" w:cstheme="majorBidi"/>
        </w:rPr>
        <w:t>of a</w:t>
      </w:r>
      <w:r w:rsidRPr="00A00101">
        <w:rPr>
          <w:rFonts w:asciiTheme="majorBidi" w:hAnsiTheme="majorBidi" w:cstheme="majorBidi"/>
        </w:rPr>
        <w:t>ccess and benefit</w:t>
      </w:r>
      <w:r>
        <w:rPr>
          <w:rFonts w:asciiTheme="majorBidi" w:hAnsiTheme="majorBidi" w:cstheme="majorBidi"/>
        </w:rPr>
        <w:t xml:space="preserve"> </w:t>
      </w:r>
      <w:r w:rsidRPr="00A00101">
        <w:rPr>
          <w:rFonts w:asciiTheme="majorBidi" w:hAnsiTheme="majorBidi" w:cstheme="majorBidi"/>
        </w:rPr>
        <w:t xml:space="preserve">sharing </w:t>
      </w:r>
      <w:r w:rsidR="00277F81" w:rsidRPr="00D2758E">
        <w:rPr>
          <w:rFonts w:asciiTheme="majorBidi" w:hAnsiTheme="majorBidi" w:cstheme="majorBidi"/>
        </w:rPr>
        <w:t xml:space="preserve">is generally under the responsibility of the </w:t>
      </w:r>
      <w:r w:rsidR="0044469C" w:rsidRPr="000D087F">
        <w:rPr>
          <w:rFonts w:asciiTheme="majorBidi" w:hAnsiTheme="majorBidi" w:cstheme="majorBidi"/>
        </w:rPr>
        <w:t>m</w:t>
      </w:r>
      <w:r w:rsidR="00277F81" w:rsidRPr="000D087F">
        <w:rPr>
          <w:rFonts w:asciiTheme="majorBidi" w:hAnsiTheme="majorBidi" w:cstheme="majorBidi"/>
        </w:rPr>
        <w:t xml:space="preserve">inistry </w:t>
      </w:r>
      <w:r w:rsidR="00534BA2">
        <w:rPr>
          <w:rFonts w:asciiTheme="majorBidi" w:hAnsiTheme="majorBidi" w:cstheme="majorBidi"/>
        </w:rPr>
        <w:t>of</w:t>
      </w:r>
      <w:r w:rsidR="00277F81" w:rsidRPr="000D087F">
        <w:rPr>
          <w:rFonts w:asciiTheme="majorBidi" w:hAnsiTheme="majorBidi" w:cstheme="majorBidi"/>
        </w:rPr>
        <w:t xml:space="preserve"> environment</w:t>
      </w:r>
      <w:r>
        <w:rPr>
          <w:rFonts w:asciiTheme="majorBidi" w:hAnsiTheme="majorBidi" w:cstheme="majorBidi"/>
        </w:rPr>
        <w:t xml:space="preserve">, it </w:t>
      </w:r>
      <w:r w:rsidR="00277F81" w:rsidRPr="00D2758E">
        <w:rPr>
          <w:rFonts w:asciiTheme="majorBidi" w:hAnsiTheme="majorBidi" w:cstheme="majorBidi"/>
        </w:rPr>
        <w:t xml:space="preserve">may also involve </w:t>
      </w:r>
      <w:r w:rsidR="00277F81" w:rsidRPr="00D2758E">
        <w:t>other</w:t>
      </w:r>
      <w:r w:rsidR="00277F81" w:rsidRPr="00D2758E">
        <w:rPr>
          <w:rFonts w:asciiTheme="majorBidi" w:hAnsiTheme="majorBidi" w:cstheme="majorBidi"/>
        </w:rPr>
        <w:t xml:space="preserve"> relevant ministries</w:t>
      </w:r>
      <w:r w:rsidR="003F1618">
        <w:rPr>
          <w:rFonts w:asciiTheme="majorBidi" w:hAnsiTheme="majorBidi" w:cstheme="majorBidi"/>
        </w:rPr>
        <w:t xml:space="preserve">, for examples, </w:t>
      </w:r>
      <w:r w:rsidR="009C2468">
        <w:rPr>
          <w:rFonts w:asciiTheme="majorBidi" w:hAnsiTheme="majorBidi" w:cstheme="majorBidi"/>
        </w:rPr>
        <w:t xml:space="preserve">the </w:t>
      </w:r>
      <w:r w:rsidR="003F1618">
        <w:rPr>
          <w:rFonts w:asciiTheme="majorBidi" w:hAnsiTheme="majorBidi" w:cstheme="majorBidi"/>
        </w:rPr>
        <w:t>ministries of</w:t>
      </w:r>
      <w:r w:rsidR="00277F81" w:rsidRPr="00D2758E">
        <w:rPr>
          <w:rFonts w:asciiTheme="majorBidi" w:hAnsiTheme="majorBidi" w:cstheme="majorBidi"/>
        </w:rPr>
        <w:t xml:space="preserve"> agriculture, forestry</w:t>
      </w:r>
      <w:r w:rsidR="003F1618">
        <w:rPr>
          <w:rFonts w:asciiTheme="majorBidi" w:hAnsiTheme="majorBidi" w:cstheme="majorBidi"/>
        </w:rPr>
        <w:t xml:space="preserve"> and</w:t>
      </w:r>
      <w:r w:rsidR="00277F81" w:rsidRPr="00D2758E">
        <w:rPr>
          <w:rFonts w:asciiTheme="majorBidi" w:hAnsiTheme="majorBidi" w:cstheme="majorBidi"/>
        </w:rPr>
        <w:t xml:space="preserve"> trade. Although the involvement of other ministries is important, </w:t>
      </w:r>
      <w:r w:rsidR="003F7D4F">
        <w:rPr>
          <w:rFonts w:asciiTheme="majorBidi" w:hAnsiTheme="majorBidi" w:cstheme="majorBidi"/>
        </w:rPr>
        <w:t>estab</w:t>
      </w:r>
      <w:r w:rsidR="00E05778">
        <w:rPr>
          <w:rFonts w:asciiTheme="majorBidi" w:hAnsiTheme="majorBidi" w:cstheme="majorBidi"/>
        </w:rPr>
        <w:t>l</w:t>
      </w:r>
      <w:r w:rsidR="003F7D4F">
        <w:rPr>
          <w:rFonts w:asciiTheme="majorBidi" w:hAnsiTheme="majorBidi" w:cstheme="majorBidi"/>
        </w:rPr>
        <w:t xml:space="preserve">ishing the </w:t>
      </w:r>
      <w:r w:rsidR="00277F81" w:rsidRPr="00D2758E">
        <w:rPr>
          <w:rFonts w:asciiTheme="majorBidi" w:hAnsiTheme="majorBidi" w:cstheme="majorBidi"/>
        </w:rPr>
        <w:t xml:space="preserve">clear leadership </w:t>
      </w:r>
      <w:r w:rsidR="00E05778">
        <w:rPr>
          <w:rFonts w:asciiTheme="majorBidi" w:hAnsiTheme="majorBidi" w:cstheme="majorBidi"/>
        </w:rPr>
        <w:t>of</w:t>
      </w:r>
      <w:r w:rsidR="00277F81" w:rsidRPr="00D2758E">
        <w:rPr>
          <w:rFonts w:asciiTheme="majorBidi" w:hAnsiTheme="majorBidi" w:cstheme="majorBidi"/>
        </w:rPr>
        <w:t xml:space="preserve"> one national authority </w:t>
      </w:r>
      <w:r w:rsidR="00D7220F" w:rsidRPr="00D2758E">
        <w:rPr>
          <w:rFonts w:asciiTheme="majorBidi" w:hAnsiTheme="majorBidi" w:cstheme="majorBidi"/>
        </w:rPr>
        <w:t xml:space="preserve">in </w:t>
      </w:r>
      <w:r w:rsidR="00277F81" w:rsidRPr="00D2758E">
        <w:rPr>
          <w:rFonts w:asciiTheme="majorBidi" w:hAnsiTheme="majorBidi" w:cstheme="majorBidi"/>
        </w:rPr>
        <w:t xml:space="preserve">the process of development and </w:t>
      </w:r>
      <w:r w:rsidR="00D03700">
        <w:rPr>
          <w:rFonts w:asciiTheme="majorBidi" w:hAnsiTheme="majorBidi" w:cstheme="majorBidi"/>
        </w:rPr>
        <w:t xml:space="preserve">implementation </w:t>
      </w:r>
      <w:r w:rsidR="00277F81" w:rsidRPr="00D2758E">
        <w:rPr>
          <w:rFonts w:asciiTheme="majorBidi" w:hAnsiTheme="majorBidi" w:cstheme="majorBidi"/>
        </w:rPr>
        <w:t xml:space="preserve">of national </w:t>
      </w:r>
      <w:r w:rsidR="00532CA7">
        <w:rPr>
          <w:rFonts w:asciiTheme="majorBidi" w:hAnsiTheme="majorBidi" w:cstheme="majorBidi"/>
        </w:rPr>
        <w:t xml:space="preserve">access and benefit-sharing </w:t>
      </w:r>
      <w:r w:rsidR="00277F81" w:rsidRPr="00D2758E">
        <w:rPr>
          <w:rFonts w:asciiTheme="majorBidi" w:hAnsiTheme="majorBidi" w:cstheme="majorBidi"/>
        </w:rPr>
        <w:t xml:space="preserve">measures facilitates </w:t>
      </w:r>
      <w:r w:rsidR="00B85A46">
        <w:rPr>
          <w:rFonts w:asciiTheme="majorBidi" w:hAnsiTheme="majorBidi" w:cstheme="majorBidi"/>
        </w:rPr>
        <w:t xml:space="preserve">such </w:t>
      </w:r>
      <w:r w:rsidR="00277F81" w:rsidRPr="00D2758E">
        <w:rPr>
          <w:rFonts w:asciiTheme="majorBidi" w:hAnsiTheme="majorBidi" w:cstheme="majorBidi"/>
        </w:rPr>
        <w:t xml:space="preserve">implementation.  </w:t>
      </w:r>
    </w:p>
    <w:p w14:paraId="4E9DDBB1" w14:textId="3FBDD1B3" w:rsidR="000E4988" w:rsidRPr="00D2758E" w:rsidRDefault="00490FDF" w:rsidP="00CD2C50">
      <w:pPr>
        <w:pStyle w:val="CBDNormalNumber"/>
        <w:rPr>
          <w:rFonts w:asciiTheme="majorBidi" w:hAnsiTheme="majorBidi" w:cstheme="majorBidi"/>
        </w:rPr>
      </w:pPr>
      <w:r w:rsidRPr="00D2758E">
        <w:rPr>
          <w:rFonts w:asciiTheme="majorBidi" w:hAnsiTheme="majorBidi" w:cstheme="majorBidi"/>
        </w:rPr>
        <w:t>National coordination among relevant ministries and agencies</w:t>
      </w:r>
      <w:r w:rsidR="00B85A46" w:rsidRPr="00B85A46">
        <w:rPr>
          <w:rFonts w:asciiTheme="majorBidi" w:hAnsiTheme="majorBidi" w:cstheme="majorBidi"/>
        </w:rPr>
        <w:t xml:space="preserve"> </w:t>
      </w:r>
      <w:r w:rsidR="00B85A46" w:rsidRPr="00D2758E">
        <w:rPr>
          <w:rFonts w:asciiTheme="majorBidi" w:hAnsiTheme="majorBidi" w:cstheme="majorBidi"/>
        </w:rPr>
        <w:t>through</w:t>
      </w:r>
      <w:r w:rsidRPr="00D2758E">
        <w:rPr>
          <w:rFonts w:asciiTheme="majorBidi" w:hAnsiTheme="majorBidi" w:cstheme="majorBidi"/>
        </w:rPr>
        <w:t>, for example</w:t>
      </w:r>
      <w:r w:rsidR="00B85A46">
        <w:rPr>
          <w:rFonts w:asciiTheme="majorBidi" w:hAnsiTheme="majorBidi" w:cstheme="majorBidi"/>
        </w:rPr>
        <w:t>,</w:t>
      </w:r>
      <w:r w:rsidRPr="00D2758E">
        <w:rPr>
          <w:rFonts w:asciiTheme="majorBidi" w:hAnsiTheme="majorBidi" w:cstheme="majorBidi"/>
        </w:rPr>
        <w:t xml:space="preserve"> an </w:t>
      </w:r>
      <w:r w:rsidR="00B85A46" w:rsidRPr="00B85A46">
        <w:rPr>
          <w:rFonts w:asciiTheme="majorBidi" w:hAnsiTheme="majorBidi" w:cstheme="majorBidi"/>
        </w:rPr>
        <w:t xml:space="preserve">access and benefit-sharing </w:t>
      </w:r>
      <w:r w:rsidRPr="00D2758E">
        <w:rPr>
          <w:rFonts w:asciiTheme="majorBidi" w:hAnsiTheme="majorBidi" w:cstheme="majorBidi"/>
        </w:rPr>
        <w:t xml:space="preserve">committee can be supportive. Early engagement with relevant agencies, </w:t>
      </w:r>
      <w:r w:rsidR="00C7640F">
        <w:rPr>
          <w:rFonts w:asciiTheme="majorBidi" w:hAnsiTheme="majorBidi" w:cstheme="majorBidi"/>
        </w:rPr>
        <w:t xml:space="preserve">ensuring </w:t>
      </w:r>
      <w:r w:rsidRPr="00D2758E">
        <w:rPr>
          <w:rFonts w:asciiTheme="majorBidi" w:hAnsiTheme="majorBidi" w:cstheme="majorBidi"/>
        </w:rPr>
        <w:t xml:space="preserve">clarity of roles and responsibilities and development of internal protocols and procedures were identified as possible </w:t>
      </w:r>
      <w:r w:rsidR="007872FC">
        <w:rPr>
          <w:rFonts w:asciiTheme="majorBidi" w:hAnsiTheme="majorBidi" w:cstheme="majorBidi"/>
        </w:rPr>
        <w:t>me</w:t>
      </w:r>
      <w:r w:rsidR="00025CB1">
        <w:rPr>
          <w:rFonts w:asciiTheme="majorBidi" w:hAnsiTheme="majorBidi" w:cstheme="majorBidi"/>
        </w:rPr>
        <w:t xml:space="preserve">ans </w:t>
      </w:r>
      <w:r w:rsidRPr="00D2758E">
        <w:rPr>
          <w:rFonts w:asciiTheme="majorBidi" w:hAnsiTheme="majorBidi" w:cstheme="majorBidi"/>
        </w:rPr>
        <w:t>of addressing the</w:t>
      </w:r>
      <w:r w:rsidR="00F30195">
        <w:rPr>
          <w:rFonts w:asciiTheme="majorBidi" w:hAnsiTheme="majorBidi" w:cstheme="majorBidi"/>
        </w:rPr>
        <w:t xml:space="preserve"> </w:t>
      </w:r>
      <w:proofErr w:type="gramStart"/>
      <w:r w:rsidR="00F30195">
        <w:rPr>
          <w:rFonts w:asciiTheme="majorBidi" w:hAnsiTheme="majorBidi" w:cstheme="majorBidi"/>
        </w:rPr>
        <w:t>aforementioned</w:t>
      </w:r>
      <w:r w:rsidRPr="00D2758E">
        <w:rPr>
          <w:rFonts w:asciiTheme="majorBidi" w:hAnsiTheme="majorBidi" w:cstheme="majorBidi"/>
        </w:rPr>
        <w:t xml:space="preserve"> challenges</w:t>
      </w:r>
      <w:proofErr w:type="gramEnd"/>
      <w:r w:rsidRPr="00D2758E">
        <w:rPr>
          <w:rFonts w:asciiTheme="majorBidi" w:hAnsiTheme="majorBidi" w:cstheme="majorBidi"/>
        </w:rPr>
        <w:t>.</w:t>
      </w:r>
    </w:p>
    <w:p w14:paraId="2D6D352F" w14:textId="46B1B2A8" w:rsidR="00277F81" w:rsidRPr="00D2758E" w:rsidRDefault="00160900" w:rsidP="00CD2C50">
      <w:pPr>
        <w:pStyle w:val="CBDNormalNumber"/>
        <w:rPr>
          <w:rFonts w:asciiTheme="majorBidi" w:hAnsiTheme="majorBidi" w:cstheme="majorBidi"/>
        </w:rPr>
      </w:pPr>
      <w:r>
        <w:rPr>
          <w:rFonts w:asciiTheme="majorBidi" w:hAnsiTheme="majorBidi" w:cstheme="majorBidi"/>
        </w:rPr>
        <w:t>A</w:t>
      </w:r>
      <w:r w:rsidR="00C7640F" w:rsidRPr="00C7640F">
        <w:rPr>
          <w:rFonts w:asciiTheme="majorBidi" w:hAnsiTheme="majorBidi" w:cstheme="majorBidi"/>
        </w:rPr>
        <w:t xml:space="preserve">ccess and benefit-sharing </w:t>
      </w:r>
      <w:r w:rsidR="00277F81" w:rsidRPr="00D2758E">
        <w:rPr>
          <w:rFonts w:asciiTheme="majorBidi" w:hAnsiTheme="majorBidi" w:cstheme="majorBidi"/>
        </w:rPr>
        <w:t xml:space="preserve">national focal points and competent national authorities play a key role in </w:t>
      </w:r>
      <w:r w:rsidR="00A95AA9" w:rsidRPr="00D2758E">
        <w:rPr>
          <w:rFonts w:asciiTheme="majorBidi" w:hAnsiTheme="majorBidi" w:cstheme="majorBidi"/>
        </w:rPr>
        <w:t>implementation</w:t>
      </w:r>
      <w:r w:rsidR="00A95AA9">
        <w:rPr>
          <w:rFonts w:asciiTheme="majorBidi" w:hAnsiTheme="majorBidi" w:cstheme="majorBidi"/>
        </w:rPr>
        <w:t xml:space="preserve"> </w:t>
      </w:r>
      <w:r w:rsidR="0021646F">
        <w:rPr>
          <w:rFonts w:asciiTheme="majorBidi" w:hAnsiTheme="majorBidi" w:cstheme="majorBidi"/>
        </w:rPr>
        <w:t xml:space="preserve">of </w:t>
      </w:r>
      <w:r>
        <w:rPr>
          <w:rFonts w:asciiTheme="majorBidi" w:hAnsiTheme="majorBidi" w:cstheme="majorBidi"/>
        </w:rPr>
        <w:t>a</w:t>
      </w:r>
      <w:r w:rsidR="00A95AA9">
        <w:rPr>
          <w:rFonts w:asciiTheme="majorBidi" w:hAnsiTheme="majorBidi" w:cstheme="majorBidi"/>
        </w:rPr>
        <w:t>cc</w:t>
      </w:r>
      <w:r w:rsidRPr="00160900">
        <w:rPr>
          <w:rFonts w:asciiTheme="majorBidi" w:hAnsiTheme="majorBidi" w:cstheme="majorBidi"/>
        </w:rPr>
        <w:t>ess and benefit-sharing</w:t>
      </w:r>
      <w:r w:rsidR="00277F81" w:rsidRPr="00D2758E">
        <w:rPr>
          <w:rFonts w:asciiTheme="majorBidi" w:hAnsiTheme="majorBidi" w:cstheme="majorBidi"/>
        </w:rPr>
        <w:t xml:space="preserve">. The selection of </w:t>
      </w:r>
      <w:r w:rsidR="00490FDF" w:rsidRPr="00D2758E">
        <w:rPr>
          <w:rFonts w:asciiTheme="majorBidi" w:hAnsiTheme="majorBidi" w:cstheme="majorBidi"/>
        </w:rPr>
        <w:t xml:space="preserve">national focal points </w:t>
      </w:r>
      <w:r w:rsidR="00277F81" w:rsidRPr="00D2758E">
        <w:rPr>
          <w:rFonts w:asciiTheme="majorBidi" w:hAnsiTheme="majorBidi" w:cstheme="majorBidi"/>
        </w:rPr>
        <w:t xml:space="preserve">and </w:t>
      </w:r>
      <w:r w:rsidR="00490FDF" w:rsidRPr="00D2758E">
        <w:rPr>
          <w:rFonts w:asciiTheme="majorBidi" w:hAnsiTheme="majorBidi" w:cstheme="majorBidi"/>
        </w:rPr>
        <w:t>c</w:t>
      </w:r>
      <w:r w:rsidR="00A32EA1" w:rsidRPr="00D2758E">
        <w:rPr>
          <w:rFonts w:asciiTheme="majorBidi" w:hAnsiTheme="majorBidi" w:cstheme="majorBidi"/>
        </w:rPr>
        <w:t>ompetent national authorities</w:t>
      </w:r>
      <w:r w:rsidR="00277F81" w:rsidRPr="00D2758E">
        <w:rPr>
          <w:rFonts w:asciiTheme="majorBidi" w:hAnsiTheme="majorBidi" w:cstheme="majorBidi"/>
        </w:rPr>
        <w:t xml:space="preserve"> should be carefully carried out to ensure that </w:t>
      </w:r>
      <w:r w:rsidR="00277F81" w:rsidRPr="00D2758E">
        <w:t>they</w:t>
      </w:r>
      <w:r w:rsidR="00277F81" w:rsidRPr="00D2758E">
        <w:rPr>
          <w:rFonts w:asciiTheme="majorBidi" w:hAnsiTheme="majorBidi" w:cstheme="majorBidi"/>
        </w:rPr>
        <w:t xml:space="preserve"> have the necessary competencies</w:t>
      </w:r>
      <w:r w:rsidR="00B17757">
        <w:rPr>
          <w:rFonts w:asciiTheme="majorBidi" w:hAnsiTheme="majorBidi" w:cstheme="majorBidi"/>
        </w:rPr>
        <w:t xml:space="preserve"> and</w:t>
      </w:r>
      <w:r w:rsidR="00277F81" w:rsidRPr="00D2758E">
        <w:rPr>
          <w:rFonts w:asciiTheme="majorBidi" w:hAnsiTheme="majorBidi" w:cstheme="majorBidi"/>
        </w:rPr>
        <w:t xml:space="preserve"> decision-making authority and benefit from adequate training </w:t>
      </w:r>
      <w:r w:rsidR="00B17757">
        <w:rPr>
          <w:rFonts w:asciiTheme="majorBidi" w:hAnsiTheme="majorBidi" w:cstheme="majorBidi"/>
        </w:rPr>
        <w:t>in</w:t>
      </w:r>
      <w:r w:rsidR="00277F81" w:rsidRPr="00D2758E">
        <w:rPr>
          <w:rFonts w:asciiTheme="majorBidi" w:hAnsiTheme="majorBidi" w:cstheme="majorBidi"/>
        </w:rPr>
        <w:t xml:space="preserve"> respond</w:t>
      </w:r>
      <w:r w:rsidR="00B17757">
        <w:rPr>
          <w:rFonts w:asciiTheme="majorBidi" w:hAnsiTheme="majorBidi" w:cstheme="majorBidi"/>
        </w:rPr>
        <w:t>ing</w:t>
      </w:r>
      <w:r w:rsidR="00277F81" w:rsidRPr="00D2758E">
        <w:rPr>
          <w:rFonts w:asciiTheme="majorBidi" w:hAnsiTheme="majorBidi" w:cstheme="majorBidi"/>
        </w:rPr>
        <w:t xml:space="preserve"> to the </w:t>
      </w:r>
      <w:r w:rsidR="00277F81" w:rsidRPr="00D2758E">
        <w:rPr>
          <w:rFonts w:asciiTheme="majorBidi" w:hAnsiTheme="majorBidi" w:cstheme="majorBidi"/>
        </w:rPr>
        <w:lastRenderedPageBreak/>
        <w:t>queries of users and provid</w:t>
      </w:r>
      <w:r w:rsidR="00E22A31">
        <w:rPr>
          <w:rFonts w:asciiTheme="majorBidi" w:hAnsiTheme="majorBidi" w:cstheme="majorBidi"/>
        </w:rPr>
        <w:t>ing</w:t>
      </w:r>
      <w:r w:rsidR="00277F81" w:rsidRPr="00D2758E">
        <w:rPr>
          <w:rFonts w:asciiTheme="majorBidi" w:hAnsiTheme="majorBidi" w:cstheme="majorBidi"/>
        </w:rPr>
        <w:t xml:space="preserve"> adequate </w:t>
      </w:r>
      <w:r w:rsidR="009128C6" w:rsidRPr="00D2758E">
        <w:rPr>
          <w:rFonts w:asciiTheme="majorBidi" w:hAnsiTheme="majorBidi" w:cstheme="majorBidi"/>
        </w:rPr>
        <w:t>guidance.</w:t>
      </w:r>
      <w:r w:rsidR="00277F81" w:rsidRPr="00D2758E">
        <w:rPr>
          <w:rFonts w:asciiTheme="majorBidi" w:hAnsiTheme="majorBidi" w:cstheme="majorBidi"/>
        </w:rPr>
        <w:t xml:space="preserve"> </w:t>
      </w:r>
      <w:r w:rsidR="001616CA">
        <w:rPr>
          <w:rFonts w:asciiTheme="majorBidi" w:hAnsiTheme="majorBidi" w:cstheme="majorBidi"/>
        </w:rPr>
        <w:t>Moreover, o</w:t>
      </w:r>
      <w:r w:rsidR="00277F81" w:rsidRPr="00D2758E">
        <w:rPr>
          <w:rFonts w:asciiTheme="majorBidi" w:hAnsiTheme="majorBidi" w:cstheme="majorBidi"/>
        </w:rPr>
        <w:t>ther government departments with expertise in commercial business practices could be</w:t>
      </w:r>
      <w:r w:rsidR="001616CA">
        <w:rPr>
          <w:rFonts w:asciiTheme="majorBidi" w:hAnsiTheme="majorBidi" w:cstheme="majorBidi"/>
        </w:rPr>
        <w:t>come</w:t>
      </w:r>
      <w:r w:rsidR="00277F81" w:rsidRPr="00D2758E">
        <w:rPr>
          <w:rFonts w:asciiTheme="majorBidi" w:hAnsiTheme="majorBidi" w:cstheme="majorBidi"/>
        </w:rPr>
        <w:t xml:space="preserve"> involved and provide their support, for example</w:t>
      </w:r>
      <w:r w:rsidR="001616CA">
        <w:rPr>
          <w:rFonts w:asciiTheme="majorBidi" w:hAnsiTheme="majorBidi" w:cstheme="majorBidi"/>
        </w:rPr>
        <w:t>,</w:t>
      </w:r>
      <w:r w:rsidR="00277F81" w:rsidRPr="00D2758E">
        <w:rPr>
          <w:rFonts w:asciiTheme="majorBidi" w:hAnsiTheme="majorBidi" w:cstheme="majorBidi"/>
        </w:rPr>
        <w:t xml:space="preserve"> </w:t>
      </w:r>
      <w:proofErr w:type="gramStart"/>
      <w:r w:rsidR="00277F81" w:rsidRPr="00D2758E">
        <w:rPr>
          <w:rFonts w:asciiTheme="majorBidi" w:hAnsiTheme="majorBidi" w:cstheme="majorBidi"/>
        </w:rPr>
        <w:t xml:space="preserve">in the </w:t>
      </w:r>
      <w:r w:rsidR="00AB4228">
        <w:rPr>
          <w:rFonts w:asciiTheme="majorBidi" w:hAnsiTheme="majorBidi" w:cstheme="majorBidi"/>
        </w:rPr>
        <w:t>area</w:t>
      </w:r>
      <w:r w:rsidR="001616CA">
        <w:rPr>
          <w:rFonts w:asciiTheme="majorBidi" w:hAnsiTheme="majorBidi" w:cstheme="majorBidi"/>
        </w:rPr>
        <w:t xml:space="preserve"> of</w:t>
      </w:r>
      <w:proofErr w:type="gramEnd"/>
      <w:r w:rsidR="001616CA">
        <w:rPr>
          <w:rFonts w:asciiTheme="majorBidi" w:hAnsiTheme="majorBidi" w:cstheme="majorBidi"/>
        </w:rPr>
        <w:t xml:space="preserve"> </w:t>
      </w:r>
      <w:r w:rsidR="00277F81" w:rsidRPr="00D2758E">
        <w:rPr>
          <w:rFonts w:asciiTheme="majorBidi" w:hAnsiTheme="majorBidi" w:cstheme="majorBidi"/>
        </w:rPr>
        <w:t xml:space="preserve">negotiation of </w:t>
      </w:r>
      <w:r w:rsidR="00490FDF" w:rsidRPr="00D2758E">
        <w:rPr>
          <w:rFonts w:asciiTheme="majorBidi" w:hAnsiTheme="majorBidi" w:cstheme="majorBidi"/>
        </w:rPr>
        <w:t>mutually agreed terms</w:t>
      </w:r>
      <w:r w:rsidR="00944FA9" w:rsidRPr="00D2758E">
        <w:rPr>
          <w:rFonts w:asciiTheme="majorBidi" w:hAnsiTheme="majorBidi" w:cstheme="majorBidi"/>
        </w:rPr>
        <w:t>.</w:t>
      </w:r>
    </w:p>
    <w:p w14:paraId="19A1FA20" w14:textId="0470048A" w:rsidR="002D2C06" w:rsidRPr="00D2758E" w:rsidRDefault="002A245B" w:rsidP="00CD2C50">
      <w:pPr>
        <w:pStyle w:val="CBDNormalNumber"/>
        <w:rPr>
          <w:rFonts w:asciiTheme="majorBidi" w:hAnsiTheme="majorBidi" w:cstheme="majorBidi"/>
        </w:rPr>
      </w:pPr>
      <w:r w:rsidRPr="00D2758E">
        <w:rPr>
          <w:rFonts w:asciiTheme="majorBidi" w:hAnsiTheme="majorBidi" w:cstheme="majorBidi"/>
        </w:rPr>
        <w:t xml:space="preserve">A clear </w:t>
      </w:r>
      <w:r w:rsidR="00AA006F" w:rsidRPr="00D2758E">
        <w:rPr>
          <w:rFonts w:asciiTheme="majorBidi" w:hAnsiTheme="majorBidi" w:cstheme="majorBidi"/>
        </w:rPr>
        <w:t>u</w:t>
      </w:r>
      <w:r w:rsidR="002D2C06" w:rsidRPr="00D2758E">
        <w:rPr>
          <w:rFonts w:asciiTheme="majorBidi" w:hAnsiTheme="majorBidi" w:cstheme="majorBidi"/>
        </w:rPr>
        <w:t xml:space="preserve">nderstanding </w:t>
      </w:r>
      <w:r w:rsidR="00AA006F" w:rsidRPr="00D2758E">
        <w:rPr>
          <w:rFonts w:asciiTheme="majorBidi" w:hAnsiTheme="majorBidi" w:cstheme="majorBidi"/>
        </w:rPr>
        <w:t>of</w:t>
      </w:r>
      <w:r w:rsidR="002D2C06" w:rsidRPr="00D2758E">
        <w:rPr>
          <w:rFonts w:asciiTheme="majorBidi" w:hAnsiTheme="majorBidi" w:cstheme="majorBidi"/>
        </w:rPr>
        <w:t xml:space="preserve"> how the utilization of genetic resources and associated traditional knowledge can be </w:t>
      </w:r>
      <w:r w:rsidR="002D2C06" w:rsidRPr="00D2758E">
        <w:t>monitored</w:t>
      </w:r>
      <w:r w:rsidR="005A5E15" w:rsidRPr="00D2758E">
        <w:rPr>
          <w:rFonts w:asciiTheme="majorBidi" w:hAnsiTheme="majorBidi" w:cstheme="majorBidi"/>
        </w:rPr>
        <w:t xml:space="preserve"> is essential </w:t>
      </w:r>
      <w:r w:rsidR="006B1C54" w:rsidRPr="00D2758E">
        <w:rPr>
          <w:rFonts w:asciiTheme="majorBidi" w:hAnsiTheme="majorBidi" w:cstheme="majorBidi"/>
        </w:rPr>
        <w:t xml:space="preserve">for </w:t>
      </w:r>
      <w:r w:rsidR="00031334">
        <w:rPr>
          <w:rFonts w:asciiTheme="majorBidi" w:hAnsiTheme="majorBidi" w:cstheme="majorBidi"/>
        </w:rPr>
        <w:t xml:space="preserve">the </w:t>
      </w:r>
      <w:r w:rsidR="00031334" w:rsidRPr="00D2758E">
        <w:rPr>
          <w:rFonts w:asciiTheme="majorBidi" w:hAnsiTheme="majorBidi" w:cstheme="majorBidi"/>
        </w:rPr>
        <w:t>designat</w:t>
      </w:r>
      <w:r w:rsidR="00031334">
        <w:rPr>
          <w:rFonts w:asciiTheme="majorBidi" w:hAnsiTheme="majorBidi" w:cstheme="majorBidi"/>
        </w:rPr>
        <w:t xml:space="preserve">ion by </w:t>
      </w:r>
      <w:r w:rsidR="006B1C54" w:rsidRPr="00D2758E">
        <w:rPr>
          <w:rFonts w:asciiTheme="majorBidi" w:hAnsiTheme="majorBidi" w:cstheme="majorBidi"/>
        </w:rPr>
        <w:t xml:space="preserve">Parties </w:t>
      </w:r>
      <w:r w:rsidR="00031334">
        <w:rPr>
          <w:rFonts w:asciiTheme="majorBidi" w:hAnsiTheme="majorBidi" w:cstheme="majorBidi"/>
        </w:rPr>
        <w:t xml:space="preserve">of </w:t>
      </w:r>
      <w:r w:rsidR="003C6C3B" w:rsidRPr="00D2758E">
        <w:rPr>
          <w:rFonts w:asciiTheme="majorBidi" w:hAnsiTheme="majorBidi" w:cstheme="majorBidi"/>
        </w:rPr>
        <w:t>checkpoints that are effective and have functions relevant to implementation of Article 17</w:t>
      </w:r>
      <w:r w:rsidR="003E3C16">
        <w:rPr>
          <w:rFonts w:asciiTheme="majorBidi" w:hAnsiTheme="majorBidi" w:cstheme="majorBidi"/>
        </w:rPr>
        <w:t xml:space="preserve"> of the Nagoya Protocol</w:t>
      </w:r>
      <w:r w:rsidR="003C6C3B" w:rsidRPr="00D2758E">
        <w:rPr>
          <w:rFonts w:asciiTheme="majorBidi" w:hAnsiTheme="majorBidi" w:cstheme="majorBidi"/>
        </w:rPr>
        <w:t>.</w:t>
      </w:r>
      <w:r w:rsidR="00697A48" w:rsidRPr="00D2758E">
        <w:rPr>
          <w:rStyle w:val="FootnoteReference"/>
          <w:rFonts w:asciiTheme="majorBidi" w:hAnsiTheme="majorBidi" w:cstheme="majorBidi"/>
        </w:rPr>
        <w:footnoteReference w:id="20"/>
      </w:r>
    </w:p>
    <w:p w14:paraId="63161B7A" w14:textId="1546D6B6" w:rsidR="00D039AE" w:rsidRPr="00D2758E" w:rsidRDefault="00D039AE" w:rsidP="00CD2C50">
      <w:pPr>
        <w:pStyle w:val="CBDNormalNumber"/>
        <w:rPr>
          <w:rFonts w:asciiTheme="majorBidi" w:hAnsiTheme="majorBidi" w:cstheme="majorBidi"/>
        </w:rPr>
      </w:pPr>
      <w:r w:rsidRPr="00D2758E">
        <w:rPr>
          <w:rFonts w:asciiTheme="majorBidi" w:hAnsiTheme="majorBidi" w:cstheme="majorBidi"/>
        </w:rPr>
        <w:t xml:space="preserve">The presence of dedicated personnel </w:t>
      </w:r>
      <w:r w:rsidR="00863114">
        <w:rPr>
          <w:rFonts w:asciiTheme="majorBidi" w:hAnsiTheme="majorBidi" w:cstheme="majorBidi"/>
        </w:rPr>
        <w:t xml:space="preserve">engaged in </w:t>
      </w:r>
      <w:r w:rsidRPr="00D2758E">
        <w:rPr>
          <w:rFonts w:asciiTheme="majorBidi" w:hAnsiTheme="majorBidi" w:cstheme="majorBidi"/>
        </w:rPr>
        <w:t xml:space="preserve">work on </w:t>
      </w:r>
      <w:r w:rsidR="00EC6815" w:rsidRPr="00EC6815">
        <w:rPr>
          <w:rFonts w:asciiTheme="majorBidi" w:hAnsiTheme="majorBidi" w:cstheme="majorBidi"/>
        </w:rPr>
        <w:t>access and benefit</w:t>
      </w:r>
      <w:r w:rsidR="00EC6815">
        <w:rPr>
          <w:rFonts w:asciiTheme="majorBidi" w:hAnsiTheme="majorBidi" w:cstheme="majorBidi"/>
        </w:rPr>
        <w:t xml:space="preserve"> </w:t>
      </w:r>
      <w:r w:rsidR="00EC6815" w:rsidRPr="00EC6815">
        <w:rPr>
          <w:rFonts w:asciiTheme="majorBidi" w:hAnsiTheme="majorBidi" w:cstheme="majorBidi"/>
        </w:rPr>
        <w:t>sharing</w:t>
      </w:r>
      <w:r w:rsidRPr="00D2758E">
        <w:rPr>
          <w:rFonts w:asciiTheme="majorBidi" w:hAnsiTheme="majorBidi" w:cstheme="majorBidi"/>
        </w:rPr>
        <w:t xml:space="preserve">, the establishment of effective coordination and communication </w:t>
      </w:r>
      <w:r w:rsidRPr="00D2758E">
        <w:t>channels</w:t>
      </w:r>
      <w:r w:rsidRPr="00D2758E">
        <w:rPr>
          <w:rFonts w:asciiTheme="majorBidi" w:hAnsiTheme="majorBidi" w:cstheme="majorBidi"/>
        </w:rPr>
        <w:t xml:space="preserve"> among relevant authorities (such as committees or digital systems) and the availability of sustained institutional capacities and financial resources were identified as key factors for the effective implementation </w:t>
      </w:r>
      <w:r w:rsidR="004207A7">
        <w:rPr>
          <w:rFonts w:asciiTheme="majorBidi" w:hAnsiTheme="majorBidi" w:cstheme="majorBidi"/>
        </w:rPr>
        <w:t xml:space="preserve">of </w:t>
      </w:r>
      <w:r w:rsidRPr="00D2758E">
        <w:rPr>
          <w:rFonts w:asciiTheme="majorBidi" w:hAnsiTheme="majorBidi" w:cstheme="majorBidi"/>
        </w:rPr>
        <w:t xml:space="preserve">the Protocol at the national level. </w:t>
      </w:r>
    </w:p>
    <w:p w14:paraId="67FED6DC" w14:textId="4D3B4DC6" w:rsidR="00455F03" w:rsidRPr="00D2758E" w:rsidRDefault="00B262F5" w:rsidP="00A818EB">
      <w:pPr>
        <w:pStyle w:val="CBDH3"/>
      </w:pPr>
      <w:r>
        <w:t>3.</w:t>
      </w:r>
      <w:r>
        <w:tab/>
      </w:r>
      <w:r w:rsidR="00455F03" w:rsidRPr="00D2758E">
        <w:t>Measures on access to genetic resources (Article 6)</w:t>
      </w:r>
      <w:r w:rsidR="00AF4FE2" w:rsidRPr="00D2758E">
        <w:rPr>
          <w:rStyle w:val="FootnoteReference"/>
        </w:rPr>
        <w:footnoteReference w:id="21"/>
      </w:r>
    </w:p>
    <w:p w14:paraId="1FF1BC73" w14:textId="696D44A4" w:rsidR="00603259" w:rsidRPr="00D2758E" w:rsidRDefault="00A818EB" w:rsidP="008D32CD">
      <w:pPr>
        <w:pStyle w:val="CBDH4"/>
        <w:rPr>
          <w:rFonts w:asciiTheme="majorBidi" w:hAnsiTheme="majorBidi" w:cstheme="majorBidi"/>
        </w:rPr>
      </w:pPr>
      <w:r>
        <w:t>(a)</w:t>
      </w:r>
      <w:r>
        <w:tab/>
      </w:r>
      <w:r w:rsidR="00603259" w:rsidRPr="00D2758E">
        <w:t xml:space="preserve">Progress made in implementation and updated indicator data </w:t>
      </w:r>
    </w:p>
    <w:p w14:paraId="33D6420B" w14:textId="65C12076" w:rsidR="00796BA7" w:rsidRPr="00D2758E" w:rsidRDefault="00796BA7" w:rsidP="00CD2C50">
      <w:pPr>
        <w:pStyle w:val="CBDNormalNumber"/>
        <w:rPr>
          <w:rFonts w:asciiTheme="majorBidi" w:hAnsiTheme="majorBidi" w:cstheme="majorBidi"/>
        </w:rPr>
      </w:pPr>
      <w:r w:rsidRPr="00D2758E">
        <w:rPr>
          <w:rFonts w:asciiTheme="majorBidi" w:hAnsiTheme="majorBidi" w:cstheme="majorBidi"/>
        </w:rPr>
        <w:t>Seventy-four Parties (52</w:t>
      </w:r>
      <w:r w:rsidR="00AC5DC7">
        <w:rPr>
          <w:rFonts w:asciiTheme="majorBidi" w:hAnsiTheme="majorBidi" w:cstheme="majorBidi"/>
        </w:rPr>
        <w:t xml:space="preserve"> per cent</w:t>
      </w:r>
      <w:r w:rsidRPr="00D2758E">
        <w:rPr>
          <w:rFonts w:asciiTheme="majorBidi" w:hAnsiTheme="majorBidi" w:cstheme="majorBidi"/>
        </w:rPr>
        <w:t>) reported that they require</w:t>
      </w:r>
      <w:r w:rsidR="00AC5DC7">
        <w:rPr>
          <w:rFonts w:asciiTheme="majorBidi" w:hAnsiTheme="majorBidi" w:cstheme="majorBidi"/>
        </w:rPr>
        <w:t>d</w:t>
      </w:r>
      <w:r w:rsidRPr="00D2758E">
        <w:rPr>
          <w:rFonts w:asciiTheme="majorBidi" w:hAnsiTheme="majorBidi" w:cstheme="majorBidi"/>
        </w:rPr>
        <w:t xml:space="preserve"> prior informed consent for access to genetic resources. Parties at different </w:t>
      </w:r>
      <w:r w:rsidR="004D625D" w:rsidRPr="00D2758E">
        <w:rPr>
          <w:rFonts w:asciiTheme="majorBidi" w:hAnsiTheme="majorBidi" w:cstheme="majorBidi"/>
        </w:rPr>
        <w:t>stages of</w:t>
      </w:r>
      <w:r w:rsidRPr="00D2758E">
        <w:rPr>
          <w:rFonts w:asciiTheme="majorBidi" w:hAnsiTheme="majorBidi" w:cstheme="majorBidi"/>
        </w:rPr>
        <w:t xml:space="preserve"> progress in putting access and benefit-sharing measures in place, </w:t>
      </w:r>
      <w:r w:rsidRPr="00D2758E">
        <w:t>including</w:t>
      </w:r>
      <w:r w:rsidRPr="00D2758E">
        <w:rPr>
          <w:rFonts w:asciiTheme="majorBidi" w:hAnsiTheme="majorBidi" w:cstheme="majorBidi"/>
        </w:rPr>
        <w:t xml:space="preserve"> those</w:t>
      </w:r>
      <w:r w:rsidRPr="00D2758E" w:rsidDel="00D00130">
        <w:rPr>
          <w:rFonts w:asciiTheme="majorBidi" w:hAnsiTheme="majorBidi" w:cstheme="majorBidi"/>
        </w:rPr>
        <w:t xml:space="preserve"> </w:t>
      </w:r>
      <w:r w:rsidRPr="00D2758E">
        <w:rPr>
          <w:rFonts w:asciiTheme="majorBidi" w:hAnsiTheme="majorBidi" w:cstheme="majorBidi"/>
        </w:rPr>
        <w:t>that ha</w:t>
      </w:r>
      <w:r w:rsidR="00D3043B">
        <w:rPr>
          <w:rFonts w:asciiTheme="majorBidi" w:hAnsiTheme="majorBidi" w:cstheme="majorBidi"/>
        </w:rPr>
        <w:t>d</w:t>
      </w:r>
      <w:r w:rsidRPr="00D2758E">
        <w:rPr>
          <w:rFonts w:asciiTheme="majorBidi" w:hAnsiTheme="majorBidi" w:cstheme="majorBidi"/>
        </w:rPr>
        <w:t xml:space="preserve"> developed draft measures or adopted general provisions on access and benefit</w:t>
      </w:r>
      <w:r w:rsidR="00AC5DC7">
        <w:rPr>
          <w:rFonts w:asciiTheme="majorBidi" w:hAnsiTheme="majorBidi" w:cstheme="majorBidi"/>
        </w:rPr>
        <w:t xml:space="preserve"> </w:t>
      </w:r>
      <w:r w:rsidRPr="00D2758E">
        <w:rPr>
          <w:rFonts w:asciiTheme="majorBidi" w:hAnsiTheme="majorBidi" w:cstheme="majorBidi"/>
        </w:rPr>
        <w:t>sharing</w:t>
      </w:r>
      <w:r w:rsidR="00951579">
        <w:rPr>
          <w:rFonts w:asciiTheme="majorBidi" w:hAnsiTheme="majorBidi" w:cstheme="majorBidi"/>
        </w:rPr>
        <w:t xml:space="preserve">, </w:t>
      </w:r>
      <w:r w:rsidR="002E266A">
        <w:rPr>
          <w:rFonts w:asciiTheme="majorBidi" w:hAnsiTheme="majorBidi" w:cstheme="majorBidi"/>
        </w:rPr>
        <w:t xml:space="preserve">were among the </w:t>
      </w:r>
      <w:r w:rsidR="00A37932">
        <w:rPr>
          <w:rFonts w:asciiTheme="majorBidi" w:hAnsiTheme="majorBidi" w:cstheme="majorBidi"/>
        </w:rPr>
        <w:t>74 Parties</w:t>
      </w:r>
      <w:r w:rsidRPr="00D2758E">
        <w:rPr>
          <w:rFonts w:asciiTheme="majorBidi" w:hAnsiTheme="majorBidi" w:cstheme="majorBidi"/>
        </w:rPr>
        <w:t xml:space="preserve">. </w:t>
      </w:r>
    </w:p>
    <w:p w14:paraId="3DB05C77" w14:textId="27826DFA" w:rsidR="00796BA7" w:rsidRPr="00D2758E" w:rsidRDefault="00796BA7" w:rsidP="00CD2C50">
      <w:pPr>
        <w:pStyle w:val="CBDNormalNumber"/>
        <w:rPr>
          <w:rFonts w:asciiTheme="majorBidi" w:hAnsiTheme="majorBidi" w:cstheme="majorBidi"/>
        </w:rPr>
      </w:pPr>
      <w:r w:rsidRPr="00D2758E">
        <w:rPr>
          <w:rFonts w:asciiTheme="majorBidi" w:hAnsiTheme="majorBidi" w:cstheme="majorBidi"/>
        </w:rPr>
        <w:t xml:space="preserve">As </w:t>
      </w:r>
      <w:r w:rsidR="00A37932" w:rsidRPr="00D2758E">
        <w:rPr>
          <w:rFonts w:asciiTheme="majorBidi" w:hAnsiTheme="majorBidi" w:cstheme="majorBidi"/>
        </w:rPr>
        <w:t>demonstrate</w:t>
      </w:r>
      <w:r w:rsidR="00A37932">
        <w:rPr>
          <w:rFonts w:asciiTheme="majorBidi" w:hAnsiTheme="majorBidi" w:cstheme="majorBidi"/>
        </w:rPr>
        <w:t>d by</w:t>
      </w:r>
      <w:r w:rsidR="00A37932" w:rsidRPr="00D2758E">
        <w:rPr>
          <w:rFonts w:asciiTheme="majorBidi" w:hAnsiTheme="majorBidi" w:cstheme="majorBidi"/>
        </w:rPr>
        <w:t xml:space="preserve"> </w:t>
      </w:r>
      <w:r w:rsidRPr="00D2758E">
        <w:rPr>
          <w:rFonts w:asciiTheme="majorBidi" w:hAnsiTheme="majorBidi" w:cstheme="majorBidi"/>
        </w:rPr>
        <w:t xml:space="preserve">the indicators in table 3 below and the </w:t>
      </w:r>
      <w:r w:rsidR="00110A1C">
        <w:rPr>
          <w:rFonts w:asciiTheme="majorBidi" w:hAnsiTheme="majorBidi" w:cstheme="majorBidi"/>
        </w:rPr>
        <w:t xml:space="preserve">corresponding </w:t>
      </w:r>
      <w:r w:rsidRPr="00D2758E">
        <w:rPr>
          <w:rFonts w:asciiTheme="majorBidi" w:hAnsiTheme="majorBidi" w:cstheme="majorBidi"/>
        </w:rPr>
        <w:t xml:space="preserve">analysis, there has been significant progress in implementing some of the requirements </w:t>
      </w:r>
      <w:r w:rsidR="00123448">
        <w:rPr>
          <w:rFonts w:asciiTheme="majorBidi" w:hAnsiTheme="majorBidi" w:cstheme="majorBidi"/>
        </w:rPr>
        <w:t xml:space="preserve">set out in </w:t>
      </w:r>
      <w:r w:rsidRPr="00D2758E">
        <w:rPr>
          <w:rFonts w:asciiTheme="majorBidi" w:hAnsiTheme="majorBidi" w:cstheme="majorBidi"/>
        </w:rPr>
        <w:t>Article 6</w:t>
      </w:r>
      <w:r w:rsidR="006754BD" w:rsidRPr="00D2758E">
        <w:rPr>
          <w:rFonts w:asciiTheme="majorBidi" w:hAnsiTheme="majorBidi" w:cstheme="majorBidi"/>
        </w:rPr>
        <w:t>, paragraph</w:t>
      </w:r>
      <w:r w:rsidR="00FA045E">
        <w:rPr>
          <w:rFonts w:asciiTheme="majorBidi" w:hAnsiTheme="majorBidi" w:cstheme="majorBidi"/>
        </w:rPr>
        <w:t xml:space="preserve"> </w:t>
      </w:r>
      <w:r w:rsidRPr="00D2758E">
        <w:rPr>
          <w:rFonts w:asciiTheme="majorBidi" w:hAnsiTheme="majorBidi" w:cstheme="majorBidi"/>
        </w:rPr>
        <w:t>3</w:t>
      </w:r>
      <w:r w:rsidR="00C82BD5">
        <w:rPr>
          <w:rFonts w:asciiTheme="majorBidi" w:hAnsiTheme="majorBidi" w:cstheme="majorBidi"/>
        </w:rPr>
        <w:t>,</w:t>
      </w:r>
      <w:r w:rsidRPr="00D2758E">
        <w:rPr>
          <w:rFonts w:asciiTheme="majorBidi" w:hAnsiTheme="majorBidi" w:cstheme="majorBidi"/>
        </w:rPr>
        <w:t xml:space="preserve"> of the Nagoya Protocol</w:t>
      </w:r>
      <w:r w:rsidR="009854DA">
        <w:rPr>
          <w:rFonts w:asciiTheme="majorBidi" w:hAnsiTheme="majorBidi" w:cstheme="majorBidi"/>
        </w:rPr>
        <w:t>,</w:t>
      </w:r>
      <w:r w:rsidRPr="00D2758E">
        <w:rPr>
          <w:rFonts w:asciiTheme="majorBidi" w:hAnsiTheme="majorBidi" w:cstheme="majorBidi"/>
        </w:rPr>
        <w:t xml:space="preserve"> </w:t>
      </w:r>
      <w:r w:rsidR="00E2685A">
        <w:rPr>
          <w:rFonts w:asciiTheme="majorBidi" w:hAnsiTheme="majorBidi" w:cstheme="majorBidi"/>
        </w:rPr>
        <w:t xml:space="preserve">the </w:t>
      </w:r>
      <w:r w:rsidRPr="00D2758E">
        <w:rPr>
          <w:rFonts w:asciiTheme="majorBidi" w:hAnsiTheme="majorBidi" w:cstheme="majorBidi"/>
        </w:rPr>
        <w:t xml:space="preserve">aim </w:t>
      </w:r>
      <w:r w:rsidR="00E2685A">
        <w:rPr>
          <w:rFonts w:asciiTheme="majorBidi" w:hAnsiTheme="majorBidi" w:cstheme="majorBidi"/>
        </w:rPr>
        <w:t xml:space="preserve">being </w:t>
      </w:r>
      <w:r w:rsidRPr="00D2758E">
        <w:rPr>
          <w:rFonts w:asciiTheme="majorBidi" w:hAnsiTheme="majorBidi" w:cstheme="majorBidi"/>
        </w:rPr>
        <w:t>to provid</w:t>
      </w:r>
      <w:r w:rsidR="00D549F4">
        <w:rPr>
          <w:rFonts w:asciiTheme="majorBidi" w:hAnsiTheme="majorBidi" w:cstheme="majorBidi"/>
        </w:rPr>
        <w:t>e</w:t>
      </w:r>
      <w:r w:rsidRPr="00D2758E">
        <w:rPr>
          <w:rFonts w:asciiTheme="majorBidi" w:hAnsiTheme="majorBidi" w:cstheme="majorBidi"/>
        </w:rPr>
        <w:t xml:space="preserve"> clear procedures and rules for access and legal certainty for users of genetic resources. </w:t>
      </w:r>
      <w:r w:rsidR="008E4A37" w:rsidRPr="00D2758E">
        <w:rPr>
          <w:rFonts w:asciiTheme="majorBidi" w:hAnsiTheme="majorBidi" w:cstheme="majorBidi"/>
        </w:rPr>
        <w:t xml:space="preserve">Of the Parties </w:t>
      </w:r>
      <w:r w:rsidR="008E4A37" w:rsidRPr="00D2758E">
        <w:t>requiring</w:t>
      </w:r>
      <w:r w:rsidR="008E4A37" w:rsidRPr="00D2758E">
        <w:rPr>
          <w:rFonts w:asciiTheme="majorBidi" w:hAnsiTheme="majorBidi" w:cstheme="majorBidi"/>
        </w:rPr>
        <w:t xml:space="preserve"> prior informed consent</w:t>
      </w:r>
      <w:r w:rsidR="00E16003" w:rsidRPr="00D2758E">
        <w:rPr>
          <w:rFonts w:asciiTheme="majorBidi" w:hAnsiTheme="majorBidi" w:cstheme="majorBidi"/>
        </w:rPr>
        <w:t>, t</w:t>
      </w:r>
      <w:r w:rsidR="00E46C52" w:rsidRPr="00D2758E">
        <w:rPr>
          <w:rFonts w:asciiTheme="majorBidi" w:hAnsiTheme="majorBidi" w:cstheme="majorBidi"/>
        </w:rPr>
        <w:t>he proportion that provide</w:t>
      </w:r>
      <w:r w:rsidR="00D549F4">
        <w:rPr>
          <w:rFonts w:asciiTheme="majorBidi" w:hAnsiTheme="majorBidi" w:cstheme="majorBidi"/>
        </w:rPr>
        <w:t>d</w:t>
      </w:r>
      <w:r w:rsidR="00E46C52" w:rsidRPr="00D2758E">
        <w:rPr>
          <w:rFonts w:asciiTheme="majorBidi" w:hAnsiTheme="majorBidi" w:cstheme="majorBidi"/>
        </w:rPr>
        <w:t xml:space="preserve"> permits at the time of access and ha</w:t>
      </w:r>
      <w:r w:rsidR="00D549F4">
        <w:rPr>
          <w:rFonts w:asciiTheme="majorBidi" w:hAnsiTheme="majorBidi" w:cstheme="majorBidi"/>
        </w:rPr>
        <w:t>d</w:t>
      </w:r>
      <w:r w:rsidR="00E46C52" w:rsidRPr="00D2758E">
        <w:rPr>
          <w:rFonts w:asciiTheme="majorBidi" w:hAnsiTheme="majorBidi" w:cstheme="majorBidi"/>
        </w:rPr>
        <w:t xml:space="preserve"> clear procedures for developing mutually agreed terms was already high and moderate additional progress </w:t>
      </w:r>
      <w:r w:rsidR="008E5A61" w:rsidRPr="00D2758E">
        <w:rPr>
          <w:rFonts w:asciiTheme="majorBidi" w:hAnsiTheme="majorBidi" w:cstheme="majorBidi"/>
        </w:rPr>
        <w:t>ha</w:t>
      </w:r>
      <w:r w:rsidR="008E5A61">
        <w:rPr>
          <w:rFonts w:asciiTheme="majorBidi" w:hAnsiTheme="majorBidi" w:cstheme="majorBidi"/>
        </w:rPr>
        <w:t>d been</w:t>
      </w:r>
      <w:r w:rsidR="008E5A61" w:rsidRPr="00D2758E">
        <w:rPr>
          <w:rFonts w:asciiTheme="majorBidi" w:hAnsiTheme="majorBidi" w:cstheme="majorBidi"/>
        </w:rPr>
        <w:t xml:space="preserve"> shown </w:t>
      </w:r>
      <w:r w:rsidR="00E46C52" w:rsidRPr="00D2758E">
        <w:rPr>
          <w:rFonts w:asciiTheme="majorBidi" w:hAnsiTheme="majorBidi" w:cstheme="majorBidi"/>
        </w:rPr>
        <w:t>since 2018.</w:t>
      </w:r>
      <w:r w:rsidR="007B13EA" w:rsidRPr="00D2758E">
        <w:rPr>
          <w:rFonts w:asciiTheme="majorBidi" w:hAnsiTheme="majorBidi" w:cstheme="majorBidi"/>
        </w:rPr>
        <w:t xml:space="preserve"> </w:t>
      </w:r>
      <w:r w:rsidR="00E46C52" w:rsidRPr="00D2758E">
        <w:rPr>
          <w:rFonts w:asciiTheme="majorBidi" w:hAnsiTheme="majorBidi" w:cstheme="majorBidi"/>
        </w:rPr>
        <w:t>Th</w:t>
      </w:r>
      <w:r w:rsidR="009D1726">
        <w:rPr>
          <w:rFonts w:asciiTheme="majorBidi" w:hAnsiTheme="majorBidi" w:cstheme="majorBidi"/>
        </w:rPr>
        <w:t>o</w:t>
      </w:r>
      <w:r w:rsidR="00E46C52" w:rsidRPr="00D2758E">
        <w:rPr>
          <w:rFonts w:asciiTheme="majorBidi" w:hAnsiTheme="majorBidi" w:cstheme="majorBidi"/>
        </w:rPr>
        <w:t xml:space="preserve">se observations are </w:t>
      </w:r>
      <w:r w:rsidRPr="00D2758E">
        <w:rPr>
          <w:rFonts w:asciiTheme="majorBidi" w:hAnsiTheme="majorBidi" w:cstheme="majorBidi"/>
        </w:rPr>
        <w:t xml:space="preserve">linked to the progress made in adopting the necessary </w:t>
      </w:r>
      <w:r w:rsidR="00882918" w:rsidRPr="00882918">
        <w:rPr>
          <w:rFonts w:asciiTheme="majorBidi" w:hAnsiTheme="majorBidi" w:cstheme="majorBidi"/>
        </w:rPr>
        <w:t>access and benefit</w:t>
      </w:r>
      <w:r w:rsidR="007924E5">
        <w:rPr>
          <w:rFonts w:asciiTheme="majorBidi" w:hAnsiTheme="majorBidi" w:cstheme="majorBidi"/>
        </w:rPr>
        <w:t>-</w:t>
      </w:r>
      <w:r w:rsidR="00882918" w:rsidRPr="00882918">
        <w:rPr>
          <w:rFonts w:asciiTheme="majorBidi" w:hAnsiTheme="majorBidi" w:cstheme="majorBidi"/>
        </w:rPr>
        <w:t xml:space="preserve">sharing </w:t>
      </w:r>
      <w:r w:rsidRPr="00D2758E">
        <w:rPr>
          <w:rFonts w:asciiTheme="majorBidi" w:hAnsiTheme="majorBidi" w:cstheme="majorBidi"/>
        </w:rPr>
        <w:t xml:space="preserve">measures and show a wider implementation of </w:t>
      </w:r>
      <w:r w:rsidR="00F307DB">
        <w:rPr>
          <w:rFonts w:asciiTheme="majorBidi" w:hAnsiTheme="majorBidi" w:cstheme="majorBidi"/>
        </w:rPr>
        <w:t>such measures</w:t>
      </w:r>
      <w:r w:rsidRPr="00D2758E">
        <w:rPr>
          <w:rFonts w:asciiTheme="majorBidi" w:hAnsiTheme="majorBidi" w:cstheme="majorBidi"/>
        </w:rPr>
        <w:t xml:space="preserve"> since the reference point of February 2018.</w:t>
      </w:r>
    </w:p>
    <w:p w14:paraId="5A3BD0D3" w14:textId="03D8B281" w:rsidR="003612DA" w:rsidRPr="00D2758E" w:rsidRDefault="003612DA" w:rsidP="00CD2C50">
      <w:pPr>
        <w:pStyle w:val="CBDNormalNumber"/>
        <w:rPr>
          <w:rFonts w:asciiTheme="majorBidi" w:hAnsiTheme="majorBidi" w:cstheme="majorBidi"/>
        </w:rPr>
      </w:pPr>
      <w:r w:rsidRPr="00D2758E">
        <w:rPr>
          <w:rFonts w:asciiTheme="majorBidi" w:hAnsiTheme="majorBidi" w:cstheme="majorBidi"/>
        </w:rPr>
        <w:t>Sixty-four Parties reported that they ha</w:t>
      </w:r>
      <w:r w:rsidR="00C07319">
        <w:rPr>
          <w:rFonts w:asciiTheme="majorBidi" w:hAnsiTheme="majorBidi" w:cstheme="majorBidi"/>
        </w:rPr>
        <w:t>d</w:t>
      </w:r>
      <w:r w:rsidRPr="00D2758E">
        <w:rPr>
          <w:rFonts w:asciiTheme="majorBidi" w:hAnsiTheme="majorBidi" w:cstheme="majorBidi"/>
        </w:rPr>
        <w:t xml:space="preserve"> issued permits or the</w:t>
      </w:r>
      <w:r w:rsidR="001A1883">
        <w:rPr>
          <w:rFonts w:asciiTheme="majorBidi" w:hAnsiTheme="majorBidi" w:cstheme="majorBidi"/>
        </w:rPr>
        <w:t>ir</w:t>
      </w:r>
      <w:r w:rsidRPr="00D2758E">
        <w:rPr>
          <w:rFonts w:asciiTheme="majorBidi" w:hAnsiTheme="majorBidi" w:cstheme="majorBidi"/>
        </w:rPr>
        <w:t xml:space="preserve"> equivalent during the reporting period. According to the information provided, th</w:t>
      </w:r>
      <w:r w:rsidR="00A33633">
        <w:rPr>
          <w:rFonts w:asciiTheme="majorBidi" w:hAnsiTheme="majorBidi" w:cstheme="majorBidi"/>
        </w:rPr>
        <w:t>e</w:t>
      </w:r>
      <w:r w:rsidRPr="00D2758E">
        <w:rPr>
          <w:rFonts w:asciiTheme="majorBidi" w:hAnsiTheme="majorBidi" w:cstheme="majorBidi"/>
        </w:rPr>
        <w:t xml:space="preserve"> data include</w:t>
      </w:r>
      <w:r w:rsidR="00C265D3">
        <w:rPr>
          <w:rFonts w:asciiTheme="majorBidi" w:hAnsiTheme="majorBidi" w:cstheme="majorBidi"/>
        </w:rPr>
        <w:t>d</w:t>
      </w:r>
      <w:r w:rsidRPr="00D2758E">
        <w:rPr>
          <w:rFonts w:asciiTheme="majorBidi" w:hAnsiTheme="majorBidi" w:cstheme="majorBidi"/>
        </w:rPr>
        <w:t xml:space="preserve"> permits </w:t>
      </w:r>
      <w:r w:rsidR="00640C2B" w:rsidRPr="00D2758E">
        <w:rPr>
          <w:rFonts w:asciiTheme="majorBidi" w:hAnsiTheme="majorBidi" w:cstheme="majorBidi"/>
        </w:rPr>
        <w:t>(e.g. export permits)</w:t>
      </w:r>
      <w:r w:rsidR="00640C2B">
        <w:rPr>
          <w:rFonts w:asciiTheme="majorBidi" w:hAnsiTheme="majorBidi" w:cstheme="majorBidi"/>
        </w:rPr>
        <w:t xml:space="preserve"> </w:t>
      </w:r>
      <w:r w:rsidRPr="00D2758E">
        <w:rPr>
          <w:rFonts w:asciiTheme="majorBidi" w:hAnsiTheme="majorBidi" w:cstheme="majorBidi"/>
        </w:rPr>
        <w:t>that m</w:t>
      </w:r>
      <w:r w:rsidR="00C265D3">
        <w:rPr>
          <w:rFonts w:asciiTheme="majorBidi" w:hAnsiTheme="majorBidi" w:cstheme="majorBidi"/>
        </w:rPr>
        <w:t>ight</w:t>
      </w:r>
      <w:r w:rsidRPr="00D2758E">
        <w:rPr>
          <w:rFonts w:asciiTheme="majorBidi" w:hAnsiTheme="majorBidi" w:cstheme="majorBidi"/>
        </w:rPr>
        <w:t xml:space="preserve"> not necessarily be linked to the application of an </w:t>
      </w:r>
      <w:r w:rsidR="00640C2B" w:rsidRPr="00640C2B">
        <w:rPr>
          <w:rFonts w:asciiTheme="majorBidi" w:hAnsiTheme="majorBidi" w:cstheme="majorBidi"/>
        </w:rPr>
        <w:t>access and benefit</w:t>
      </w:r>
      <w:r w:rsidR="00640C2B">
        <w:rPr>
          <w:rFonts w:asciiTheme="majorBidi" w:hAnsiTheme="majorBidi" w:cstheme="majorBidi"/>
        </w:rPr>
        <w:t>-</w:t>
      </w:r>
      <w:r w:rsidR="00640C2B" w:rsidRPr="00640C2B">
        <w:rPr>
          <w:rFonts w:asciiTheme="majorBidi" w:hAnsiTheme="majorBidi" w:cstheme="majorBidi"/>
        </w:rPr>
        <w:t xml:space="preserve">sharing </w:t>
      </w:r>
      <w:r w:rsidRPr="00D2758E">
        <w:rPr>
          <w:rFonts w:asciiTheme="majorBidi" w:hAnsiTheme="majorBidi" w:cstheme="majorBidi"/>
        </w:rPr>
        <w:t xml:space="preserve">framework. </w:t>
      </w:r>
      <w:r w:rsidR="00640C2B">
        <w:rPr>
          <w:rFonts w:asciiTheme="majorBidi" w:hAnsiTheme="majorBidi" w:cstheme="majorBidi"/>
        </w:rPr>
        <w:t>While m</w:t>
      </w:r>
      <w:r w:rsidRPr="00D2758E">
        <w:rPr>
          <w:rFonts w:asciiTheme="majorBidi" w:hAnsiTheme="majorBidi" w:cstheme="majorBidi"/>
        </w:rPr>
        <w:t xml:space="preserve">ost of the permits reported </w:t>
      </w:r>
      <w:r w:rsidR="00C265D3">
        <w:rPr>
          <w:rFonts w:asciiTheme="majorBidi" w:hAnsiTheme="majorBidi" w:cstheme="majorBidi"/>
        </w:rPr>
        <w:t>w</w:t>
      </w:r>
      <w:r w:rsidR="00412935">
        <w:rPr>
          <w:rFonts w:asciiTheme="majorBidi" w:hAnsiTheme="majorBidi" w:cstheme="majorBidi"/>
        </w:rPr>
        <w:t>e</w:t>
      </w:r>
      <w:r w:rsidRPr="00D2758E">
        <w:rPr>
          <w:rFonts w:asciiTheme="majorBidi" w:hAnsiTheme="majorBidi" w:cstheme="majorBidi"/>
        </w:rPr>
        <w:t xml:space="preserve">re </w:t>
      </w:r>
      <w:r w:rsidRPr="00D2758E">
        <w:t>for</w:t>
      </w:r>
      <w:r w:rsidRPr="00D2758E">
        <w:rPr>
          <w:rFonts w:asciiTheme="majorBidi" w:hAnsiTheme="majorBidi" w:cstheme="majorBidi"/>
        </w:rPr>
        <w:t xml:space="preserve"> non-commercial purposes, at least 17 Parties reported having issued permits for </w:t>
      </w:r>
      <w:r w:rsidR="00412935" w:rsidRPr="00D2758E">
        <w:rPr>
          <w:rFonts w:asciiTheme="majorBidi" w:hAnsiTheme="majorBidi" w:cstheme="majorBidi"/>
        </w:rPr>
        <w:t xml:space="preserve">both </w:t>
      </w:r>
      <w:r w:rsidRPr="00D2758E">
        <w:rPr>
          <w:rFonts w:asciiTheme="majorBidi" w:hAnsiTheme="majorBidi" w:cstheme="majorBidi"/>
        </w:rPr>
        <w:t>commercial and non-commercial purposes.</w:t>
      </w:r>
    </w:p>
    <w:p w14:paraId="4D2B06ED" w14:textId="7BEB8A8A" w:rsidR="00560059" w:rsidRPr="00D2758E" w:rsidRDefault="00415FD2" w:rsidP="00CD2C50">
      <w:pPr>
        <w:pStyle w:val="CBDNormalNumber"/>
        <w:rPr>
          <w:rFonts w:asciiTheme="majorBidi" w:hAnsiTheme="majorBidi" w:cstheme="majorBidi"/>
        </w:rPr>
      </w:pPr>
      <w:r w:rsidRPr="00D2758E">
        <w:t>A variety of approaches</w:t>
      </w:r>
      <w:r w:rsidR="002A584A">
        <w:t>,</w:t>
      </w:r>
      <w:r w:rsidRPr="00D2758E">
        <w:t xml:space="preserve"> </w:t>
      </w:r>
      <w:r w:rsidR="002245BB" w:rsidRPr="00D2758E">
        <w:t xml:space="preserve">in terms of scope and application of national </w:t>
      </w:r>
      <w:r w:rsidR="002245BB" w:rsidRPr="007924E5">
        <w:t xml:space="preserve">access and benefit-sharing </w:t>
      </w:r>
      <w:r w:rsidR="002245BB" w:rsidRPr="00D2758E">
        <w:t>requirements</w:t>
      </w:r>
      <w:r w:rsidR="002A584A">
        <w:t>,</w:t>
      </w:r>
      <w:r w:rsidR="002245BB" w:rsidRPr="00D2758E">
        <w:t xml:space="preserve"> </w:t>
      </w:r>
      <w:r w:rsidR="002926B5" w:rsidRPr="00D2758E">
        <w:t xml:space="preserve">for establishing access measures </w:t>
      </w:r>
      <w:r w:rsidR="00035E31" w:rsidRPr="00D2758E">
        <w:t>have</w:t>
      </w:r>
      <w:r w:rsidRPr="00D2758E">
        <w:t xml:space="preserve"> been adopted by Parties according to their national circumstances and priorities. </w:t>
      </w:r>
      <w:r w:rsidR="00560059" w:rsidRPr="00D2758E">
        <w:t xml:space="preserve">Requirements and </w:t>
      </w:r>
      <w:r w:rsidR="00560059" w:rsidRPr="00D2758E">
        <w:rPr>
          <w:rFonts w:asciiTheme="majorBidi" w:hAnsiTheme="majorBidi" w:cstheme="majorBidi"/>
        </w:rPr>
        <w:t>procedures</w:t>
      </w:r>
      <w:r w:rsidR="00560059" w:rsidRPr="00D2758E">
        <w:t xml:space="preserve"> to </w:t>
      </w:r>
      <w:r w:rsidR="007924E5">
        <w:t xml:space="preserve">be </w:t>
      </w:r>
      <w:r w:rsidR="00560059" w:rsidRPr="00D2758E">
        <w:t>follow</w:t>
      </w:r>
      <w:r w:rsidR="007924E5">
        <w:t>ed</w:t>
      </w:r>
      <w:r w:rsidR="00560059" w:rsidRPr="00D2758E">
        <w:t xml:space="preserve"> for the establishment of</w:t>
      </w:r>
      <w:r w:rsidR="00644DF7" w:rsidRPr="00D2758E">
        <w:t xml:space="preserve"> mutually agreed terms</w:t>
      </w:r>
      <w:r w:rsidR="00560059" w:rsidRPr="00D2758E">
        <w:t>, including benefit</w:t>
      </w:r>
      <w:r w:rsidR="007924E5">
        <w:t xml:space="preserve"> </w:t>
      </w:r>
      <w:r w:rsidR="00560059" w:rsidRPr="00D2758E">
        <w:t xml:space="preserve">sharing, are generally set out in national </w:t>
      </w:r>
      <w:r w:rsidR="00DF1E7C" w:rsidRPr="00DF1E7C">
        <w:t xml:space="preserve">access and benefit-sharing </w:t>
      </w:r>
      <w:r w:rsidR="00560059" w:rsidRPr="00D2758E">
        <w:t xml:space="preserve">measures and may vary considerably from one country to another. </w:t>
      </w:r>
      <w:r w:rsidR="00560059" w:rsidRPr="00D2758E">
        <w:rPr>
          <w:rFonts w:asciiTheme="majorBidi" w:hAnsiTheme="majorBidi" w:cstheme="majorBidi"/>
        </w:rPr>
        <w:t>Parties seem to use different approaches and terminolog</w:t>
      </w:r>
      <w:r w:rsidR="0062196B">
        <w:rPr>
          <w:rFonts w:asciiTheme="majorBidi" w:hAnsiTheme="majorBidi" w:cstheme="majorBidi"/>
        </w:rPr>
        <w:t>ies</w:t>
      </w:r>
      <w:r w:rsidR="00560059" w:rsidRPr="00D2758E">
        <w:rPr>
          <w:rFonts w:asciiTheme="majorBidi" w:hAnsiTheme="majorBidi" w:cstheme="majorBidi"/>
        </w:rPr>
        <w:t xml:space="preserve"> to explain what “</w:t>
      </w:r>
      <w:r w:rsidR="00F855E5" w:rsidRPr="00D2758E">
        <w:rPr>
          <w:rFonts w:asciiTheme="majorBidi" w:hAnsiTheme="majorBidi" w:cstheme="majorBidi"/>
        </w:rPr>
        <w:t>issu</w:t>
      </w:r>
      <w:r w:rsidR="00F855E5">
        <w:rPr>
          <w:rFonts w:asciiTheme="majorBidi" w:hAnsiTheme="majorBidi" w:cstheme="majorBidi"/>
        </w:rPr>
        <w:t xml:space="preserve">ance </w:t>
      </w:r>
      <w:r w:rsidR="00F855E5" w:rsidRPr="00D2758E">
        <w:rPr>
          <w:rFonts w:asciiTheme="majorBidi" w:hAnsiTheme="majorBidi" w:cstheme="majorBidi"/>
        </w:rPr>
        <w:t xml:space="preserve">at the time of access </w:t>
      </w:r>
      <w:r w:rsidR="00F855E5">
        <w:rPr>
          <w:rFonts w:asciiTheme="majorBidi" w:hAnsiTheme="majorBidi" w:cstheme="majorBidi"/>
        </w:rPr>
        <w:t>of a</w:t>
      </w:r>
      <w:r w:rsidR="00560059" w:rsidRPr="00D2758E">
        <w:rPr>
          <w:rFonts w:asciiTheme="majorBidi" w:hAnsiTheme="majorBidi" w:cstheme="majorBidi"/>
        </w:rPr>
        <w:t xml:space="preserve"> permit or its equivalent” </w:t>
      </w:r>
      <w:r w:rsidR="001A034A">
        <w:rPr>
          <w:rFonts w:asciiTheme="majorBidi" w:hAnsiTheme="majorBidi" w:cstheme="majorBidi"/>
        </w:rPr>
        <w:t>means</w:t>
      </w:r>
      <w:r w:rsidR="00560059" w:rsidRPr="00D2758E">
        <w:rPr>
          <w:rFonts w:asciiTheme="majorBidi" w:hAnsiTheme="majorBidi" w:cstheme="majorBidi"/>
        </w:rPr>
        <w:t xml:space="preserve"> in their national context. Sometimes the different terminolog</w:t>
      </w:r>
      <w:r w:rsidR="0062196B">
        <w:rPr>
          <w:rFonts w:asciiTheme="majorBidi" w:hAnsiTheme="majorBidi" w:cstheme="majorBidi"/>
        </w:rPr>
        <w:t>ies</w:t>
      </w:r>
      <w:r w:rsidR="00560059" w:rsidRPr="00D2758E">
        <w:rPr>
          <w:rFonts w:asciiTheme="majorBidi" w:hAnsiTheme="majorBidi" w:cstheme="majorBidi"/>
        </w:rPr>
        <w:t xml:space="preserve"> reflect differences </w:t>
      </w:r>
      <w:r w:rsidR="00B92D01">
        <w:rPr>
          <w:rFonts w:asciiTheme="majorBidi" w:hAnsiTheme="majorBidi" w:cstheme="majorBidi"/>
        </w:rPr>
        <w:t xml:space="preserve">related to </w:t>
      </w:r>
      <w:r w:rsidR="00560059" w:rsidRPr="00D2758E">
        <w:rPr>
          <w:rFonts w:asciiTheme="majorBidi" w:hAnsiTheme="majorBidi" w:cstheme="majorBidi"/>
        </w:rPr>
        <w:t>processes and who can grant prior informed consent and negotiate mutually agreed terms.</w:t>
      </w:r>
      <w:r w:rsidR="00560059" w:rsidRPr="00D2758E">
        <w:rPr>
          <w:rStyle w:val="FootnoteReference"/>
          <w:rFonts w:asciiTheme="majorBidi" w:hAnsiTheme="majorBidi" w:cstheme="majorBidi"/>
        </w:rPr>
        <w:footnoteReference w:id="22"/>
      </w:r>
    </w:p>
    <w:p w14:paraId="72451CE7" w14:textId="6728D292" w:rsidR="007A6E03" w:rsidRPr="00D2758E" w:rsidRDefault="009C78A1" w:rsidP="00CD2C50">
      <w:pPr>
        <w:pStyle w:val="CBDNormalNumber"/>
      </w:pPr>
      <w:r w:rsidRPr="00D2758E">
        <w:t xml:space="preserve">The </w:t>
      </w:r>
      <w:r w:rsidR="00230EC8" w:rsidRPr="00230EC8">
        <w:t xml:space="preserve">Access and Benefit-sharing </w:t>
      </w:r>
      <w:r w:rsidRPr="00D2758E">
        <w:t xml:space="preserve">Clearing-House plays a </w:t>
      </w:r>
      <w:r w:rsidR="007D35AC">
        <w:t>central</w:t>
      </w:r>
      <w:r w:rsidRPr="00D2758E">
        <w:t xml:space="preserve"> role</w:t>
      </w:r>
      <w:r w:rsidR="003265B3" w:rsidRPr="00D2758E">
        <w:t xml:space="preserve"> </w:t>
      </w:r>
      <w:r w:rsidR="00591295" w:rsidRPr="00D2758E">
        <w:t>i</w:t>
      </w:r>
      <w:r w:rsidR="003265B3" w:rsidRPr="00D2758E">
        <w:t xml:space="preserve">n providing users </w:t>
      </w:r>
      <w:r w:rsidR="003F5AC4">
        <w:t xml:space="preserve">with </w:t>
      </w:r>
      <w:r w:rsidR="003265B3" w:rsidRPr="00D2758E">
        <w:t>key information about access</w:t>
      </w:r>
      <w:r w:rsidR="003A1552">
        <w:t xml:space="preserve">, </w:t>
      </w:r>
      <w:r w:rsidR="001A20A3">
        <w:t xml:space="preserve">including </w:t>
      </w:r>
      <w:r w:rsidR="005F47E8" w:rsidRPr="00D2758E">
        <w:t xml:space="preserve">national information on </w:t>
      </w:r>
      <w:r w:rsidR="00B36AC3" w:rsidRPr="00B36AC3">
        <w:t xml:space="preserve">access and benefit-sharing </w:t>
      </w:r>
      <w:r w:rsidR="005F47E8" w:rsidRPr="00D2758E">
        <w:t xml:space="preserve">measures and </w:t>
      </w:r>
      <w:r w:rsidR="007A6E03" w:rsidRPr="00D2758E">
        <w:t>institutions</w:t>
      </w:r>
      <w:r w:rsidR="001F3A44">
        <w:t xml:space="preserve">. Moreover, </w:t>
      </w:r>
      <w:r w:rsidR="007A6E03" w:rsidRPr="00D2758E">
        <w:t xml:space="preserve">a common format for </w:t>
      </w:r>
      <w:r w:rsidR="001F3A44" w:rsidRPr="001F3A44">
        <w:t xml:space="preserve">access and benefit-sharing </w:t>
      </w:r>
      <w:r w:rsidR="007A6E03" w:rsidRPr="00D2758E">
        <w:t>procedures w</w:t>
      </w:r>
      <w:r w:rsidR="002013F7" w:rsidRPr="00D2758E">
        <w:t>as</w:t>
      </w:r>
      <w:r w:rsidR="007A6E03" w:rsidRPr="00D2758E">
        <w:t xml:space="preserve"> </w:t>
      </w:r>
      <w:r w:rsidR="007A6E03" w:rsidRPr="00D2758E">
        <w:lastRenderedPageBreak/>
        <w:t xml:space="preserve">introduced </w:t>
      </w:r>
      <w:r w:rsidR="001A20A3">
        <w:t>o</w:t>
      </w:r>
      <w:r w:rsidR="007A6E03" w:rsidRPr="00D2758E">
        <w:t xml:space="preserve">n the </w:t>
      </w:r>
      <w:proofErr w:type="gramStart"/>
      <w:r w:rsidR="007A6E03" w:rsidRPr="00D2758E">
        <w:t>Clearing-House</w:t>
      </w:r>
      <w:proofErr w:type="gramEnd"/>
      <w:r w:rsidR="007A6E03" w:rsidRPr="00D2758E">
        <w:t>. Th</w:t>
      </w:r>
      <w:r w:rsidR="00E70130">
        <w:t>at</w:t>
      </w:r>
      <w:r w:rsidR="007A6E03" w:rsidRPr="00D2758E">
        <w:t xml:space="preserve"> record type is intended to offer practical information and clear step-by-step guidance to users on applicable rules and requirements and support compliance with access and benefit-sharing</w:t>
      </w:r>
      <w:r w:rsidR="00F3211B">
        <w:t xml:space="preserve"> measures</w:t>
      </w:r>
      <w:r w:rsidR="007A6E03" w:rsidRPr="00D2758E">
        <w:t>.</w:t>
      </w:r>
      <w:r w:rsidR="007A6E03" w:rsidRPr="00D2758E">
        <w:rPr>
          <w:rStyle w:val="FootnoteReference"/>
        </w:rPr>
        <w:footnoteReference w:id="23"/>
      </w:r>
    </w:p>
    <w:p w14:paraId="758C2F19" w14:textId="7F6A427E" w:rsidR="00F43196" w:rsidRPr="00D2758E" w:rsidRDefault="00B84EC1" w:rsidP="00CD2C50">
      <w:pPr>
        <w:pStyle w:val="CBDNormalNumber"/>
      </w:pPr>
      <w:r w:rsidRPr="00D2758E">
        <w:t>Parties can provide information</w:t>
      </w:r>
      <w:r w:rsidR="00361FCF" w:rsidRPr="00D2758E">
        <w:t xml:space="preserve"> </w:t>
      </w:r>
      <w:r w:rsidR="009269AB">
        <w:t>o</w:t>
      </w:r>
      <w:r w:rsidR="00361FCF" w:rsidRPr="00D2758E">
        <w:t xml:space="preserve">n the </w:t>
      </w:r>
      <w:proofErr w:type="gramStart"/>
      <w:r w:rsidR="00361FCF" w:rsidRPr="00D2758E">
        <w:t>Clearing-House</w:t>
      </w:r>
      <w:proofErr w:type="gramEnd"/>
      <w:r w:rsidRPr="00D2758E">
        <w:t xml:space="preserve"> on n</w:t>
      </w:r>
      <w:r w:rsidR="0057014B" w:rsidRPr="00D2758E">
        <w:t>ational model contractual clauses</w:t>
      </w:r>
      <w:r w:rsidR="00361FCF" w:rsidRPr="00D2758E">
        <w:rPr>
          <w:rStyle w:val="FootnoteReference"/>
        </w:rPr>
        <w:footnoteReference w:id="24"/>
      </w:r>
      <w:r w:rsidR="00361FCF" w:rsidRPr="00D2758E">
        <w:t xml:space="preserve"> and n</w:t>
      </w:r>
      <w:r w:rsidRPr="00D2758E">
        <w:t>ational websites and database records</w:t>
      </w:r>
      <w:r w:rsidR="00991B34" w:rsidRPr="00D2758E">
        <w:t xml:space="preserve"> </w:t>
      </w:r>
      <w:r w:rsidRPr="00D2758E">
        <w:t xml:space="preserve">that contain national information relevant to </w:t>
      </w:r>
      <w:r w:rsidR="009269AB" w:rsidRPr="009269AB">
        <w:t>access and benefit-sharing</w:t>
      </w:r>
      <w:r w:rsidRPr="00D2758E">
        <w:t>.</w:t>
      </w:r>
      <w:r w:rsidR="00D85934" w:rsidRPr="00D2758E">
        <w:rPr>
          <w:rStyle w:val="FootnoteReference"/>
        </w:rPr>
        <w:footnoteReference w:id="25"/>
      </w:r>
    </w:p>
    <w:p w14:paraId="31D80B1C" w14:textId="2A85E126" w:rsidR="00796BA7" w:rsidRPr="00D2758E" w:rsidRDefault="00796BA7" w:rsidP="008D32CD">
      <w:pPr>
        <w:pStyle w:val="CBDTableTitle"/>
      </w:pPr>
      <w:r w:rsidRPr="008D32CD">
        <w:rPr>
          <w:b w:val="0"/>
          <w:bCs/>
        </w:rPr>
        <w:t xml:space="preserve">Table </w:t>
      </w:r>
      <w:r w:rsidR="00FB251B" w:rsidRPr="008D32CD">
        <w:rPr>
          <w:b w:val="0"/>
          <w:bCs/>
        </w:rPr>
        <w:t>3</w:t>
      </w:r>
      <w:r w:rsidR="008D32CD">
        <w:br/>
      </w:r>
      <w:r w:rsidRPr="00D2758E">
        <w:t>Indicators to measure progress in establishing measures related to access</w:t>
      </w:r>
    </w:p>
    <w:tbl>
      <w:tblPr>
        <w:tblW w:w="9144" w:type="dxa"/>
        <w:tblInd w:w="56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803"/>
        <w:gridCol w:w="1829"/>
        <w:gridCol w:w="1512"/>
      </w:tblGrid>
      <w:tr w:rsidR="00796BA7" w:rsidRPr="00CC1EF1" w14:paraId="5C1374CC" w14:textId="77777777" w:rsidTr="006B066D">
        <w:trPr>
          <w:cantSplit/>
          <w:tblHeader/>
        </w:trPr>
        <w:tc>
          <w:tcPr>
            <w:tcW w:w="5803" w:type="dxa"/>
            <w:tcBorders>
              <w:top w:val="single" w:sz="4" w:space="0" w:color="auto"/>
              <w:left w:val="single" w:sz="4" w:space="0" w:color="auto"/>
              <w:bottom w:val="single" w:sz="4" w:space="0" w:color="auto"/>
              <w:right w:val="single" w:sz="4" w:space="0" w:color="auto"/>
            </w:tcBorders>
            <w:shd w:val="clear" w:color="auto" w:fill="FFFFFF" w:themeFill="background1"/>
            <w:tcMar>
              <w:top w:w="29" w:type="dxa"/>
              <w:left w:w="115" w:type="dxa"/>
              <w:bottom w:w="29" w:type="dxa"/>
              <w:right w:w="115" w:type="dxa"/>
            </w:tcMar>
            <w:vAlign w:val="bottom"/>
            <w:hideMark/>
          </w:tcPr>
          <w:p w14:paraId="482F0EC2" w14:textId="77777777" w:rsidR="00796BA7" w:rsidRPr="00CC1EF1" w:rsidRDefault="00796BA7" w:rsidP="00C86CD7">
            <w:pPr>
              <w:suppressLineNumbers/>
              <w:suppressAutoHyphens/>
              <w:kinsoku w:val="0"/>
              <w:overflowPunct w:val="0"/>
              <w:autoSpaceDE w:val="0"/>
              <w:autoSpaceDN w:val="0"/>
              <w:adjustRightInd w:val="0"/>
              <w:snapToGrid w:val="0"/>
              <w:jc w:val="left"/>
              <w:rPr>
                <w:rFonts w:asciiTheme="majorBidi" w:eastAsia="Malgun Gothic" w:hAnsiTheme="majorBidi" w:cstheme="majorBidi"/>
                <w:bCs/>
                <w:i/>
                <w:iCs/>
                <w:kern w:val="22"/>
                <w:sz w:val="20"/>
                <w:szCs w:val="20"/>
              </w:rPr>
            </w:pPr>
            <w:r w:rsidRPr="00CC1EF1">
              <w:rPr>
                <w:rFonts w:asciiTheme="majorBidi" w:eastAsia="Malgun Gothic" w:hAnsiTheme="majorBidi" w:cstheme="majorBidi"/>
                <w:bCs/>
                <w:i/>
                <w:iCs/>
                <w:kern w:val="22"/>
                <w:sz w:val="20"/>
                <w:szCs w:val="20"/>
              </w:rPr>
              <w:t>Framework of indicators</w:t>
            </w:r>
          </w:p>
        </w:tc>
        <w:tc>
          <w:tcPr>
            <w:tcW w:w="1829" w:type="dxa"/>
            <w:tcBorders>
              <w:top w:val="single" w:sz="4" w:space="0" w:color="auto"/>
              <w:left w:val="single" w:sz="4" w:space="0" w:color="auto"/>
              <w:bottom w:val="single" w:sz="4" w:space="0" w:color="auto"/>
              <w:right w:val="single" w:sz="4" w:space="0" w:color="auto"/>
            </w:tcBorders>
            <w:shd w:val="clear" w:color="auto" w:fill="FFFFFF" w:themeFill="background1"/>
            <w:tcMar>
              <w:top w:w="29" w:type="dxa"/>
              <w:left w:w="115" w:type="dxa"/>
              <w:bottom w:w="29" w:type="dxa"/>
              <w:right w:w="115" w:type="dxa"/>
            </w:tcMar>
            <w:vAlign w:val="bottom"/>
            <w:hideMark/>
          </w:tcPr>
          <w:p w14:paraId="5055FD4B" w14:textId="71B113EE" w:rsidR="00796BA7" w:rsidRPr="00CC1EF1" w:rsidRDefault="00796BA7" w:rsidP="006B066D">
            <w:pPr>
              <w:suppressLineNumbers/>
              <w:suppressAutoHyphens/>
              <w:kinsoku w:val="0"/>
              <w:overflowPunct w:val="0"/>
              <w:autoSpaceDE w:val="0"/>
              <w:autoSpaceDN w:val="0"/>
              <w:adjustRightInd w:val="0"/>
              <w:snapToGrid w:val="0"/>
              <w:jc w:val="right"/>
              <w:rPr>
                <w:rFonts w:asciiTheme="majorBidi" w:eastAsia="Malgun Gothic" w:hAnsiTheme="majorBidi" w:cstheme="majorBidi"/>
                <w:bCs/>
                <w:i/>
                <w:iCs/>
                <w:kern w:val="22"/>
                <w:sz w:val="20"/>
                <w:szCs w:val="20"/>
              </w:rPr>
            </w:pPr>
            <w:r w:rsidRPr="00CC1EF1">
              <w:rPr>
                <w:rFonts w:asciiTheme="majorBidi" w:eastAsia="Malgun Gothic" w:hAnsiTheme="majorBidi" w:cstheme="majorBidi"/>
                <w:bCs/>
                <w:i/>
                <w:iCs/>
                <w:kern w:val="22"/>
                <w:sz w:val="20"/>
                <w:szCs w:val="20"/>
              </w:rPr>
              <w:t xml:space="preserve">Reference point </w:t>
            </w:r>
            <w:r w:rsidR="003F5EB2">
              <w:rPr>
                <w:rFonts w:asciiTheme="majorBidi" w:eastAsia="Malgun Gothic" w:hAnsiTheme="majorBidi" w:cstheme="majorBidi"/>
                <w:bCs/>
                <w:i/>
                <w:iCs/>
                <w:kern w:val="22"/>
                <w:sz w:val="20"/>
                <w:szCs w:val="20"/>
              </w:rPr>
              <w:br/>
            </w:r>
            <w:r w:rsidRPr="00CC1EF1">
              <w:rPr>
                <w:rFonts w:asciiTheme="majorBidi" w:eastAsia="Malgun Gothic" w:hAnsiTheme="majorBidi" w:cstheme="majorBidi"/>
                <w:bCs/>
                <w:i/>
                <w:iCs/>
                <w:kern w:val="22"/>
                <w:sz w:val="20"/>
                <w:szCs w:val="20"/>
              </w:rPr>
              <w:t xml:space="preserve">(as </w:t>
            </w:r>
            <w:r w:rsidR="003F5EB2">
              <w:rPr>
                <w:rFonts w:asciiTheme="majorBidi" w:eastAsia="Malgun Gothic" w:hAnsiTheme="majorBidi" w:cstheme="majorBidi"/>
                <w:bCs/>
                <w:i/>
                <w:iCs/>
                <w:kern w:val="22"/>
                <w:sz w:val="20"/>
                <w:szCs w:val="20"/>
              </w:rPr>
              <w:t>at</w:t>
            </w:r>
            <w:r w:rsidRPr="00CC1EF1">
              <w:rPr>
                <w:rFonts w:asciiTheme="majorBidi" w:eastAsia="Malgun Gothic" w:hAnsiTheme="majorBidi" w:cstheme="majorBidi"/>
                <w:bCs/>
                <w:i/>
                <w:iCs/>
                <w:kern w:val="22"/>
                <w:sz w:val="20"/>
                <w:szCs w:val="20"/>
              </w:rPr>
              <w:t xml:space="preserve"> 22 February 2018)</w:t>
            </w:r>
          </w:p>
        </w:tc>
        <w:tc>
          <w:tcPr>
            <w:tcW w:w="1512" w:type="dxa"/>
            <w:shd w:val="clear" w:color="auto" w:fill="FFFFFF" w:themeFill="background1"/>
            <w:vAlign w:val="bottom"/>
          </w:tcPr>
          <w:p w14:paraId="0DE317C4" w14:textId="7336820B" w:rsidR="00796BA7" w:rsidRPr="00CC1EF1" w:rsidRDefault="0056529F" w:rsidP="006B066D">
            <w:pPr>
              <w:suppressLineNumbers/>
              <w:suppressAutoHyphens/>
              <w:kinsoku w:val="0"/>
              <w:overflowPunct w:val="0"/>
              <w:autoSpaceDE w:val="0"/>
              <w:autoSpaceDN w:val="0"/>
              <w:adjustRightInd w:val="0"/>
              <w:snapToGrid w:val="0"/>
              <w:jc w:val="right"/>
              <w:rPr>
                <w:rFonts w:asciiTheme="majorBidi" w:eastAsia="Malgun Gothic" w:hAnsiTheme="majorBidi" w:cstheme="majorBidi"/>
                <w:bCs/>
                <w:i/>
                <w:iCs/>
                <w:kern w:val="22"/>
                <w:sz w:val="20"/>
                <w:szCs w:val="20"/>
              </w:rPr>
            </w:pPr>
            <w:r>
              <w:rPr>
                <w:rFonts w:asciiTheme="majorBidi" w:eastAsia="Malgun Gothic" w:hAnsiTheme="majorBidi" w:cstheme="majorBidi"/>
                <w:bCs/>
                <w:i/>
                <w:iCs/>
                <w:kern w:val="22"/>
                <w:sz w:val="20"/>
                <w:szCs w:val="20"/>
              </w:rPr>
              <w:t xml:space="preserve">Progress </w:t>
            </w:r>
            <w:r w:rsidR="00F971DC">
              <w:rPr>
                <w:rFonts w:asciiTheme="majorBidi" w:eastAsia="Malgun Gothic" w:hAnsiTheme="majorBidi" w:cstheme="majorBidi"/>
                <w:bCs/>
                <w:i/>
                <w:iCs/>
                <w:kern w:val="22"/>
                <w:sz w:val="20"/>
                <w:szCs w:val="20"/>
              </w:rPr>
              <w:t xml:space="preserve">as at </w:t>
            </w:r>
            <w:r w:rsidR="00796BA7" w:rsidRPr="00CC1EF1">
              <w:rPr>
                <w:rFonts w:asciiTheme="majorBidi" w:eastAsia="Malgun Gothic" w:hAnsiTheme="majorBidi" w:cstheme="majorBidi"/>
                <w:bCs/>
                <w:i/>
                <w:iCs/>
                <w:kern w:val="22"/>
                <w:sz w:val="20"/>
                <w:szCs w:val="20"/>
              </w:rPr>
              <w:t>9 March 2026</w:t>
            </w:r>
          </w:p>
        </w:tc>
      </w:tr>
      <w:tr w:rsidR="00796BA7" w:rsidRPr="00D2758E" w14:paraId="6FC1C7CE" w14:textId="77777777" w:rsidTr="006B066D">
        <w:trPr>
          <w:cantSplit/>
        </w:trPr>
        <w:tc>
          <w:tcPr>
            <w:tcW w:w="5803" w:type="dxa"/>
            <w:tcBorders>
              <w:top w:val="single" w:sz="4" w:space="0" w:color="auto"/>
              <w:left w:val="single" w:sz="4" w:space="0" w:color="auto"/>
              <w:bottom w:val="single" w:sz="4" w:space="0" w:color="auto"/>
              <w:right w:val="single" w:sz="4" w:space="0" w:color="auto"/>
            </w:tcBorders>
            <w:tcMar>
              <w:top w:w="29" w:type="dxa"/>
              <w:left w:w="115" w:type="dxa"/>
              <w:bottom w:w="29" w:type="dxa"/>
              <w:right w:w="115" w:type="dxa"/>
            </w:tcMar>
          </w:tcPr>
          <w:p w14:paraId="71749198" w14:textId="68BE4800" w:rsidR="00796BA7" w:rsidRPr="00D2758E" w:rsidRDefault="00796BA7" w:rsidP="00CC1EF1">
            <w:pPr>
              <w:suppressLineNumbers/>
              <w:suppressAutoHyphens/>
              <w:kinsoku w:val="0"/>
              <w:overflowPunct w:val="0"/>
              <w:autoSpaceDE w:val="0"/>
              <w:autoSpaceDN w:val="0"/>
              <w:adjustRightInd w:val="0"/>
              <w:snapToGrid w:val="0"/>
              <w:jc w:val="left"/>
              <w:rPr>
                <w:rFonts w:asciiTheme="majorBidi" w:eastAsia="Malgun Gothic" w:hAnsiTheme="majorBidi" w:cstheme="majorBidi"/>
                <w:kern w:val="22"/>
                <w:sz w:val="20"/>
                <w:szCs w:val="20"/>
              </w:rPr>
            </w:pPr>
            <w:r w:rsidRPr="00D2758E">
              <w:rPr>
                <w:rFonts w:asciiTheme="majorBidi" w:eastAsia="Malgun Gothic" w:hAnsiTheme="majorBidi" w:cstheme="majorBidi"/>
                <w:kern w:val="22"/>
                <w:sz w:val="20"/>
                <w:szCs w:val="20"/>
              </w:rPr>
              <w:t xml:space="preserve">Number and percentage of Parties requiring prior informed consent for access to genetic </w:t>
            </w:r>
            <w:proofErr w:type="spellStart"/>
            <w:r w:rsidRPr="00D2758E">
              <w:rPr>
                <w:rFonts w:asciiTheme="majorBidi" w:eastAsia="Malgun Gothic" w:hAnsiTheme="majorBidi" w:cstheme="majorBidi"/>
                <w:kern w:val="22"/>
                <w:sz w:val="20"/>
                <w:szCs w:val="20"/>
              </w:rPr>
              <w:t>resources</w:t>
            </w:r>
            <w:r w:rsidR="00992121" w:rsidRPr="006B066D">
              <w:rPr>
                <w:rFonts w:asciiTheme="majorBidi" w:eastAsia="Malgun Gothic" w:hAnsiTheme="majorBidi" w:cstheme="majorBidi"/>
                <w:kern w:val="22"/>
                <w:sz w:val="20"/>
                <w:szCs w:val="20"/>
                <w:vertAlign w:val="superscript"/>
              </w:rPr>
              <w:t>a</w:t>
            </w:r>
            <w:proofErr w:type="spellEnd"/>
            <w:r w:rsidRPr="00D2758E">
              <w:rPr>
                <w:rFonts w:asciiTheme="majorBidi" w:eastAsia="Malgun Gothic" w:hAnsiTheme="majorBidi" w:cstheme="majorBidi"/>
                <w:kern w:val="22"/>
                <w:sz w:val="20"/>
                <w:szCs w:val="20"/>
              </w:rPr>
              <w:t xml:space="preserve"> </w:t>
            </w:r>
          </w:p>
        </w:tc>
        <w:tc>
          <w:tcPr>
            <w:tcW w:w="1829" w:type="dxa"/>
            <w:tcBorders>
              <w:top w:val="single" w:sz="4" w:space="0" w:color="auto"/>
              <w:left w:val="single" w:sz="4" w:space="0" w:color="auto"/>
              <w:bottom w:val="single" w:sz="4" w:space="0" w:color="auto"/>
              <w:right w:val="single" w:sz="4" w:space="0" w:color="auto"/>
            </w:tcBorders>
            <w:tcMar>
              <w:top w:w="29" w:type="dxa"/>
              <w:left w:w="115" w:type="dxa"/>
              <w:bottom w:w="29" w:type="dxa"/>
              <w:right w:w="115" w:type="dxa"/>
            </w:tcMar>
            <w:vAlign w:val="bottom"/>
          </w:tcPr>
          <w:p w14:paraId="20026C1B" w14:textId="49B30EB9" w:rsidR="00796BA7" w:rsidRPr="00D2758E" w:rsidRDefault="00F971DC" w:rsidP="004E4B17">
            <w:pPr>
              <w:suppressLineNumbers/>
              <w:suppressAutoHyphens/>
              <w:kinsoku w:val="0"/>
              <w:overflowPunct w:val="0"/>
              <w:autoSpaceDE w:val="0"/>
              <w:autoSpaceDN w:val="0"/>
              <w:adjustRightInd w:val="0"/>
              <w:snapToGrid w:val="0"/>
              <w:jc w:val="right"/>
              <w:rPr>
                <w:rFonts w:asciiTheme="majorBidi" w:eastAsia="Malgun Gothic" w:hAnsiTheme="majorBidi" w:cstheme="majorBidi"/>
                <w:kern w:val="22"/>
                <w:sz w:val="20"/>
                <w:szCs w:val="20"/>
              </w:rPr>
            </w:pPr>
            <w:r>
              <w:rPr>
                <w:rFonts w:asciiTheme="majorBidi" w:eastAsia="Malgun Gothic" w:hAnsiTheme="majorBidi" w:cstheme="majorBidi"/>
                <w:kern w:val="22"/>
                <w:sz w:val="20"/>
                <w:szCs w:val="20"/>
              </w:rPr>
              <w:t>N</w:t>
            </w:r>
            <w:r w:rsidR="00C86CD7">
              <w:rPr>
                <w:rFonts w:asciiTheme="majorBidi" w:eastAsia="Malgun Gothic" w:hAnsiTheme="majorBidi" w:cstheme="majorBidi"/>
                <w:kern w:val="22"/>
                <w:sz w:val="20"/>
                <w:szCs w:val="20"/>
              </w:rPr>
              <w:t>ew</w:t>
            </w:r>
          </w:p>
        </w:tc>
        <w:tc>
          <w:tcPr>
            <w:tcW w:w="1512" w:type="dxa"/>
            <w:vAlign w:val="bottom"/>
          </w:tcPr>
          <w:p w14:paraId="17FA1344" w14:textId="7548A958" w:rsidR="00796BA7" w:rsidRPr="00D2758E" w:rsidRDefault="00796BA7" w:rsidP="004E4B17">
            <w:pPr>
              <w:suppressLineNumbers/>
              <w:suppressAutoHyphens/>
              <w:kinsoku w:val="0"/>
              <w:overflowPunct w:val="0"/>
              <w:autoSpaceDE w:val="0"/>
              <w:autoSpaceDN w:val="0"/>
              <w:adjustRightInd w:val="0"/>
              <w:snapToGrid w:val="0"/>
              <w:jc w:val="right"/>
              <w:rPr>
                <w:rFonts w:asciiTheme="majorBidi" w:eastAsia="Calibri" w:hAnsiTheme="majorBidi" w:cstheme="majorBidi"/>
                <w:kern w:val="22"/>
                <w:sz w:val="20"/>
                <w:szCs w:val="20"/>
              </w:rPr>
            </w:pPr>
            <w:r w:rsidRPr="00D2758E">
              <w:rPr>
                <w:rFonts w:asciiTheme="majorBidi" w:eastAsia="Calibri" w:hAnsiTheme="majorBidi" w:cstheme="majorBidi"/>
                <w:kern w:val="22"/>
                <w:sz w:val="20"/>
                <w:szCs w:val="20"/>
              </w:rPr>
              <w:t>74 (52</w:t>
            </w:r>
            <w:r w:rsidR="008977D0">
              <w:rPr>
                <w:rFonts w:asciiTheme="majorBidi" w:eastAsia="Calibri" w:hAnsiTheme="majorBidi" w:cstheme="majorBidi"/>
                <w:kern w:val="22"/>
                <w:sz w:val="20"/>
                <w:szCs w:val="20"/>
              </w:rPr>
              <w:t xml:space="preserve"> per cent</w:t>
            </w:r>
            <w:r w:rsidRPr="00D2758E">
              <w:rPr>
                <w:rFonts w:asciiTheme="majorBidi" w:eastAsia="Calibri" w:hAnsiTheme="majorBidi" w:cstheme="majorBidi"/>
                <w:kern w:val="22"/>
                <w:sz w:val="20"/>
                <w:szCs w:val="20"/>
              </w:rPr>
              <w:t>)</w:t>
            </w:r>
          </w:p>
        </w:tc>
      </w:tr>
      <w:tr w:rsidR="00796BA7" w:rsidRPr="00D2758E" w14:paraId="670E1F68" w14:textId="77777777" w:rsidTr="006B066D">
        <w:trPr>
          <w:cantSplit/>
        </w:trPr>
        <w:tc>
          <w:tcPr>
            <w:tcW w:w="5803" w:type="dxa"/>
            <w:tcBorders>
              <w:top w:val="single" w:sz="4" w:space="0" w:color="auto"/>
              <w:left w:val="single" w:sz="4" w:space="0" w:color="auto"/>
              <w:bottom w:val="single" w:sz="4" w:space="0" w:color="auto"/>
              <w:right w:val="single" w:sz="4" w:space="0" w:color="auto"/>
            </w:tcBorders>
            <w:tcMar>
              <w:top w:w="29" w:type="dxa"/>
              <w:left w:w="115" w:type="dxa"/>
              <w:bottom w:w="29" w:type="dxa"/>
              <w:right w:w="115" w:type="dxa"/>
            </w:tcMar>
            <w:hideMark/>
          </w:tcPr>
          <w:p w14:paraId="781B1B33" w14:textId="7F958283" w:rsidR="00796BA7" w:rsidRPr="00D2758E" w:rsidRDefault="00796BA7" w:rsidP="00CC1EF1">
            <w:pPr>
              <w:suppressLineNumbers/>
              <w:suppressAutoHyphens/>
              <w:kinsoku w:val="0"/>
              <w:overflowPunct w:val="0"/>
              <w:autoSpaceDE w:val="0"/>
              <w:autoSpaceDN w:val="0"/>
              <w:adjustRightInd w:val="0"/>
              <w:snapToGrid w:val="0"/>
              <w:jc w:val="left"/>
              <w:rPr>
                <w:rFonts w:asciiTheme="majorBidi" w:hAnsiTheme="majorBidi" w:cstheme="majorBidi"/>
                <w:kern w:val="22"/>
                <w:sz w:val="20"/>
                <w:szCs w:val="20"/>
              </w:rPr>
            </w:pPr>
            <w:r w:rsidRPr="00D2758E">
              <w:rPr>
                <w:rFonts w:asciiTheme="majorBidi" w:hAnsiTheme="majorBidi" w:cstheme="majorBidi"/>
                <w:kern w:val="22"/>
                <w:sz w:val="20"/>
                <w:szCs w:val="20"/>
              </w:rPr>
              <w:t>Number and percentage of Parties requiring prior informed consent for access to genetic resources that provide information on how to apply for prior informed consent as provided in Article 6</w:t>
            </w:r>
            <w:r w:rsidR="00180BD1">
              <w:rPr>
                <w:rFonts w:asciiTheme="majorBidi" w:hAnsiTheme="majorBidi" w:cstheme="majorBidi"/>
                <w:kern w:val="22"/>
                <w:sz w:val="20"/>
                <w:szCs w:val="20"/>
              </w:rPr>
              <w:t xml:space="preserve"> </w:t>
            </w:r>
            <w:r w:rsidR="0021029C">
              <w:rPr>
                <w:rFonts w:asciiTheme="majorBidi" w:hAnsiTheme="majorBidi" w:cstheme="majorBidi"/>
                <w:kern w:val="22"/>
                <w:sz w:val="20"/>
                <w:szCs w:val="20"/>
              </w:rPr>
              <w:t>(</w:t>
            </w:r>
            <w:r w:rsidRPr="00D2758E">
              <w:rPr>
                <w:rFonts w:asciiTheme="majorBidi" w:hAnsiTheme="majorBidi" w:cstheme="majorBidi"/>
                <w:kern w:val="22"/>
                <w:sz w:val="20"/>
                <w:szCs w:val="20"/>
              </w:rPr>
              <w:t>3</w:t>
            </w:r>
            <w:r w:rsidR="0021029C">
              <w:rPr>
                <w:rFonts w:asciiTheme="majorBidi" w:hAnsiTheme="majorBidi" w:cstheme="majorBidi"/>
                <w:kern w:val="22"/>
                <w:sz w:val="20"/>
                <w:szCs w:val="20"/>
              </w:rPr>
              <w:t>)</w:t>
            </w:r>
            <w:r w:rsidRPr="00D2758E">
              <w:rPr>
                <w:rFonts w:asciiTheme="majorBidi" w:hAnsiTheme="majorBidi" w:cstheme="majorBidi"/>
                <w:kern w:val="22"/>
                <w:sz w:val="20"/>
                <w:szCs w:val="20"/>
              </w:rPr>
              <w:t xml:space="preserve"> (c)</w:t>
            </w:r>
          </w:p>
        </w:tc>
        <w:tc>
          <w:tcPr>
            <w:tcW w:w="1829" w:type="dxa"/>
            <w:tcBorders>
              <w:top w:val="single" w:sz="4" w:space="0" w:color="auto"/>
              <w:left w:val="single" w:sz="4" w:space="0" w:color="auto"/>
              <w:bottom w:val="single" w:sz="4" w:space="0" w:color="auto"/>
              <w:right w:val="single" w:sz="4" w:space="0" w:color="auto"/>
            </w:tcBorders>
            <w:tcMar>
              <w:top w:w="29" w:type="dxa"/>
              <w:left w:w="115" w:type="dxa"/>
              <w:bottom w:w="29" w:type="dxa"/>
              <w:right w:w="115" w:type="dxa"/>
            </w:tcMar>
            <w:vAlign w:val="bottom"/>
            <w:hideMark/>
          </w:tcPr>
          <w:p w14:paraId="42EF6CFC" w14:textId="25BCCB03" w:rsidR="00796BA7" w:rsidRPr="00D2758E" w:rsidRDefault="00796BA7" w:rsidP="004E4B17">
            <w:pPr>
              <w:suppressLineNumbers/>
              <w:suppressAutoHyphens/>
              <w:kinsoku w:val="0"/>
              <w:overflowPunct w:val="0"/>
              <w:autoSpaceDE w:val="0"/>
              <w:autoSpaceDN w:val="0"/>
              <w:adjustRightInd w:val="0"/>
              <w:snapToGrid w:val="0"/>
              <w:jc w:val="right"/>
              <w:rPr>
                <w:rFonts w:asciiTheme="majorBidi" w:eastAsia="Calibri" w:hAnsiTheme="majorBidi" w:cstheme="majorBidi"/>
                <w:kern w:val="22"/>
                <w:sz w:val="20"/>
                <w:szCs w:val="20"/>
              </w:rPr>
            </w:pPr>
            <w:r w:rsidRPr="00D2758E">
              <w:rPr>
                <w:rFonts w:asciiTheme="majorBidi" w:eastAsia="Calibri" w:hAnsiTheme="majorBidi" w:cstheme="majorBidi"/>
                <w:kern w:val="22"/>
                <w:sz w:val="20"/>
                <w:szCs w:val="20"/>
              </w:rPr>
              <w:t>27 (73</w:t>
            </w:r>
            <w:r w:rsidR="008977D0">
              <w:rPr>
                <w:rFonts w:asciiTheme="majorBidi" w:eastAsia="Calibri" w:hAnsiTheme="majorBidi" w:cstheme="majorBidi"/>
                <w:kern w:val="22"/>
                <w:sz w:val="20"/>
                <w:szCs w:val="20"/>
              </w:rPr>
              <w:t xml:space="preserve"> per cent</w:t>
            </w:r>
            <w:r w:rsidRPr="00D2758E">
              <w:rPr>
                <w:rFonts w:asciiTheme="majorBidi" w:eastAsia="Calibri" w:hAnsiTheme="majorBidi" w:cstheme="majorBidi"/>
                <w:kern w:val="22"/>
                <w:sz w:val="20"/>
                <w:szCs w:val="20"/>
              </w:rPr>
              <w:t>)</w:t>
            </w:r>
          </w:p>
        </w:tc>
        <w:tc>
          <w:tcPr>
            <w:tcW w:w="1512" w:type="dxa"/>
            <w:vAlign w:val="bottom"/>
          </w:tcPr>
          <w:p w14:paraId="7634EA51" w14:textId="56C4E976" w:rsidR="00796BA7" w:rsidRPr="00D2758E" w:rsidRDefault="00796BA7" w:rsidP="004E4B17">
            <w:pPr>
              <w:suppressLineNumbers/>
              <w:suppressAutoHyphens/>
              <w:kinsoku w:val="0"/>
              <w:overflowPunct w:val="0"/>
              <w:autoSpaceDE w:val="0"/>
              <w:autoSpaceDN w:val="0"/>
              <w:adjustRightInd w:val="0"/>
              <w:snapToGrid w:val="0"/>
              <w:jc w:val="right"/>
              <w:rPr>
                <w:rFonts w:asciiTheme="majorBidi" w:eastAsia="Calibri" w:hAnsiTheme="majorBidi" w:cstheme="majorBidi"/>
                <w:kern w:val="22"/>
                <w:sz w:val="20"/>
                <w:szCs w:val="20"/>
              </w:rPr>
            </w:pPr>
            <w:r w:rsidRPr="00D2758E">
              <w:rPr>
                <w:rFonts w:asciiTheme="majorBidi" w:eastAsia="Calibri" w:hAnsiTheme="majorBidi" w:cstheme="majorBidi"/>
                <w:kern w:val="22"/>
                <w:sz w:val="20"/>
                <w:szCs w:val="20"/>
              </w:rPr>
              <w:t>68 (91</w:t>
            </w:r>
            <w:r w:rsidR="008977D0">
              <w:rPr>
                <w:rFonts w:asciiTheme="majorBidi" w:eastAsia="Calibri" w:hAnsiTheme="majorBidi" w:cstheme="majorBidi"/>
                <w:kern w:val="22"/>
                <w:sz w:val="20"/>
                <w:szCs w:val="20"/>
              </w:rPr>
              <w:t xml:space="preserve"> per cent</w:t>
            </w:r>
            <w:r w:rsidRPr="00D2758E">
              <w:rPr>
                <w:rFonts w:asciiTheme="majorBidi" w:eastAsia="Calibri" w:hAnsiTheme="majorBidi" w:cstheme="majorBidi"/>
                <w:kern w:val="22"/>
                <w:sz w:val="20"/>
                <w:szCs w:val="20"/>
              </w:rPr>
              <w:t>)</w:t>
            </w:r>
          </w:p>
        </w:tc>
      </w:tr>
      <w:tr w:rsidR="00796BA7" w:rsidRPr="00D2758E" w14:paraId="6A7EFA83" w14:textId="77777777" w:rsidTr="006B066D">
        <w:trPr>
          <w:cantSplit/>
        </w:trPr>
        <w:tc>
          <w:tcPr>
            <w:tcW w:w="5803" w:type="dxa"/>
            <w:tcBorders>
              <w:top w:val="single" w:sz="4" w:space="0" w:color="auto"/>
              <w:left w:val="single" w:sz="4" w:space="0" w:color="auto"/>
              <w:bottom w:val="single" w:sz="4" w:space="0" w:color="auto"/>
              <w:right w:val="single" w:sz="4" w:space="0" w:color="auto"/>
            </w:tcBorders>
            <w:tcMar>
              <w:top w:w="29" w:type="dxa"/>
              <w:left w:w="115" w:type="dxa"/>
              <w:bottom w:w="29" w:type="dxa"/>
              <w:right w:w="115" w:type="dxa"/>
            </w:tcMar>
            <w:hideMark/>
          </w:tcPr>
          <w:p w14:paraId="23D7CDE5" w14:textId="5B3D369F" w:rsidR="00796BA7" w:rsidRPr="00D2758E" w:rsidRDefault="00796BA7" w:rsidP="00CC1EF1">
            <w:pPr>
              <w:suppressLineNumbers/>
              <w:suppressAutoHyphens/>
              <w:kinsoku w:val="0"/>
              <w:overflowPunct w:val="0"/>
              <w:autoSpaceDE w:val="0"/>
              <w:autoSpaceDN w:val="0"/>
              <w:adjustRightInd w:val="0"/>
              <w:snapToGrid w:val="0"/>
              <w:jc w:val="left"/>
              <w:rPr>
                <w:rFonts w:asciiTheme="majorBidi" w:hAnsiTheme="majorBidi" w:cstheme="majorBidi"/>
                <w:kern w:val="22"/>
                <w:sz w:val="20"/>
                <w:szCs w:val="20"/>
              </w:rPr>
            </w:pPr>
            <w:r w:rsidRPr="00D2758E">
              <w:rPr>
                <w:rFonts w:asciiTheme="majorBidi" w:hAnsiTheme="majorBidi" w:cstheme="majorBidi"/>
                <w:kern w:val="22"/>
                <w:sz w:val="20"/>
                <w:szCs w:val="20"/>
              </w:rPr>
              <w:t>Number and percentage of Parties requiring prior informed consent</w:t>
            </w:r>
            <w:r w:rsidRPr="00D2758E">
              <w:rPr>
                <w:rFonts w:asciiTheme="majorBidi" w:eastAsia="Calibri" w:hAnsiTheme="majorBidi" w:cstheme="majorBidi"/>
                <w:kern w:val="22"/>
                <w:sz w:val="20"/>
                <w:szCs w:val="20"/>
              </w:rPr>
              <w:t xml:space="preserve"> </w:t>
            </w:r>
            <w:r w:rsidRPr="00D2758E">
              <w:rPr>
                <w:rFonts w:asciiTheme="majorBidi" w:hAnsiTheme="majorBidi" w:cstheme="majorBidi"/>
                <w:kern w:val="22"/>
                <w:sz w:val="20"/>
                <w:szCs w:val="20"/>
              </w:rPr>
              <w:t>providing for the issuance at the time of access of a permit or its equivalent as provided in Article 6</w:t>
            </w:r>
            <w:r w:rsidR="00F15544">
              <w:rPr>
                <w:rFonts w:asciiTheme="majorBidi" w:hAnsiTheme="majorBidi" w:cstheme="majorBidi"/>
                <w:kern w:val="22"/>
                <w:sz w:val="20"/>
                <w:szCs w:val="20"/>
              </w:rPr>
              <w:t xml:space="preserve"> (</w:t>
            </w:r>
            <w:r w:rsidRPr="00D2758E">
              <w:rPr>
                <w:rFonts w:asciiTheme="majorBidi" w:hAnsiTheme="majorBidi" w:cstheme="majorBidi"/>
                <w:kern w:val="22"/>
                <w:sz w:val="20"/>
                <w:szCs w:val="20"/>
              </w:rPr>
              <w:t>3</w:t>
            </w:r>
            <w:r w:rsidR="001A1883">
              <w:rPr>
                <w:rFonts w:asciiTheme="majorBidi" w:hAnsiTheme="majorBidi" w:cstheme="majorBidi"/>
                <w:kern w:val="22"/>
                <w:sz w:val="20"/>
                <w:szCs w:val="20"/>
              </w:rPr>
              <w:t>)</w:t>
            </w:r>
            <w:r w:rsidRPr="00D2758E">
              <w:rPr>
                <w:rFonts w:asciiTheme="majorBidi" w:hAnsiTheme="majorBidi" w:cstheme="majorBidi"/>
                <w:kern w:val="22"/>
                <w:sz w:val="20"/>
                <w:szCs w:val="20"/>
              </w:rPr>
              <w:t xml:space="preserve"> (e)</w:t>
            </w:r>
          </w:p>
        </w:tc>
        <w:tc>
          <w:tcPr>
            <w:tcW w:w="1829" w:type="dxa"/>
            <w:tcBorders>
              <w:top w:val="single" w:sz="4" w:space="0" w:color="auto"/>
              <w:left w:val="single" w:sz="4" w:space="0" w:color="auto"/>
              <w:bottom w:val="single" w:sz="4" w:space="0" w:color="auto"/>
              <w:right w:val="single" w:sz="4" w:space="0" w:color="auto"/>
            </w:tcBorders>
            <w:tcMar>
              <w:top w:w="29" w:type="dxa"/>
              <w:left w:w="115" w:type="dxa"/>
              <w:bottom w:w="29" w:type="dxa"/>
              <w:right w:w="115" w:type="dxa"/>
            </w:tcMar>
            <w:vAlign w:val="bottom"/>
            <w:hideMark/>
          </w:tcPr>
          <w:p w14:paraId="2902A05C" w14:textId="56655B09" w:rsidR="00796BA7" w:rsidRPr="00D2758E" w:rsidRDefault="00796BA7" w:rsidP="004E4B17">
            <w:pPr>
              <w:suppressLineNumbers/>
              <w:suppressAutoHyphens/>
              <w:kinsoku w:val="0"/>
              <w:overflowPunct w:val="0"/>
              <w:autoSpaceDE w:val="0"/>
              <w:autoSpaceDN w:val="0"/>
              <w:adjustRightInd w:val="0"/>
              <w:snapToGrid w:val="0"/>
              <w:jc w:val="right"/>
              <w:rPr>
                <w:rFonts w:asciiTheme="majorBidi" w:eastAsia="Calibri" w:hAnsiTheme="majorBidi" w:cstheme="majorBidi"/>
                <w:kern w:val="22"/>
                <w:sz w:val="20"/>
                <w:szCs w:val="20"/>
              </w:rPr>
            </w:pPr>
            <w:r w:rsidRPr="00D2758E">
              <w:rPr>
                <w:rFonts w:asciiTheme="majorBidi" w:eastAsia="Calibri" w:hAnsiTheme="majorBidi" w:cstheme="majorBidi"/>
                <w:kern w:val="22"/>
                <w:sz w:val="20"/>
                <w:szCs w:val="20"/>
              </w:rPr>
              <w:t>32 (86</w:t>
            </w:r>
            <w:r w:rsidR="001A034A">
              <w:rPr>
                <w:rFonts w:asciiTheme="majorBidi" w:eastAsia="Calibri" w:hAnsiTheme="majorBidi" w:cstheme="majorBidi"/>
                <w:kern w:val="22"/>
                <w:sz w:val="20"/>
                <w:szCs w:val="20"/>
              </w:rPr>
              <w:t xml:space="preserve"> per cent</w:t>
            </w:r>
            <w:r w:rsidRPr="00D2758E">
              <w:rPr>
                <w:rFonts w:asciiTheme="majorBidi" w:eastAsia="Calibri" w:hAnsiTheme="majorBidi" w:cstheme="majorBidi"/>
                <w:kern w:val="22"/>
                <w:sz w:val="20"/>
                <w:szCs w:val="20"/>
              </w:rPr>
              <w:t>)</w:t>
            </w:r>
          </w:p>
        </w:tc>
        <w:tc>
          <w:tcPr>
            <w:tcW w:w="1512" w:type="dxa"/>
            <w:vAlign w:val="bottom"/>
          </w:tcPr>
          <w:p w14:paraId="64CEBEEA" w14:textId="096249FB" w:rsidR="00796BA7" w:rsidRPr="00D2758E" w:rsidRDefault="00796BA7" w:rsidP="004E4B17">
            <w:pPr>
              <w:suppressLineNumbers/>
              <w:suppressAutoHyphens/>
              <w:kinsoku w:val="0"/>
              <w:overflowPunct w:val="0"/>
              <w:autoSpaceDE w:val="0"/>
              <w:autoSpaceDN w:val="0"/>
              <w:adjustRightInd w:val="0"/>
              <w:snapToGrid w:val="0"/>
              <w:jc w:val="right"/>
              <w:rPr>
                <w:rFonts w:asciiTheme="majorBidi" w:eastAsia="Calibri" w:hAnsiTheme="majorBidi" w:cstheme="majorBidi"/>
                <w:kern w:val="22"/>
                <w:sz w:val="20"/>
                <w:szCs w:val="20"/>
              </w:rPr>
            </w:pPr>
            <w:r w:rsidRPr="00D2758E">
              <w:rPr>
                <w:rFonts w:asciiTheme="majorBidi" w:eastAsia="Calibri" w:hAnsiTheme="majorBidi" w:cstheme="majorBidi"/>
                <w:kern w:val="22"/>
                <w:sz w:val="20"/>
                <w:szCs w:val="20"/>
              </w:rPr>
              <w:t>69 (93</w:t>
            </w:r>
            <w:r w:rsidR="001A034A">
              <w:rPr>
                <w:rFonts w:asciiTheme="majorBidi" w:eastAsia="Calibri" w:hAnsiTheme="majorBidi" w:cstheme="majorBidi"/>
                <w:kern w:val="22"/>
                <w:sz w:val="20"/>
                <w:szCs w:val="20"/>
              </w:rPr>
              <w:t xml:space="preserve"> per cent</w:t>
            </w:r>
            <w:r w:rsidRPr="00D2758E">
              <w:rPr>
                <w:rFonts w:asciiTheme="majorBidi" w:eastAsia="Calibri" w:hAnsiTheme="majorBidi" w:cstheme="majorBidi"/>
                <w:kern w:val="22"/>
                <w:sz w:val="20"/>
                <w:szCs w:val="20"/>
              </w:rPr>
              <w:t>)</w:t>
            </w:r>
          </w:p>
        </w:tc>
      </w:tr>
      <w:tr w:rsidR="00796BA7" w:rsidRPr="00D2758E" w14:paraId="5B8AC575" w14:textId="77777777" w:rsidTr="006B066D">
        <w:trPr>
          <w:cantSplit/>
        </w:trPr>
        <w:tc>
          <w:tcPr>
            <w:tcW w:w="5803" w:type="dxa"/>
            <w:tcBorders>
              <w:top w:val="single" w:sz="4" w:space="0" w:color="auto"/>
              <w:left w:val="single" w:sz="4" w:space="0" w:color="auto"/>
              <w:bottom w:val="single" w:sz="4" w:space="0" w:color="auto"/>
              <w:right w:val="single" w:sz="4" w:space="0" w:color="auto"/>
            </w:tcBorders>
            <w:tcMar>
              <w:top w:w="29" w:type="dxa"/>
              <w:left w:w="115" w:type="dxa"/>
              <w:bottom w:w="29" w:type="dxa"/>
              <w:right w:w="115" w:type="dxa"/>
            </w:tcMar>
            <w:hideMark/>
          </w:tcPr>
          <w:p w14:paraId="245D55D3" w14:textId="1ABCD044" w:rsidR="00796BA7" w:rsidRPr="00D2758E" w:rsidRDefault="00796BA7" w:rsidP="00CC1EF1">
            <w:pPr>
              <w:suppressLineNumbers/>
              <w:suppressAutoHyphens/>
              <w:kinsoku w:val="0"/>
              <w:overflowPunct w:val="0"/>
              <w:autoSpaceDE w:val="0"/>
              <w:autoSpaceDN w:val="0"/>
              <w:adjustRightInd w:val="0"/>
              <w:snapToGrid w:val="0"/>
              <w:jc w:val="left"/>
              <w:rPr>
                <w:rFonts w:asciiTheme="majorBidi" w:hAnsiTheme="majorBidi" w:cstheme="majorBidi"/>
                <w:kern w:val="22"/>
                <w:sz w:val="20"/>
                <w:szCs w:val="20"/>
              </w:rPr>
            </w:pPr>
            <w:r w:rsidRPr="00D2758E">
              <w:rPr>
                <w:rFonts w:asciiTheme="majorBidi" w:eastAsia="Calibri" w:hAnsiTheme="majorBidi" w:cstheme="majorBidi"/>
                <w:color w:val="000000"/>
                <w:kern w:val="22"/>
                <w:sz w:val="20"/>
                <w:szCs w:val="20"/>
              </w:rPr>
              <w:t>Number and percentage of Parties requiring prior informed consent for access to genetic resources that have rules and procedures for requiring and establishing mutually agreed terms as provided in Article 6</w:t>
            </w:r>
            <w:r w:rsidR="00096903">
              <w:rPr>
                <w:rFonts w:asciiTheme="majorBidi" w:eastAsia="Calibri" w:hAnsiTheme="majorBidi" w:cstheme="majorBidi"/>
                <w:color w:val="000000"/>
                <w:kern w:val="22"/>
                <w:sz w:val="20"/>
                <w:szCs w:val="20"/>
              </w:rPr>
              <w:t xml:space="preserve"> </w:t>
            </w:r>
            <w:r w:rsidR="007B6624">
              <w:rPr>
                <w:rFonts w:asciiTheme="majorBidi" w:eastAsia="Calibri" w:hAnsiTheme="majorBidi" w:cstheme="majorBidi"/>
                <w:color w:val="000000"/>
                <w:kern w:val="22"/>
                <w:sz w:val="20"/>
                <w:szCs w:val="20"/>
              </w:rPr>
              <w:t>(</w:t>
            </w:r>
            <w:r w:rsidRPr="00D2758E">
              <w:rPr>
                <w:rFonts w:asciiTheme="majorBidi" w:eastAsia="Calibri" w:hAnsiTheme="majorBidi" w:cstheme="majorBidi"/>
                <w:color w:val="000000"/>
                <w:kern w:val="22"/>
                <w:sz w:val="20"/>
                <w:szCs w:val="20"/>
              </w:rPr>
              <w:t>3</w:t>
            </w:r>
            <w:r w:rsidR="007B6624">
              <w:rPr>
                <w:rFonts w:asciiTheme="majorBidi" w:eastAsia="Calibri" w:hAnsiTheme="majorBidi" w:cstheme="majorBidi"/>
                <w:color w:val="000000"/>
                <w:kern w:val="22"/>
                <w:sz w:val="20"/>
                <w:szCs w:val="20"/>
              </w:rPr>
              <w:t>)</w:t>
            </w:r>
            <w:r w:rsidRPr="00D2758E">
              <w:rPr>
                <w:rFonts w:asciiTheme="majorBidi" w:eastAsia="Calibri" w:hAnsiTheme="majorBidi" w:cstheme="majorBidi"/>
                <w:color w:val="000000"/>
                <w:kern w:val="22"/>
                <w:sz w:val="20"/>
                <w:szCs w:val="20"/>
              </w:rPr>
              <w:t xml:space="preserve"> (g)</w:t>
            </w:r>
          </w:p>
        </w:tc>
        <w:tc>
          <w:tcPr>
            <w:tcW w:w="1829" w:type="dxa"/>
            <w:tcBorders>
              <w:top w:val="single" w:sz="4" w:space="0" w:color="auto"/>
              <w:left w:val="single" w:sz="4" w:space="0" w:color="auto"/>
              <w:bottom w:val="single" w:sz="4" w:space="0" w:color="auto"/>
              <w:right w:val="single" w:sz="4" w:space="0" w:color="auto"/>
            </w:tcBorders>
            <w:tcMar>
              <w:top w:w="29" w:type="dxa"/>
              <w:left w:w="115" w:type="dxa"/>
              <w:bottom w:w="29" w:type="dxa"/>
              <w:right w:w="115" w:type="dxa"/>
            </w:tcMar>
            <w:vAlign w:val="bottom"/>
            <w:hideMark/>
          </w:tcPr>
          <w:p w14:paraId="2BB23826" w14:textId="588E8F60" w:rsidR="00796BA7" w:rsidRPr="00D2758E" w:rsidRDefault="00796BA7" w:rsidP="004E4B17">
            <w:pPr>
              <w:suppressLineNumbers/>
              <w:suppressAutoHyphens/>
              <w:kinsoku w:val="0"/>
              <w:overflowPunct w:val="0"/>
              <w:autoSpaceDE w:val="0"/>
              <w:autoSpaceDN w:val="0"/>
              <w:adjustRightInd w:val="0"/>
              <w:snapToGrid w:val="0"/>
              <w:jc w:val="right"/>
              <w:rPr>
                <w:rFonts w:asciiTheme="majorBidi" w:eastAsia="Calibri" w:hAnsiTheme="majorBidi" w:cstheme="majorBidi"/>
                <w:kern w:val="22"/>
                <w:sz w:val="20"/>
                <w:szCs w:val="20"/>
              </w:rPr>
            </w:pPr>
            <w:r w:rsidRPr="00D2758E">
              <w:rPr>
                <w:rFonts w:asciiTheme="majorBidi" w:eastAsia="Calibri" w:hAnsiTheme="majorBidi" w:cstheme="majorBidi"/>
                <w:kern w:val="22"/>
                <w:sz w:val="20"/>
                <w:szCs w:val="20"/>
              </w:rPr>
              <w:t>28 (76</w:t>
            </w:r>
            <w:r w:rsidR="00096903">
              <w:rPr>
                <w:rFonts w:asciiTheme="majorBidi" w:eastAsia="Calibri" w:hAnsiTheme="majorBidi" w:cstheme="majorBidi"/>
                <w:kern w:val="22"/>
                <w:sz w:val="20"/>
                <w:szCs w:val="20"/>
              </w:rPr>
              <w:t xml:space="preserve"> per cent</w:t>
            </w:r>
            <w:r w:rsidRPr="00D2758E">
              <w:rPr>
                <w:rFonts w:asciiTheme="majorBidi" w:eastAsia="Calibri" w:hAnsiTheme="majorBidi" w:cstheme="majorBidi"/>
                <w:kern w:val="22"/>
                <w:sz w:val="20"/>
                <w:szCs w:val="20"/>
              </w:rPr>
              <w:t>)</w:t>
            </w:r>
          </w:p>
        </w:tc>
        <w:tc>
          <w:tcPr>
            <w:tcW w:w="1512" w:type="dxa"/>
            <w:tcBorders>
              <w:bottom w:val="single" w:sz="4" w:space="0" w:color="auto"/>
            </w:tcBorders>
            <w:vAlign w:val="bottom"/>
          </w:tcPr>
          <w:p w14:paraId="6F20E1FE" w14:textId="701F4B6F" w:rsidR="00796BA7" w:rsidRPr="00D2758E" w:rsidRDefault="00796BA7" w:rsidP="004E4B17">
            <w:pPr>
              <w:suppressLineNumbers/>
              <w:suppressAutoHyphens/>
              <w:kinsoku w:val="0"/>
              <w:overflowPunct w:val="0"/>
              <w:autoSpaceDE w:val="0"/>
              <w:autoSpaceDN w:val="0"/>
              <w:adjustRightInd w:val="0"/>
              <w:snapToGrid w:val="0"/>
              <w:jc w:val="right"/>
              <w:rPr>
                <w:rFonts w:asciiTheme="majorBidi" w:eastAsia="Calibri" w:hAnsiTheme="majorBidi" w:cstheme="majorBidi"/>
                <w:kern w:val="22"/>
                <w:sz w:val="20"/>
                <w:szCs w:val="20"/>
              </w:rPr>
            </w:pPr>
            <w:r w:rsidRPr="00D2758E">
              <w:rPr>
                <w:rFonts w:asciiTheme="majorBidi" w:hAnsiTheme="majorBidi" w:cstheme="majorBidi"/>
                <w:sz w:val="20"/>
                <w:szCs w:val="20"/>
              </w:rPr>
              <w:t>64 (86</w:t>
            </w:r>
            <w:r w:rsidR="00096903">
              <w:rPr>
                <w:rFonts w:asciiTheme="majorBidi" w:hAnsiTheme="majorBidi" w:cstheme="majorBidi"/>
                <w:sz w:val="20"/>
                <w:szCs w:val="20"/>
              </w:rPr>
              <w:t xml:space="preserve"> per cent</w:t>
            </w:r>
            <w:r w:rsidRPr="00D2758E">
              <w:rPr>
                <w:rFonts w:asciiTheme="majorBidi" w:hAnsiTheme="majorBidi" w:cstheme="majorBidi"/>
                <w:sz w:val="20"/>
                <w:szCs w:val="20"/>
              </w:rPr>
              <w:t>)</w:t>
            </w:r>
          </w:p>
        </w:tc>
      </w:tr>
      <w:tr w:rsidR="00796BA7" w:rsidRPr="00D2758E" w14:paraId="4C5DE08F" w14:textId="77777777" w:rsidTr="006B066D">
        <w:trPr>
          <w:cantSplit/>
        </w:trPr>
        <w:tc>
          <w:tcPr>
            <w:tcW w:w="5803" w:type="dxa"/>
            <w:tcBorders>
              <w:top w:val="single" w:sz="4" w:space="0" w:color="auto"/>
              <w:left w:val="single" w:sz="4" w:space="0" w:color="auto"/>
              <w:bottom w:val="single" w:sz="4" w:space="0" w:color="auto"/>
              <w:right w:val="single" w:sz="4" w:space="0" w:color="auto"/>
            </w:tcBorders>
            <w:tcMar>
              <w:top w:w="29" w:type="dxa"/>
              <w:left w:w="115" w:type="dxa"/>
              <w:bottom w:w="29" w:type="dxa"/>
              <w:right w:w="115" w:type="dxa"/>
            </w:tcMar>
          </w:tcPr>
          <w:p w14:paraId="75C600D4" w14:textId="10310D47" w:rsidR="00796BA7" w:rsidRPr="00D2758E" w:rsidRDefault="00796BA7" w:rsidP="00CC1EF1">
            <w:pPr>
              <w:suppressLineNumbers/>
              <w:suppressAutoHyphens/>
              <w:kinsoku w:val="0"/>
              <w:overflowPunct w:val="0"/>
              <w:autoSpaceDE w:val="0"/>
              <w:autoSpaceDN w:val="0"/>
              <w:adjustRightInd w:val="0"/>
              <w:snapToGrid w:val="0"/>
              <w:jc w:val="left"/>
              <w:rPr>
                <w:rFonts w:asciiTheme="majorBidi" w:hAnsiTheme="majorBidi" w:cstheme="majorBidi"/>
                <w:kern w:val="22"/>
                <w:sz w:val="20"/>
                <w:szCs w:val="20"/>
              </w:rPr>
            </w:pPr>
            <w:r w:rsidRPr="00D2758E">
              <w:rPr>
                <w:rFonts w:asciiTheme="majorBidi" w:hAnsiTheme="majorBidi" w:cstheme="majorBidi"/>
                <w:kern w:val="22"/>
                <w:sz w:val="20"/>
                <w:szCs w:val="20"/>
              </w:rPr>
              <w:t xml:space="preserve">Number and </w:t>
            </w:r>
            <w:proofErr w:type="spellStart"/>
            <w:r w:rsidRPr="00D2758E">
              <w:rPr>
                <w:rFonts w:asciiTheme="majorBidi" w:hAnsiTheme="majorBidi" w:cstheme="majorBidi"/>
                <w:kern w:val="22"/>
                <w:sz w:val="20"/>
                <w:szCs w:val="20"/>
              </w:rPr>
              <w:t>percentage</w:t>
            </w:r>
            <w:r w:rsidR="00303F53" w:rsidRPr="006B066D">
              <w:rPr>
                <w:rFonts w:asciiTheme="majorBidi" w:hAnsiTheme="majorBidi" w:cstheme="majorBidi"/>
                <w:i/>
                <w:iCs/>
                <w:kern w:val="22"/>
                <w:sz w:val="20"/>
                <w:szCs w:val="20"/>
                <w:vertAlign w:val="superscript"/>
              </w:rPr>
              <w:t>b</w:t>
            </w:r>
            <w:proofErr w:type="spellEnd"/>
            <w:r w:rsidRPr="00D2758E">
              <w:rPr>
                <w:rFonts w:asciiTheme="majorBidi" w:hAnsiTheme="majorBidi" w:cstheme="majorBidi"/>
                <w:kern w:val="22"/>
                <w:sz w:val="20"/>
                <w:szCs w:val="20"/>
              </w:rPr>
              <w:t xml:space="preserve"> of Parties that have issued permits or their equivalents</w:t>
            </w:r>
          </w:p>
        </w:tc>
        <w:tc>
          <w:tcPr>
            <w:tcW w:w="1829" w:type="dxa"/>
            <w:tcBorders>
              <w:top w:val="single" w:sz="4" w:space="0" w:color="auto"/>
              <w:left w:val="single" w:sz="4" w:space="0" w:color="auto"/>
              <w:bottom w:val="single" w:sz="4" w:space="0" w:color="auto"/>
              <w:right w:val="single" w:sz="4" w:space="0" w:color="auto"/>
            </w:tcBorders>
            <w:tcMar>
              <w:top w:w="29" w:type="dxa"/>
              <w:left w:w="115" w:type="dxa"/>
              <w:bottom w:w="29" w:type="dxa"/>
              <w:right w:w="115" w:type="dxa"/>
            </w:tcMar>
            <w:vAlign w:val="bottom"/>
          </w:tcPr>
          <w:p w14:paraId="481AB15D" w14:textId="44D70A93" w:rsidR="00796BA7" w:rsidRPr="00D2758E" w:rsidRDefault="00796BA7" w:rsidP="004E4B17">
            <w:pPr>
              <w:suppressLineNumbers/>
              <w:suppressAutoHyphens/>
              <w:kinsoku w:val="0"/>
              <w:overflowPunct w:val="0"/>
              <w:autoSpaceDE w:val="0"/>
              <w:autoSpaceDN w:val="0"/>
              <w:adjustRightInd w:val="0"/>
              <w:snapToGrid w:val="0"/>
              <w:jc w:val="right"/>
              <w:rPr>
                <w:rFonts w:asciiTheme="majorBidi" w:eastAsia="Calibri" w:hAnsiTheme="majorBidi" w:cstheme="majorBidi"/>
                <w:kern w:val="22"/>
                <w:sz w:val="20"/>
                <w:szCs w:val="20"/>
              </w:rPr>
            </w:pPr>
            <w:r w:rsidRPr="00D2758E">
              <w:rPr>
                <w:rFonts w:asciiTheme="majorBidi" w:eastAsia="Calibri" w:hAnsiTheme="majorBidi" w:cstheme="majorBidi"/>
                <w:kern w:val="22"/>
                <w:sz w:val="20"/>
                <w:szCs w:val="20"/>
              </w:rPr>
              <w:t>19 (18</w:t>
            </w:r>
            <w:r w:rsidR="00096903">
              <w:rPr>
                <w:rFonts w:asciiTheme="majorBidi" w:eastAsia="Calibri" w:hAnsiTheme="majorBidi" w:cstheme="majorBidi"/>
                <w:kern w:val="22"/>
                <w:sz w:val="20"/>
                <w:szCs w:val="20"/>
              </w:rPr>
              <w:t xml:space="preserve"> per cent</w:t>
            </w:r>
            <w:r w:rsidRPr="00D2758E">
              <w:rPr>
                <w:rFonts w:asciiTheme="majorBidi" w:eastAsia="Calibri" w:hAnsiTheme="majorBidi" w:cstheme="majorBidi"/>
                <w:kern w:val="22"/>
                <w:sz w:val="20"/>
                <w:szCs w:val="20"/>
              </w:rPr>
              <w:t>)</w:t>
            </w:r>
          </w:p>
        </w:tc>
        <w:tc>
          <w:tcPr>
            <w:tcW w:w="1512" w:type="dxa"/>
            <w:tcBorders>
              <w:top w:val="single" w:sz="4" w:space="0" w:color="auto"/>
              <w:left w:val="single" w:sz="4" w:space="0" w:color="auto"/>
              <w:bottom w:val="single" w:sz="4" w:space="0" w:color="auto"/>
              <w:right w:val="single" w:sz="4" w:space="0" w:color="auto"/>
            </w:tcBorders>
            <w:vAlign w:val="bottom"/>
          </w:tcPr>
          <w:p w14:paraId="43130970" w14:textId="08BD8292" w:rsidR="00796BA7" w:rsidRPr="00D2758E" w:rsidRDefault="00796BA7" w:rsidP="004E4B17">
            <w:pPr>
              <w:suppressLineNumbers/>
              <w:suppressAutoHyphens/>
              <w:kinsoku w:val="0"/>
              <w:overflowPunct w:val="0"/>
              <w:autoSpaceDE w:val="0"/>
              <w:autoSpaceDN w:val="0"/>
              <w:adjustRightInd w:val="0"/>
              <w:snapToGrid w:val="0"/>
              <w:jc w:val="right"/>
              <w:rPr>
                <w:rFonts w:asciiTheme="majorBidi" w:eastAsia="Calibri" w:hAnsiTheme="majorBidi" w:cstheme="majorBidi"/>
                <w:kern w:val="22"/>
                <w:sz w:val="20"/>
                <w:szCs w:val="20"/>
              </w:rPr>
            </w:pPr>
            <w:r w:rsidRPr="00D2758E">
              <w:rPr>
                <w:rFonts w:asciiTheme="majorBidi" w:eastAsia="Calibri" w:hAnsiTheme="majorBidi" w:cstheme="majorBidi"/>
                <w:kern w:val="22"/>
                <w:sz w:val="20"/>
                <w:szCs w:val="20"/>
              </w:rPr>
              <w:t>64 (45</w:t>
            </w:r>
            <w:r w:rsidR="00096903">
              <w:rPr>
                <w:rFonts w:asciiTheme="majorBidi" w:eastAsia="Calibri" w:hAnsiTheme="majorBidi" w:cstheme="majorBidi"/>
                <w:kern w:val="22"/>
                <w:sz w:val="20"/>
                <w:szCs w:val="20"/>
              </w:rPr>
              <w:t xml:space="preserve"> per cent</w:t>
            </w:r>
            <w:r w:rsidRPr="00D2758E">
              <w:rPr>
                <w:rFonts w:asciiTheme="majorBidi" w:eastAsia="Calibri" w:hAnsiTheme="majorBidi" w:cstheme="majorBidi"/>
                <w:kern w:val="22"/>
                <w:sz w:val="20"/>
                <w:szCs w:val="20"/>
              </w:rPr>
              <w:t>)</w:t>
            </w:r>
          </w:p>
        </w:tc>
      </w:tr>
    </w:tbl>
    <w:p w14:paraId="0226C5E4" w14:textId="6946D45B" w:rsidR="00C86CD7" w:rsidRDefault="00992121" w:rsidP="006B066D">
      <w:pPr>
        <w:pStyle w:val="Footnote"/>
        <w:tabs>
          <w:tab w:val="clear" w:pos="567"/>
          <w:tab w:val="clear" w:pos="1134"/>
        </w:tabs>
        <w:ind w:left="993" w:hanging="284"/>
      </w:pPr>
      <w:r w:rsidRPr="006B066D">
        <w:rPr>
          <w:i/>
          <w:iCs/>
          <w:vertAlign w:val="superscript"/>
        </w:rPr>
        <w:t>a</w:t>
      </w:r>
      <w:r w:rsidR="00B93C99">
        <w:tab/>
      </w:r>
      <w:proofErr w:type="spellStart"/>
      <w:r w:rsidR="00C86CD7" w:rsidRPr="00D2758E">
        <w:t>A</w:t>
      </w:r>
      <w:proofErr w:type="spellEnd"/>
      <w:r w:rsidR="00C86CD7" w:rsidRPr="00D2758E">
        <w:t xml:space="preserve"> new indicator has been added to provide context for the other indicators, as some percentages are calculated based on the total number of Parties that require prior informed consent for access to genetic resources (74). The indicator is based on responses to question 8 of the first national report format. It should be noted, however, that under Article 6, paragraph 1, of the Protocol, prior informed consent for access to genetic resources is required unless otherwise determined by a Party.</w:t>
      </w:r>
    </w:p>
    <w:p w14:paraId="06127276" w14:textId="06D469FD" w:rsidR="00303F53" w:rsidRPr="00D2758E" w:rsidRDefault="00303F53" w:rsidP="006B066D">
      <w:pPr>
        <w:pStyle w:val="Footnote"/>
        <w:tabs>
          <w:tab w:val="clear" w:pos="567"/>
          <w:tab w:val="clear" w:pos="1134"/>
        </w:tabs>
        <w:ind w:left="993" w:hanging="284"/>
      </w:pPr>
      <w:r w:rsidRPr="006B066D">
        <w:rPr>
          <w:i/>
          <w:iCs/>
          <w:vertAlign w:val="superscript"/>
        </w:rPr>
        <w:t>b</w:t>
      </w:r>
      <w:r w:rsidR="00B93C99">
        <w:tab/>
      </w:r>
      <w:r w:rsidRPr="00D2758E">
        <w:t>Percentage</w:t>
      </w:r>
      <w:r w:rsidR="00A66615">
        <w:t>s</w:t>
      </w:r>
      <w:r w:rsidRPr="00D2758E">
        <w:t xml:space="preserve"> </w:t>
      </w:r>
      <w:r w:rsidR="00654AD8">
        <w:t>for</w:t>
      </w:r>
      <w:r w:rsidRPr="00D2758E">
        <w:t xml:space="preserve"> this indicator ha</w:t>
      </w:r>
      <w:r w:rsidR="00A66615">
        <w:t>ve</w:t>
      </w:r>
      <w:r w:rsidRPr="00D2758E">
        <w:t xml:space="preserve"> been calculated based on the total number of Parties to the Protocol at the time of reference.</w:t>
      </w:r>
    </w:p>
    <w:p w14:paraId="287EFCDB" w14:textId="6EAB903E" w:rsidR="006839F4" w:rsidRPr="00D2758E" w:rsidRDefault="000F352B" w:rsidP="000F352B">
      <w:pPr>
        <w:pStyle w:val="CBDH4"/>
      </w:pPr>
      <w:r>
        <w:t>(b)</w:t>
      </w:r>
      <w:r>
        <w:tab/>
      </w:r>
      <w:r w:rsidR="00FB251B" w:rsidRPr="00D2758E">
        <w:t>Challenges</w:t>
      </w:r>
      <w:r w:rsidR="003D1834" w:rsidRPr="00D2758E">
        <w:t xml:space="preserve"> in implementation and</w:t>
      </w:r>
      <w:r w:rsidR="00FB251B" w:rsidRPr="00D2758E">
        <w:t xml:space="preserve"> root causes </w:t>
      </w:r>
    </w:p>
    <w:p w14:paraId="6D7F16BC" w14:textId="2A165490" w:rsidR="00CD0B50" w:rsidRPr="00D2758E" w:rsidRDefault="00946048" w:rsidP="00CD2C50">
      <w:pPr>
        <w:pStyle w:val="CBDNormalNumber"/>
      </w:pPr>
      <w:r w:rsidRPr="00D2758E">
        <w:t xml:space="preserve">With the growing number of Parties to the Nagoya Protocol, the diversity of national approaches to </w:t>
      </w:r>
      <w:r w:rsidR="00A66615" w:rsidRPr="00A66615">
        <w:t xml:space="preserve">access and benefit-sharing </w:t>
      </w:r>
      <w:r w:rsidRPr="00D2758E">
        <w:t>requirements and procedures has become a key challenge for users.  In particular</w:t>
      </w:r>
      <w:r w:rsidR="00280EE7" w:rsidRPr="00D2758E">
        <w:t>,</w:t>
      </w:r>
      <w:r w:rsidRPr="00D2758E">
        <w:t xml:space="preserve"> the scope of application of national </w:t>
      </w:r>
      <w:r w:rsidR="00A66615" w:rsidRPr="00A66615">
        <w:t xml:space="preserve">access and benefit-sharing </w:t>
      </w:r>
      <w:r w:rsidRPr="00D2758E">
        <w:t xml:space="preserve">requirements can vary significantly from one country to </w:t>
      </w:r>
      <w:r w:rsidR="00A66615">
        <w:t>an</w:t>
      </w:r>
      <w:r w:rsidRPr="00D2758E">
        <w:t xml:space="preserve">other and the steps to </w:t>
      </w:r>
      <w:r w:rsidR="00A66615">
        <w:t xml:space="preserve">be </w:t>
      </w:r>
      <w:r w:rsidRPr="00D2758E">
        <w:t>follow</w:t>
      </w:r>
      <w:r w:rsidR="00A66615">
        <w:t>ed</w:t>
      </w:r>
      <w:r w:rsidRPr="00D2758E">
        <w:t xml:space="preserve"> </w:t>
      </w:r>
      <w:r w:rsidR="006E1222">
        <w:t>for</w:t>
      </w:r>
      <w:r w:rsidRPr="00D2758E">
        <w:t xml:space="preserve"> obtain</w:t>
      </w:r>
      <w:r w:rsidR="006E1222">
        <w:t>ing</w:t>
      </w:r>
      <w:r w:rsidRPr="00D2758E">
        <w:t xml:space="preserve"> access to genetic resources</w:t>
      </w:r>
      <w:r w:rsidR="00B66985">
        <w:t>,</w:t>
      </w:r>
      <w:r w:rsidRPr="00D2758E">
        <w:t xml:space="preserve"> acquir</w:t>
      </w:r>
      <w:r w:rsidR="006E1222">
        <w:t>ing</w:t>
      </w:r>
      <w:r w:rsidRPr="00D2758E">
        <w:t xml:space="preserve"> prior informed consent</w:t>
      </w:r>
      <w:r w:rsidR="008C1EE8">
        <w:t xml:space="preserve"> or</w:t>
      </w:r>
      <w:r w:rsidR="007C2DF4" w:rsidRPr="00D2758E">
        <w:t xml:space="preserve"> </w:t>
      </w:r>
      <w:r w:rsidRPr="00D2758E">
        <w:t>a permit</w:t>
      </w:r>
      <w:r w:rsidR="00B66985">
        <w:t>,</w:t>
      </w:r>
      <w:r w:rsidRPr="00D2758E">
        <w:t xml:space="preserve"> negotiat</w:t>
      </w:r>
      <w:r w:rsidR="006E1222">
        <w:t>ing</w:t>
      </w:r>
      <w:r w:rsidRPr="00D2758E">
        <w:t xml:space="preserve"> mutually agreed terms and shar</w:t>
      </w:r>
      <w:r w:rsidR="006E1222">
        <w:t>ing</w:t>
      </w:r>
      <w:r w:rsidRPr="00D2758E">
        <w:t xml:space="preserve"> benefits co</w:t>
      </w:r>
      <w:r w:rsidR="0055695B">
        <w:t>vered</w:t>
      </w:r>
      <w:r w:rsidRPr="00D2758E">
        <w:t xml:space="preserve"> in national </w:t>
      </w:r>
      <w:r w:rsidR="00793B20" w:rsidRPr="00793B20">
        <w:t xml:space="preserve">access and benefit-sharing </w:t>
      </w:r>
      <w:r w:rsidRPr="00D2758E">
        <w:t xml:space="preserve">measures are not always easy to understand. This has </w:t>
      </w:r>
      <w:r w:rsidR="007C2FBC">
        <w:t xml:space="preserve">resulted in </w:t>
      </w:r>
      <w:r w:rsidRPr="00D2758E">
        <w:t xml:space="preserve">operational complexity and increased transaction costs for users from both the scientific and </w:t>
      </w:r>
      <w:r w:rsidR="00977527">
        <w:t xml:space="preserve">the </w:t>
      </w:r>
      <w:r w:rsidRPr="00D2758E">
        <w:t>business communities</w:t>
      </w:r>
      <w:r w:rsidR="00452127" w:rsidRPr="00D2758E">
        <w:t>.</w:t>
      </w:r>
      <w:r w:rsidR="00EB527E" w:rsidRPr="00D2758E">
        <w:rPr>
          <w:rStyle w:val="FootnoteReference"/>
        </w:rPr>
        <w:footnoteReference w:id="26"/>
      </w:r>
    </w:p>
    <w:p w14:paraId="03E72E91" w14:textId="0D3E2E4C" w:rsidR="00560059" w:rsidRPr="00D2758E" w:rsidRDefault="00350A8C" w:rsidP="00CD2C50">
      <w:pPr>
        <w:pStyle w:val="CBDNormalNumber"/>
      </w:pPr>
      <w:r>
        <w:lastRenderedPageBreak/>
        <w:t>T</w:t>
      </w:r>
      <w:r w:rsidR="00A20823" w:rsidRPr="00D2758E">
        <w:t xml:space="preserve">he following challenges </w:t>
      </w:r>
      <w:r w:rsidRPr="00D2758E">
        <w:t>encountered by users in establish</w:t>
      </w:r>
      <w:r>
        <w:t>ing</w:t>
      </w:r>
      <w:r w:rsidRPr="00D2758E">
        <w:t xml:space="preserve"> </w:t>
      </w:r>
      <w:r w:rsidRPr="00350A8C">
        <w:t>access and benefit-sharing</w:t>
      </w:r>
      <w:r w:rsidRPr="00D2758E">
        <w:t xml:space="preserve"> agreements </w:t>
      </w:r>
      <w:r w:rsidR="00A20823" w:rsidRPr="00D2758E">
        <w:t>were identified</w:t>
      </w:r>
      <w:r w:rsidR="0022488F" w:rsidRPr="00D2758E">
        <w:t xml:space="preserve"> in the scoping study</w:t>
      </w:r>
      <w:r w:rsidR="00A20823" w:rsidRPr="00D2758E">
        <w:t>:</w:t>
      </w:r>
      <w:r w:rsidR="00560059" w:rsidRPr="00D2758E">
        <w:t xml:space="preserve"> absence of a clear process and timelines for negotiating and finali</w:t>
      </w:r>
      <w:r>
        <w:t>z</w:t>
      </w:r>
      <w:r w:rsidR="00560059" w:rsidRPr="00D2758E">
        <w:t xml:space="preserve">ing </w:t>
      </w:r>
      <w:r w:rsidR="0090295F">
        <w:t>those</w:t>
      </w:r>
      <w:r w:rsidR="00560059" w:rsidRPr="00D2758E">
        <w:t xml:space="preserve"> agreements; involvement of multiple parties, including government representatives, indigenous peoples and local communities and user institutions, which complicate</w:t>
      </w:r>
      <w:r w:rsidR="0090295F">
        <w:t>d</w:t>
      </w:r>
      <w:r w:rsidR="00560059" w:rsidRPr="00D2758E">
        <w:t xml:space="preserve"> coordination; differences in expectations between users and providers regarding benefit-sharing terms; and limited availability of standardi</w:t>
      </w:r>
      <w:r w:rsidR="002D6487">
        <w:t>z</w:t>
      </w:r>
      <w:r w:rsidR="00560059" w:rsidRPr="00D2758E">
        <w:t>ed tools such as model clauses and sector-specific templates.</w:t>
      </w:r>
      <w:r w:rsidR="00136C9C" w:rsidRPr="00D2758E">
        <w:rPr>
          <w:rStyle w:val="FootnoteReference"/>
        </w:rPr>
        <w:footnoteReference w:id="27"/>
      </w:r>
      <w:r w:rsidR="00560059" w:rsidRPr="00D2758E">
        <w:t xml:space="preserve">  </w:t>
      </w:r>
    </w:p>
    <w:p w14:paraId="5EA448BC" w14:textId="4B2D1B96" w:rsidR="00906090" w:rsidRPr="00D2758E" w:rsidRDefault="00E038CB" w:rsidP="00CD2C50">
      <w:pPr>
        <w:pStyle w:val="CBDNormalNumber"/>
      </w:pPr>
      <w:r w:rsidRPr="00D2758E">
        <w:t xml:space="preserve">Parties highlighted the difficulty of </w:t>
      </w:r>
      <w:r w:rsidR="001A42A6">
        <w:t xml:space="preserve">securing </w:t>
      </w:r>
      <w:r w:rsidRPr="00D2758E">
        <w:t xml:space="preserve">the different types of expertise required for dealing </w:t>
      </w:r>
      <w:r w:rsidR="008841CC" w:rsidRPr="00D2758E">
        <w:t xml:space="preserve">appropriately </w:t>
      </w:r>
      <w:r w:rsidRPr="00D2758E">
        <w:t xml:space="preserve">with </w:t>
      </w:r>
      <w:r w:rsidR="005D2F3A" w:rsidRPr="00D2758E">
        <w:t xml:space="preserve">the specificity and technicality </w:t>
      </w:r>
      <w:r w:rsidR="00102CC1" w:rsidRPr="00D2758E">
        <w:t xml:space="preserve">of </w:t>
      </w:r>
      <w:r w:rsidRPr="00D2758E">
        <w:t>access requests in the relevant national institutions</w:t>
      </w:r>
      <w:r w:rsidR="001F1DDF" w:rsidRPr="00D2758E">
        <w:t xml:space="preserve">. </w:t>
      </w:r>
      <w:r w:rsidR="007E75CF">
        <w:t>T</w:t>
      </w:r>
      <w:r w:rsidR="00906090" w:rsidRPr="00D2758E">
        <w:t xml:space="preserve">he absence of a clear decision-making authority on </w:t>
      </w:r>
      <w:r w:rsidR="006A2B29" w:rsidRPr="006A2B29">
        <w:t xml:space="preserve">access and benefit-sharing </w:t>
      </w:r>
      <w:r w:rsidR="00906090" w:rsidRPr="00D2758E">
        <w:t xml:space="preserve">issues </w:t>
      </w:r>
      <w:r w:rsidR="007E75CF">
        <w:t>s</w:t>
      </w:r>
      <w:r w:rsidR="007E75CF" w:rsidRPr="00D2758E">
        <w:t xml:space="preserve">ometimes </w:t>
      </w:r>
      <w:r w:rsidR="00906090" w:rsidRPr="00D2758E">
        <w:t>bec</w:t>
      </w:r>
      <w:r w:rsidR="007E75CF">
        <w:t>a</w:t>
      </w:r>
      <w:r w:rsidR="00906090" w:rsidRPr="00D2758E">
        <w:t xml:space="preserve">me a challenge and a </w:t>
      </w:r>
      <w:r w:rsidR="00B86D7A">
        <w:t>cause</w:t>
      </w:r>
      <w:r w:rsidR="00462477">
        <w:t xml:space="preserve"> of </w:t>
      </w:r>
      <w:r w:rsidR="00906090" w:rsidRPr="00D2758E">
        <w:t>delays</w:t>
      </w:r>
      <w:r w:rsidR="00991413" w:rsidRPr="00D2758E">
        <w:t xml:space="preserve"> in </w:t>
      </w:r>
      <w:r w:rsidR="009256B1">
        <w:t xml:space="preserve">the </w:t>
      </w:r>
      <w:r w:rsidR="00991413" w:rsidRPr="00D2758E">
        <w:t xml:space="preserve">granting </w:t>
      </w:r>
      <w:r w:rsidR="009256B1">
        <w:t xml:space="preserve">of </w:t>
      </w:r>
      <w:r w:rsidR="00102CC1" w:rsidRPr="00D2758E">
        <w:t xml:space="preserve">prior informed consent </w:t>
      </w:r>
      <w:r w:rsidR="00991413" w:rsidRPr="00D2758E">
        <w:t xml:space="preserve">and </w:t>
      </w:r>
      <w:r w:rsidR="00102CC1" w:rsidRPr="00D2758E">
        <w:t>mutually agreed terms.</w:t>
      </w:r>
      <w:r w:rsidR="00991413" w:rsidRPr="00D2758E">
        <w:t xml:space="preserve"> </w:t>
      </w:r>
    </w:p>
    <w:p w14:paraId="7D990256" w14:textId="5415F278" w:rsidR="003721AB" w:rsidRPr="00D2758E" w:rsidRDefault="003721AB" w:rsidP="00CD2C50">
      <w:pPr>
        <w:pStyle w:val="CBDNormalNumber"/>
      </w:pPr>
      <w:r w:rsidRPr="00D2758E">
        <w:t xml:space="preserve">The lack of capacity to negotiate </w:t>
      </w:r>
      <w:r w:rsidR="003D3D3F" w:rsidRPr="00D2758E">
        <w:t>mutually agreed terms</w:t>
      </w:r>
      <w:r w:rsidR="0094626F" w:rsidRPr="00D2758E">
        <w:t xml:space="preserve">, </w:t>
      </w:r>
      <w:r w:rsidR="00D1593C">
        <w:t>as well as</w:t>
      </w:r>
      <w:r w:rsidR="0094626F" w:rsidRPr="00D2758E">
        <w:t xml:space="preserve"> the difficulties </w:t>
      </w:r>
      <w:r w:rsidR="00D1593C">
        <w:t xml:space="preserve">associated with </w:t>
      </w:r>
      <w:r w:rsidR="00B579A3">
        <w:t xml:space="preserve">procuring </w:t>
      </w:r>
      <w:r w:rsidR="0094626F" w:rsidRPr="00D2758E">
        <w:t xml:space="preserve">the specialized technical expertise </w:t>
      </w:r>
      <w:r w:rsidR="00102533">
        <w:t xml:space="preserve">needed </w:t>
      </w:r>
      <w:r w:rsidR="0094626F" w:rsidRPr="00D2758E">
        <w:t>to determine the monetary value of a genetic resource at the time of access or during the early stages of research</w:t>
      </w:r>
      <w:r w:rsidR="001D1350">
        <w:t>,</w:t>
      </w:r>
      <w:r w:rsidR="009337CD">
        <w:t xml:space="preserve"> </w:t>
      </w:r>
      <w:r w:rsidR="001D1350" w:rsidRPr="001D1350">
        <w:t>was often highlighted as a challenge for Governments</w:t>
      </w:r>
      <w:r w:rsidR="0094626F" w:rsidRPr="00D2758E">
        <w:t xml:space="preserve">. A </w:t>
      </w:r>
      <w:r w:rsidR="00DB08D7" w:rsidRPr="00D2758E">
        <w:t>limited</w:t>
      </w:r>
      <w:r w:rsidR="0094626F" w:rsidRPr="00D2758E">
        <w:t xml:space="preserve"> understanding </w:t>
      </w:r>
      <w:r w:rsidR="004B7FEE">
        <w:t>by G</w:t>
      </w:r>
      <w:r w:rsidR="004B7FEE" w:rsidRPr="00D2758E">
        <w:t>overnment</w:t>
      </w:r>
      <w:r w:rsidR="004B7FEE">
        <w:t>s</w:t>
      </w:r>
      <w:r w:rsidR="004B7FEE" w:rsidRPr="00D2758E">
        <w:t xml:space="preserve"> and holders of traditional knowledge </w:t>
      </w:r>
      <w:r w:rsidR="0094626F" w:rsidRPr="00D2758E">
        <w:t>of the commercial environment, material flows and the complexities of supply chains</w:t>
      </w:r>
      <w:r w:rsidR="00DB08D7" w:rsidRPr="00D2758E">
        <w:t>,</w:t>
      </w:r>
      <w:r w:rsidR="0094626F" w:rsidRPr="00D2758E">
        <w:t xml:space="preserve"> value chains and innovation</w:t>
      </w:r>
      <w:r w:rsidR="007F1872" w:rsidRPr="00D2758E">
        <w:t>,</w:t>
      </w:r>
      <w:r w:rsidR="0094626F" w:rsidRPr="00D2758E">
        <w:t xml:space="preserve"> </w:t>
      </w:r>
      <w:r w:rsidR="00BC4322">
        <w:t>could</w:t>
      </w:r>
      <w:r w:rsidR="0094626F" w:rsidRPr="00D2758E">
        <w:t xml:space="preserve"> complicate </w:t>
      </w:r>
      <w:r w:rsidR="00DC4A3F" w:rsidRPr="00D2758E">
        <w:t>negotiations.</w:t>
      </w:r>
      <w:r w:rsidR="002D41A5">
        <w:t xml:space="preserve"> Such a </w:t>
      </w:r>
      <w:r w:rsidR="0094626F" w:rsidRPr="00D2758E">
        <w:t>situation m</w:t>
      </w:r>
      <w:r w:rsidR="002D41A5">
        <w:t>ight</w:t>
      </w:r>
      <w:r w:rsidR="0094626F" w:rsidRPr="00D2758E">
        <w:t xml:space="preserve"> lead to </w:t>
      </w:r>
      <w:r w:rsidR="00CA5360" w:rsidRPr="00D2758E">
        <w:t xml:space="preserve">dissatisfaction and </w:t>
      </w:r>
      <w:r w:rsidR="0094626F" w:rsidRPr="00D2758E">
        <w:t xml:space="preserve">delays in the </w:t>
      </w:r>
      <w:r w:rsidR="008E6670">
        <w:t xml:space="preserve">context of </w:t>
      </w:r>
      <w:r w:rsidR="0094626F" w:rsidRPr="00D2758E">
        <w:t xml:space="preserve">negotiation of fair and equitable monetary benefits. </w:t>
      </w:r>
    </w:p>
    <w:p w14:paraId="1AD844C5" w14:textId="53346A0A" w:rsidR="00A505B9" w:rsidRPr="00D2758E" w:rsidRDefault="001E2C0D" w:rsidP="00CD2C50">
      <w:pPr>
        <w:pStyle w:val="CBDNormalNumber"/>
      </w:pPr>
      <w:r w:rsidRPr="00D2758E">
        <w:t>The divide in culture and mindset between government and business representatives c</w:t>
      </w:r>
      <w:r w:rsidR="003742BC">
        <w:t>ould</w:t>
      </w:r>
      <w:r w:rsidRPr="00D2758E">
        <w:t xml:space="preserve"> pose significant challenges when </w:t>
      </w:r>
      <w:r w:rsidR="00D70B6B" w:rsidRPr="00D2758E">
        <w:t xml:space="preserve">mutually agreed terms </w:t>
      </w:r>
      <w:r w:rsidR="003742BC">
        <w:t>we</w:t>
      </w:r>
      <w:r w:rsidR="00FD77F6">
        <w:t xml:space="preserve">re being </w:t>
      </w:r>
      <w:r w:rsidR="00FD77F6" w:rsidRPr="00D2758E">
        <w:t>negotiat</w:t>
      </w:r>
      <w:r w:rsidR="00FD77F6">
        <w:t>ed</w:t>
      </w:r>
      <w:r w:rsidR="00FD77F6" w:rsidRPr="00D2758E">
        <w:t xml:space="preserve"> </w:t>
      </w:r>
      <w:r w:rsidRPr="00D2758E">
        <w:t>and lead to differences in expectations. In addition, information asymmetries, together with disparities in legal, technical and negotiation capacity, c</w:t>
      </w:r>
      <w:r w:rsidR="000C3948">
        <w:t>ould</w:t>
      </w:r>
      <w:r w:rsidRPr="00D2758E">
        <w:t xml:space="preserve"> create power imbalances, undermine mutual trust and slow the negotiation process. </w:t>
      </w:r>
      <w:r w:rsidR="00F6782F" w:rsidRPr="00D2758E">
        <w:t>It was pointed out that users perceive</w:t>
      </w:r>
      <w:r w:rsidR="004908E1">
        <w:t>d</w:t>
      </w:r>
      <w:r w:rsidR="00F6782F" w:rsidRPr="00D2758E">
        <w:t xml:space="preserve"> benefit</w:t>
      </w:r>
      <w:r w:rsidR="009337CD">
        <w:t xml:space="preserve"> </w:t>
      </w:r>
      <w:r w:rsidR="00F6782F" w:rsidRPr="00D2758E">
        <w:t xml:space="preserve">sharing as a cost </w:t>
      </w:r>
      <w:r w:rsidR="008444A4">
        <w:t>which they</w:t>
      </w:r>
      <w:r w:rsidR="00F6782F" w:rsidRPr="00D2758E">
        <w:t xml:space="preserve"> </w:t>
      </w:r>
      <w:proofErr w:type="gramStart"/>
      <w:r w:rsidR="005023B9">
        <w:t>sought</w:t>
      </w:r>
      <w:r w:rsidR="00F6782F" w:rsidRPr="00D2758E">
        <w:t xml:space="preserve"> </w:t>
      </w:r>
      <w:r w:rsidR="00EE7BD0">
        <w:t xml:space="preserve"> </w:t>
      </w:r>
      <w:r w:rsidR="00F6782F" w:rsidRPr="00D2758E">
        <w:t>to</w:t>
      </w:r>
      <w:proofErr w:type="gramEnd"/>
      <w:r w:rsidR="00F6782F" w:rsidRPr="00D2758E">
        <w:t xml:space="preserve"> avoid or minimize.</w:t>
      </w:r>
    </w:p>
    <w:p w14:paraId="2306BAAE" w14:textId="257C2239" w:rsidR="004C5B74" w:rsidRPr="00D2758E" w:rsidRDefault="000F352B" w:rsidP="000F352B">
      <w:pPr>
        <w:pStyle w:val="CBDH4"/>
      </w:pPr>
      <w:r>
        <w:t>(c)</w:t>
      </w:r>
      <w:r>
        <w:tab/>
      </w:r>
      <w:r w:rsidR="003D1834" w:rsidRPr="00D2758E">
        <w:t xml:space="preserve">Possible ways to enhance </w:t>
      </w:r>
      <w:r w:rsidR="00497B43" w:rsidRPr="00D2758E">
        <w:t xml:space="preserve">implementation </w:t>
      </w:r>
      <w:r w:rsidR="003D1834" w:rsidRPr="00D2758E">
        <w:t>measures related to access</w:t>
      </w:r>
    </w:p>
    <w:p w14:paraId="45A46735" w14:textId="0990B5E8" w:rsidR="00E038CB" w:rsidRPr="00D2758E" w:rsidRDefault="00CB5E36" w:rsidP="00CD2C50">
      <w:pPr>
        <w:pStyle w:val="CBDNormalNumber"/>
      </w:pPr>
      <w:r>
        <w:t xml:space="preserve">The following </w:t>
      </w:r>
      <w:r w:rsidR="00E038CB" w:rsidRPr="00D2758E">
        <w:t>actions</w:t>
      </w:r>
      <w:r w:rsidR="00D50839" w:rsidRPr="00D2758E">
        <w:t xml:space="preserve"> and solutions</w:t>
      </w:r>
      <w:r w:rsidR="00E038CB" w:rsidRPr="00D2758E">
        <w:t xml:space="preserve"> </w:t>
      </w:r>
      <w:r w:rsidR="0060440E">
        <w:t>which</w:t>
      </w:r>
      <w:r w:rsidR="00E038CB" w:rsidRPr="00D2758E">
        <w:t xml:space="preserve"> could facilitate the </w:t>
      </w:r>
      <w:r w:rsidRPr="00CB5E36">
        <w:t xml:space="preserve">access and benefit-sharing </w:t>
      </w:r>
      <w:r w:rsidR="00E038CB" w:rsidRPr="00D2758E">
        <w:t>process and result in enhanced benefit</w:t>
      </w:r>
      <w:r>
        <w:t xml:space="preserve"> </w:t>
      </w:r>
      <w:r w:rsidR="00E038CB" w:rsidRPr="00D2758E">
        <w:t>sharing</w:t>
      </w:r>
      <w:r w:rsidR="00D50839" w:rsidRPr="00D2758E">
        <w:t xml:space="preserve"> were identified</w:t>
      </w:r>
      <w:r w:rsidR="00097580" w:rsidRPr="00D2758E">
        <w:t xml:space="preserve"> in the first national reports and the scoping study</w:t>
      </w:r>
      <w:r w:rsidR="00E038CB" w:rsidRPr="00D2758E">
        <w:t>:</w:t>
      </w:r>
    </w:p>
    <w:p w14:paraId="4F1845AD" w14:textId="0F9F2880" w:rsidR="00E038CB" w:rsidRPr="00D2758E" w:rsidRDefault="00E038CB" w:rsidP="00A558F3">
      <w:pPr>
        <w:pStyle w:val="CBDNormalNumber"/>
        <w:numPr>
          <w:ilvl w:val="1"/>
          <w:numId w:val="7"/>
        </w:numPr>
        <w:rPr>
          <w:rFonts w:asciiTheme="majorBidi" w:hAnsiTheme="majorBidi" w:cstheme="majorBidi"/>
        </w:rPr>
      </w:pPr>
      <w:r w:rsidRPr="00D2758E">
        <w:rPr>
          <w:rFonts w:asciiTheme="majorBidi" w:hAnsiTheme="majorBidi" w:cstheme="majorBidi"/>
        </w:rPr>
        <w:t xml:space="preserve">Early </w:t>
      </w:r>
      <w:r w:rsidRPr="00D2758E">
        <w:t>engagement</w:t>
      </w:r>
      <w:r w:rsidRPr="00D2758E">
        <w:rPr>
          <w:rFonts w:asciiTheme="majorBidi" w:hAnsiTheme="majorBidi" w:cstheme="majorBidi"/>
        </w:rPr>
        <w:t xml:space="preserve"> with users and indigenous peoples and local communities </w:t>
      </w:r>
      <w:r w:rsidR="00675148">
        <w:rPr>
          <w:rFonts w:asciiTheme="majorBidi" w:hAnsiTheme="majorBidi" w:cstheme="majorBidi"/>
        </w:rPr>
        <w:t xml:space="preserve">which could </w:t>
      </w:r>
      <w:r w:rsidRPr="00D2758E">
        <w:rPr>
          <w:rFonts w:asciiTheme="majorBidi" w:hAnsiTheme="majorBidi" w:cstheme="majorBidi"/>
        </w:rPr>
        <w:t>help ensure acceptance and the applicability of access requirements</w:t>
      </w:r>
      <w:r w:rsidR="000F352B">
        <w:rPr>
          <w:rFonts w:asciiTheme="majorBidi" w:hAnsiTheme="majorBidi" w:cstheme="majorBidi"/>
        </w:rPr>
        <w:t>;</w:t>
      </w:r>
    </w:p>
    <w:p w14:paraId="426CE4DF" w14:textId="1FC4B4AB" w:rsidR="003A4102" w:rsidRPr="00D2758E" w:rsidRDefault="00F52A3B" w:rsidP="00A558F3">
      <w:pPr>
        <w:pStyle w:val="CBDNormalNumber"/>
        <w:numPr>
          <w:ilvl w:val="1"/>
          <w:numId w:val="7"/>
        </w:numPr>
        <w:rPr>
          <w:rFonts w:asciiTheme="majorBidi" w:hAnsiTheme="majorBidi" w:cstheme="majorBidi"/>
        </w:rPr>
      </w:pPr>
      <w:r w:rsidRPr="00D2758E">
        <w:rPr>
          <w:rFonts w:asciiTheme="majorBidi" w:hAnsiTheme="majorBidi" w:cstheme="majorBidi"/>
        </w:rPr>
        <w:t>Provi</w:t>
      </w:r>
      <w:r w:rsidR="005049D3">
        <w:rPr>
          <w:rFonts w:asciiTheme="majorBidi" w:hAnsiTheme="majorBidi" w:cstheme="majorBidi"/>
        </w:rPr>
        <w:t xml:space="preserve">sion of </w:t>
      </w:r>
      <w:r w:rsidRPr="00D2758E">
        <w:rPr>
          <w:rFonts w:asciiTheme="majorBidi" w:hAnsiTheme="majorBidi" w:cstheme="majorBidi"/>
        </w:rPr>
        <w:t xml:space="preserve">transparent </w:t>
      </w:r>
      <w:r w:rsidR="003A4102" w:rsidRPr="00D2758E">
        <w:rPr>
          <w:rFonts w:asciiTheme="majorBidi" w:hAnsiTheme="majorBidi" w:cstheme="majorBidi"/>
        </w:rPr>
        <w:t xml:space="preserve">national </w:t>
      </w:r>
      <w:r w:rsidR="005049D3" w:rsidRPr="005049D3">
        <w:rPr>
          <w:rFonts w:asciiTheme="majorBidi" w:hAnsiTheme="majorBidi" w:cstheme="majorBidi"/>
        </w:rPr>
        <w:t xml:space="preserve">access and benefit-sharing </w:t>
      </w:r>
      <w:r w:rsidR="003A4102" w:rsidRPr="00D2758E">
        <w:rPr>
          <w:rFonts w:asciiTheme="majorBidi" w:hAnsiTheme="majorBidi" w:cstheme="majorBidi"/>
        </w:rPr>
        <w:t>requirements</w:t>
      </w:r>
      <w:r w:rsidR="009B22EE">
        <w:rPr>
          <w:rFonts w:asciiTheme="majorBidi" w:hAnsiTheme="majorBidi" w:cstheme="majorBidi"/>
        </w:rPr>
        <w:t>,</w:t>
      </w:r>
      <w:r w:rsidR="003A4102" w:rsidRPr="00D2758E">
        <w:rPr>
          <w:rFonts w:asciiTheme="majorBidi" w:hAnsiTheme="majorBidi" w:cstheme="majorBidi"/>
        </w:rPr>
        <w:t xml:space="preserve"> including clear definitions of what f</w:t>
      </w:r>
      <w:r w:rsidR="009B22EE">
        <w:rPr>
          <w:rFonts w:asciiTheme="majorBidi" w:hAnsiTheme="majorBidi" w:cstheme="majorBidi"/>
        </w:rPr>
        <w:t>e</w:t>
      </w:r>
      <w:r w:rsidR="003A4102" w:rsidRPr="00D2758E">
        <w:rPr>
          <w:rFonts w:asciiTheme="majorBidi" w:hAnsiTheme="majorBidi" w:cstheme="majorBidi"/>
        </w:rPr>
        <w:t xml:space="preserve">ll </w:t>
      </w:r>
      <w:r w:rsidR="009B22EE">
        <w:rPr>
          <w:rFonts w:asciiTheme="majorBidi" w:hAnsiTheme="majorBidi" w:cstheme="majorBidi"/>
        </w:rPr>
        <w:t>with</w:t>
      </w:r>
      <w:r w:rsidR="003A4102" w:rsidRPr="00D2758E">
        <w:rPr>
          <w:rFonts w:asciiTheme="majorBidi" w:hAnsiTheme="majorBidi" w:cstheme="majorBidi"/>
        </w:rPr>
        <w:t>in or out</w:t>
      </w:r>
      <w:r w:rsidR="00526FF3">
        <w:rPr>
          <w:rFonts w:asciiTheme="majorBidi" w:hAnsiTheme="majorBidi" w:cstheme="majorBidi"/>
        </w:rPr>
        <w:t>side</w:t>
      </w:r>
      <w:r w:rsidR="003A4102" w:rsidRPr="00D2758E">
        <w:rPr>
          <w:rFonts w:asciiTheme="majorBidi" w:hAnsiTheme="majorBidi" w:cstheme="majorBidi"/>
        </w:rPr>
        <w:t xml:space="preserve"> </w:t>
      </w:r>
      <w:r w:rsidR="00746FFC" w:rsidRPr="00D2758E">
        <w:rPr>
          <w:rFonts w:asciiTheme="majorBidi" w:hAnsiTheme="majorBidi" w:cstheme="majorBidi"/>
        </w:rPr>
        <w:t xml:space="preserve">the </w:t>
      </w:r>
      <w:r w:rsidR="003A4102" w:rsidRPr="00D2758E">
        <w:rPr>
          <w:rFonts w:asciiTheme="majorBidi" w:hAnsiTheme="majorBidi" w:cstheme="majorBidi"/>
        </w:rPr>
        <w:t>scope of national ABS measures</w:t>
      </w:r>
      <w:r w:rsidR="009B22EE">
        <w:rPr>
          <w:rFonts w:asciiTheme="majorBidi" w:hAnsiTheme="majorBidi" w:cstheme="majorBidi"/>
        </w:rPr>
        <w:t>, which</w:t>
      </w:r>
      <w:r w:rsidR="003A4102" w:rsidRPr="00D2758E">
        <w:rPr>
          <w:rFonts w:asciiTheme="majorBidi" w:hAnsiTheme="majorBidi" w:cstheme="majorBidi"/>
        </w:rPr>
        <w:t xml:space="preserve"> would further facilitate compliance with access requirements. This would help users determine at an early stage whether </w:t>
      </w:r>
      <w:r w:rsidR="00B41B94" w:rsidRPr="00B41B94">
        <w:rPr>
          <w:rFonts w:asciiTheme="majorBidi" w:hAnsiTheme="majorBidi" w:cstheme="majorBidi"/>
        </w:rPr>
        <w:t xml:space="preserve">access and benefit-sharing </w:t>
      </w:r>
      <w:r w:rsidR="003A4102" w:rsidRPr="00D2758E">
        <w:rPr>
          <w:rFonts w:asciiTheme="majorBidi" w:hAnsiTheme="majorBidi" w:cstheme="majorBidi"/>
        </w:rPr>
        <w:t>obligations appl</w:t>
      </w:r>
      <w:r w:rsidR="00761E45">
        <w:rPr>
          <w:rFonts w:asciiTheme="majorBidi" w:hAnsiTheme="majorBidi" w:cstheme="majorBidi"/>
        </w:rPr>
        <w:t>ied</w:t>
      </w:r>
      <w:r w:rsidR="007479E3">
        <w:rPr>
          <w:rFonts w:asciiTheme="majorBidi" w:hAnsiTheme="majorBidi" w:cstheme="majorBidi"/>
        </w:rPr>
        <w:t>.</w:t>
      </w:r>
      <w:r w:rsidR="003A4102" w:rsidRPr="00D2758E">
        <w:rPr>
          <w:rFonts w:asciiTheme="majorBidi" w:hAnsiTheme="majorBidi" w:cstheme="majorBidi"/>
        </w:rPr>
        <w:t xml:space="preserve"> </w:t>
      </w:r>
      <w:r w:rsidR="007479E3">
        <w:rPr>
          <w:rFonts w:asciiTheme="majorBidi" w:hAnsiTheme="majorBidi" w:cstheme="majorBidi"/>
        </w:rPr>
        <w:t>T</w:t>
      </w:r>
      <w:r w:rsidR="00EA6B39">
        <w:rPr>
          <w:rFonts w:asciiTheme="majorBidi" w:hAnsiTheme="majorBidi" w:cstheme="majorBidi"/>
        </w:rPr>
        <w:t xml:space="preserve">he aim </w:t>
      </w:r>
      <w:r w:rsidR="007479E3">
        <w:rPr>
          <w:rFonts w:asciiTheme="majorBidi" w:hAnsiTheme="majorBidi" w:cstheme="majorBidi"/>
        </w:rPr>
        <w:t xml:space="preserve">would </w:t>
      </w:r>
      <w:r w:rsidR="00EA6B39">
        <w:rPr>
          <w:rFonts w:asciiTheme="majorBidi" w:hAnsiTheme="majorBidi" w:cstheme="majorBidi"/>
        </w:rPr>
        <w:t xml:space="preserve">be </w:t>
      </w:r>
      <w:r w:rsidR="003A4102" w:rsidRPr="00D2758E">
        <w:rPr>
          <w:rFonts w:asciiTheme="majorBidi" w:hAnsiTheme="majorBidi" w:cstheme="majorBidi"/>
        </w:rPr>
        <w:t>to prevent long preliminary exchanges, sav</w:t>
      </w:r>
      <w:r w:rsidR="007479E3">
        <w:rPr>
          <w:rFonts w:asciiTheme="majorBidi" w:hAnsiTheme="majorBidi" w:cstheme="majorBidi"/>
        </w:rPr>
        <w:t>e</w:t>
      </w:r>
      <w:r w:rsidR="003A4102" w:rsidRPr="00D2758E">
        <w:rPr>
          <w:rFonts w:asciiTheme="majorBidi" w:hAnsiTheme="majorBidi" w:cstheme="majorBidi"/>
        </w:rPr>
        <w:t xml:space="preserve"> time and </w:t>
      </w:r>
      <w:r w:rsidR="00EB4FD4">
        <w:rPr>
          <w:rFonts w:asciiTheme="majorBidi" w:hAnsiTheme="majorBidi" w:cstheme="majorBidi"/>
        </w:rPr>
        <w:t xml:space="preserve">reduce </w:t>
      </w:r>
      <w:r w:rsidR="00944977">
        <w:rPr>
          <w:rFonts w:asciiTheme="majorBidi" w:hAnsiTheme="majorBidi" w:cstheme="majorBidi"/>
        </w:rPr>
        <w:t xml:space="preserve">the </w:t>
      </w:r>
      <w:r w:rsidR="003A4102" w:rsidRPr="00D2758E">
        <w:rPr>
          <w:rFonts w:asciiTheme="majorBidi" w:hAnsiTheme="majorBidi" w:cstheme="majorBidi"/>
        </w:rPr>
        <w:t xml:space="preserve">administrative burdens </w:t>
      </w:r>
      <w:r w:rsidR="00944977">
        <w:rPr>
          <w:rFonts w:asciiTheme="majorBidi" w:hAnsiTheme="majorBidi" w:cstheme="majorBidi"/>
        </w:rPr>
        <w:t xml:space="preserve">borne by </w:t>
      </w:r>
      <w:r w:rsidR="003A4102" w:rsidRPr="00D2758E">
        <w:rPr>
          <w:rFonts w:asciiTheme="majorBidi" w:hAnsiTheme="majorBidi" w:cstheme="majorBidi"/>
        </w:rPr>
        <w:t>providers and users</w:t>
      </w:r>
      <w:r w:rsidR="000F352B">
        <w:rPr>
          <w:rFonts w:asciiTheme="majorBidi" w:hAnsiTheme="majorBidi" w:cstheme="majorBidi"/>
        </w:rPr>
        <w:t>;</w:t>
      </w:r>
      <w:r w:rsidR="003A4102" w:rsidRPr="00D2758E">
        <w:rPr>
          <w:rFonts w:asciiTheme="majorBidi" w:hAnsiTheme="majorBidi" w:cstheme="majorBidi"/>
        </w:rPr>
        <w:t xml:space="preserve">  </w:t>
      </w:r>
    </w:p>
    <w:p w14:paraId="58E46D3E" w14:textId="7311666D" w:rsidR="00FE6B09" w:rsidRPr="00D2758E" w:rsidRDefault="00FE6B09" w:rsidP="00A558F3">
      <w:pPr>
        <w:pStyle w:val="CBDNormalNumber"/>
        <w:numPr>
          <w:ilvl w:val="1"/>
          <w:numId w:val="7"/>
        </w:numPr>
        <w:rPr>
          <w:rFonts w:asciiTheme="majorBidi" w:hAnsiTheme="majorBidi" w:cstheme="majorBidi"/>
        </w:rPr>
      </w:pPr>
      <w:r w:rsidRPr="00D2758E">
        <w:rPr>
          <w:rFonts w:asciiTheme="majorBidi" w:hAnsiTheme="majorBidi" w:cstheme="majorBidi"/>
        </w:rPr>
        <w:t>Country guides, step</w:t>
      </w:r>
      <w:r w:rsidR="00944977">
        <w:rPr>
          <w:rFonts w:asciiTheme="majorBidi" w:hAnsiTheme="majorBidi" w:cstheme="majorBidi"/>
        </w:rPr>
        <w:t>-</w:t>
      </w:r>
      <w:r w:rsidRPr="00D2758E">
        <w:rPr>
          <w:rFonts w:asciiTheme="majorBidi" w:hAnsiTheme="majorBidi" w:cstheme="majorBidi"/>
        </w:rPr>
        <w:t>by</w:t>
      </w:r>
      <w:r w:rsidR="00944977">
        <w:rPr>
          <w:rFonts w:asciiTheme="majorBidi" w:hAnsiTheme="majorBidi" w:cstheme="majorBidi"/>
        </w:rPr>
        <w:t>-</w:t>
      </w:r>
      <w:r w:rsidRPr="00D2758E">
        <w:rPr>
          <w:rFonts w:asciiTheme="majorBidi" w:hAnsiTheme="majorBidi" w:cstheme="majorBidi"/>
        </w:rPr>
        <w:t>step procedures, simplified templates for applications for access, standardi</w:t>
      </w:r>
      <w:r w:rsidR="00F268EB">
        <w:rPr>
          <w:rFonts w:asciiTheme="majorBidi" w:hAnsiTheme="majorBidi" w:cstheme="majorBidi"/>
        </w:rPr>
        <w:t>z</w:t>
      </w:r>
      <w:r w:rsidRPr="00D2758E">
        <w:rPr>
          <w:rFonts w:asciiTheme="majorBidi" w:hAnsiTheme="majorBidi" w:cstheme="majorBidi"/>
        </w:rPr>
        <w:t xml:space="preserve">ed </w:t>
      </w:r>
      <w:r w:rsidRPr="00D2758E">
        <w:t>documentation</w:t>
      </w:r>
      <w:r w:rsidRPr="00D2758E">
        <w:rPr>
          <w:rFonts w:asciiTheme="majorBidi" w:hAnsiTheme="majorBidi" w:cstheme="majorBidi"/>
        </w:rPr>
        <w:t xml:space="preserve"> including application forms, checklists summari</w:t>
      </w:r>
      <w:r w:rsidR="00253915">
        <w:rPr>
          <w:rFonts w:asciiTheme="majorBidi" w:hAnsiTheme="majorBidi" w:cstheme="majorBidi"/>
        </w:rPr>
        <w:t>z</w:t>
      </w:r>
      <w:r w:rsidRPr="00D2758E">
        <w:rPr>
          <w:rFonts w:asciiTheme="majorBidi" w:hAnsiTheme="majorBidi" w:cstheme="majorBidi"/>
        </w:rPr>
        <w:t>ing information needed, template for</w:t>
      </w:r>
      <w:r w:rsidR="001C2900" w:rsidRPr="00D2758E">
        <w:rPr>
          <w:rFonts w:asciiTheme="majorBidi" w:hAnsiTheme="majorBidi" w:cstheme="majorBidi"/>
        </w:rPr>
        <w:t>ms for mutually agreed terms</w:t>
      </w:r>
      <w:r w:rsidRPr="00D2758E">
        <w:rPr>
          <w:rFonts w:asciiTheme="majorBidi" w:hAnsiTheme="majorBidi" w:cstheme="majorBidi"/>
        </w:rPr>
        <w:t xml:space="preserve">, </w:t>
      </w:r>
      <w:r w:rsidR="000E1A9C" w:rsidRPr="00D2758E">
        <w:rPr>
          <w:rFonts w:asciiTheme="majorBidi" w:hAnsiTheme="majorBidi" w:cstheme="majorBidi"/>
        </w:rPr>
        <w:t>defined parameters for benefit</w:t>
      </w:r>
      <w:r w:rsidR="001A1216">
        <w:rPr>
          <w:rFonts w:asciiTheme="majorBidi" w:hAnsiTheme="majorBidi" w:cstheme="majorBidi"/>
        </w:rPr>
        <w:t xml:space="preserve"> </w:t>
      </w:r>
      <w:r w:rsidR="001C2900" w:rsidRPr="00D2758E">
        <w:rPr>
          <w:rFonts w:asciiTheme="majorBidi" w:hAnsiTheme="majorBidi" w:cstheme="majorBidi"/>
        </w:rPr>
        <w:lastRenderedPageBreak/>
        <w:t xml:space="preserve">sharing, </w:t>
      </w:r>
      <w:r w:rsidR="001A1216">
        <w:rPr>
          <w:rFonts w:asciiTheme="majorBidi" w:hAnsiTheme="majorBidi" w:cstheme="majorBidi"/>
        </w:rPr>
        <w:t xml:space="preserve">a </w:t>
      </w:r>
      <w:r w:rsidR="001C2900" w:rsidRPr="00D2758E">
        <w:rPr>
          <w:rFonts w:asciiTheme="majorBidi" w:hAnsiTheme="majorBidi" w:cstheme="majorBidi"/>
        </w:rPr>
        <w:t>list</w:t>
      </w:r>
      <w:r w:rsidR="000E1A9C" w:rsidRPr="00D2758E">
        <w:rPr>
          <w:rFonts w:asciiTheme="majorBidi" w:hAnsiTheme="majorBidi" w:cstheme="majorBidi"/>
        </w:rPr>
        <w:t xml:space="preserve"> of possible monetary and non-monetary benefits</w:t>
      </w:r>
      <w:r w:rsidR="001A1216">
        <w:rPr>
          <w:rFonts w:asciiTheme="majorBidi" w:hAnsiTheme="majorBidi" w:cstheme="majorBidi"/>
        </w:rPr>
        <w:t xml:space="preserve"> and</w:t>
      </w:r>
      <w:r w:rsidR="000E1A9C" w:rsidRPr="00D2758E">
        <w:rPr>
          <w:rFonts w:asciiTheme="majorBidi" w:hAnsiTheme="majorBidi" w:cstheme="majorBidi"/>
        </w:rPr>
        <w:t xml:space="preserve"> </w:t>
      </w:r>
      <w:r w:rsidRPr="00D2758E">
        <w:rPr>
          <w:rFonts w:asciiTheme="majorBidi" w:hAnsiTheme="majorBidi" w:cstheme="majorBidi"/>
        </w:rPr>
        <w:t>predictable timelines</w:t>
      </w:r>
      <w:r w:rsidR="00C20C6C">
        <w:rPr>
          <w:rFonts w:asciiTheme="majorBidi" w:hAnsiTheme="majorBidi" w:cstheme="majorBidi"/>
        </w:rPr>
        <w:t>, which would</w:t>
      </w:r>
      <w:r w:rsidRPr="00D2758E">
        <w:rPr>
          <w:rFonts w:asciiTheme="majorBidi" w:hAnsiTheme="majorBidi" w:cstheme="majorBidi"/>
        </w:rPr>
        <w:t xml:space="preserve"> greatly facilitate the process</w:t>
      </w:r>
      <w:r w:rsidR="000F352B">
        <w:rPr>
          <w:rFonts w:asciiTheme="majorBidi" w:hAnsiTheme="majorBidi" w:cstheme="majorBidi"/>
        </w:rPr>
        <w:t>;</w:t>
      </w:r>
      <w:r w:rsidRPr="00D2758E">
        <w:rPr>
          <w:rFonts w:asciiTheme="majorBidi" w:hAnsiTheme="majorBidi" w:cstheme="majorBidi"/>
        </w:rPr>
        <w:t xml:space="preserve"> </w:t>
      </w:r>
    </w:p>
    <w:p w14:paraId="77F8ABB7" w14:textId="195A4D61" w:rsidR="00FE6B09" w:rsidRPr="00D2758E" w:rsidRDefault="00FE6B09" w:rsidP="00A558F3">
      <w:pPr>
        <w:pStyle w:val="CBDNormalNumber"/>
        <w:numPr>
          <w:ilvl w:val="1"/>
          <w:numId w:val="7"/>
        </w:numPr>
        <w:rPr>
          <w:rFonts w:asciiTheme="majorBidi" w:hAnsiTheme="majorBidi" w:cstheme="majorBidi"/>
        </w:rPr>
      </w:pPr>
      <w:r w:rsidRPr="00D2758E">
        <w:rPr>
          <w:rFonts w:asciiTheme="majorBidi" w:hAnsiTheme="majorBidi" w:cstheme="majorBidi"/>
        </w:rPr>
        <w:t>User support systems, including online systems</w:t>
      </w:r>
      <w:r w:rsidR="000725D1" w:rsidRPr="00D2758E">
        <w:rPr>
          <w:rFonts w:asciiTheme="majorBidi" w:hAnsiTheme="majorBidi" w:cstheme="majorBidi"/>
        </w:rPr>
        <w:t xml:space="preserve"> for submitting and tracking </w:t>
      </w:r>
      <w:r w:rsidR="00652960" w:rsidRPr="00652960">
        <w:rPr>
          <w:rFonts w:asciiTheme="majorBidi" w:hAnsiTheme="majorBidi" w:cstheme="majorBidi"/>
        </w:rPr>
        <w:t xml:space="preserve">access and benefit-sharing </w:t>
      </w:r>
      <w:r w:rsidR="000725D1" w:rsidRPr="00D2758E">
        <w:t>applications</w:t>
      </w:r>
      <w:r w:rsidRPr="00D2758E">
        <w:rPr>
          <w:rFonts w:asciiTheme="majorBidi" w:hAnsiTheme="majorBidi" w:cstheme="majorBidi"/>
        </w:rPr>
        <w:t xml:space="preserve">, </w:t>
      </w:r>
      <w:r w:rsidR="00BB69A7">
        <w:rPr>
          <w:rFonts w:asciiTheme="majorBidi" w:hAnsiTheme="majorBidi" w:cstheme="majorBidi"/>
        </w:rPr>
        <w:t>could</w:t>
      </w:r>
      <w:r w:rsidRPr="00D2758E">
        <w:rPr>
          <w:rFonts w:asciiTheme="majorBidi" w:hAnsiTheme="majorBidi" w:cstheme="majorBidi"/>
        </w:rPr>
        <w:t xml:space="preserve"> help enhance legal certainty for users and contribute to a more predictable environment for investments</w:t>
      </w:r>
      <w:r w:rsidR="000F352B">
        <w:rPr>
          <w:rFonts w:asciiTheme="majorBidi" w:hAnsiTheme="majorBidi" w:cstheme="majorBidi"/>
        </w:rPr>
        <w:t>;</w:t>
      </w:r>
    </w:p>
    <w:p w14:paraId="6CB1CE30" w14:textId="120D2484" w:rsidR="00FE6B09" w:rsidRPr="00D2758E" w:rsidRDefault="000D7866" w:rsidP="00A558F3">
      <w:pPr>
        <w:pStyle w:val="CBDNormalNumber"/>
        <w:numPr>
          <w:ilvl w:val="1"/>
          <w:numId w:val="7"/>
        </w:numPr>
        <w:rPr>
          <w:rFonts w:asciiTheme="majorBidi" w:hAnsiTheme="majorBidi" w:cstheme="majorBidi"/>
        </w:rPr>
      </w:pPr>
      <w:r>
        <w:rPr>
          <w:rFonts w:asciiTheme="majorBidi" w:hAnsiTheme="majorBidi" w:cstheme="majorBidi"/>
        </w:rPr>
        <w:t xml:space="preserve">Availability </w:t>
      </w:r>
      <w:r w:rsidR="00720A87">
        <w:rPr>
          <w:rFonts w:asciiTheme="majorBidi" w:hAnsiTheme="majorBidi" w:cstheme="majorBidi"/>
        </w:rPr>
        <w:t xml:space="preserve">of </w:t>
      </w:r>
      <w:r w:rsidR="0060543A">
        <w:rPr>
          <w:rFonts w:asciiTheme="majorBidi" w:hAnsiTheme="majorBidi" w:cstheme="majorBidi"/>
        </w:rPr>
        <w:t>s</w:t>
      </w:r>
      <w:r w:rsidR="00FE6B09" w:rsidRPr="00D2758E">
        <w:rPr>
          <w:rFonts w:asciiTheme="majorBidi" w:hAnsiTheme="majorBidi" w:cstheme="majorBidi"/>
        </w:rPr>
        <w:t xml:space="preserve">upportive and responsive </w:t>
      </w:r>
      <w:r w:rsidR="00DE7F41" w:rsidRPr="00D2758E">
        <w:rPr>
          <w:rFonts w:asciiTheme="majorBidi" w:hAnsiTheme="majorBidi" w:cstheme="majorBidi"/>
        </w:rPr>
        <w:t xml:space="preserve">national focal points </w:t>
      </w:r>
      <w:r w:rsidR="00FE6B09" w:rsidRPr="00D2758E">
        <w:rPr>
          <w:rFonts w:asciiTheme="majorBidi" w:hAnsiTheme="majorBidi" w:cstheme="majorBidi"/>
        </w:rPr>
        <w:t xml:space="preserve">and </w:t>
      </w:r>
      <w:r w:rsidR="00DE7F41" w:rsidRPr="00D2758E">
        <w:rPr>
          <w:rFonts w:asciiTheme="majorBidi" w:hAnsiTheme="majorBidi" w:cstheme="majorBidi"/>
        </w:rPr>
        <w:t>c</w:t>
      </w:r>
      <w:r w:rsidR="00A32EA1" w:rsidRPr="00D2758E">
        <w:rPr>
          <w:rFonts w:asciiTheme="majorBidi" w:hAnsiTheme="majorBidi" w:cstheme="majorBidi"/>
        </w:rPr>
        <w:t>ompetent national authorities</w:t>
      </w:r>
      <w:r w:rsidR="00FE6B09" w:rsidRPr="00D2758E">
        <w:rPr>
          <w:rFonts w:asciiTheme="majorBidi" w:hAnsiTheme="majorBidi" w:cstheme="majorBidi"/>
        </w:rPr>
        <w:t xml:space="preserve"> when </w:t>
      </w:r>
      <w:r w:rsidR="00EF1808" w:rsidRPr="00D2758E">
        <w:t>access</w:t>
      </w:r>
      <w:r w:rsidR="00EF1808" w:rsidRPr="00D2758E">
        <w:rPr>
          <w:rFonts w:asciiTheme="majorBidi" w:hAnsiTheme="majorBidi" w:cstheme="majorBidi"/>
        </w:rPr>
        <w:t xml:space="preserve"> requests </w:t>
      </w:r>
      <w:r w:rsidR="00EF1808">
        <w:rPr>
          <w:rFonts w:asciiTheme="majorBidi" w:hAnsiTheme="majorBidi" w:cstheme="majorBidi"/>
        </w:rPr>
        <w:t xml:space="preserve">were being </w:t>
      </w:r>
      <w:r w:rsidR="00FE6B09" w:rsidRPr="00D2758E">
        <w:rPr>
          <w:rFonts w:asciiTheme="majorBidi" w:hAnsiTheme="majorBidi" w:cstheme="majorBidi"/>
        </w:rPr>
        <w:t>receiv</w:t>
      </w:r>
      <w:r w:rsidR="00FA4452">
        <w:rPr>
          <w:rFonts w:asciiTheme="majorBidi" w:hAnsiTheme="majorBidi" w:cstheme="majorBidi"/>
        </w:rPr>
        <w:t>ed</w:t>
      </w:r>
      <w:r w:rsidR="00FE6B09" w:rsidRPr="00D2758E">
        <w:rPr>
          <w:rFonts w:asciiTheme="majorBidi" w:hAnsiTheme="majorBidi" w:cstheme="majorBidi"/>
        </w:rPr>
        <w:t xml:space="preserve"> </w:t>
      </w:r>
      <w:r w:rsidR="00975EC3" w:rsidRPr="00D2758E">
        <w:rPr>
          <w:rFonts w:asciiTheme="majorBidi" w:hAnsiTheme="majorBidi" w:cstheme="majorBidi"/>
        </w:rPr>
        <w:t>and during the negotiation of benefit</w:t>
      </w:r>
      <w:r w:rsidR="00BB69A7">
        <w:rPr>
          <w:rFonts w:asciiTheme="majorBidi" w:hAnsiTheme="majorBidi" w:cstheme="majorBidi"/>
        </w:rPr>
        <w:t xml:space="preserve"> </w:t>
      </w:r>
      <w:r w:rsidR="00975EC3" w:rsidRPr="00D2758E">
        <w:rPr>
          <w:rFonts w:asciiTheme="majorBidi" w:hAnsiTheme="majorBidi" w:cstheme="majorBidi"/>
        </w:rPr>
        <w:t>sharing</w:t>
      </w:r>
      <w:r w:rsidR="000F352B">
        <w:rPr>
          <w:rFonts w:asciiTheme="majorBidi" w:hAnsiTheme="majorBidi" w:cstheme="majorBidi"/>
        </w:rPr>
        <w:t>;</w:t>
      </w:r>
    </w:p>
    <w:p w14:paraId="473BF0DD" w14:textId="2E543D36" w:rsidR="00ED523F" w:rsidRPr="00D2758E" w:rsidRDefault="00FE6B09" w:rsidP="00A558F3">
      <w:pPr>
        <w:pStyle w:val="CBDNormalNumber"/>
        <w:numPr>
          <w:ilvl w:val="1"/>
          <w:numId w:val="7"/>
        </w:numPr>
        <w:rPr>
          <w:rFonts w:asciiTheme="majorBidi" w:hAnsiTheme="majorBidi" w:cstheme="majorBidi"/>
        </w:rPr>
      </w:pPr>
      <w:r w:rsidRPr="00D2758E">
        <w:rPr>
          <w:rFonts w:asciiTheme="majorBidi" w:hAnsiTheme="majorBidi" w:cstheme="majorBidi"/>
        </w:rPr>
        <w:t>Simplified procedures for non-commercial use</w:t>
      </w:r>
      <w:r w:rsidR="00AF0E10">
        <w:rPr>
          <w:rFonts w:asciiTheme="majorBidi" w:hAnsiTheme="majorBidi" w:cstheme="majorBidi"/>
        </w:rPr>
        <w:t>, which would</w:t>
      </w:r>
      <w:r w:rsidRPr="00D2758E">
        <w:rPr>
          <w:rFonts w:asciiTheme="majorBidi" w:hAnsiTheme="majorBidi" w:cstheme="majorBidi"/>
        </w:rPr>
        <w:t xml:space="preserve"> facilitate access and enable countries to maintain </w:t>
      </w:r>
      <w:r w:rsidRPr="00D2758E">
        <w:t>oversight</w:t>
      </w:r>
      <w:r w:rsidRPr="00D2758E">
        <w:rPr>
          <w:rFonts w:asciiTheme="majorBidi" w:hAnsiTheme="majorBidi" w:cstheme="majorBidi"/>
        </w:rPr>
        <w:t xml:space="preserve"> while avoiding barriers to mutually beneficial scientific activities</w:t>
      </w:r>
      <w:r w:rsidR="000F352B">
        <w:rPr>
          <w:rFonts w:asciiTheme="majorBidi" w:hAnsiTheme="majorBidi" w:cstheme="majorBidi"/>
        </w:rPr>
        <w:t>;</w:t>
      </w:r>
    </w:p>
    <w:p w14:paraId="2AB722DE" w14:textId="46109E33" w:rsidR="006839F4" w:rsidRPr="00D2758E" w:rsidRDefault="00FE6B09" w:rsidP="00A558F3">
      <w:pPr>
        <w:pStyle w:val="CBDNormalNumber"/>
        <w:numPr>
          <w:ilvl w:val="1"/>
          <w:numId w:val="7"/>
        </w:numPr>
        <w:rPr>
          <w:rFonts w:asciiTheme="majorBidi" w:hAnsiTheme="majorBidi" w:cstheme="majorBidi"/>
        </w:rPr>
      </w:pPr>
      <w:r w:rsidRPr="00D2758E">
        <w:rPr>
          <w:rFonts w:asciiTheme="majorBidi" w:hAnsiTheme="majorBidi" w:cstheme="majorBidi"/>
        </w:rPr>
        <w:t xml:space="preserve">Keeping information </w:t>
      </w:r>
      <w:r w:rsidR="00B9792A">
        <w:rPr>
          <w:rFonts w:asciiTheme="majorBidi" w:hAnsiTheme="majorBidi" w:cstheme="majorBidi"/>
        </w:rPr>
        <w:t>o</w:t>
      </w:r>
      <w:r w:rsidRPr="00D2758E">
        <w:rPr>
          <w:rFonts w:asciiTheme="majorBidi" w:hAnsiTheme="majorBidi" w:cstheme="majorBidi"/>
        </w:rPr>
        <w:t xml:space="preserve">n the </w:t>
      </w:r>
      <w:r w:rsidR="00B9792A">
        <w:rPr>
          <w:rFonts w:asciiTheme="majorBidi" w:hAnsiTheme="majorBidi" w:cstheme="majorBidi"/>
        </w:rPr>
        <w:t xml:space="preserve">Access and Benefit-sharing </w:t>
      </w:r>
      <w:r w:rsidRPr="00D2758E">
        <w:rPr>
          <w:rFonts w:asciiTheme="majorBidi" w:hAnsiTheme="majorBidi" w:cstheme="majorBidi"/>
        </w:rPr>
        <w:t>Clearing-House up</w:t>
      </w:r>
      <w:r w:rsidR="00B9792A">
        <w:rPr>
          <w:rFonts w:asciiTheme="majorBidi" w:hAnsiTheme="majorBidi" w:cstheme="majorBidi"/>
        </w:rPr>
        <w:t xml:space="preserve"> </w:t>
      </w:r>
      <w:r w:rsidRPr="00D2758E">
        <w:rPr>
          <w:rFonts w:asciiTheme="majorBidi" w:hAnsiTheme="majorBidi" w:cstheme="majorBidi"/>
        </w:rPr>
        <w:t>to</w:t>
      </w:r>
      <w:r w:rsidR="00B9792A">
        <w:rPr>
          <w:rFonts w:asciiTheme="majorBidi" w:hAnsiTheme="majorBidi" w:cstheme="majorBidi"/>
        </w:rPr>
        <w:t xml:space="preserve"> </w:t>
      </w:r>
      <w:r w:rsidRPr="00D2758E">
        <w:rPr>
          <w:rFonts w:asciiTheme="majorBidi" w:hAnsiTheme="majorBidi" w:cstheme="majorBidi"/>
        </w:rPr>
        <w:t>date and reliable</w:t>
      </w:r>
      <w:r w:rsidR="00B9792A">
        <w:rPr>
          <w:rFonts w:asciiTheme="majorBidi" w:hAnsiTheme="majorBidi" w:cstheme="majorBidi"/>
        </w:rPr>
        <w:t>, which</w:t>
      </w:r>
      <w:r w:rsidR="00352269">
        <w:rPr>
          <w:rFonts w:asciiTheme="majorBidi" w:hAnsiTheme="majorBidi" w:cstheme="majorBidi"/>
        </w:rPr>
        <w:t xml:space="preserve"> would</w:t>
      </w:r>
      <w:r w:rsidRPr="00D2758E">
        <w:rPr>
          <w:rFonts w:asciiTheme="majorBidi" w:hAnsiTheme="majorBidi" w:cstheme="majorBidi"/>
        </w:rPr>
        <w:t xml:space="preserve"> strengthen credibility at </w:t>
      </w:r>
      <w:r w:rsidRPr="00D2758E">
        <w:t>both</w:t>
      </w:r>
      <w:r w:rsidRPr="00D2758E">
        <w:rPr>
          <w:rFonts w:asciiTheme="majorBidi" w:hAnsiTheme="majorBidi" w:cstheme="majorBidi"/>
        </w:rPr>
        <w:t xml:space="preserve"> the national and international levels, enhance trust in the system and make </w:t>
      </w:r>
      <w:r w:rsidR="001B7B31">
        <w:rPr>
          <w:rFonts w:asciiTheme="majorBidi" w:hAnsiTheme="majorBidi" w:cstheme="majorBidi"/>
        </w:rPr>
        <w:t>a</w:t>
      </w:r>
      <w:r w:rsidR="00352269" w:rsidRPr="00352269">
        <w:rPr>
          <w:rFonts w:asciiTheme="majorBidi" w:hAnsiTheme="majorBidi" w:cstheme="majorBidi"/>
        </w:rPr>
        <w:t xml:space="preserve">ccess and </w:t>
      </w:r>
      <w:r w:rsidR="001B7B31">
        <w:rPr>
          <w:rFonts w:asciiTheme="majorBidi" w:hAnsiTheme="majorBidi" w:cstheme="majorBidi"/>
        </w:rPr>
        <w:t>b</w:t>
      </w:r>
      <w:r w:rsidR="00352269" w:rsidRPr="00352269">
        <w:rPr>
          <w:rFonts w:asciiTheme="majorBidi" w:hAnsiTheme="majorBidi" w:cstheme="majorBidi"/>
        </w:rPr>
        <w:t xml:space="preserve">enefit-sharing </w:t>
      </w:r>
      <w:r w:rsidRPr="00D2758E">
        <w:rPr>
          <w:rFonts w:asciiTheme="majorBidi" w:hAnsiTheme="majorBidi" w:cstheme="majorBidi"/>
        </w:rPr>
        <w:t>requirements easier for foreign researchers and companies to understand and follow.</w:t>
      </w:r>
    </w:p>
    <w:p w14:paraId="58DDB564" w14:textId="28C9FB1A" w:rsidR="00EA7E23" w:rsidRPr="00D2758E" w:rsidRDefault="00A12599" w:rsidP="00CD2C50">
      <w:pPr>
        <w:pStyle w:val="CBDNormalNumber"/>
      </w:pPr>
      <w:r w:rsidRPr="00D2758E">
        <w:rPr>
          <w:rFonts w:asciiTheme="majorBidi" w:hAnsiTheme="majorBidi" w:cstheme="majorBidi"/>
        </w:rPr>
        <w:t xml:space="preserve">The </w:t>
      </w:r>
      <w:proofErr w:type="gramStart"/>
      <w:r w:rsidRPr="00D2758E">
        <w:rPr>
          <w:rFonts w:asciiTheme="majorBidi" w:hAnsiTheme="majorBidi" w:cstheme="majorBidi"/>
        </w:rPr>
        <w:t>Clearing-House</w:t>
      </w:r>
      <w:proofErr w:type="gramEnd"/>
      <w:r w:rsidRPr="00D2758E">
        <w:rPr>
          <w:rFonts w:asciiTheme="majorBidi" w:hAnsiTheme="majorBidi" w:cstheme="majorBidi"/>
        </w:rPr>
        <w:t xml:space="preserve"> can play an important role in facilitating </w:t>
      </w:r>
      <w:r w:rsidR="005F172F" w:rsidRPr="00D2758E">
        <w:rPr>
          <w:rFonts w:asciiTheme="majorBidi" w:hAnsiTheme="majorBidi" w:cstheme="majorBidi"/>
        </w:rPr>
        <w:t xml:space="preserve">access to </w:t>
      </w:r>
      <w:r w:rsidR="00312A0A" w:rsidRPr="00D2758E">
        <w:rPr>
          <w:rFonts w:asciiTheme="majorBidi" w:hAnsiTheme="majorBidi" w:cstheme="majorBidi"/>
        </w:rPr>
        <w:t>standardi</w:t>
      </w:r>
      <w:r w:rsidR="00682909">
        <w:rPr>
          <w:rFonts w:asciiTheme="majorBidi" w:hAnsiTheme="majorBidi" w:cstheme="majorBidi"/>
        </w:rPr>
        <w:t>z</w:t>
      </w:r>
      <w:r w:rsidR="00312A0A" w:rsidRPr="00D2758E">
        <w:rPr>
          <w:rFonts w:asciiTheme="majorBidi" w:hAnsiTheme="majorBidi" w:cstheme="majorBidi"/>
        </w:rPr>
        <w:t>ed</w:t>
      </w:r>
      <w:r w:rsidR="005F172F" w:rsidRPr="00D2758E">
        <w:rPr>
          <w:rFonts w:asciiTheme="majorBidi" w:hAnsiTheme="majorBidi" w:cstheme="majorBidi"/>
        </w:rPr>
        <w:t xml:space="preserve"> information r</w:t>
      </w:r>
      <w:r w:rsidR="00D17E98" w:rsidRPr="00D2758E">
        <w:rPr>
          <w:rFonts w:asciiTheme="majorBidi" w:hAnsiTheme="majorBidi" w:cstheme="majorBidi"/>
        </w:rPr>
        <w:t xml:space="preserve">elevant </w:t>
      </w:r>
      <w:r w:rsidR="002D5143">
        <w:rPr>
          <w:rFonts w:asciiTheme="majorBidi" w:hAnsiTheme="majorBidi" w:cstheme="majorBidi"/>
        </w:rPr>
        <w:t>for</w:t>
      </w:r>
      <w:r w:rsidR="00D17E98" w:rsidRPr="00D2758E">
        <w:rPr>
          <w:rFonts w:asciiTheme="majorBidi" w:hAnsiTheme="majorBidi" w:cstheme="majorBidi"/>
        </w:rPr>
        <w:t xml:space="preserve"> access to genetic resources and </w:t>
      </w:r>
      <w:r w:rsidR="00B3795C" w:rsidRPr="00D2758E">
        <w:rPr>
          <w:rFonts w:asciiTheme="majorBidi" w:hAnsiTheme="majorBidi" w:cstheme="majorBidi"/>
        </w:rPr>
        <w:t>associated traditional knowledge</w:t>
      </w:r>
      <w:r w:rsidR="002D60B4" w:rsidRPr="00D2758E">
        <w:rPr>
          <w:rFonts w:asciiTheme="majorBidi" w:hAnsiTheme="majorBidi" w:cstheme="majorBidi"/>
        </w:rPr>
        <w:t xml:space="preserve"> and as the main repository </w:t>
      </w:r>
      <w:r w:rsidR="00312A0A" w:rsidRPr="00D2758E">
        <w:rPr>
          <w:rFonts w:asciiTheme="majorBidi" w:hAnsiTheme="majorBidi" w:cstheme="majorBidi"/>
        </w:rPr>
        <w:t xml:space="preserve">for </w:t>
      </w:r>
      <w:r w:rsidR="00783E71">
        <w:rPr>
          <w:rFonts w:asciiTheme="majorBidi" w:hAnsiTheme="majorBidi" w:cstheme="majorBidi"/>
        </w:rPr>
        <w:t xml:space="preserve">the </w:t>
      </w:r>
      <w:r w:rsidR="00312A0A" w:rsidRPr="00D2758E">
        <w:rPr>
          <w:rFonts w:asciiTheme="majorBidi" w:hAnsiTheme="majorBidi" w:cstheme="majorBidi"/>
        </w:rPr>
        <w:t xml:space="preserve">sharing </w:t>
      </w:r>
      <w:r w:rsidR="00783E71">
        <w:rPr>
          <w:rFonts w:asciiTheme="majorBidi" w:hAnsiTheme="majorBidi" w:cstheme="majorBidi"/>
        </w:rPr>
        <w:t xml:space="preserve">of </w:t>
      </w:r>
      <w:r w:rsidR="00312A0A" w:rsidRPr="00D2758E">
        <w:rPr>
          <w:rFonts w:asciiTheme="majorBidi" w:hAnsiTheme="majorBidi" w:cstheme="majorBidi"/>
        </w:rPr>
        <w:t>information on implementation of the Protocol and best practices.</w:t>
      </w:r>
      <w:r w:rsidR="00312A0A" w:rsidRPr="00D2758E">
        <w:rPr>
          <w:rStyle w:val="FootnoteReference"/>
          <w:rFonts w:asciiTheme="majorBidi" w:hAnsiTheme="majorBidi" w:cstheme="majorBidi"/>
        </w:rPr>
        <w:footnoteReference w:id="28"/>
      </w:r>
    </w:p>
    <w:p w14:paraId="288162C7" w14:textId="09F69C82" w:rsidR="00B16697" w:rsidRPr="00D2758E" w:rsidRDefault="00964C12" w:rsidP="00CD2C50">
      <w:pPr>
        <w:pStyle w:val="CBDNormalNumber"/>
      </w:pPr>
      <w:proofErr w:type="gramStart"/>
      <w:r w:rsidRPr="00D2758E">
        <w:rPr>
          <w:rFonts w:asciiTheme="majorBidi" w:hAnsiTheme="majorBidi" w:cstheme="majorBidi"/>
        </w:rPr>
        <w:t xml:space="preserve">A </w:t>
      </w:r>
      <w:r w:rsidRPr="00D2758E">
        <w:t>number of</w:t>
      </w:r>
      <w:proofErr w:type="gramEnd"/>
      <w:r w:rsidRPr="00D2758E">
        <w:t xml:space="preserve"> mechanisms have been suggested </w:t>
      </w:r>
      <w:r w:rsidR="00093C3D" w:rsidRPr="00D2758E">
        <w:t xml:space="preserve">in the scoping study </w:t>
      </w:r>
      <w:r w:rsidR="001825FC">
        <w:t>for</w:t>
      </w:r>
      <w:r w:rsidRPr="00D2758E">
        <w:t xml:space="preserve"> support</w:t>
      </w:r>
      <w:r w:rsidR="001825FC">
        <w:t>ing</w:t>
      </w:r>
      <w:r w:rsidRPr="00D2758E">
        <w:t xml:space="preserve"> </w:t>
      </w:r>
      <w:r w:rsidR="001825FC" w:rsidRPr="001825FC">
        <w:t xml:space="preserve">access and benefit-sharing </w:t>
      </w:r>
      <w:r w:rsidRPr="00D2758E">
        <w:t>partnerships</w:t>
      </w:r>
      <w:r w:rsidR="009E3519">
        <w:t>,</w:t>
      </w:r>
      <w:r w:rsidRPr="00D2758E">
        <w:t xml:space="preserve"> includ</w:t>
      </w:r>
      <w:r w:rsidR="009E3519">
        <w:t>ing</w:t>
      </w:r>
      <w:r w:rsidR="00B16697" w:rsidRPr="00D2758E">
        <w:t>:</w:t>
      </w:r>
    </w:p>
    <w:p w14:paraId="2D68B07B" w14:textId="56A77573" w:rsidR="00964C12" w:rsidRPr="00D2758E" w:rsidRDefault="00791A9A" w:rsidP="00A558F3">
      <w:pPr>
        <w:pStyle w:val="CBDNormalNumber"/>
        <w:numPr>
          <w:ilvl w:val="1"/>
          <w:numId w:val="7"/>
        </w:numPr>
        <w:rPr>
          <w:rFonts w:asciiTheme="majorBidi" w:hAnsiTheme="majorBidi" w:cstheme="majorBidi"/>
        </w:rPr>
      </w:pPr>
      <w:r>
        <w:rPr>
          <w:rFonts w:asciiTheme="majorBidi" w:hAnsiTheme="majorBidi" w:cstheme="majorBidi"/>
        </w:rPr>
        <w:t>T</w:t>
      </w:r>
      <w:r w:rsidR="00964C12" w:rsidRPr="00D2758E">
        <w:rPr>
          <w:rFonts w:asciiTheme="majorBidi" w:hAnsiTheme="majorBidi" w:cstheme="majorBidi"/>
        </w:rPr>
        <w:t xml:space="preserve">echnical or legal advisory services </w:t>
      </w:r>
      <w:r w:rsidR="009E3519" w:rsidRPr="00D2758E">
        <w:t>availab</w:t>
      </w:r>
      <w:r w:rsidR="009E3519">
        <w:t>le</w:t>
      </w:r>
      <w:r>
        <w:rPr>
          <w:rFonts w:asciiTheme="majorBidi" w:hAnsiTheme="majorBidi" w:cstheme="majorBidi"/>
        </w:rPr>
        <w:t xml:space="preserve"> to</w:t>
      </w:r>
      <w:r w:rsidR="00964C12" w:rsidRPr="00D2758E">
        <w:rPr>
          <w:rFonts w:asciiTheme="majorBidi" w:hAnsiTheme="majorBidi" w:cstheme="majorBidi"/>
        </w:rPr>
        <w:t xml:space="preserve"> users and providers</w:t>
      </w:r>
      <w:r w:rsidR="000F352B">
        <w:rPr>
          <w:rFonts w:asciiTheme="majorBidi" w:hAnsiTheme="majorBidi" w:cstheme="majorBidi"/>
        </w:rPr>
        <w:t>;</w:t>
      </w:r>
    </w:p>
    <w:p w14:paraId="1CC4ECE5" w14:textId="1D55B697" w:rsidR="002E726D" w:rsidRPr="00D2758E" w:rsidRDefault="002E726D" w:rsidP="00A558F3">
      <w:pPr>
        <w:pStyle w:val="CBDNormalNumber"/>
        <w:numPr>
          <w:ilvl w:val="1"/>
          <w:numId w:val="7"/>
        </w:numPr>
        <w:rPr>
          <w:rFonts w:asciiTheme="majorBidi" w:hAnsiTheme="majorBidi" w:cstheme="majorBidi"/>
        </w:rPr>
      </w:pPr>
      <w:r w:rsidRPr="00D2758E">
        <w:rPr>
          <w:rFonts w:asciiTheme="majorBidi" w:hAnsiTheme="majorBidi" w:cstheme="majorBidi"/>
        </w:rPr>
        <w:t xml:space="preserve">A central </w:t>
      </w:r>
      <w:r w:rsidRPr="00D2758E">
        <w:t>organi</w:t>
      </w:r>
      <w:r w:rsidR="0072298D">
        <w:t>z</w:t>
      </w:r>
      <w:r w:rsidRPr="00D2758E">
        <w:t>ed</w:t>
      </w:r>
      <w:r w:rsidRPr="00D2758E">
        <w:rPr>
          <w:rFonts w:asciiTheme="majorBidi" w:hAnsiTheme="majorBidi" w:cstheme="majorBidi"/>
        </w:rPr>
        <w:t xml:space="preserve"> mediator, including for knowledge</w:t>
      </w:r>
      <w:r w:rsidR="00A3240B">
        <w:rPr>
          <w:rFonts w:asciiTheme="majorBidi" w:hAnsiTheme="majorBidi" w:cstheme="majorBidi"/>
        </w:rPr>
        <w:t>-</w:t>
      </w:r>
      <w:r w:rsidRPr="00D2758E">
        <w:rPr>
          <w:rFonts w:asciiTheme="majorBidi" w:hAnsiTheme="majorBidi" w:cstheme="majorBidi"/>
        </w:rPr>
        <w:t>sharing between users and providers</w:t>
      </w:r>
      <w:r w:rsidR="000F352B">
        <w:rPr>
          <w:rFonts w:asciiTheme="majorBidi" w:hAnsiTheme="majorBidi" w:cstheme="majorBidi"/>
        </w:rPr>
        <w:t>;</w:t>
      </w:r>
    </w:p>
    <w:p w14:paraId="77888782" w14:textId="4A90F10F" w:rsidR="002E726D" w:rsidRPr="00D2758E" w:rsidRDefault="00B16697" w:rsidP="00A558F3">
      <w:pPr>
        <w:pStyle w:val="CBDNormalNumber"/>
        <w:numPr>
          <w:ilvl w:val="1"/>
          <w:numId w:val="7"/>
        </w:numPr>
        <w:rPr>
          <w:rFonts w:asciiTheme="majorBidi" w:hAnsiTheme="majorBidi" w:cstheme="majorBidi"/>
        </w:rPr>
      </w:pPr>
      <w:r w:rsidRPr="00D2758E">
        <w:rPr>
          <w:rFonts w:asciiTheme="majorBidi" w:hAnsiTheme="majorBidi" w:cstheme="majorBidi"/>
        </w:rPr>
        <w:t xml:space="preserve">Embedding </w:t>
      </w:r>
      <w:r w:rsidR="009F06FC">
        <w:rPr>
          <w:rFonts w:asciiTheme="majorBidi" w:hAnsiTheme="majorBidi" w:cstheme="majorBidi"/>
        </w:rPr>
        <w:t xml:space="preserve">of </w:t>
      </w:r>
      <w:r w:rsidR="009F06FC" w:rsidRPr="009F06FC">
        <w:rPr>
          <w:rFonts w:asciiTheme="majorBidi" w:hAnsiTheme="majorBidi" w:cstheme="majorBidi"/>
        </w:rPr>
        <w:t>access and benefit</w:t>
      </w:r>
      <w:r w:rsidR="009F06FC">
        <w:rPr>
          <w:rFonts w:asciiTheme="majorBidi" w:hAnsiTheme="majorBidi" w:cstheme="majorBidi"/>
        </w:rPr>
        <w:t xml:space="preserve"> </w:t>
      </w:r>
      <w:r w:rsidR="009F06FC" w:rsidRPr="009F06FC">
        <w:rPr>
          <w:rFonts w:asciiTheme="majorBidi" w:hAnsiTheme="majorBidi" w:cstheme="majorBidi"/>
        </w:rPr>
        <w:t xml:space="preserve">sharing </w:t>
      </w:r>
      <w:r w:rsidRPr="00D2758E">
        <w:rPr>
          <w:rFonts w:asciiTheme="majorBidi" w:hAnsiTheme="majorBidi" w:cstheme="majorBidi"/>
        </w:rPr>
        <w:t>within broader institutional cooperation frameworks (</w:t>
      </w:r>
      <w:r w:rsidR="007C37AC">
        <w:rPr>
          <w:rFonts w:asciiTheme="majorBidi" w:hAnsiTheme="majorBidi" w:cstheme="majorBidi"/>
        </w:rPr>
        <w:t>for example</w:t>
      </w:r>
      <w:r w:rsidRPr="00D2758E">
        <w:rPr>
          <w:rFonts w:asciiTheme="majorBidi" w:hAnsiTheme="majorBidi" w:cstheme="majorBidi"/>
        </w:rPr>
        <w:t xml:space="preserve">, </w:t>
      </w:r>
      <w:r w:rsidR="00474F8A" w:rsidRPr="00D2758E">
        <w:rPr>
          <w:rFonts w:asciiTheme="majorBidi" w:hAnsiTheme="majorBidi" w:cstheme="majorBidi"/>
        </w:rPr>
        <w:t>memorand</w:t>
      </w:r>
      <w:r w:rsidR="00791A9A">
        <w:rPr>
          <w:rFonts w:asciiTheme="majorBidi" w:hAnsiTheme="majorBidi" w:cstheme="majorBidi"/>
        </w:rPr>
        <w:t xml:space="preserve">ums </w:t>
      </w:r>
      <w:r w:rsidR="00474F8A" w:rsidRPr="00D2758E">
        <w:rPr>
          <w:rFonts w:asciiTheme="majorBidi" w:hAnsiTheme="majorBidi" w:cstheme="majorBidi"/>
        </w:rPr>
        <w:t xml:space="preserve">of </w:t>
      </w:r>
      <w:r w:rsidR="00474F8A" w:rsidRPr="00D2758E">
        <w:t>understanding</w:t>
      </w:r>
      <w:r w:rsidR="00474F8A" w:rsidRPr="00D2758E">
        <w:rPr>
          <w:rFonts w:asciiTheme="majorBidi" w:hAnsiTheme="majorBidi" w:cstheme="majorBidi"/>
        </w:rPr>
        <w:t xml:space="preserve"> </w:t>
      </w:r>
      <w:r w:rsidRPr="00D2758E">
        <w:rPr>
          <w:rFonts w:asciiTheme="majorBidi" w:hAnsiTheme="majorBidi" w:cstheme="majorBidi"/>
        </w:rPr>
        <w:t>between research organi</w:t>
      </w:r>
      <w:r w:rsidR="0088600E">
        <w:rPr>
          <w:rFonts w:asciiTheme="majorBidi" w:hAnsiTheme="majorBidi" w:cstheme="majorBidi"/>
        </w:rPr>
        <w:t>z</w:t>
      </w:r>
      <w:r w:rsidRPr="00D2758E">
        <w:rPr>
          <w:rFonts w:asciiTheme="majorBidi" w:hAnsiTheme="majorBidi" w:cstheme="majorBidi"/>
        </w:rPr>
        <w:t xml:space="preserve">ations, long-term research programmes </w:t>
      </w:r>
      <w:r w:rsidR="00C37C1B">
        <w:rPr>
          <w:rFonts w:asciiTheme="majorBidi" w:hAnsiTheme="majorBidi" w:cstheme="majorBidi"/>
        </w:rPr>
        <w:t xml:space="preserve">and </w:t>
      </w:r>
      <w:r w:rsidRPr="00D2758E">
        <w:rPr>
          <w:rFonts w:asciiTheme="majorBidi" w:hAnsiTheme="majorBidi" w:cstheme="majorBidi"/>
        </w:rPr>
        <w:t xml:space="preserve">regional networks) could transform </w:t>
      </w:r>
      <w:r w:rsidR="007C37AC" w:rsidRPr="007C37AC">
        <w:rPr>
          <w:rFonts w:asciiTheme="majorBidi" w:hAnsiTheme="majorBidi" w:cstheme="majorBidi"/>
        </w:rPr>
        <w:t xml:space="preserve">access and benefit sharing </w:t>
      </w:r>
      <w:r w:rsidRPr="00D2758E">
        <w:rPr>
          <w:rFonts w:asciiTheme="majorBidi" w:hAnsiTheme="majorBidi" w:cstheme="majorBidi"/>
        </w:rPr>
        <w:t>from a transactional process into a foundation for sustained collaboration, trust and mutually beneficial outcomes</w:t>
      </w:r>
      <w:r w:rsidR="000F352B">
        <w:rPr>
          <w:rFonts w:asciiTheme="majorBidi" w:hAnsiTheme="majorBidi" w:cstheme="majorBidi"/>
        </w:rPr>
        <w:t>;</w:t>
      </w:r>
    </w:p>
    <w:p w14:paraId="0C5F85D6" w14:textId="4A609818" w:rsidR="00B16697" w:rsidRPr="00D2758E" w:rsidRDefault="002A7596" w:rsidP="00A558F3">
      <w:pPr>
        <w:pStyle w:val="CBDNormalNumber"/>
        <w:numPr>
          <w:ilvl w:val="1"/>
          <w:numId w:val="7"/>
        </w:numPr>
        <w:rPr>
          <w:rFonts w:asciiTheme="majorBidi" w:hAnsiTheme="majorBidi" w:cstheme="majorBidi"/>
        </w:rPr>
      </w:pPr>
      <w:r>
        <w:t>E</w:t>
      </w:r>
      <w:r w:rsidR="006659F3" w:rsidRPr="00D2758E">
        <w:t>stablishment</w:t>
      </w:r>
      <w:r w:rsidR="006659F3" w:rsidRPr="00D2758E">
        <w:rPr>
          <w:rFonts w:asciiTheme="majorBidi" w:hAnsiTheme="majorBidi" w:cstheme="majorBidi"/>
        </w:rPr>
        <w:t xml:space="preserve"> of matchmaking platforms or hubs that could support public-private partnerships and connect users and providers</w:t>
      </w:r>
      <w:r w:rsidR="002B3B4B">
        <w:rPr>
          <w:rFonts w:asciiTheme="majorBidi" w:hAnsiTheme="majorBidi" w:cstheme="majorBidi"/>
        </w:rPr>
        <w:t xml:space="preserve"> and </w:t>
      </w:r>
      <w:r w:rsidR="006659F3" w:rsidRPr="00D2758E">
        <w:rPr>
          <w:rFonts w:asciiTheme="majorBidi" w:hAnsiTheme="majorBidi" w:cstheme="majorBidi"/>
        </w:rPr>
        <w:t xml:space="preserve">could also be used </w:t>
      </w:r>
      <w:r w:rsidR="00754601">
        <w:rPr>
          <w:rFonts w:asciiTheme="majorBidi" w:hAnsiTheme="majorBidi" w:cstheme="majorBidi"/>
        </w:rPr>
        <w:t>for</w:t>
      </w:r>
      <w:r w:rsidR="006659F3" w:rsidRPr="00D2758E">
        <w:rPr>
          <w:rFonts w:asciiTheme="majorBidi" w:hAnsiTheme="majorBidi" w:cstheme="majorBidi"/>
        </w:rPr>
        <w:t xml:space="preserve"> shar</w:t>
      </w:r>
      <w:r w:rsidR="00754601">
        <w:rPr>
          <w:rFonts w:asciiTheme="majorBidi" w:hAnsiTheme="majorBidi" w:cstheme="majorBidi"/>
        </w:rPr>
        <w:t>ing</w:t>
      </w:r>
      <w:r w:rsidR="006659F3" w:rsidRPr="00D2758E">
        <w:rPr>
          <w:rFonts w:asciiTheme="majorBidi" w:hAnsiTheme="majorBidi" w:cstheme="majorBidi"/>
        </w:rPr>
        <w:t xml:space="preserve"> best practices</w:t>
      </w:r>
      <w:r w:rsidR="00754601">
        <w:rPr>
          <w:rFonts w:asciiTheme="majorBidi" w:hAnsiTheme="majorBidi" w:cstheme="majorBidi"/>
        </w:rPr>
        <w:t xml:space="preserve"> and</w:t>
      </w:r>
      <w:r w:rsidR="006659F3" w:rsidRPr="00D2758E">
        <w:rPr>
          <w:rFonts w:asciiTheme="majorBidi" w:hAnsiTheme="majorBidi" w:cstheme="majorBidi"/>
        </w:rPr>
        <w:t xml:space="preserve"> support</w:t>
      </w:r>
      <w:r w:rsidR="00754601">
        <w:rPr>
          <w:rFonts w:asciiTheme="majorBidi" w:hAnsiTheme="majorBidi" w:cstheme="majorBidi"/>
        </w:rPr>
        <w:t>ing</w:t>
      </w:r>
      <w:r w:rsidR="006659F3" w:rsidRPr="00D2758E">
        <w:rPr>
          <w:rFonts w:asciiTheme="majorBidi" w:hAnsiTheme="majorBidi" w:cstheme="majorBidi"/>
        </w:rPr>
        <w:t xml:space="preserve"> research partnerships and joint activities</w:t>
      </w:r>
      <w:r w:rsidR="000F352B">
        <w:rPr>
          <w:rFonts w:asciiTheme="majorBidi" w:hAnsiTheme="majorBidi" w:cstheme="majorBidi"/>
        </w:rPr>
        <w:t>;</w:t>
      </w:r>
    </w:p>
    <w:p w14:paraId="524C324B" w14:textId="7EC0C57F" w:rsidR="00F3461C" w:rsidRPr="00D2758E" w:rsidRDefault="00D4767A" w:rsidP="00A558F3">
      <w:pPr>
        <w:pStyle w:val="CBDNormalNumber"/>
        <w:numPr>
          <w:ilvl w:val="1"/>
          <w:numId w:val="7"/>
        </w:numPr>
        <w:rPr>
          <w:rFonts w:asciiTheme="majorBidi" w:hAnsiTheme="majorBidi" w:cstheme="majorBidi"/>
        </w:rPr>
      </w:pPr>
      <w:r w:rsidRPr="00D2758E">
        <w:rPr>
          <w:rFonts w:asciiTheme="majorBidi" w:hAnsiTheme="majorBidi" w:cstheme="majorBidi"/>
        </w:rPr>
        <w:t>K</w:t>
      </w:r>
      <w:r w:rsidR="004C6891" w:rsidRPr="00D2758E">
        <w:rPr>
          <w:rFonts w:asciiTheme="majorBidi" w:hAnsiTheme="majorBidi" w:cstheme="majorBidi"/>
        </w:rPr>
        <w:t xml:space="preserve">nowledge </w:t>
      </w:r>
      <w:r w:rsidR="004C6891" w:rsidRPr="00D2758E">
        <w:t>exchange</w:t>
      </w:r>
      <w:r w:rsidR="004C6891" w:rsidRPr="00D2758E">
        <w:rPr>
          <w:rFonts w:asciiTheme="majorBidi" w:hAnsiTheme="majorBidi" w:cstheme="majorBidi"/>
        </w:rPr>
        <w:t xml:space="preserve"> forum </w:t>
      </w:r>
      <w:r w:rsidR="00D929D2">
        <w:rPr>
          <w:rFonts w:asciiTheme="majorBidi" w:hAnsiTheme="majorBidi" w:cstheme="majorBidi"/>
        </w:rPr>
        <w:t xml:space="preserve">to enable </w:t>
      </w:r>
      <w:r w:rsidR="004C6891" w:rsidRPr="00D2758E">
        <w:rPr>
          <w:rFonts w:asciiTheme="majorBidi" w:hAnsiTheme="majorBidi" w:cstheme="majorBidi"/>
        </w:rPr>
        <w:t xml:space="preserve">users and providers </w:t>
      </w:r>
      <w:r w:rsidR="005336B6">
        <w:rPr>
          <w:rFonts w:asciiTheme="majorBidi" w:hAnsiTheme="majorBidi" w:cstheme="majorBidi"/>
        </w:rPr>
        <w:t>to</w:t>
      </w:r>
      <w:r w:rsidR="004C6891" w:rsidRPr="00D2758E">
        <w:rPr>
          <w:rFonts w:asciiTheme="majorBidi" w:hAnsiTheme="majorBidi" w:cstheme="majorBidi"/>
        </w:rPr>
        <w:t xml:space="preserve"> share experience, clarify expectations and promote good practices.</w:t>
      </w:r>
    </w:p>
    <w:p w14:paraId="09D07A03" w14:textId="2C6FB93F" w:rsidR="00455F03" w:rsidRPr="00D2758E" w:rsidRDefault="000F352B" w:rsidP="000F352B">
      <w:pPr>
        <w:pStyle w:val="CBDH3"/>
      </w:pPr>
      <w:r>
        <w:t>4.</w:t>
      </w:r>
      <w:r>
        <w:tab/>
      </w:r>
      <w:r w:rsidR="00FB6271" w:rsidRPr="00091F70">
        <w:t xml:space="preserve">Measures on </w:t>
      </w:r>
      <w:r w:rsidR="008E21E1" w:rsidRPr="00091F70">
        <w:t>f</w:t>
      </w:r>
      <w:r w:rsidR="00AC4BC6" w:rsidRPr="00091F70">
        <w:t>ai</w:t>
      </w:r>
      <w:r w:rsidR="00455F03" w:rsidRPr="00091F70">
        <w:t>r and equitable benefit</w:t>
      </w:r>
      <w:r w:rsidR="00091F70" w:rsidRPr="00091F70">
        <w:t>-</w:t>
      </w:r>
      <w:r w:rsidR="00455F03" w:rsidRPr="00091F70">
        <w:t>sharing</w:t>
      </w:r>
      <w:r w:rsidR="00455F03" w:rsidRPr="00D2758E">
        <w:t xml:space="preserve"> (Article 5)</w:t>
      </w:r>
      <w:r w:rsidR="007F30B4" w:rsidRPr="00D2758E">
        <w:rPr>
          <w:rStyle w:val="FootnoteReference"/>
        </w:rPr>
        <w:footnoteReference w:id="29"/>
      </w:r>
    </w:p>
    <w:p w14:paraId="4DDFE731" w14:textId="7CCC4248" w:rsidR="00FB251B" w:rsidRPr="00D2758E" w:rsidRDefault="000F352B" w:rsidP="000F352B">
      <w:pPr>
        <w:pStyle w:val="CBDH4"/>
        <w:rPr>
          <w:rFonts w:asciiTheme="majorBidi" w:hAnsiTheme="majorBidi" w:cstheme="majorBidi"/>
        </w:rPr>
      </w:pPr>
      <w:r>
        <w:t>(a)</w:t>
      </w:r>
      <w:r>
        <w:tab/>
      </w:r>
      <w:r w:rsidR="00FB251B" w:rsidRPr="00D2758E">
        <w:t xml:space="preserve">Progress made in implementation and updated indicator data </w:t>
      </w:r>
    </w:p>
    <w:p w14:paraId="78F1EC20" w14:textId="15D13B3B" w:rsidR="00A50DE0" w:rsidRPr="00D2758E" w:rsidRDefault="00A50DE0" w:rsidP="00CD2C50">
      <w:pPr>
        <w:pStyle w:val="CBDNormalNumber"/>
        <w:rPr>
          <w:rFonts w:asciiTheme="majorBidi" w:hAnsiTheme="majorBidi" w:cstheme="majorBidi"/>
        </w:rPr>
      </w:pPr>
      <w:r w:rsidRPr="00D2758E">
        <w:rPr>
          <w:rFonts w:asciiTheme="majorBidi" w:hAnsiTheme="majorBidi" w:cstheme="majorBidi"/>
        </w:rPr>
        <w:t>Indicators on progress in implementing Article 5 of the Protocol reflect</w:t>
      </w:r>
      <w:r w:rsidR="009D3132">
        <w:rPr>
          <w:rFonts w:asciiTheme="majorBidi" w:hAnsiTheme="majorBidi" w:cstheme="majorBidi"/>
        </w:rPr>
        <w:t>ed</w:t>
      </w:r>
      <w:r w:rsidRPr="00D2758E">
        <w:rPr>
          <w:rFonts w:asciiTheme="majorBidi" w:hAnsiTheme="majorBidi" w:cstheme="majorBidi"/>
        </w:rPr>
        <w:t xml:space="preserve"> positive progress </w:t>
      </w:r>
      <w:proofErr w:type="gramStart"/>
      <w:r w:rsidR="002935F5" w:rsidRPr="00D2758E">
        <w:rPr>
          <w:rFonts w:asciiTheme="majorBidi" w:hAnsiTheme="majorBidi" w:cstheme="majorBidi"/>
        </w:rPr>
        <w:t xml:space="preserve">similar </w:t>
      </w:r>
      <w:r w:rsidR="009D3132">
        <w:rPr>
          <w:rFonts w:asciiTheme="majorBidi" w:hAnsiTheme="majorBidi" w:cstheme="majorBidi"/>
        </w:rPr>
        <w:t>to</w:t>
      </w:r>
      <w:proofErr w:type="gramEnd"/>
      <w:r w:rsidR="009D3132">
        <w:rPr>
          <w:rFonts w:asciiTheme="majorBidi" w:hAnsiTheme="majorBidi" w:cstheme="majorBidi"/>
        </w:rPr>
        <w:t xml:space="preserve"> t</w:t>
      </w:r>
      <w:r w:rsidR="003553FA">
        <w:rPr>
          <w:rFonts w:asciiTheme="majorBidi" w:hAnsiTheme="majorBidi" w:cstheme="majorBidi"/>
        </w:rPr>
        <w:t>he</w:t>
      </w:r>
      <w:r w:rsidR="00540E29">
        <w:rPr>
          <w:rFonts w:asciiTheme="majorBidi" w:hAnsiTheme="majorBidi" w:cstheme="majorBidi"/>
        </w:rPr>
        <w:t xml:space="preserve"> progress </w:t>
      </w:r>
      <w:r w:rsidR="003553FA">
        <w:rPr>
          <w:rFonts w:asciiTheme="majorBidi" w:hAnsiTheme="majorBidi" w:cstheme="majorBidi"/>
        </w:rPr>
        <w:t xml:space="preserve">reflected by indicators for </w:t>
      </w:r>
      <w:r w:rsidRPr="00D2758E">
        <w:rPr>
          <w:rFonts w:asciiTheme="majorBidi" w:hAnsiTheme="majorBidi" w:cstheme="majorBidi"/>
        </w:rPr>
        <w:t xml:space="preserve">access and </w:t>
      </w:r>
      <w:r w:rsidRPr="00D2758E">
        <w:t>institutions</w:t>
      </w:r>
      <w:r w:rsidRPr="00D2758E">
        <w:rPr>
          <w:rFonts w:asciiTheme="majorBidi" w:hAnsiTheme="majorBidi" w:cstheme="majorBidi"/>
        </w:rPr>
        <w:t xml:space="preserve">, which </w:t>
      </w:r>
      <w:r w:rsidR="003553FA">
        <w:rPr>
          <w:rFonts w:asciiTheme="majorBidi" w:hAnsiTheme="majorBidi" w:cstheme="majorBidi"/>
        </w:rPr>
        <w:t>was</w:t>
      </w:r>
      <w:r w:rsidR="005336B6">
        <w:rPr>
          <w:rFonts w:asciiTheme="majorBidi" w:hAnsiTheme="majorBidi" w:cstheme="majorBidi"/>
        </w:rPr>
        <w:t xml:space="preserve"> to be </w:t>
      </w:r>
      <w:r w:rsidRPr="00D2758E">
        <w:rPr>
          <w:rFonts w:asciiTheme="majorBidi" w:hAnsiTheme="majorBidi" w:cstheme="majorBidi"/>
        </w:rPr>
        <w:t>expected</w:t>
      </w:r>
      <w:r w:rsidR="0036268D">
        <w:rPr>
          <w:rFonts w:asciiTheme="majorBidi" w:hAnsiTheme="majorBidi" w:cstheme="majorBidi"/>
        </w:rPr>
        <w:t xml:space="preserve"> </w:t>
      </w:r>
      <w:proofErr w:type="gramStart"/>
      <w:r w:rsidR="0036268D">
        <w:rPr>
          <w:rFonts w:asciiTheme="majorBidi" w:hAnsiTheme="majorBidi" w:cstheme="majorBidi"/>
        </w:rPr>
        <w:t>inasmuch</w:t>
      </w:r>
      <w:r w:rsidRPr="00D2758E">
        <w:rPr>
          <w:rFonts w:asciiTheme="majorBidi" w:hAnsiTheme="majorBidi" w:cstheme="majorBidi"/>
        </w:rPr>
        <w:t xml:space="preserve"> as</w:t>
      </w:r>
      <w:proofErr w:type="gramEnd"/>
      <w:r w:rsidRPr="00D2758E">
        <w:rPr>
          <w:rFonts w:asciiTheme="majorBidi" w:hAnsiTheme="majorBidi" w:cstheme="majorBidi"/>
        </w:rPr>
        <w:t xml:space="preserve"> </w:t>
      </w:r>
      <w:proofErr w:type="gramStart"/>
      <w:r w:rsidRPr="00D2758E">
        <w:rPr>
          <w:rFonts w:asciiTheme="majorBidi" w:hAnsiTheme="majorBidi" w:cstheme="majorBidi"/>
        </w:rPr>
        <w:t xml:space="preserve">all </w:t>
      </w:r>
      <w:r w:rsidR="0036268D">
        <w:rPr>
          <w:rFonts w:asciiTheme="majorBidi" w:hAnsiTheme="majorBidi" w:cstheme="majorBidi"/>
        </w:rPr>
        <w:t>of</w:t>
      </w:r>
      <w:proofErr w:type="gramEnd"/>
      <w:r w:rsidR="0036268D">
        <w:rPr>
          <w:rFonts w:asciiTheme="majorBidi" w:hAnsiTheme="majorBidi" w:cstheme="majorBidi"/>
        </w:rPr>
        <w:t xml:space="preserve"> </w:t>
      </w:r>
      <w:r w:rsidRPr="00D2758E">
        <w:rPr>
          <w:rFonts w:asciiTheme="majorBidi" w:hAnsiTheme="majorBidi" w:cstheme="majorBidi"/>
        </w:rPr>
        <w:t>th</w:t>
      </w:r>
      <w:r w:rsidR="0036268D">
        <w:rPr>
          <w:rFonts w:asciiTheme="majorBidi" w:hAnsiTheme="majorBidi" w:cstheme="majorBidi"/>
        </w:rPr>
        <w:t>o</w:t>
      </w:r>
      <w:r w:rsidRPr="00D2758E">
        <w:rPr>
          <w:rFonts w:asciiTheme="majorBidi" w:hAnsiTheme="majorBidi" w:cstheme="majorBidi"/>
        </w:rPr>
        <w:t xml:space="preserve">se areas </w:t>
      </w:r>
      <w:r w:rsidR="003553FA">
        <w:rPr>
          <w:rFonts w:asciiTheme="majorBidi" w:hAnsiTheme="majorBidi" w:cstheme="majorBidi"/>
        </w:rPr>
        <w:t>we</w:t>
      </w:r>
      <w:r w:rsidRPr="00D2758E">
        <w:rPr>
          <w:rFonts w:asciiTheme="majorBidi" w:hAnsiTheme="majorBidi" w:cstheme="majorBidi"/>
        </w:rPr>
        <w:t xml:space="preserve">re closely tied to progress made by Parties in putting the necessary </w:t>
      </w:r>
      <w:r w:rsidR="006F1003" w:rsidRPr="006F1003">
        <w:rPr>
          <w:rFonts w:asciiTheme="majorBidi" w:hAnsiTheme="majorBidi" w:cstheme="majorBidi"/>
        </w:rPr>
        <w:t>access and benefit</w:t>
      </w:r>
      <w:r w:rsidR="006F1003">
        <w:rPr>
          <w:rFonts w:asciiTheme="majorBidi" w:hAnsiTheme="majorBidi" w:cstheme="majorBidi"/>
        </w:rPr>
        <w:t>-</w:t>
      </w:r>
      <w:r w:rsidR="006F1003" w:rsidRPr="006F1003">
        <w:rPr>
          <w:rFonts w:asciiTheme="majorBidi" w:hAnsiTheme="majorBidi" w:cstheme="majorBidi"/>
        </w:rPr>
        <w:t xml:space="preserve">sharing </w:t>
      </w:r>
      <w:r w:rsidRPr="00D2758E">
        <w:rPr>
          <w:rFonts w:asciiTheme="majorBidi" w:hAnsiTheme="majorBidi" w:cstheme="majorBidi"/>
        </w:rPr>
        <w:t xml:space="preserve">measures in place. </w:t>
      </w:r>
    </w:p>
    <w:p w14:paraId="792BCFE4" w14:textId="188BB76D" w:rsidR="003A560B" w:rsidRPr="00D2758E" w:rsidRDefault="003A560B" w:rsidP="00CD2C50">
      <w:pPr>
        <w:pStyle w:val="CBDNormalNumber"/>
        <w:rPr>
          <w:rFonts w:asciiTheme="majorBidi" w:hAnsiTheme="majorBidi" w:cstheme="majorBidi"/>
        </w:rPr>
      </w:pPr>
      <w:r w:rsidRPr="00D2758E">
        <w:rPr>
          <w:rFonts w:asciiTheme="majorBidi" w:hAnsiTheme="majorBidi" w:cstheme="majorBidi"/>
        </w:rPr>
        <w:t xml:space="preserve">Parties reported on their implementation of the obligations set out </w:t>
      </w:r>
      <w:proofErr w:type="gramStart"/>
      <w:r w:rsidRPr="00D2758E">
        <w:rPr>
          <w:rFonts w:asciiTheme="majorBidi" w:hAnsiTheme="majorBidi" w:cstheme="majorBidi"/>
        </w:rPr>
        <w:t>in  Article</w:t>
      </w:r>
      <w:proofErr w:type="gramEnd"/>
      <w:r w:rsidR="0054298E">
        <w:rPr>
          <w:rFonts w:asciiTheme="majorBidi" w:hAnsiTheme="majorBidi" w:cstheme="majorBidi"/>
        </w:rPr>
        <w:t xml:space="preserve"> 5</w:t>
      </w:r>
      <w:r w:rsidRPr="00D2758E">
        <w:rPr>
          <w:rFonts w:asciiTheme="majorBidi" w:hAnsiTheme="majorBidi" w:cstheme="majorBidi"/>
        </w:rPr>
        <w:t xml:space="preserve"> from different perspectives or </w:t>
      </w:r>
      <w:r w:rsidR="002B4AC3">
        <w:rPr>
          <w:rFonts w:asciiTheme="majorBidi" w:hAnsiTheme="majorBidi" w:cstheme="majorBidi"/>
        </w:rPr>
        <w:t xml:space="preserve">in terms of their </w:t>
      </w:r>
      <w:proofErr w:type="gramStart"/>
      <w:r w:rsidR="002B4AC3">
        <w:rPr>
          <w:rFonts w:asciiTheme="majorBidi" w:hAnsiTheme="majorBidi" w:cstheme="majorBidi"/>
        </w:rPr>
        <w:t xml:space="preserve">particular </w:t>
      </w:r>
      <w:r w:rsidRPr="00D2758E">
        <w:t>understanding</w:t>
      </w:r>
      <w:proofErr w:type="gramEnd"/>
      <w:r w:rsidRPr="00D2758E">
        <w:rPr>
          <w:rFonts w:asciiTheme="majorBidi" w:hAnsiTheme="majorBidi" w:cstheme="majorBidi"/>
        </w:rPr>
        <w:t xml:space="preserve">. Some Parties reported on progress made </w:t>
      </w:r>
      <w:r w:rsidR="00A76E85">
        <w:rPr>
          <w:rFonts w:asciiTheme="majorBidi" w:hAnsiTheme="majorBidi" w:cstheme="majorBidi"/>
        </w:rPr>
        <w:t>on</w:t>
      </w:r>
      <w:r w:rsidRPr="00D2758E">
        <w:rPr>
          <w:rFonts w:asciiTheme="majorBidi" w:hAnsiTheme="majorBidi" w:cstheme="majorBidi"/>
        </w:rPr>
        <w:t xml:space="preserve"> ensur</w:t>
      </w:r>
      <w:r w:rsidR="00A76E85">
        <w:rPr>
          <w:rFonts w:asciiTheme="majorBidi" w:hAnsiTheme="majorBidi" w:cstheme="majorBidi"/>
        </w:rPr>
        <w:t>ing</w:t>
      </w:r>
      <w:r w:rsidRPr="00D2758E">
        <w:rPr>
          <w:rFonts w:asciiTheme="majorBidi" w:hAnsiTheme="majorBidi" w:cstheme="majorBidi"/>
        </w:rPr>
        <w:t xml:space="preserve"> benefit</w:t>
      </w:r>
      <w:r w:rsidR="00A76E85">
        <w:rPr>
          <w:rFonts w:asciiTheme="majorBidi" w:hAnsiTheme="majorBidi" w:cstheme="majorBidi"/>
        </w:rPr>
        <w:t xml:space="preserve"> </w:t>
      </w:r>
      <w:r w:rsidRPr="00D2758E">
        <w:rPr>
          <w:rFonts w:asciiTheme="majorBidi" w:hAnsiTheme="majorBidi" w:cstheme="majorBidi"/>
        </w:rPr>
        <w:t>sharing from utilization of genetic resources and associated traditional knowledge accessed within their jurisdiction. Other</w:t>
      </w:r>
      <w:r w:rsidR="00867D7E">
        <w:rPr>
          <w:rFonts w:asciiTheme="majorBidi" w:hAnsiTheme="majorBidi" w:cstheme="majorBidi"/>
        </w:rPr>
        <w:t xml:space="preserve"> Parties</w:t>
      </w:r>
      <w:r w:rsidRPr="00D2758E">
        <w:rPr>
          <w:rFonts w:asciiTheme="majorBidi" w:hAnsiTheme="majorBidi" w:cstheme="majorBidi"/>
        </w:rPr>
        <w:t xml:space="preserve"> addressed the obligation to ensure benefit-sharing </w:t>
      </w:r>
      <w:r w:rsidRPr="00D2758E">
        <w:rPr>
          <w:rFonts w:asciiTheme="majorBidi" w:hAnsiTheme="majorBidi" w:cstheme="majorBidi"/>
        </w:rPr>
        <w:lastRenderedPageBreak/>
        <w:t>from the utilization of resources and knowledge accessed outside their country and some reported ensuring benefit-sharing from both their domestic and foreign resources and knowledge.</w:t>
      </w:r>
      <w:r w:rsidR="009128C6" w:rsidRPr="00D2758E">
        <w:rPr>
          <w:rStyle w:val="FootnoteReference"/>
          <w:rFonts w:asciiTheme="majorBidi" w:hAnsiTheme="majorBidi" w:cstheme="majorBidi"/>
        </w:rPr>
        <w:footnoteReference w:id="30"/>
      </w:r>
      <w:r w:rsidR="009128C6" w:rsidRPr="00D2758E">
        <w:rPr>
          <w:rFonts w:asciiTheme="majorBidi" w:hAnsiTheme="majorBidi" w:cstheme="majorBidi"/>
        </w:rPr>
        <w:t xml:space="preserve">  </w:t>
      </w:r>
    </w:p>
    <w:p w14:paraId="1999EBB1" w14:textId="43088A98" w:rsidR="00A50DE0" w:rsidRPr="00D2758E" w:rsidRDefault="00A50DE0" w:rsidP="00031122">
      <w:pPr>
        <w:pStyle w:val="CBDTableTitle"/>
      </w:pPr>
      <w:r w:rsidRPr="00031122">
        <w:rPr>
          <w:b w:val="0"/>
          <w:bCs/>
        </w:rPr>
        <w:t xml:space="preserve">Table </w:t>
      </w:r>
      <w:r w:rsidR="00FB251B" w:rsidRPr="00031122">
        <w:rPr>
          <w:b w:val="0"/>
          <w:bCs/>
        </w:rPr>
        <w:t>4</w:t>
      </w:r>
      <w:r w:rsidRPr="00D2758E">
        <w:t xml:space="preserve"> </w:t>
      </w:r>
      <w:r w:rsidR="00031122">
        <w:br/>
      </w:r>
      <w:r w:rsidRPr="00D2758E">
        <w:t>Indicators to measure progress in establishing measures on fair and equitable</w:t>
      </w:r>
      <w:r w:rsidRPr="00D2758E">
        <w:rPr>
          <w:iCs/>
        </w:rPr>
        <w:t xml:space="preserve"> benefit</w:t>
      </w:r>
      <w:r w:rsidRPr="00D2758E">
        <w:t>-sharing</w:t>
      </w:r>
    </w:p>
    <w:tbl>
      <w:tblPr>
        <w:tblW w:w="9148" w:type="dxa"/>
        <w:tblInd w:w="56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807"/>
        <w:gridCol w:w="1829"/>
        <w:gridCol w:w="1512"/>
      </w:tblGrid>
      <w:tr w:rsidR="00A50DE0" w:rsidRPr="00545859" w14:paraId="19D21E7A" w14:textId="77777777" w:rsidTr="006B066D">
        <w:trPr>
          <w:cantSplit/>
          <w:tblHeader/>
        </w:trPr>
        <w:tc>
          <w:tcPr>
            <w:tcW w:w="5807" w:type="dxa"/>
            <w:shd w:val="clear" w:color="auto" w:fill="FFFFFF" w:themeFill="background1"/>
            <w:tcMar>
              <w:top w:w="29" w:type="dxa"/>
              <w:left w:w="115" w:type="dxa"/>
              <w:bottom w:w="29" w:type="dxa"/>
              <w:right w:w="115" w:type="dxa"/>
            </w:tcMar>
            <w:vAlign w:val="bottom"/>
            <w:hideMark/>
          </w:tcPr>
          <w:p w14:paraId="40F39867" w14:textId="77777777" w:rsidR="00A50DE0" w:rsidRPr="00545859" w:rsidRDefault="00A50DE0" w:rsidP="00C26769">
            <w:pPr>
              <w:suppressLineNumbers/>
              <w:suppressAutoHyphens/>
              <w:kinsoku w:val="0"/>
              <w:overflowPunct w:val="0"/>
              <w:autoSpaceDE w:val="0"/>
              <w:autoSpaceDN w:val="0"/>
              <w:adjustRightInd w:val="0"/>
              <w:snapToGrid w:val="0"/>
              <w:jc w:val="left"/>
              <w:rPr>
                <w:rFonts w:asciiTheme="majorBidi" w:eastAsia="Malgun Gothic" w:hAnsiTheme="majorBidi" w:cstheme="majorBidi"/>
                <w:bCs/>
                <w:i/>
                <w:iCs/>
                <w:kern w:val="22"/>
                <w:sz w:val="20"/>
                <w:szCs w:val="20"/>
              </w:rPr>
            </w:pPr>
            <w:bookmarkStart w:id="7" w:name="_Hlk215219801"/>
            <w:r w:rsidRPr="00545859">
              <w:rPr>
                <w:rFonts w:asciiTheme="majorBidi" w:eastAsia="Malgun Gothic" w:hAnsiTheme="majorBidi" w:cstheme="majorBidi"/>
                <w:bCs/>
                <w:i/>
                <w:iCs/>
                <w:kern w:val="22"/>
                <w:sz w:val="20"/>
                <w:szCs w:val="20"/>
              </w:rPr>
              <w:t>Framework of indicators</w:t>
            </w:r>
          </w:p>
        </w:tc>
        <w:tc>
          <w:tcPr>
            <w:tcW w:w="1829" w:type="dxa"/>
            <w:shd w:val="clear" w:color="auto" w:fill="FFFFFF" w:themeFill="background1"/>
            <w:tcMar>
              <w:top w:w="29" w:type="dxa"/>
              <w:left w:w="115" w:type="dxa"/>
              <w:bottom w:w="29" w:type="dxa"/>
              <w:right w:w="115" w:type="dxa"/>
            </w:tcMar>
            <w:vAlign w:val="bottom"/>
            <w:hideMark/>
          </w:tcPr>
          <w:p w14:paraId="5C2A7C9C" w14:textId="04B847C1" w:rsidR="00A50DE0" w:rsidRPr="00545859" w:rsidRDefault="00A50DE0" w:rsidP="006B066D">
            <w:pPr>
              <w:suppressLineNumbers/>
              <w:suppressAutoHyphens/>
              <w:kinsoku w:val="0"/>
              <w:overflowPunct w:val="0"/>
              <w:autoSpaceDE w:val="0"/>
              <w:autoSpaceDN w:val="0"/>
              <w:adjustRightInd w:val="0"/>
              <w:snapToGrid w:val="0"/>
              <w:jc w:val="right"/>
              <w:rPr>
                <w:rFonts w:asciiTheme="majorBidi" w:eastAsia="Malgun Gothic" w:hAnsiTheme="majorBidi" w:cstheme="majorBidi"/>
                <w:bCs/>
                <w:i/>
                <w:iCs/>
                <w:kern w:val="22"/>
                <w:sz w:val="20"/>
                <w:szCs w:val="20"/>
              </w:rPr>
            </w:pPr>
            <w:r w:rsidRPr="00545859">
              <w:rPr>
                <w:rFonts w:asciiTheme="majorBidi" w:eastAsia="Malgun Gothic" w:hAnsiTheme="majorBidi" w:cstheme="majorBidi"/>
                <w:bCs/>
                <w:i/>
                <w:iCs/>
                <w:kern w:val="22"/>
                <w:sz w:val="20"/>
                <w:szCs w:val="20"/>
              </w:rPr>
              <w:t xml:space="preserve">Reference point </w:t>
            </w:r>
            <w:r w:rsidR="00545859">
              <w:rPr>
                <w:rFonts w:asciiTheme="majorBidi" w:eastAsia="Malgun Gothic" w:hAnsiTheme="majorBidi" w:cstheme="majorBidi"/>
                <w:bCs/>
                <w:i/>
                <w:iCs/>
                <w:kern w:val="22"/>
                <w:sz w:val="20"/>
                <w:szCs w:val="20"/>
              </w:rPr>
              <w:br/>
            </w:r>
            <w:r w:rsidRPr="00545859">
              <w:rPr>
                <w:rFonts w:asciiTheme="majorBidi" w:eastAsia="Malgun Gothic" w:hAnsiTheme="majorBidi" w:cstheme="majorBidi"/>
                <w:bCs/>
                <w:i/>
                <w:iCs/>
                <w:kern w:val="22"/>
                <w:sz w:val="20"/>
                <w:szCs w:val="20"/>
              </w:rPr>
              <w:t xml:space="preserve">(as </w:t>
            </w:r>
            <w:r w:rsidR="00545859">
              <w:rPr>
                <w:rFonts w:asciiTheme="majorBidi" w:eastAsia="Malgun Gothic" w:hAnsiTheme="majorBidi" w:cstheme="majorBidi"/>
                <w:bCs/>
                <w:i/>
                <w:iCs/>
                <w:kern w:val="22"/>
                <w:sz w:val="20"/>
                <w:szCs w:val="20"/>
              </w:rPr>
              <w:t>at</w:t>
            </w:r>
            <w:r w:rsidRPr="00545859">
              <w:rPr>
                <w:rFonts w:asciiTheme="majorBidi" w:eastAsia="Malgun Gothic" w:hAnsiTheme="majorBidi" w:cstheme="majorBidi"/>
                <w:bCs/>
                <w:i/>
                <w:iCs/>
                <w:kern w:val="22"/>
                <w:sz w:val="20"/>
                <w:szCs w:val="20"/>
              </w:rPr>
              <w:t xml:space="preserve"> 22 February 2018)</w:t>
            </w:r>
          </w:p>
        </w:tc>
        <w:tc>
          <w:tcPr>
            <w:tcW w:w="1512" w:type="dxa"/>
            <w:shd w:val="clear" w:color="auto" w:fill="FFFFFF" w:themeFill="background1"/>
            <w:vAlign w:val="bottom"/>
          </w:tcPr>
          <w:p w14:paraId="64FB5AAA" w14:textId="2CA15066" w:rsidR="00A50DE0" w:rsidRPr="00545859" w:rsidRDefault="003C70B0" w:rsidP="006B066D">
            <w:pPr>
              <w:suppressLineNumbers/>
              <w:suppressAutoHyphens/>
              <w:kinsoku w:val="0"/>
              <w:overflowPunct w:val="0"/>
              <w:autoSpaceDE w:val="0"/>
              <w:autoSpaceDN w:val="0"/>
              <w:adjustRightInd w:val="0"/>
              <w:snapToGrid w:val="0"/>
              <w:jc w:val="right"/>
              <w:rPr>
                <w:rFonts w:asciiTheme="majorBidi" w:eastAsia="Malgun Gothic" w:hAnsiTheme="majorBidi" w:cstheme="majorBidi"/>
                <w:bCs/>
                <w:i/>
                <w:iCs/>
                <w:kern w:val="22"/>
                <w:sz w:val="20"/>
                <w:szCs w:val="20"/>
              </w:rPr>
            </w:pPr>
            <w:r>
              <w:rPr>
                <w:rFonts w:asciiTheme="majorBidi" w:eastAsia="Malgun Gothic" w:hAnsiTheme="majorBidi" w:cstheme="majorBidi"/>
                <w:bCs/>
                <w:i/>
                <w:iCs/>
                <w:kern w:val="22"/>
                <w:sz w:val="20"/>
                <w:szCs w:val="20"/>
              </w:rPr>
              <w:t xml:space="preserve">Progress </w:t>
            </w:r>
            <w:r w:rsidR="008201C3">
              <w:rPr>
                <w:rFonts w:asciiTheme="majorBidi" w:eastAsia="Malgun Gothic" w:hAnsiTheme="majorBidi" w:cstheme="majorBidi"/>
                <w:bCs/>
                <w:i/>
                <w:iCs/>
                <w:kern w:val="22"/>
                <w:sz w:val="20"/>
                <w:szCs w:val="20"/>
              </w:rPr>
              <w:t xml:space="preserve">as at </w:t>
            </w:r>
            <w:r w:rsidR="00A50DE0" w:rsidRPr="00545859">
              <w:rPr>
                <w:rFonts w:asciiTheme="majorBidi" w:eastAsia="Malgun Gothic" w:hAnsiTheme="majorBidi" w:cstheme="majorBidi"/>
                <w:bCs/>
                <w:i/>
                <w:iCs/>
                <w:kern w:val="22"/>
                <w:sz w:val="20"/>
                <w:szCs w:val="20"/>
              </w:rPr>
              <w:t>9 March 2026</w:t>
            </w:r>
          </w:p>
        </w:tc>
      </w:tr>
      <w:bookmarkEnd w:id="7"/>
      <w:tr w:rsidR="00A50DE0" w:rsidRPr="00D2758E" w14:paraId="2542BE1E" w14:textId="77777777" w:rsidTr="006B066D">
        <w:trPr>
          <w:cantSplit/>
        </w:trPr>
        <w:tc>
          <w:tcPr>
            <w:tcW w:w="5807" w:type="dxa"/>
            <w:tcMar>
              <w:top w:w="29" w:type="dxa"/>
              <w:left w:w="115" w:type="dxa"/>
              <w:bottom w:w="29" w:type="dxa"/>
              <w:right w:w="115" w:type="dxa"/>
            </w:tcMar>
            <w:hideMark/>
          </w:tcPr>
          <w:p w14:paraId="2CE7E552" w14:textId="39B9B353" w:rsidR="00A50DE0" w:rsidRPr="00D2758E" w:rsidRDefault="00A50DE0" w:rsidP="006B066D">
            <w:pPr>
              <w:suppressLineNumbers/>
              <w:suppressAutoHyphens/>
              <w:kinsoku w:val="0"/>
              <w:overflowPunct w:val="0"/>
              <w:autoSpaceDE w:val="0"/>
              <w:autoSpaceDN w:val="0"/>
              <w:adjustRightInd w:val="0"/>
              <w:snapToGrid w:val="0"/>
              <w:jc w:val="left"/>
              <w:rPr>
                <w:rFonts w:asciiTheme="majorBidi" w:hAnsiTheme="majorBidi" w:cstheme="majorBidi"/>
                <w:kern w:val="22"/>
                <w:sz w:val="20"/>
                <w:szCs w:val="20"/>
              </w:rPr>
            </w:pPr>
            <w:r w:rsidRPr="00D2758E">
              <w:rPr>
                <w:rFonts w:asciiTheme="majorBidi" w:eastAsia="Calibri" w:hAnsiTheme="majorBidi" w:cstheme="majorBidi"/>
                <w:color w:val="000000"/>
                <w:kern w:val="22"/>
                <w:sz w:val="20"/>
                <w:szCs w:val="20"/>
              </w:rPr>
              <w:t xml:space="preserve">Number and percentage </w:t>
            </w:r>
            <w:r w:rsidRPr="00D2758E">
              <w:rPr>
                <w:rFonts w:asciiTheme="majorBidi" w:hAnsiTheme="majorBidi" w:cstheme="majorBidi"/>
                <w:kern w:val="22"/>
                <w:sz w:val="20"/>
                <w:szCs w:val="20"/>
              </w:rPr>
              <w:t xml:space="preserve">of Parties with legislative, administrative </w:t>
            </w:r>
            <w:r w:rsidR="003F5C0B">
              <w:rPr>
                <w:rFonts w:asciiTheme="majorBidi" w:hAnsiTheme="majorBidi" w:cstheme="majorBidi"/>
                <w:kern w:val="22"/>
                <w:sz w:val="20"/>
                <w:szCs w:val="20"/>
              </w:rPr>
              <w:br/>
            </w:r>
            <w:r w:rsidRPr="00D2758E">
              <w:rPr>
                <w:rFonts w:asciiTheme="majorBidi" w:hAnsiTheme="majorBidi" w:cstheme="majorBidi"/>
                <w:kern w:val="22"/>
                <w:sz w:val="20"/>
                <w:szCs w:val="20"/>
              </w:rPr>
              <w:t>or policy measures to implement Article 5</w:t>
            </w:r>
            <w:r w:rsidR="00C2488B">
              <w:rPr>
                <w:rFonts w:asciiTheme="majorBidi" w:hAnsiTheme="majorBidi" w:cstheme="majorBidi"/>
                <w:kern w:val="22"/>
                <w:sz w:val="20"/>
                <w:szCs w:val="20"/>
              </w:rPr>
              <w:t xml:space="preserve"> (</w:t>
            </w:r>
            <w:r w:rsidRPr="00D2758E">
              <w:rPr>
                <w:rFonts w:asciiTheme="majorBidi" w:hAnsiTheme="majorBidi" w:cstheme="majorBidi"/>
                <w:kern w:val="22"/>
                <w:sz w:val="20"/>
                <w:szCs w:val="20"/>
              </w:rPr>
              <w:t>1</w:t>
            </w:r>
            <w:r w:rsidR="00C2488B">
              <w:rPr>
                <w:rFonts w:asciiTheme="majorBidi" w:hAnsiTheme="majorBidi" w:cstheme="majorBidi"/>
                <w:kern w:val="22"/>
                <w:sz w:val="20"/>
                <w:szCs w:val="20"/>
              </w:rPr>
              <w:t>)</w:t>
            </w:r>
            <w:r w:rsidRPr="00D2758E">
              <w:rPr>
                <w:rFonts w:asciiTheme="majorBidi" w:hAnsiTheme="majorBidi" w:cstheme="majorBidi"/>
                <w:kern w:val="22"/>
                <w:sz w:val="20"/>
                <w:szCs w:val="20"/>
              </w:rPr>
              <w:t xml:space="preserve"> (genetic resources)</w:t>
            </w:r>
          </w:p>
        </w:tc>
        <w:tc>
          <w:tcPr>
            <w:tcW w:w="1829" w:type="dxa"/>
            <w:tcMar>
              <w:top w:w="29" w:type="dxa"/>
              <w:left w:w="115" w:type="dxa"/>
              <w:bottom w:w="29" w:type="dxa"/>
              <w:right w:w="115" w:type="dxa"/>
            </w:tcMar>
            <w:vAlign w:val="bottom"/>
            <w:hideMark/>
          </w:tcPr>
          <w:p w14:paraId="57553AB4" w14:textId="24214348" w:rsidR="00A50DE0" w:rsidRPr="00D2758E" w:rsidRDefault="00A50DE0" w:rsidP="00C26769">
            <w:pPr>
              <w:suppressLineNumbers/>
              <w:suppressAutoHyphens/>
              <w:kinsoku w:val="0"/>
              <w:overflowPunct w:val="0"/>
              <w:autoSpaceDE w:val="0"/>
              <w:autoSpaceDN w:val="0"/>
              <w:adjustRightInd w:val="0"/>
              <w:snapToGrid w:val="0"/>
              <w:jc w:val="right"/>
              <w:rPr>
                <w:rFonts w:asciiTheme="majorBidi" w:hAnsiTheme="majorBidi" w:cstheme="majorBidi"/>
                <w:kern w:val="22"/>
                <w:sz w:val="20"/>
                <w:szCs w:val="20"/>
              </w:rPr>
            </w:pPr>
            <w:r w:rsidRPr="00D2758E">
              <w:rPr>
                <w:rFonts w:asciiTheme="majorBidi" w:hAnsiTheme="majorBidi" w:cstheme="majorBidi"/>
                <w:kern w:val="22"/>
                <w:sz w:val="20"/>
                <w:szCs w:val="20"/>
              </w:rPr>
              <w:t>46 (44</w:t>
            </w:r>
            <w:r w:rsidR="00791D71">
              <w:rPr>
                <w:rFonts w:asciiTheme="majorBidi" w:hAnsiTheme="majorBidi" w:cstheme="majorBidi"/>
                <w:kern w:val="22"/>
                <w:sz w:val="20"/>
                <w:szCs w:val="20"/>
              </w:rPr>
              <w:t xml:space="preserve"> per cent</w:t>
            </w:r>
            <w:r w:rsidRPr="00D2758E">
              <w:rPr>
                <w:rFonts w:asciiTheme="majorBidi" w:hAnsiTheme="majorBidi" w:cstheme="majorBidi"/>
                <w:kern w:val="22"/>
                <w:sz w:val="20"/>
                <w:szCs w:val="20"/>
              </w:rPr>
              <w:t>)</w:t>
            </w:r>
          </w:p>
        </w:tc>
        <w:tc>
          <w:tcPr>
            <w:tcW w:w="1512" w:type="dxa"/>
            <w:vAlign w:val="bottom"/>
          </w:tcPr>
          <w:p w14:paraId="7BB9E2E7" w14:textId="2B1EE99D" w:rsidR="00A50DE0" w:rsidRPr="00D2758E" w:rsidRDefault="00A50DE0" w:rsidP="00C26769">
            <w:pPr>
              <w:suppressLineNumbers/>
              <w:suppressAutoHyphens/>
              <w:kinsoku w:val="0"/>
              <w:overflowPunct w:val="0"/>
              <w:autoSpaceDE w:val="0"/>
              <w:autoSpaceDN w:val="0"/>
              <w:adjustRightInd w:val="0"/>
              <w:snapToGrid w:val="0"/>
              <w:jc w:val="right"/>
              <w:rPr>
                <w:rFonts w:asciiTheme="majorBidi" w:hAnsiTheme="majorBidi" w:cstheme="majorBidi"/>
                <w:kern w:val="22"/>
                <w:sz w:val="20"/>
                <w:szCs w:val="20"/>
              </w:rPr>
            </w:pPr>
            <w:r w:rsidRPr="00D2758E">
              <w:rPr>
                <w:rFonts w:asciiTheme="majorBidi" w:hAnsiTheme="majorBidi" w:cstheme="majorBidi"/>
                <w:kern w:val="22"/>
                <w:sz w:val="20"/>
                <w:szCs w:val="20"/>
              </w:rPr>
              <w:t>81 (57</w:t>
            </w:r>
            <w:r w:rsidR="00791D71">
              <w:rPr>
                <w:rFonts w:asciiTheme="majorBidi" w:hAnsiTheme="majorBidi" w:cstheme="majorBidi"/>
                <w:kern w:val="22"/>
                <w:sz w:val="20"/>
                <w:szCs w:val="20"/>
              </w:rPr>
              <w:t xml:space="preserve"> per cent</w:t>
            </w:r>
          </w:p>
        </w:tc>
      </w:tr>
      <w:tr w:rsidR="00A50DE0" w:rsidRPr="00D2758E" w14:paraId="74D0B6BA" w14:textId="77777777" w:rsidTr="006B066D">
        <w:trPr>
          <w:cantSplit/>
        </w:trPr>
        <w:tc>
          <w:tcPr>
            <w:tcW w:w="5807" w:type="dxa"/>
            <w:tcMar>
              <w:top w:w="29" w:type="dxa"/>
              <w:left w:w="115" w:type="dxa"/>
              <w:bottom w:w="29" w:type="dxa"/>
              <w:right w:w="115" w:type="dxa"/>
            </w:tcMar>
            <w:hideMark/>
          </w:tcPr>
          <w:p w14:paraId="0C8444AA" w14:textId="5BF4F850" w:rsidR="00A50DE0" w:rsidRPr="00D2758E" w:rsidRDefault="00A50DE0" w:rsidP="006B066D">
            <w:pPr>
              <w:suppressLineNumbers/>
              <w:suppressAutoHyphens/>
              <w:kinsoku w:val="0"/>
              <w:overflowPunct w:val="0"/>
              <w:autoSpaceDE w:val="0"/>
              <w:autoSpaceDN w:val="0"/>
              <w:adjustRightInd w:val="0"/>
              <w:snapToGrid w:val="0"/>
              <w:jc w:val="left"/>
              <w:rPr>
                <w:rFonts w:asciiTheme="majorBidi" w:hAnsiTheme="majorBidi" w:cstheme="majorBidi"/>
                <w:kern w:val="22"/>
                <w:sz w:val="20"/>
                <w:szCs w:val="20"/>
              </w:rPr>
            </w:pPr>
            <w:r w:rsidRPr="00D2758E">
              <w:rPr>
                <w:rFonts w:asciiTheme="majorBidi" w:eastAsia="Calibri" w:hAnsiTheme="majorBidi" w:cstheme="majorBidi"/>
                <w:color w:val="000000"/>
                <w:kern w:val="22"/>
                <w:sz w:val="20"/>
                <w:szCs w:val="20"/>
              </w:rPr>
              <w:t xml:space="preserve">Number and percentage </w:t>
            </w:r>
            <w:r w:rsidRPr="00D2758E">
              <w:rPr>
                <w:rFonts w:asciiTheme="majorBidi" w:hAnsiTheme="majorBidi" w:cstheme="majorBidi"/>
                <w:kern w:val="22"/>
                <w:sz w:val="20"/>
                <w:szCs w:val="20"/>
              </w:rPr>
              <w:t>of Parties with legislative, administrative or policy measures to implement Article 5</w:t>
            </w:r>
            <w:r w:rsidR="00C2488B">
              <w:rPr>
                <w:rFonts w:asciiTheme="majorBidi" w:hAnsiTheme="majorBidi" w:cstheme="majorBidi"/>
                <w:kern w:val="22"/>
                <w:sz w:val="20"/>
                <w:szCs w:val="20"/>
              </w:rPr>
              <w:t xml:space="preserve"> (</w:t>
            </w:r>
            <w:r w:rsidRPr="00D2758E">
              <w:rPr>
                <w:rFonts w:asciiTheme="majorBidi" w:hAnsiTheme="majorBidi" w:cstheme="majorBidi"/>
                <w:kern w:val="22"/>
                <w:sz w:val="20"/>
                <w:szCs w:val="20"/>
              </w:rPr>
              <w:t>2</w:t>
            </w:r>
            <w:r w:rsidR="00C2488B">
              <w:rPr>
                <w:rFonts w:asciiTheme="majorBidi" w:hAnsiTheme="majorBidi" w:cstheme="majorBidi"/>
                <w:kern w:val="22"/>
                <w:sz w:val="20"/>
                <w:szCs w:val="20"/>
              </w:rPr>
              <w:t>)</w:t>
            </w:r>
            <w:r w:rsidRPr="00D2758E">
              <w:rPr>
                <w:rFonts w:asciiTheme="majorBidi" w:hAnsiTheme="majorBidi" w:cstheme="majorBidi"/>
                <w:kern w:val="22"/>
                <w:sz w:val="20"/>
                <w:szCs w:val="20"/>
              </w:rPr>
              <w:t xml:space="preserve"> (genetic resources held by indigenous peoples and local communities)</w:t>
            </w:r>
          </w:p>
        </w:tc>
        <w:tc>
          <w:tcPr>
            <w:tcW w:w="1829" w:type="dxa"/>
            <w:tcMar>
              <w:top w:w="29" w:type="dxa"/>
              <w:left w:w="115" w:type="dxa"/>
              <w:bottom w:w="29" w:type="dxa"/>
              <w:right w:w="115" w:type="dxa"/>
            </w:tcMar>
            <w:vAlign w:val="bottom"/>
            <w:hideMark/>
          </w:tcPr>
          <w:p w14:paraId="494AF756" w14:textId="5FE6EB74" w:rsidR="00A50DE0" w:rsidRPr="00D2758E" w:rsidRDefault="00A50DE0" w:rsidP="00C26769">
            <w:pPr>
              <w:suppressLineNumbers/>
              <w:suppressAutoHyphens/>
              <w:kinsoku w:val="0"/>
              <w:overflowPunct w:val="0"/>
              <w:autoSpaceDE w:val="0"/>
              <w:autoSpaceDN w:val="0"/>
              <w:adjustRightInd w:val="0"/>
              <w:snapToGrid w:val="0"/>
              <w:jc w:val="right"/>
              <w:rPr>
                <w:rFonts w:asciiTheme="majorBidi" w:hAnsiTheme="majorBidi" w:cstheme="majorBidi"/>
                <w:kern w:val="22"/>
                <w:sz w:val="20"/>
                <w:szCs w:val="20"/>
              </w:rPr>
            </w:pPr>
            <w:r w:rsidRPr="00D2758E">
              <w:rPr>
                <w:rFonts w:asciiTheme="majorBidi" w:hAnsiTheme="majorBidi" w:cstheme="majorBidi"/>
                <w:kern w:val="22"/>
                <w:sz w:val="20"/>
                <w:szCs w:val="20"/>
              </w:rPr>
              <w:t>42 (40</w:t>
            </w:r>
            <w:r w:rsidR="00791D71">
              <w:rPr>
                <w:rFonts w:asciiTheme="majorBidi" w:hAnsiTheme="majorBidi" w:cstheme="majorBidi"/>
                <w:kern w:val="22"/>
                <w:sz w:val="20"/>
                <w:szCs w:val="20"/>
              </w:rPr>
              <w:t xml:space="preserve"> per cent</w:t>
            </w:r>
            <w:r w:rsidRPr="00D2758E">
              <w:rPr>
                <w:rFonts w:asciiTheme="majorBidi" w:hAnsiTheme="majorBidi" w:cstheme="majorBidi"/>
                <w:kern w:val="22"/>
                <w:sz w:val="20"/>
                <w:szCs w:val="20"/>
              </w:rPr>
              <w:t>)</w:t>
            </w:r>
          </w:p>
        </w:tc>
        <w:tc>
          <w:tcPr>
            <w:tcW w:w="1512" w:type="dxa"/>
            <w:vAlign w:val="bottom"/>
          </w:tcPr>
          <w:p w14:paraId="5BFF8651" w14:textId="38E3AB8A" w:rsidR="00A50DE0" w:rsidRPr="00D2758E" w:rsidRDefault="00A50DE0" w:rsidP="00C26769">
            <w:pPr>
              <w:suppressLineNumbers/>
              <w:suppressAutoHyphens/>
              <w:kinsoku w:val="0"/>
              <w:overflowPunct w:val="0"/>
              <w:autoSpaceDE w:val="0"/>
              <w:autoSpaceDN w:val="0"/>
              <w:adjustRightInd w:val="0"/>
              <w:snapToGrid w:val="0"/>
              <w:jc w:val="right"/>
              <w:rPr>
                <w:rFonts w:asciiTheme="majorBidi" w:hAnsiTheme="majorBidi" w:cstheme="majorBidi"/>
                <w:kern w:val="22"/>
                <w:sz w:val="20"/>
                <w:szCs w:val="20"/>
              </w:rPr>
            </w:pPr>
            <w:r w:rsidRPr="00D2758E">
              <w:rPr>
                <w:rFonts w:asciiTheme="majorBidi" w:hAnsiTheme="majorBidi" w:cstheme="majorBidi"/>
                <w:kern w:val="22"/>
                <w:sz w:val="20"/>
                <w:szCs w:val="20"/>
              </w:rPr>
              <w:t>74 (52</w:t>
            </w:r>
            <w:r w:rsidR="00791D71">
              <w:rPr>
                <w:rFonts w:asciiTheme="majorBidi" w:hAnsiTheme="majorBidi" w:cstheme="majorBidi"/>
                <w:kern w:val="22"/>
                <w:sz w:val="20"/>
                <w:szCs w:val="20"/>
              </w:rPr>
              <w:t xml:space="preserve"> per cent</w:t>
            </w:r>
            <w:r w:rsidRPr="00D2758E">
              <w:rPr>
                <w:rFonts w:asciiTheme="majorBidi" w:hAnsiTheme="majorBidi" w:cstheme="majorBidi"/>
                <w:kern w:val="22"/>
                <w:sz w:val="20"/>
                <w:szCs w:val="20"/>
              </w:rPr>
              <w:t>)</w:t>
            </w:r>
          </w:p>
        </w:tc>
      </w:tr>
      <w:tr w:rsidR="00A50DE0" w:rsidRPr="00D2758E" w14:paraId="427F9E90" w14:textId="77777777" w:rsidTr="006B066D">
        <w:trPr>
          <w:cantSplit/>
        </w:trPr>
        <w:tc>
          <w:tcPr>
            <w:tcW w:w="5807" w:type="dxa"/>
            <w:tcMar>
              <w:top w:w="29" w:type="dxa"/>
              <w:left w:w="115" w:type="dxa"/>
              <w:bottom w:w="29" w:type="dxa"/>
              <w:right w:w="115" w:type="dxa"/>
            </w:tcMar>
            <w:hideMark/>
          </w:tcPr>
          <w:p w14:paraId="05FEED98" w14:textId="1138A447" w:rsidR="00A50DE0" w:rsidRPr="00D2758E" w:rsidRDefault="00A50DE0" w:rsidP="006B066D">
            <w:pPr>
              <w:suppressLineNumbers/>
              <w:suppressAutoHyphens/>
              <w:kinsoku w:val="0"/>
              <w:overflowPunct w:val="0"/>
              <w:autoSpaceDE w:val="0"/>
              <w:autoSpaceDN w:val="0"/>
              <w:adjustRightInd w:val="0"/>
              <w:snapToGrid w:val="0"/>
              <w:jc w:val="left"/>
              <w:rPr>
                <w:rFonts w:asciiTheme="majorBidi" w:hAnsiTheme="majorBidi" w:cstheme="majorBidi"/>
                <w:kern w:val="22"/>
                <w:sz w:val="20"/>
                <w:szCs w:val="20"/>
              </w:rPr>
            </w:pPr>
            <w:r w:rsidRPr="00D2758E">
              <w:rPr>
                <w:rFonts w:asciiTheme="majorBidi" w:eastAsia="Calibri" w:hAnsiTheme="majorBidi" w:cstheme="majorBidi"/>
                <w:color w:val="000000"/>
                <w:kern w:val="22"/>
                <w:sz w:val="20"/>
                <w:szCs w:val="20"/>
              </w:rPr>
              <w:t xml:space="preserve">Number and percentage </w:t>
            </w:r>
            <w:r w:rsidRPr="00D2758E">
              <w:rPr>
                <w:rFonts w:asciiTheme="majorBidi" w:hAnsiTheme="majorBidi" w:cstheme="majorBidi"/>
                <w:kern w:val="22"/>
                <w:sz w:val="20"/>
                <w:szCs w:val="20"/>
              </w:rPr>
              <w:t>of Parties with legislative, administrative or policy measures to implement Article 5</w:t>
            </w:r>
            <w:r w:rsidR="00C2488B">
              <w:rPr>
                <w:rFonts w:asciiTheme="majorBidi" w:hAnsiTheme="majorBidi" w:cstheme="majorBidi"/>
                <w:kern w:val="22"/>
                <w:sz w:val="20"/>
                <w:szCs w:val="20"/>
              </w:rPr>
              <w:t xml:space="preserve"> (</w:t>
            </w:r>
            <w:r w:rsidRPr="00D2758E">
              <w:rPr>
                <w:rFonts w:asciiTheme="majorBidi" w:hAnsiTheme="majorBidi" w:cstheme="majorBidi"/>
                <w:kern w:val="22"/>
                <w:sz w:val="20"/>
                <w:szCs w:val="20"/>
              </w:rPr>
              <w:t>5</w:t>
            </w:r>
            <w:r w:rsidR="00C2488B">
              <w:rPr>
                <w:rFonts w:asciiTheme="majorBidi" w:hAnsiTheme="majorBidi" w:cstheme="majorBidi"/>
                <w:kern w:val="22"/>
                <w:sz w:val="20"/>
                <w:szCs w:val="20"/>
              </w:rPr>
              <w:t>)</w:t>
            </w:r>
            <w:r w:rsidRPr="00D2758E">
              <w:rPr>
                <w:rFonts w:asciiTheme="majorBidi" w:hAnsiTheme="majorBidi" w:cstheme="majorBidi"/>
                <w:kern w:val="22"/>
                <w:sz w:val="20"/>
                <w:szCs w:val="20"/>
              </w:rPr>
              <w:t xml:space="preserve"> (traditional knowledge associated with genetic resources)</w:t>
            </w:r>
          </w:p>
        </w:tc>
        <w:tc>
          <w:tcPr>
            <w:tcW w:w="1829" w:type="dxa"/>
            <w:tcMar>
              <w:top w:w="29" w:type="dxa"/>
              <w:left w:w="115" w:type="dxa"/>
              <w:bottom w:w="29" w:type="dxa"/>
              <w:right w:w="115" w:type="dxa"/>
            </w:tcMar>
            <w:vAlign w:val="bottom"/>
            <w:hideMark/>
          </w:tcPr>
          <w:p w14:paraId="1FED829D" w14:textId="4502F4C9" w:rsidR="00A50DE0" w:rsidRPr="00D2758E" w:rsidRDefault="00A50DE0" w:rsidP="00C26769">
            <w:pPr>
              <w:suppressLineNumbers/>
              <w:suppressAutoHyphens/>
              <w:kinsoku w:val="0"/>
              <w:overflowPunct w:val="0"/>
              <w:autoSpaceDE w:val="0"/>
              <w:autoSpaceDN w:val="0"/>
              <w:adjustRightInd w:val="0"/>
              <w:snapToGrid w:val="0"/>
              <w:jc w:val="right"/>
              <w:rPr>
                <w:rFonts w:asciiTheme="majorBidi" w:hAnsiTheme="majorBidi" w:cstheme="majorBidi"/>
                <w:kern w:val="22"/>
                <w:sz w:val="20"/>
                <w:szCs w:val="20"/>
              </w:rPr>
            </w:pPr>
            <w:r w:rsidRPr="00D2758E">
              <w:rPr>
                <w:rFonts w:asciiTheme="majorBidi" w:hAnsiTheme="majorBidi" w:cstheme="majorBidi"/>
                <w:kern w:val="22"/>
                <w:sz w:val="20"/>
                <w:szCs w:val="20"/>
              </w:rPr>
              <w:t>41 (39</w:t>
            </w:r>
            <w:r w:rsidR="00205042">
              <w:rPr>
                <w:rFonts w:asciiTheme="majorBidi" w:hAnsiTheme="majorBidi" w:cstheme="majorBidi"/>
                <w:kern w:val="22"/>
                <w:sz w:val="20"/>
                <w:szCs w:val="20"/>
              </w:rPr>
              <w:t xml:space="preserve"> per cent</w:t>
            </w:r>
            <w:r w:rsidRPr="00D2758E">
              <w:rPr>
                <w:rFonts w:asciiTheme="majorBidi" w:hAnsiTheme="majorBidi" w:cstheme="majorBidi"/>
                <w:kern w:val="22"/>
                <w:sz w:val="20"/>
                <w:szCs w:val="20"/>
              </w:rPr>
              <w:t>)</w:t>
            </w:r>
          </w:p>
        </w:tc>
        <w:tc>
          <w:tcPr>
            <w:tcW w:w="1512" w:type="dxa"/>
            <w:vAlign w:val="bottom"/>
          </w:tcPr>
          <w:p w14:paraId="75B882D2" w14:textId="1D759751" w:rsidR="00A50DE0" w:rsidRPr="00D2758E" w:rsidRDefault="00A50DE0" w:rsidP="00C26769">
            <w:pPr>
              <w:suppressLineNumbers/>
              <w:suppressAutoHyphens/>
              <w:kinsoku w:val="0"/>
              <w:overflowPunct w:val="0"/>
              <w:autoSpaceDE w:val="0"/>
              <w:autoSpaceDN w:val="0"/>
              <w:adjustRightInd w:val="0"/>
              <w:snapToGrid w:val="0"/>
              <w:jc w:val="right"/>
              <w:rPr>
                <w:rFonts w:asciiTheme="majorBidi" w:hAnsiTheme="majorBidi" w:cstheme="majorBidi"/>
                <w:kern w:val="22"/>
                <w:sz w:val="20"/>
                <w:szCs w:val="20"/>
              </w:rPr>
            </w:pPr>
            <w:r w:rsidRPr="00D2758E">
              <w:rPr>
                <w:rFonts w:asciiTheme="majorBidi" w:hAnsiTheme="majorBidi" w:cstheme="majorBidi"/>
                <w:kern w:val="22"/>
                <w:sz w:val="20"/>
                <w:szCs w:val="20"/>
              </w:rPr>
              <w:t>73 (51</w:t>
            </w:r>
            <w:r w:rsidR="00205042">
              <w:rPr>
                <w:rFonts w:asciiTheme="majorBidi" w:hAnsiTheme="majorBidi" w:cstheme="majorBidi"/>
                <w:kern w:val="22"/>
                <w:sz w:val="20"/>
                <w:szCs w:val="20"/>
              </w:rPr>
              <w:t xml:space="preserve"> per cent</w:t>
            </w:r>
            <w:r w:rsidRPr="00D2758E">
              <w:rPr>
                <w:rFonts w:asciiTheme="majorBidi" w:hAnsiTheme="majorBidi" w:cstheme="majorBidi"/>
                <w:kern w:val="22"/>
                <w:sz w:val="20"/>
                <w:szCs w:val="20"/>
              </w:rPr>
              <w:t>)</w:t>
            </w:r>
          </w:p>
        </w:tc>
      </w:tr>
    </w:tbl>
    <w:p w14:paraId="797ABF46" w14:textId="1C34A423" w:rsidR="006839F4" w:rsidRPr="00D2758E" w:rsidRDefault="00031122" w:rsidP="00031122">
      <w:pPr>
        <w:pStyle w:val="CBDH4"/>
      </w:pPr>
      <w:r>
        <w:t>(b)</w:t>
      </w:r>
      <w:r>
        <w:tab/>
      </w:r>
      <w:r w:rsidR="00757C41" w:rsidRPr="00D2758E">
        <w:t>Challenges</w:t>
      </w:r>
      <w:r w:rsidR="00A04770" w:rsidRPr="00D2758E">
        <w:t xml:space="preserve"> and</w:t>
      </w:r>
      <w:r w:rsidR="00757C41" w:rsidRPr="00D2758E">
        <w:t xml:space="preserve"> root causes and possible ways to enhance measures </w:t>
      </w:r>
      <w:r w:rsidR="00A27BD1" w:rsidRPr="00D2758E">
        <w:t xml:space="preserve">to implement </w:t>
      </w:r>
      <w:r w:rsidR="00503DB0" w:rsidRPr="00D2758E">
        <w:t>Article 5</w:t>
      </w:r>
      <w:r w:rsidR="00503DB0" w:rsidRPr="00D2758E">
        <w:rPr>
          <w:rStyle w:val="FootnoteReference"/>
          <w:rFonts w:asciiTheme="majorBidi" w:hAnsiTheme="majorBidi" w:cstheme="majorBidi"/>
        </w:rPr>
        <w:footnoteReference w:id="31"/>
      </w:r>
    </w:p>
    <w:p w14:paraId="691ABE00" w14:textId="75BC5D08" w:rsidR="002A14B2" w:rsidRPr="00D2758E" w:rsidRDefault="002A14B2" w:rsidP="00CD2C50">
      <w:pPr>
        <w:pStyle w:val="CBDNormalNumber"/>
        <w:rPr>
          <w:rFonts w:asciiTheme="majorBidi" w:hAnsiTheme="majorBidi" w:cstheme="majorBidi"/>
        </w:rPr>
      </w:pPr>
      <w:r w:rsidRPr="00D2758E">
        <w:rPr>
          <w:rFonts w:asciiTheme="majorBidi" w:hAnsiTheme="majorBidi" w:cstheme="majorBidi"/>
        </w:rPr>
        <w:t xml:space="preserve">Parties emphasized that early engagement and consultation </w:t>
      </w:r>
      <w:r w:rsidR="003657B8">
        <w:rPr>
          <w:rFonts w:asciiTheme="majorBidi" w:hAnsiTheme="majorBidi" w:cstheme="majorBidi"/>
        </w:rPr>
        <w:t>with</w:t>
      </w:r>
      <w:r w:rsidRPr="00D2758E">
        <w:rPr>
          <w:rFonts w:asciiTheme="majorBidi" w:hAnsiTheme="majorBidi" w:cstheme="majorBidi"/>
        </w:rPr>
        <w:t xml:space="preserve"> </w:t>
      </w:r>
      <w:proofErr w:type="gramStart"/>
      <w:r w:rsidRPr="00D2758E">
        <w:rPr>
          <w:rFonts w:asciiTheme="majorBidi" w:hAnsiTheme="majorBidi" w:cstheme="majorBidi"/>
        </w:rPr>
        <w:t xml:space="preserve">all </w:t>
      </w:r>
      <w:r w:rsidR="004D3887">
        <w:rPr>
          <w:rFonts w:asciiTheme="majorBidi" w:hAnsiTheme="majorBidi" w:cstheme="majorBidi"/>
        </w:rPr>
        <w:t>of</w:t>
      </w:r>
      <w:proofErr w:type="gramEnd"/>
      <w:r w:rsidR="004D3887">
        <w:rPr>
          <w:rFonts w:asciiTheme="majorBidi" w:hAnsiTheme="majorBidi" w:cstheme="majorBidi"/>
        </w:rPr>
        <w:t xml:space="preserve"> the </w:t>
      </w:r>
      <w:r w:rsidRPr="00D2758E">
        <w:rPr>
          <w:rFonts w:asciiTheme="majorBidi" w:hAnsiTheme="majorBidi" w:cstheme="majorBidi"/>
        </w:rPr>
        <w:t xml:space="preserve">parties involved and </w:t>
      </w:r>
      <w:r w:rsidR="00F6134D">
        <w:rPr>
          <w:rFonts w:asciiTheme="majorBidi" w:hAnsiTheme="majorBidi" w:cstheme="majorBidi"/>
        </w:rPr>
        <w:t xml:space="preserve">the </w:t>
      </w:r>
      <w:r w:rsidRPr="00D2758E">
        <w:rPr>
          <w:rFonts w:asciiTheme="majorBidi" w:hAnsiTheme="majorBidi" w:cstheme="majorBidi"/>
        </w:rPr>
        <w:t xml:space="preserve">building </w:t>
      </w:r>
      <w:r w:rsidR="00F6134D">
        <w:rPr>
          <w:rFonts w:asciiTheme="majorBidi" w:hAnsiTheme="majorBidi" w:cstheme="majorBidi"/>
        </w:rPr>
        <w:t xml:space="preserve">of </w:t>
      </w:r>
      <w:r w:rsidRPr="00D2758E">
        <w:rPr>
          <w:rFonts w:asciiTheme="majorBidi" w:hAnsiTheme="majorBidi" w:cstheme="majorBidi"/>
        </w:rPr>
        <w:t xml:space="preserve">capacity </w:t>
      </w:r>
      <w:r w:rsidR="004D3887">
        <w:rPr>
          <w:rFonts w:asciiTheme="majorBidi" w:hAnsiTheme="majorBidi" w:cstheme="majorBidi"/>
        </w:rPr>
        <w:t>for</w:t>
      </w:r>
      <w:r w:rsidRPr="00D2758E">
        <w:rPr>
          <w:rFonts w:asciiTheme="majorBidi" w:hAnsiTheme="majorBidi" w:cstheme="majorBidi"/>
        </w:rPr>
        <w:t xml:space="preserve"> contract negotiation contribute</w:t>
      </w:r>
      <w:r w:rsidR="004D3887">
        <w:rPr>
          <w:rFonts w:asciiTheme="majorBidi" w:hAnsiTheme="majorBidi" w:cstheme="majorBidi"/>
        </w:rPr>
        <w:t>d</w:t>
      </w:r>
      <w:r w:rsidRPr="00D2758E">
        <w:rPr>
          <w:rFonts w:asciiTheme="majorBidi" w:hAnsiTheme="majorBidi" w:cstheme="majorBidi"/>
        </w:rPr>
        <w:t xml:space="preserve"> to the fair and equitable sharing of benefits. Inventories and documentation of </w:t>
      </w:r>
      <w:r w:rsidRPr="00D2758E">
        <w:t>genetic</w:t>
      </w:r>
      <w:r w:rsidRPr="00D2758E">
        <w:rPr>
          <w:rFonts w:asciiTheme="majorBidi" w:hAnsiTheme="majorBidi" w:cstheme="majorBidi"/>
        </w:rPr>
        <w:t xml:space="preserve"> resources and associated traditional knowledge and studies </w:t>
      </w:r>
      <w:proofErr w:type="spellStart"/>
      <w:r w:rsidRPr="00D2758E">
        <w:rPr>
          <w:rFonts w:asciiTheme="majorBidi" w:hAnsiTheme="majorBidi" w:cstheme="majorBidi"/>
        </w:rPr>
        <w:t>valori</w:t>
      </w:r>
      <w:r w:rsidR="00560FE8">
        <w:rPr>
          <w:rFonts w:asciiTheme="majorBidi" w:hAnsiTheme="majorBidi" w:cstheme="majorBidi"/>
        </w:rPr>
        <w:t>z</w:t>
      </w:r>
      <w:r w:rsidRPr="00D2758E">
        <w:rPr>
          <w:rFonts w:asciiTheme="majorBidi" w:hAnsiTheme="majorBidi" w:cstheme="majorBidi"/>
        </w:rPr>
        <w:t>ing</w:t>
      </w:r>
      <w:proofErr w:type="spellEnd"/>
      <w:r w:rsidRPr="00D2758E">
        <w:rPr>
          <w:rFonts w:asciiTheme="majorBidi" w:hAnsiTheme="majorBidi" w:cstheme="majorBidi"/>
        </w:rPr>
        <w:t xml:space="preserve"> those resources and </w:t>
      </w:r>
      <w:r w:rsidR="00BD3595">
        <w:rPr>
          <w:rFonts w:asciiTheme="majorBidi" w:hAnsiTheme="majorBidi" w:cstheme="majorBidi"/>
        </w:rPr>
        <w:t xml:space="preserve">that </w:t>
      </w:r>
      <w:r w:rsidRPr="00D2758E">
        <w:rPr>
          <w:rFonts w:asciiTheme="majorBidi" w:hAnsiTheme="majorBidi" w:cstheme="majorBidi"/>
        </w:rPr>
        <w:t xml:space="preserve">knowledge </w:t>
      </w:r>
      <w:r w:rsidR="004D3887">
        <w:rPr>
          <w:rFonts w:asciiTheme="majorBidi" w:hAnsiTheme="majorBidi" w:cstheme="majorBidi"/>
        </w:rPr>
        <w:t>we</w:t>
      </w:r>
      <w:r w:rsidRPr="00D2758E">
        <w:rPr>
          <w:rFonts w:asciiTheme="majorBidi" w:hAnsiTheme="majorBidi" w:cstheme="majorBidi"/>
        </w:rPr>
        <w:t xml:space="preserve">re seen as helpful tools </w:t>
      </w:r>
      <w:r w:rsidR="00BD3595">
        <w:rPr>
          <w:rFonts w:asciiTheme="majorBidi" w:hAnsiTheme="majorBidi" w:cstheme="majorBidi"/>
        </w:rPr>
        <w:t>i</w:t>
      </w:r>
      <w:r w:rsidRPr="00D2758E">
        <w:rPr>
          <w:rFonts w:asciiTheme="majorBidi" w:hAnsiTheme="majorBidi" w:cstheme="majorBidi"/>
        </w:rPr>
        <w:t>n that regard.</w:t>
      </w:r>
    </w:p>
    <w:p w14:paraId="318B3CC1" w14:textId="6FF9BD43" w:rsidR="00455F03" w:rsidRPr="00D2758E" w:rsidRDefault="00960B3A" w:rsidP="00960B3A">
      <w:pPr>
        <w:pStyle w:val="CBDH3"/>
      </w:pPr>
      <w:r>
        <w:t>5.</w:t>
      </w:r>
      <w:r>
        <w:tab/>
      </w:r>
      <w:r w:rsidR="00455F03" w:rsidRPr="00D2758E">
        <w:t xml:space="preserve">Measures on compliance with domestic legislation or regulatory requirements on </w:t>
      </w:r>
      <w:r w:rsidR="00CB2B78">
        <w:t xml:space="preserve">access and benefit sharing </w:t>
      </w:r>
      <w:r w:rsidR="00455F03" w:rsidRPr="00D2758E">
        <w:t>(Article 15) and monitoring the utilization of genetic resources (Article 17)</w:t>
      </w:r>
      <w:r w:rsidR="00275785" w:rsidRPr="00D2758E">
        <w:rPr>
          <w:rStyle w:val="FootnoteReference"/>
          <w:rFonts w:asciiTheme="majorBidi" w:hAnsiTheme="majorBidi" w:cstheme="majorBidi"/>
          <w:b w:val="0"/>
        </w:rPr>
        <w:footnoteReference w:id="32"/>
      </w:r>
    </w:p>
    <w:p w14:paraId="275886E2" w14:textId="3B3E4989" w:rsidR="00351137" w:rsidRPr="00D2758E" w:rsidRDefault="00960B3A" w:rsidP="00960B3A">
      <w:pPr>
        <w:pStyle w:val="CBDH4"/>
        <w:rPr>
          <w:rFonts w:asciiTheme="majorBidi" w:hAnsiTheme="majorBidi" w:cstheme="majorBidi"/>
        </w:rPr>
      </w:pPr>
      <w:r>
        <w:t>(a)</w:t>
      </w:r>
      <w:r>
        <w:tab/>
      </w:r>
      <w:r w:rsidR="00351137" w:rsidRPr="00D2758E">
        <w:t xml:space="preserve">Progress made in implementation and updated indicator data </w:t>
      </w:r>
    </w:p>
    <w:p w14:paraId="044B9780" w14:textId="5D991F9A" w:rsidR="00EE2616" w:rsidRPr="00D2758E" w:rsidRDefault="00357D18" w:rsidP="00CD2C50">
      <w:pPr>
        <w:pStyle w:val="CBDNormalNumber"/>
        <w:rPr>
          <w:rFonts w:asciiTheme="majorBidi" w:hAnsiTheme="majorBidi" w:cstheme="majorBidi"/>
        </w:rPr>
      </w:pPr>
      <w:r w:rsidRPr="00D2758E">
        <w:rPr>
          <w:rFonts w:asciiTheme="majorBidi" w:hAnsiTheme="majorBidi" w:cstheme="majorBidi"/>
        </w:rPr>
        <w:t xml:space="preserve">The data for the indicators in table </w:t>
      </w:r>
      <w:r w:rsidR="00351137" w:rsidRPr="00D2758E">
        <w:rPr>
          <w:rFonts w:asciiTheme="majorBidi" w:hAnsiTheme="majorBidi" w:cstheme="majorBidi"/>
        </w:rPr>
        <w:t>5</w:t>
      </w:r>
      <w:r w:rsidRPr="00D2758E">
        <w:rPr>
          <w:rFonts w:asciiTheme="majorBidi" w:hAnsiTheme="majorBidi" w:cstheme="majorBidi"/>
        </w:rPr>
        <w:t xml:space="preserve"> below show </w:t>
      </w:r>
      <w:r w:rsidR="005F1366" w:rsidRPr="00D2758E">
        <w:rPr>
          <w:rFonts w:asciiTheme="majorBidi" w:hAnsiTheme="majorBidi" w:cstheme="majorBidi"/>
        </w:rPr>
        <w:t xml:space="preserve">significant </w:t>
      </w:r>
      <w:r w:rsidRPr="00D2758E">
        <w:rPr>
          <w:rFonts w:asciiTheme="majorBidi" w:hAnsiTheme="majorBidi" w:cstheme="majorBidi"/>
        </w:rPr>
        <w:t xml:space="preserve">progress on measures taken by Parties to implement Article 15 and </w:t>
      </w:r>
      <w:r w:rsidR="00D91864" w:rsidRPr="00D2758E">
        <w:rPr>
          <w:rFonts w:asciiTheme="majorBidi" w:hAnsiTheme="majorBidi" w:cstheme="majorBidi"/>
        </w:rPr>
        <w:t xml:space="preserve">moderate progress </w:t>
      </w:r>
      <w:r w:rsidR="00C25A2B">
        <w:rPr>
          <w:rFonts w:asciiTheme="majorBidi" w:hAnsiTheme="majorBidi" w:cstheme="majorBidi"/>
        </w:rPr>
        <w:t xml:space="preserve">on measures </w:t>
      </w:r>
      <w:r w:rsidR="00D91864" w:rsidRPr="00D2758E">
        <w:rPr>
          <w:rFonts w:asciiTheme="majorBidi" w:hAnsiTheme="majorBidi" w:cstheme="majorBidi"/>
        </w:rPr>
        <w:t xml:space="preserve">to implement Article </w:t>
      </w:r>
      <w:r w:rsidRPr="00D2758E">
        <w:rPr>
          <w:rFonts w:asciiTheme="majorBidi" w:hAnsiTheme="majorBidi" w:cstheme="majorBidi"/>
        </w:rPr>
        <w:t xml:space="preserve">17 of the Protocol. </w:t>
      </w:r>
      <w:r w:rsidR="00C94C76">
        <w:rPr>
          <w:rFonts w:asciiTheme="majorBidi" w:hAnsiTheme="majorBidi" w:cstheme="majorBidi"/>
        </w:rPr>
        <w:t>While t</w:t>
      </w:r>
      <w:r w:rsidRPr="00D2758E">
        <w:rPr>
          <w:rFonts w:asciiTheme="majorBidi" w:hAnsiTheme="majorBidi" w:cstheme="majorBidi"/>
        </w:rPr>
        <w:t xml:space="preserve">he analysis of the information </w:t>
      </w:r>
      <w:r w:rsidRPr="00D2758E">
        <w:t>provided</w:t>
      </w:r>
      <w:r w:rsidRPr="00D2758E">
        <w:rPr>
          <w:rFonts w:asciiTheme="majorBidi" w:hAnsiTheme="majorBidi" w:cstheme="majorBidi"/>
        </w:rPr>
        <w:t xml:space="preserve"> in the report demonstrate</w:t>
      </w:r>
      <w:r w:rsidR="00163AE9">
        <w:rPr>
          <w:rFonts w:asciiTheme="majorBidi" w:hAnsiTheme="majorBidi" w:cstheme="majorBidi"/>
        </w:rPr>
        <w:t>d</w:t>
      </w:r>
      <w:r w:rsidRPr="00D2758E">
        <w:rPr>
          <w:rFonts w:asciiTheme="majorBidi" w:hAnsiTheme="majorBidi" w:cstheme="majorBidi"/>
        </w:rPr>
        <w:t xml:space="preserve"> an enhanced understanding by Parties of compliance obligations under the Protocol</w:t>
      </w:r>
      <w:r w:rsidR="00B8655F" w:rsidRPr="00D2758E">
        <w:rPr>
          <w:rFonts w:asciiTheme="majorBidi" w:hAnsiTheme="majorBidi" w:cstheme="majorBidi"/>
        </w:rPr>
        <w:t xml:space="preserve"> since the first assessment and review</w:t>
      </w:r>
      <w:r w:rsidR="004E209F" w:rsidRPr="00D2758E">
        <w:rPr>
          <w:rFonts w:asciiTheme="majorBidi" w:hAnsiTheme="majorBidi" w:cstheme="majorBidi"/>
        </w:rPr>
        <w:t xml:space="preserve"> process</w:t>
      </w:r>
      <w:r w:rsidR="003B2450">
        <w:rPr>
          <w:rFonts w:asciiTheme="majorBidi" w:hAnsiTheme="majorBidi" w:cstheme="majorBidi"/>
        </w:rPr>
        <w:t xml:space="preserve">, </w:t>
      </w:r>
      <w:r w:rsidR="00EE2616" w:rsidRPr="00D2758E">
        <w:rPr>
          <w:rFonts w:asciiTheme="majorBidi" w:hAnsiTheme="majorBidi" w:cstheme="majorBidi"/>
        </w:rPr>
        <w:t>the progress on providing information collected at checkpoints as checkpoint communiqu</w:t>
      </w:r>
      <w:r w:rsidR="00A10FE6">
        <w:rPr>
          <w:rFonts w:asciiTheme="majorBidi" w:hAnsiTheme="majorBidi" w:cstheme="majorBidi"/>
        </w:rPr>
        <w:t>é</w:t>
      </w:r>
      <w:r w:rsidR="00EE2616" w:rsidRPr="00D2758E">
        <w:rPr>
          <w:rFonts w:asciiTheme="majorBidi" w:hAnsiTheme="majorBidi" w:cstheme="majorBidi"/>
        </w:rPr>
        <w:t>s has been slight.</w:t>
      </w:r>
      <w:r w:rsidR="0023221B" w:rsidRPr="00D2758E">
        <w:rPr>
          <w:rFonts w:asciiTheme="majorBidi" w:hAnsiTheme="majorBidi" w:cstheme="majorBidi"/>
        </w:rPr>
        <w:t xml:space="preserve"> </w:t>
      </w:r>
    </w:p>
    <w:p w14:paraId="14861C61" w14:textId="433F0B70" w:rsidR="00357D18" w:rsidRPr="00D2758E" w:rsidRDefault="00A10FE6" w:rsidP="00CD2C50">
      <w:pPr>
        <w:pStyle w:val="CBDNormalNumber"/>
        <w:rPr>
          <w:rFonts w:asciiTheme="majorBidi" w:hAnsiTheme="majorBidi" w:cstheme="majorBidi"/>
        </w:rPr>
      </w:pPr>
      <w:r>
        <w:rPr>
          <w:rFonts w:asciiTheme="majorBidi" w:hAnsiTheme="majorBidi" w:cstheme="majorBidi"/>
        </w:rPr>
        <w:t>D</w:t>
      </w:r>
      <w:r w:rsidRPr="00D2758E">
        <w:rPr>
          <w:rFonts w:asciiTheme="majorBidi" w:hAnsiTheme="majorBidi" w:cstheme="majorBidi"/>
        </w:rPr>
        <w:t>espite the progress made</w:t>
      </w:r>
      <w:r>
        <w:rPr>
          <w:rFonts w:asciiTheme="majorBidi" w:hAnsiTheme="majorBidi" w:cstheme="majorBidi"/>
        </w:rPr>
        <w:t>,</w:t>
      </w:r>
      <w:r w:rsidRPr="00D2758E">
        <w:rPr>
          <w:rFonts w:asciiTheme="majorBidi" w:hAnsiTheme="majorBidi" w:cstheme="majorBidi"/>
        </w:rPr>
        <w:t xml:space="preserve"> </w:t>
      </w:r>
      <w:r w:rsidR="00357D18" w:rsidRPr="00D2758E">
        <w:rPr>
          <w:rFonts w:asciiTheme="majorBidi" w:hAnsiTheme="majorBidi" w:cstheme="majorBidi"/>
        </w:rPr>
        <w:t>Parties continue</w:t>
      </w:r>
      <w:r>
        <w:rPr>
          <w:rFonts w:asciiTheme="majorBidi" w:hAnsiTheme="majorBidi" w:cstheme="majorBidi"/>
        </w:rPr>
        <w:t>d</w:t>
      </w:r>
      <w:r w:rsidR="00357D18" w:rsidRPr="00D2758E">
        <w:rPr>
          <w:rFonts w:asciiTheme="majorBidi" w:hAnsiTheme="majorBidi" w:cstheme="majorBidi"/>
        </w:rPr>
        <w:t xml:space="preserve"> to</w:t>
      </w:r>
      <w:r w:rsidR="00357D18" w:rsidRPr="00D2758E" w:rsidDel="000C7D73">
        <w:rPr>
          <w:rFonts w:asciiTheme="majorBidi" w:hAnsiTheme="majorBidi" w:cstheme="majorBidi"/>
        </w:rPr>
        <w:t xml:space="preserve"> </w:t>
      </w:r>
      <w:r w:rsidR="00357D18" w:rsidRPr="00D2758E">
        <w:rPr>
          <w:rFonts w:asciiTheme="majorBidi" w:hAnsiTheme="majorBidi" w:cstheme="majorBidi"/>
        </w:rPr>
        <w:t>experience challenges in implementing th</w:t>
      </w:r>
      <w:r>
        <w:rPr>
          <w:rFonts w:asciiTheme="majorBidi" w:hAnsiTheme="majorBidi" w:cstheme="majorBidi"/>
        </w:rPr>
        <w:t>o</w:t>
      </w:r>
      <w:r w:rsidR="00357D18" w:rsidRPr="00D2758E">
        <w:rPr>
          <w:rFonts w:asciiTheme="majorBidi" w:hAnsiTheme="majorBidi" w:cstheme="majorBidi"/>
        </w:rPr>
        <w:t>se articles in practice and many still need</w:t>
      </w:r>
      <w:r>
        <w:rPr>
          <w:rFonts w:asciiTheme="majorBidi" w:hAnsiTheme="majorBidi" w:cstheme="majorBidi"/>
        </w:rPr>
        <w:t>ed</w:t>
      </w:r>
      <w:r w:rsidR="00357D18" w:rsidRPr="00D2758E">
        <w:rPr>
          <w:rFonts w:asciiTheme="majorBidi" w:hAnsiTheme="majorBidi" w:cstheme="majorBidi"/>
        </w:rPr>
        <w:t xml:space="preserve"> to adopt new </w:t>
      </w:r>
      <w:r w:rsidRPr="00A10FE6">
        <w:rPr>
          <w:rFonts w:asciiTheme="majorBidi" w:hAnsiTheme="majorBidi" w:cstheme="majorBidi"/>
        </w:rPr>
        <w:t>access and benefit</w:t>
      </w:r>
      <w:r w:rsidR="004F53AC">
        <w:rPr>
          <w:rFonts w:asciiTheme="majorBidi" w:hAnsiTheme="majorBidi" w:cstheme="majorBidi"/>
        </w:rPr>
        <w:t>-</w:t>
      </w:r>
      <w:r w:rsidRPr="00A10FE6">
        <w:rPr>
          <w:rFonts w:asciiTheme="majorBidi" w:hAnsiTheme="majorBidi" w:cstheme="majorBidi"/>
        </w:rPr>
        <w:t xml:space="preserve">sharing </w:t>
      </w:r>
      <w:r w:rsidR="00357D18" w:rsidRPr="00D2758E">
        <w:rPr>
          <w:rFonts w:asciiTheme="majorBidi" w:hAnsiTheme="majorBidi" w:cstheme="majorBidi"/>
        </w:rPr>
        <w:t>measures or undertake further work to fully operationali</w:t>
      </w:r>
      <w:r w:rsidR="00F268EB">
        <w:rPr>
          <w:rFonts w:asciiTheme="majorBidi" w:hAnsiTheme="majorBidi" w:cstheme="majorBidi"/>
        </w:rPr>
        <w:t>z</w:t>
      </w:r>
      <w:r w:rsidR="00357D18" w:rsidRPr="00D2758E">
        <w:rPr>
          <w:rFonts w:asciiTheme="majorBidi" w:hAnsiTheme="majorBidi" w:cstheme="majorBidi"/>
        </w:rPr>
        <w:t xml:space="preserve">e the compliance provisions. </w:t>
      </w:r>
    </w:p>
    <w:p w14:paraId="77FB6FFB" w14:textId="1D2DF088" w:rsidR="00357D18" w:rsidRPr="00D2758E" w:rsidRDefault="00357D18" w:rsidP="00CD2C50">
      <w:pPr>
        <w:pStyle w:val="CBDNormalNumber"/>
        <w:rPr>
          <w:rFonts w:asciiTheme="majorBidi" w:hAnsiTheme="majorBidi" w:cstheme="majorBidi"/>
        </w:rPr>
      </w:pPr>
      <w:r w:rsidRPr="00D2758E">
        <w:rPr>
          <w:rFonts w:asciiTheme="majorBidi" w:hAnsiTheme="majorBidi" w:cstheme="majorBidi"/>
        </w:rPr>
        <w:t xml:space="preserve">The levels of identified non-compliance with domestic </w:t>
      </w:r>
      <w:r w:rsidR="004F53AC" w:rsidRPr="004F53AC">
        <w:rPr>
          <w:rFonts w:asciiTheme="majorBidi" w:hAnsiTheme="majorBidi" w:cstheme="majorBidi"/>
        </w:rPr>
        <w:t>access and benefit-</w:t>
      </w:r>
      <w:proofErr w:type="gramStart"/>
      <w:r w:rsidR="004F53AC" w:rsidRPr="004F53AC">
        <w:rPr>
          <w:rFonts w:asciiTheme="majorBidi" w:hAnsiTheme="majorBidi" w:cstheme="majorBidi"/>
        </w:rPr>
        <w:t xml:space="preserve">sharing </w:t>
      </w:r>
      <w:r w:rsidRPr="00D2758E">
        <w:rPr>
          <w:rFonts w:asciiTheme="majorBidi" w:hAnsiTheme="majorBidi" w:cstheme="majorBidi"/>
        </w:rPr>
        <w:t xml:space="preserve"> requirements</w:t>
      </w:r>
      <w:proofErr w:type="gramEnd"/>
      <w:r w:rsidRPr="00D2758E">
        <w:rPr>
          <w:rFonts w:asciiTheme="majorBidi" w:hAnsiTheme="majorBidi" w:cstheme="majorBidi"/>
        </w:rPr>
        <w:t xml:space="preserve"> relating to genetic resources remain</w:t>
      </w:r>
      <w:r w:rsidR="00406605">
        <w:rPr>
          <w:rFonts w:asciiTheme="majorBidi" w:hAnsiTheme="majorBidi" w:cstheme="majorBidi"/>
        </w:rPr>
        <w:t>ed</w:t>
      </w:r>
      <w:r w:rsidRPr="00D2758E">
        <w:rPr>
          <w:rFonts w:asciiTheme="majorBidi" w:hAnsiTheme="majorBidi" w:cstheme="majorBidi"/>
        </w:rPr>
        <w:t xml:space="preserve"> very low. Only 19 Parties reported having encountered and addressed such cases, 11 Parties responded that they ha</w:t>
      </w:r>
      <w:r w:rsidR="00406605">
        <w:rPr>
          <w:rFonts w:asciiTheme="majorBidi" w:hAnsiTheme="majorBidi" w:cstheme="majorBidi"/>
        </w:rPr>
        <w:t>d</w:t>
      </w:r>
      <w:r w:rsidRPr="00D2758E">
        <w:rPr>
          <w:rFonts w:asciiTheme="majorBidi" w:hAnsiTheme="majorBidi" w:cstheme="majorBidi"/>
        </w:rPr>
        <w:t xml:space="preserve"> cooperated with other Parties in specific cases of alleged violation of </w:t>
      </w:r>
      <w:r w:rsidR="00406605" w:rsidRPr="00406605">
        <w:rPr>
          <w:rFonts w:asciiTheme="majorBidi" w:hAnsiTheme="majorBidi" w:cstheme="majorBidi"/>
        </w:rPr>
        <w:t xml:space="preserve">access and benefit-sharing </w:t>
      </w:r>
      <w:r w:rsidRPr="00D2758E">
        <w:rPr>
          <w:rFonts w:asciiTheme="majorBidi" w:hAnsiTheme="majorBidi" w:cstheme="majorBidi"/>
        </w:rPr>
        <w:t xml:space="preserve">measures and most Parties reported that there </w:t>
      </w:r>
      <w:r w:rsidR="00406605">
        <w:rPr>
          <w:rFonts w:asciiTheme="majorBidi" w:hAnsiTheme="majorBidi" w:cstheme="majorBidi"/>
        </w:rPr>
        <w:t>had been</w:t>
      </w:r>
      <w:r w:rsidRPr="00D2758E">
        <w:rPr>
          <w:rFonts w:asciiTheme="majorBidi" w:hAnsiTheme="majorBidi" w:cstheme="majorBidi"/>
        </w:rPr>
        <w:t xml:space="preserve"> no need or occasion to do so. Much of the cooperation reported was initiated </w:t>
      </w:r>
      <w:r w:rsidR="00642F0E">
        <w:rPr>
          <w:rFonts w:asciiTheme="majorBidi" w:hAnsiTheme="majorBidi" w:cstheme="majorBidi"/>
        </w:rPr>
        <w:t xml:space="preserve">pursuant to </w:t>
      </w:r>
      <w:r w:rsidRPr="00D2758E">
        <w:rPr>
          <w:rFonts w:asciiTheme="majorBidi" w:hAnsiTheme="majorBidi" w:cstheme="majorBidi"/>
        </w:rPr>
        <w:t>a checkpoint communiqu</w:t>
      </w:r>
      <w:r w:rsidR="00642F0E">
        <w:rPr>
          <w:rFonts w:asciiTheme="majorBidi" w:hAnsiTheme="majorBidi" w:cstheme="majorBidi"/>
        </w:rPr>
        <w:t>é</w:t>
      </w:r>
      <w:r w:rsidRPr="00D2758E">
        <w:rPr>
          <w:rFonts w:asciiTheme="majorBidi" w:hAnsiTheme="majorBidi" w:cstheme="majorBidi"/>
        </w:rPr>
        <w:t xml:space="preserve"> issued or received.</w:t>
      </w:r>
    </w:p>
    <w:p w14:paraId="0403D99D" w14:textId="1A68E944" w:rsidR="00357D18" w:rsidRPr="00D2758E" w:rsidRDefault="00357D18" w:rsidP="00CD2C50">
      <w:pPr>
        <w:pStyle w:val="CBDNormalNumber"/>
        <w:rPr>
          <w:rFonts w:asciiTheme="majorBidi" w:hAnsiTheme="majorBidi" w:cstheme="majorBidi"/>
        </w:rPr>
      </w:pPr>
      <w:r w:rsidRPr="00D2758E">
        <w:rPr>
          <w:rFonts w:asciiTheme="majorBidi" w:hAnsiTheme="majorBidi" w:cstheme="majorBidi"/>
        </w:rPr>
        <w:t>The number and percentage of Parties that require</w:t>
      </w:r>
      <w:r w:rsidR="00CD70B0">
        <w:rPr>
          <w:rFonts w:asciiTheme="majorBidi" w:hAnsiTheme="majorBidi" w:cstheme="majorBidi"/>
        </w:rPr>
        <w:t>d</w:t>
      </w:r>
      <w:r w:rsidRPr="00D2758E">
        <w:rPr>
          <w:rFonts w:asciiTheme="majorBidi" w:hAnsiTheme="majorBidi" w:cstheme="majorBidi"/>
        </w:rPr>
        <w:t xml:space="preserve"> users of genetic resources to provide the information identified in Article 17</w:t>
      </w:r>
      <w:r w:rsidR="004F2CE6">
        <w:rPr>
          <w:rFonts w:asciiTheme="majorBidi" w:hAnsiTheme="majorBidi" w:cstheme="majorBidi"/>
        </w:rPr>
        <w:t xml:space="preserve"> (</w:t>
      </w:r>
      <w:r w:rsidRPr="00D2758E">
        <w:rPr>
          <w:rFonts w:asciiTheme="majorBidi" w:hAnsiTheme="majorBidi" w:cstheme="majorBidi"/>
        </w:rPr>
        <w:t>1</w:t>
      </w:r>
      <w:r w:rsidR="00790E40">
        <w:rPr>
          <w:rFonts w:asciiTheme="majorBidi" w:hAnsiTheme="majorBidi" w:cstheme="majorBidi"/>
        </w:rPr>
        <w:t>)</w:t>
      </w:r>
      <w:r w:rsidRPr="00D2758E">
        <w:rPr>
          <w:rFonts w:asciiTheme="majorBidi" w:hAnsiTheme="majorBidi" w:cstheme="majorBidi"/>
        </w:rPr>
        <w:t xml:space="preserve"> (a)</w:t>
      </w:r>
      <w:r w:rsidR="00CD70B0">
        <w:rPr>
          <w:rFonts w:asciiTheme="majorBidi" w:hAnsiTheme="majorBidi" w:cstheme="majorBidi"/>
        </w:rPr>
        <w:t xml:space="preserve"> </w:t>
      </w:r>
      <w:r w:rsidRPr="00D2758E">
        <w:rPr>
          <w:rFonts w:asciiTheme="majorBidi" w:hAnsiTheme="majorBidi" w:cstheme="majorBidi"/>
        </w:rPr>
        <w:t>(</w:t>
      </w:r>
      <w:proofErr w:type="spellStart"/>
      <w:r w:rsidRPr="00D2758E">
        <w:rPr>
          <w:rFonts w:asciiTheme="majorBidi" w:hAnsiTheme="majorBidi" w:cstheme="majorBidi"/>
        </w:rPr>
        <w:t>i</w:t>
      </w:r>
      <w:proofErr w:type="spellEnd"/>
      <w:r w:rsidRPr="00D2758E">
        <w:rPr>
          <w:rFonts w:asciiTheme="majorBidi" w:hAnsiTheme="majorBidi" w:cstheme="majorBidi"/>
        </w:rPr>
        <w:t xml:space="preserve">), as appropriate, at a designated checkpoint </w:t>
      </w:r>
      <w:r w:rsidR="00AC4099" w:rsidRPr="00D2758E">
        <w:rPr>
          <w:rFonts w:asciiTheme="majorBidi" w:hAnsiTheme="majorBidi" w:cstheme="majorBidi"/>
        </w:rPr>
        <w:t xml:space="preserve">(66 Parties </w:t>
      </w:r>
      <w:r w:rsidR="00AC4099" w:rsidRPr="00D2758E">
        <w:t>representing</w:t>
      </w:r>
      <w:r w:rsidR="00AC4099" w:rsidRPr="00D2758E">
        <w:rPr>
          <w:rFonts w:asciiTheme="majorBidi" w:hAnsiTheme="majorBidi" w:cstheme="majorBidi"/>
        </w:rPr>
        <w:t xml:space="preserve"> 46</w:t>
      </w:r>
      <w:r w:rsidR="00AC4099">
        <w:rPr>
          <w:rFonts w:asciiTheme="majorBidi" w:hAnsiTheme="majorBidi" w:cstheme="majorBidi"/>
        </w:rPr>
        <w:t xml:space="preserve"> per cent</w:t>
      </w:r>
      <w:r w:rsidR="00AC4099" w:rsidRPr="00D2758E">
        <w:rPr>
          <w:rFonts w:asciiTheme="majorBidi" w:hAnsiTheme="majorBidi" w:cstheme="majorBidi"/>
        </w:rPr>
        <w:t xml:space="preserve"> of the total number of Parties)</w:t>
      </w:r>
      <w:r w:rsidR="00AC4099">
        <w:rPr>
          <w:rFonts w:asciiTheme="majorBidi" w:hAnsiTheme="majorBidi" w:cstheme="majorBidi"/>
        </w:rPr>
        <w:t xml:space="preserve"> </w:t>
      </w:r>
      <w:proofErr w:type="gramStart"/>
      <w:r w:rsidRPr="00D2758E">
        <w:rPr>
          <w:rFonts w:asciiTheme="majorBidi" w:hAnsiTheme="majorBidi" w:cstheme="majorBidi"/>
        </w:rPr>
        <w:t>ha</w:t>
      </w:r>
      <w:r w:rsidR="00CD70B0">
        <w:rPr>
          <w:rFonts w:asciiTheme="majorBidi" w:hAnsiTheme="majorBidi" w:cstheme="majorBidi"/>
        </w:rPr>
        <w:t>d</w:t>
      </w:r>
      <w:r w:rsidRPr="00D2758E">
        <w:rPr>
          <w:rFonts w:asciiTheme="majorBidi" w:hAnsiTheme="majorBidi" w:cstheme="majorBidi"/>
        </w:rPr>
        <w:t xml:space="preserve">  increased</w:t>
      </w:r>
      <w:proofErr w:type="gramEnd"/>
      <w:r w:rsidRPr="00D2758E">
        <w:rPr>
          <w:rFonts w:asciiTheme="majorBidi" w:hAnsiTheme="majorBidi" w:cstheme="majorBidi"/>
        </w:rPr>
        <w:t>. Th</w:t>
      </w:r>
      <w:r w:rsidR="00AC4099">
        <w:rPr>
          <w:rFonts w:asciiTheme="majorBidi" w:hAnsiTheme="majorBidi" w:cstheme="majorBidi"/>
        </w:rPr>
        <w:t>o</w:t>
      </w:r>
      <w:r w:rsidRPr="00D2758E">
        <w:rPr>
          <w:rFonts w:asciiTheme="majorBidi" w:hAnsiTheme="majorBidi" w:cstheme="majorBidi"/>
        </w:rPr>
        <w:t>s</w:t>
      </w:r>
      <w:r w:rsidR="00AC4099">
        <w:rPr>
          <w:rFonts w:asciiTheme="majorBidi" w:hAnsiTheme="majorBidi" w:cstheme="majorBidi"/>
        </w:rPr>
        <w:t>e</w:t>
      </w:r>
      <w:r w:rsidRPr="00D2758E">
        <w:rPr>
          <w:rFonts w:asciiTheme="majorBidi" w:hAnsiTheme="majorBidi" w:cstheme="majorBidi"/>
        </w:rPr>
        <w:t xml:space="preserve"> data </w:t>
      </w:r>
      <w:proofErr w:type="gramStart"/>
      <w:r w:rsidR="004F2CE6">
        <w:rPr>
          <w:rFonts w:asciiTheme="majorBidi" w:hAnsiTheme="majorBidi" w:cstheme="majorBidi"/>
        </w:rPr>
        <w:t xml:space="preserve">are </w:t>
      </w:r>
      <w:r w:rsidRPr="00D2758E">
        <w:rPr>
          <w:rFonts w:asciiTheme="majorBidi" w:hAnsiTheme="majorBidi" w:cstheme="majorBidi"/>
        </w:rPr>
        <w:t xml:space="preserve"> consistent</w:t>
      </w:r>
      <w:proofErr w:type="gramEnd"/>
      <w:r w:rsidRPr="00D2758E">
        <w:rPr>
          <w:rFonts w:asciiTheme="majorBidi" w:hAnsiTheme="majorBidi" w:cstheme="majorBidi"/>
        </w:rPr>
        <w:t xml:space="preserve"> with the increase in the number of Parties that ha</w:t>
      </w:r>
      <w:r w:rsidR="004F2CE6">
        <w:rPr>
          <w:rFonts w:asciiTheme="majorBidi" w:hAnsiTheme="majorBidi" w:cstheme="majorBidi"/>
        </w:rPr>
        <w:t>d</w:t>
      </w:r>
      <w:r w:rsidRPr="00D2758E">
        <w:rPr>
          <w:rFonts w:asciiTheme="majorBidi" w:hAnsiTheme="majorBidi" w:cstheme="majorBidi"/>
        </w:rPr>
        <w:t xml:space="preserve"> designated checkpoints. </w:t>
      </w:r>
    </w:p>
    <w:p w14:paraId="22BFFF07" w14:textId="46882EA7" w:rsidR="00357D18" w:rsidRPr="00D2758E" w:rsidRDefault="00C44BAA" w:rsidP="00CD2C50">
      <w:pPr>
        <w:pStyle w:val="CBDNormalNumber"/>
        <w:rPr>
          <w:rFonts w:asciiTheme="majorBidi" w:hAnsiTheme="majorBidi" w:cstheme="majorBidi"/>
        </w:rPr>
      </w:pPr>
      <w:r>
        <w:rPr>
          <w:rFonts w:asciiTheme="majorBidi" w:hAnsiTheme="majorBidi" w:cstheme="majorBidi"/>
        </w:rPr>
        <w:lastRenderedPageBreak/>
        <w:t>T</w:t>
      </w:r>
      <w:r w:rsidR="00357D18" w:rsidRPr="00D2758E">
        <w:rPr>
          <w:rFonts w:asciiTheme="majorBidi" w:hAnsiTheme="majorBidi" w:cstheme="majorBidi"/>
        </w:rPr>
        <w:t xml:space="preserve">he checkpoints of </w:t>
      </w:r>
      <w:r>
        <w:rPr>
          <w:rFonts w:asciiTheme="majorBidi" w:hAnsiTheme="majorBidi" w:cstheme="majorBidi"/>
        </w:rPr>
        <w:t>o</w:t>
      </w:r>
      <w:r w:rsidRPr="00D2758E">
        <w:rPr>
          <w:rFonts w:asciiTheme="majorBidi" w:hAnsiTheme="majorBidi" w:cstheme="majorBidi"/>
        </w:rPr>
        <w:t xml:space="preserve">nly </w:t>
      </w:r>
      <w:r w:rsidR="00357D18" w:rsidRPr="00D2758E">
        <w:rPr>
          <w:rFonts w:asciiTheme="majorBidi" w:hAnsiTheme="majorBidi" w:cstheme="majorBidi"/>
        </w:rPr>
        <w:t>33 Parties (23</w:t>
      </w:r>
      <w:r w:rsidR="00790E40">
        <w:rPr>
          <w:rFonts w:asciiTheme="majorBidi" w:hAnsiTheme="majorBidi" w:cstheme="majorBidi"/>
        </w:rPr>
        <w:t xml:space="preserve"> per cent</w:t>
      </w:r>
      <w:r w:rsidR="00357D18" w:rsidRPr="00D2758E">
        <w:rPr>
          <w:rFonts w:asciiTheme="majorBidi" w:hAnsiTheme="majorBidi" w:cstheme="majorBidi"/>
        </w:rPr>
        <w:t>)</w:t>
      </w:r>
      <w:r>
        <w:rPr>
          <w:rFonts w:asciiTheme="majorBidi" w:hAnsiTheme="majorBidi" w:cstheme="majorBidi"/>
        </w:rPr>
        <w:t>,</w:t>
      </w:r>
      <w:r w:rsidR="00357D18" w:rsidRPr="00D2758E">
        <w:rPr>
          <w:rFonts w:asciiTheme="majorBidi" w:hAnsiTheme="majorBidi" w:cstheme="majorBidi"/>
        </w:rPr>
        <w:t xml:space="preserve"> </w:t>
      </w:r>
      <w:r>
        <w:rPr>
          <w:rFonts w:asciiTheme="majorBidi" w:hAnsiTheme="majorBidi" w:cstheme="majorBidi"/>
        </w:rPr>
        <w:t>h</w:t>
      </w:r>
      <w:r w:rsidRPr="00D2758E">
        <w:rPr>
          <w:rFonts w:asciiTheme="majorBidi" w:hAnsiTheme="majorBidi" w:cstheme="majorBidi"/>
        </w:rPr>
        <w:t xml:space="preserve">owever, </w:t>
      </w:r>
      <w:r w:rsidR="00357D18" w:rsidRPr="00D2758E">
        <w:rPr>
          <w:rFonts w:asciiTheme="majorBidi" w:hAnsiTheme="majorBidi" w:cstheme="majorBidi"/>
        </w:rPr>
        <w:t>ha</w:t>
      </w:r>
      <w:r>
        <w:rPr>
          <w:rFonts w:asciiTheme="majorBidi" w:hAnsiTheme="majorBidi" w:cstheme="majorBidi"/>
        </w:rPr>
        <w:t>d</w:t>
      </w:r>
      <w:r w:rsidR="00357D18" w:rsidRPr="00D2758E">
        <w:rPr>
          <w:rFonts w:asciiTheme="majorBidi" w:hAnsiTheme="majorBidi" w:cstheme="majorBidi"/>
        </w:rPr>
        <w:t xml:space="preserve"> collected or received information from users during the reporting period. Moreover, only 15 Parties (45</w:t>
      </w:r>
      <w:r w:rsidR="0074786C">
        <w:rPr>
          <w:rFonts w:asciiTheme="majorBidi" w:hAnsiTheme="majorBidi" w:cstheme="majorBidi"/>
        </w:rPr>
        <w:t xml:space="preserve"> per cent</w:t>
      </w:r>
      <w:r w:rsidR="00357D18" w:rsidRPr="00D2758E">
        <w:rPr>
          <w:rFonts w:asciiTheme="majorBidi" w:hAnsiTheme="majorBidi" w:cstheme="majorBidi"/>
        </w:rPr>
        <w:t>) ha</w:t>
      </w:r>
      <w:r w:rsidR="006726C1">
        <w:rPr>
          <w:rFonts w:asciiTheme="majorBidi" w:hAnsiTheme="majorBidi" w:cstheme="majorBidi"/>
        </w:rPr>
        <w:t>d</w:t>
      </w:r>
      <w:r w:rsidR="00357D18" w:rsidRPr="00D2758E">
        <w:rPr>
          <w:rFonts w:asciiTheme="majorBidi" w:hAnsiTheme="majorBidi" w:cstheme="majorBidi"/>
        </w:rPr>
        <w:t xml:space="preserve"> </w:t>
      </w:r>
      <w:proofErr w:type="gramStart"/>
      <w:r w:rsidR="00357D18" w:rsidRPr="00D2758E">
        <w:rPr>
          <w:rFonts w:asciiTheme="majorBidi" w:hAnsiTheme="majorBidi" w:cstheme="majorBidi"/>
        </w:rPr>
        <w:t>provided that</w:t>
      </w:r>
      <w:proofErr w:type="gramEnd"/>
      <w:r w:rsidR="00357D18" w:rsidRPr="00D2758E">
        <w:rPr>
          <w:rFonts w:asciiTheme="majorBidi" w:hAnsiTheme="majorBidi" w:cstheme="majorBidi"/>
        </w:rPr>
        <w:t xml:space="preserve"> information to national authorities </w:t>
      </w:r>
      <w:r w:rsidR="00357D18" w:rsidRPr="00D2758E">
        <w:t>and</w:t>
      </w:r>
      <w:r w:rsidR="00357D18" w:rsidRPr="00D2758E">
        <w:rPr>
          <w:rFonts w:asciiTheme="majorBidi" w:hAnsiTheme="majorBidi" w:cstheme="majorBidi"/>
        </w:rPr>
        <w:t xml:space="preserve"> to the Party providing </w:t>
      </w:r>
      <w:r w:rsidR="006A2707" w:rsidRPr="00D2758E">
        <w:rPr>
          <w:rFonts w:asciiTheme="majorBidi" w:hAnsiTheme="majorBidi" w:cstheme="majorBidi"/>
        </w:rPr>
        <w:t>prior informed consent</w:t>
      </w:r>
      <w:r w:rsidR="00357D18" w:rsidRPr="00D2758E">
        <w:rPr>
          <w:rFonts w:asciiTheme="majorBidi" w:hAnsiTheme="majorBidi" w:cstheme="majorBidi"/>
        </w:rPr>
        <w:t xml:space="preserve"> through the </w:t>
      </w:r>
      <w:r w:rsidR="00B02161">
        <w:rPr>
          <w:rFonts w:asciiTheme="majorBidi" w:hAnsiTheme="majorBidi" w:cstheme="majorBidi"/>
        </w:rPr>
        <w:t xml:space="preserve">Access and Benefit-sharing </w:t>
      </w:r>
      <w:r w:rsidR="00357D18" w:rsidRPr="00D2758E">
        <w:rPr>
          <w:rFonts w:asciiTheme="majorBidi" w:hAnsiTheme="majorBidi" w:cstheme="majorBidi"/>
        </w:rPr>
        <w:t xml:space="preserve">Clearing-House using the checkpoint communiqué. Eleven Parties reported that they </w:t>
      </w:r>
      <w:r w:rsidR="00B02161">
        <w:rPr>
          <w:rFonts w:asciiTheme="majorBidi" w:hAnsiTheme="majorBidi" w:cstheme="majorBidi"/>
        </w:rPr>
        <w:t xml:space="preserve">had </w:t>
      </w:r>
      <w:r w:rsidR="00357D18" w:rsidRPr="00D2758E">
        <w:rPr>
          <w:rFonts w:asciiTheme="majorBidi" w:hAnsiTheme="majorBidi" w:cstheme="majorBidi"/>
        </w:rPr>
        <w:t xml:space="preserve">provided information collected or received by checkpoints through other means than the </w:t>
      </w:r>
      <w:proofErr w:type="gramStart"/>
      <w:r w:rsidR="00357D18" w:rsidRPr="00D2758E">
        <w:rPr>
          <w:rFonts w:asciiTheme="majorBidi" w:hAnsiTheme="majorBidi" w:cstheme="majorBidi"/>
        </w:rPr>
        <w:t>Clearing-House</w:t>
      </w:r>
      <w:proofErr w:type="gramEnd"/>
      <w:r w:rsidR="00357D18" w:rsidRPr="00D2758E">
        <w:rPr>
          <w:rFonts w:asciiTheme="majorBidi" w:hAnsiTheme="majorBidi" w:cstheme="majorBidi"/>
        </w:rPr>
        <w:t xml:space="preserve">. </w:t>
      </w:r>
      <w:r w:rsidR="002775C4">
        <w:rPr>
          <w:rFonts w:asciiTheme="majorBidi" w:hAnsiTheme="majorBidi" w:cstheme="majorBidi"/>
        </w:rPr>
        <w:t xml:space="preserve">The reasons for their having done so </w:t>
      </w:r>
      <w:r w:rsidR="00357D18" w:rsidRPr="00D2758E">
        <w:rPr>
          <w:rFonts w:asciiTheme="majorBidi" w:hAnsiTheme="majorBidi" w:cstheme="majorBidi"/>
        </w:rPr>
        <w:t xml:space="preserve">included issues of confidentiality and the </w:t>
      </w:r>
      <w:r w:rsidR="00A253CA">
        <w:rPr>
          <w:rFonts w:asciiTheme="majorBidi" w:hAnsiTheme="majorBidi" w:cstheme="majorBidi"/>
        </w:rPr>
        <w:t xml:space="preserve">fact that the </w:t>
      </w:r>
      <w:r w:rsidR="00357D18" w:rsidRPr="00D2758E">
        <w:rPr>
          <w:rFonts w:asciiTheme="majorBidi" w:hAnsiTheme="majorBidi" w:cstheme="majorBidi"/>
        </w:rPr>
        <w:t xml:space="preserve">information </w:t>
      </w:r>
      <w:r w:rsidR="00644C0B" w:rsidRPr="00D2758E">
        <w:rPr>
          <w:rFonts w:asciiTheme="majorBidi" w:hAnsiTheme="majorBidi" w:cstheme="majorBidi"/>
        </w:rPr>
        <w:t xml:space="preserve">received </w:t>
      </w:r>
      <w:r w:rsidR="00A253CA">
        <w:rPr>
          <w:rFonts w:asciiTheme="majorBidi" w:hAnsiTheme="majorBidi" w:cstheme="majorBidi"/>
        </w:rPr>
        <w:t xml:space="preserve">had </w:t>
      </w:r>
      <w:r w:rsidR="00357D18" w:rsidRPr="00D2758E">
        <w:rPr>
          <w:rFonts w:asciiTheme="majorBidi" w:hAnsiTheme="majorBidi" w:cstheme="majorBidi"/>
        </w:rPr>
        <w:t>not be</w:t>
      </w:r>
      <w:r w:rsidR="00A253CA">
        <w:rPr>
          <w:rFonts w:asciiTheme="majorBidi" w:hAnsiTheme="majorBidi" w:cstheme="majorBidi"/>
        </w:rPr>
        <w:t>en</w:t>
      </w:r>
      <w:r w:rsidR="00357D18" w:rsidRPr="00D2758E">
        <w:rPr>
          <w:rFonts w:asciiTheme="majorBidi" w:hAnsiTheme="majorBidi" w:cstheme="majorBidi"/>
        </w:rPr>
        <w:t xml:space="preserve"> adapted to the format of the checkpoint communiqu</w:t>
      </w:r>
      <w:r w:rsidR="00AE041F" w:rsidRPr="00D2758E">
        <w:rPr>
          <w:rFonts w:asciiTheme="majorBidi" w:hAnsiTheme="majorBidi" w:cstheme="majorBidi"/>
        </w:rPr>
        <w:t>é</w:t>
      </w:r>
      <w:r w:rsidR="00357D18" w:rsidRPr="00D2758E">
        <w:rPr>
          <w:rFonts w:asciiTheme="majorBidi" w:hAnsiTheme="majorBidi" w:cstheme="majorBidi"/>
        </w:rPr>
        <w:t>.</w:t>
      </w:r>
    </w:p>
    <w:p w14:paraId="059C854F" w14:textId="6FEA5849" w:rsidR="0004249F" w:rsidRPr="00D2758E" w:rsidRDefault="00B00ADB" w:rsidP="00CD2C50">
      <w:pPr>
        <w:pStyle w:val="CBDNormalNumber"/>
        <w:rPr>
          <w:rFonts w:asciiTheme="majorBidi" w:hAnsiTheme="majorBidi" w:cstheme="majorBidi"/>
        </w:rPr>
      </w:pPr>
      <w:r w:rsidRPr="00D2758E">
        <w:t xml:space="preserve">The </w:t>
      </w:r>
      <w:r w:rsidRPr="00D2758E">
        <w:rPr>
          <w:rFonts w:asciiTheme="majorBidi" w:hAnsiTheme="majorBidi" w:cstheme="majorBidi"/>
        </w:rPr>
        <w:t xml:space="preserve">analysis of information published </w:t>
      </w:r>
      <w:r w:rsidR="00DA603F">
        <w:rPr>
          <w:rFonts w:asciiTheme="majorBidi" w:hAnsiTheme="majorBidi" w:cstheme="majorBidi"/>
        </w:rPr>
        <w:t>o</w:t>
      </w:r>
      <w:r w:rsidRPr="00D2758E">
        <w:rPr>
          <w:rFonts w:asciiTheme="majorBidi" w:hAnsiTheme="majorBidi" w:cstheme="majorBidi"/>
        </w:rPr>
        <w:t xml:space="preserve">n the </w:t>
      </w:r>
      <w:proofErr w:type="gramStart"/>
      <w:r w:rsidRPr="00D2758E">
        <w:rPr>
          <w:rFonts w:asciiTheme="majorBidi" w:hAnsiTheme="majorBidi" w:cstheme="majorBidi"/>
        </w:rPr>
        <w:t>Clearing-House</w:t>
      </w:r>
      <w:proofErr w:type="gramEnd"/>
      <w:r w:rsidRPr="00D2758E">
        <w:rPr>
          <w:rFonts w:asciiTheme="majorBidi" w:hAnsiTheme="majorBidi" w:cstheme="majorBidi"/>
        </w:rPr>
        <w:t xml:space="preserve"> reveal</w:t>
      </w:r>
      <w:r w:rsidR="00DA603F">
        <w:rPr>
          <w:rFonts w:asciiTheme="majorBidi" w:hAnsiTheme="majorBidi" w:cstheme="majorBidi"/>
        </w:rPr>
        <w:t>ed</w:t>
      </w:r>
      <w:r w:rsidRPr="00D2758E">
        <w:rPr>
          <w:rFonts w:asciiTheme="majorBidi" w:hAnsiTheme="majorBidi" w:cstheme="majorBidi"/>
        </w:rPr>
        <w:t xml:space="preserve"> </w:t>
      </w:r>
      <w:r w:rsidR="00655435" w:rsidRPr="00D2758E">
        <w:rPr>
          <w:rFonts w:asciiTheme="majorBidi" w:hAnsiTheme="majorBidi" w:cstheme="majorBidi"/>
        </w:rPr>
        <w:t xml:space="preserve">that </w:t>
      </w:r>
      <w:r w:rsidR="00962FB1" w:rsidRPr="00D2758E">
        <w:rPr>
          <w:rFonts w:asciiTheme="majorBidi" w:hAnsiTheme="majorBidi" w:cstheme="majorBidi"/>
        </w:rPr>
        <w:t>only five Parties (4</w:t>
      </w:r>
      <w:r w:rsidR="00DA603F">
        <w:rPr>
          <w:rFonts w:asciiTheme="majorBidi" w:hAnsiTheme="majorBidi" w:cstheme="majorBidi"/>
        </w:rPr>
        <w:t xml:space="preserve"> per cent</w:t>
      </w:r>
      <w:r w:rsidR="00962FB1" w:rsidRPr="00D2758E">
        <w:rPr>
          <w:rFonts w:asciiTheme="majorBidi" w:hAnsiTheme="majorBidi" w:cstheme="majorBidi"/>
        </w:rPr>
        <w:t>) a</w:t>
      </w:r>
      <w:r w:rsidR="00EF4BEC" w:rsidRPr="00D2758E">
        <w:rPr>
          <w:rFonts w:asciiTheme="majorBidi" w:hAnsiTheme="majorBidi" w:cstheme="majorBidi"/>
        </w:rPr>
        <w:t>ccount</w:t>
      </w:r>
      <w:r w:rsidR="00DA603F">
        <w:rPr>
          <w:rFonts w:asciiTheme="majorBidi" w:hAnsiTheme="majorBidi" w:cstheme="majorBidi"/>
        </w:rPr>
        <w:t>ed</w:t>
      </w:r>
      <w:r w:rsidR="00EF4BEC" w:rsidRPr="00D2758E">
        <w:rPr>
          <w:rFonts w:asciiTheme="majorBidi" w:hAnsiTheme="majorBidi" w:cstheme="majorBidi"/>
        </w:rPr>
        <w:t xml:space="preserve"> for approximately</w:t>
      </w:r>
      <w:r w:rsidR="00962FB1" w:rsidRPr="00D2758E">
        <w:rPr>
          <w:rFonts w:asciiTheme="majorBidi" w:hAnsiTheme="majorBidi" w:cstheme="majorBidi"/>
        </w:rPr>
        <w:t xml:space="preserve"> 90</w:t>
      </w:r>
      <w:r w:rsidR="00DA603F">
        <w:rPr>
          <w:rFonts w:asciiTheme="majorBidi" w:hAnsiTheme="majorBidi" w:cstheme="majorBidi"/>
        </w:rPr>
        <w:t xml:space="preserve"> per cent</w:t>
      </w:r>
      <w:r w:rsidR="00962FB1" w:rsidRPr="00D2758E">
        <w:rPr>
          <w:rFonts w:asciiTheme="majorBidi" w:hAnsiTheme="majorBidi" w:cstheme="majorBidi"/>
        </w:rPr>
        <w:t xml:space="preserve"> of all communiqu</w:t>
      </w:r>
      <w:r w:rsidR="005778C9" w:rsidRPr="00D2758E">
        <w:rPr>
          <w:rFonts w:asciiTheme="majorBidi" w:hAnsiTheme="majorBidi" w:cstheme="majorBidi"/>
        </w:rPr>
        <w:t>é</w:t>
      </w:r>
      <w:r w:rsidR="00962FB1" w:rsidRPr="00D2758E">
        <w:rPr>
          <w:rFonts w:asciiTheme="majorBidi" w:hAnsiTheme="majorBidi" w:cstheme="majorBidi"/>
        </w:rPr>
        <w:t>s published</w:t>
      </w:r>
      <w:r w:rsidR="00AE61B6" w:rsidRPr="00D2758E">
        <w:rPr>
          <w:rFonts w:asciiTheme="majorBidi" w:hAnsiTheme="majorBidi" w:cstheme="majorBidi"/>
        </w:rPr>
        <w:t xml:space="preserve"> </w:t>
      </w:r>
      <w:r w:rsidR="003C58AE" w:rsidRPr="00D2758E">
        <w:rPr>
          <w:rFonts w:asciiTheme="majorBidi" w:hAnsiTheme="majorBidi" w:cstheme="majorBidi"/>
        </w:rPr>
        <w:t>and approximately one third of th</w:t>
      </w:r>
      <w:r w:rsidR="007D3C4E">
        <w:rPr>
          <w:rFonts w:asciiTheme="majorBidi" w:hAnsiTheme="majorBidi" w:cstheme="majorBidi"/>
        </w:rPr>
        <w:t>o</w:t>
      </w:r>
      <w:r w:rsidR="003C58AE" w:rsidRPr="00D2758E">
        <w:rPr>
          <w:rFonts w:asciiTheme="majorBidi" w:hAnsiTheme="majorBidi" w:cstheme="majorBidi"/>
        </w:rPr>
        <w:t xml:space="preserve">se </w:t>
      </w:r>
      <w:r w:rsidR="007D3C4E" w:rsidRPr="007D3C4E">
        <w:rPr>
          <w:rFonts w:asciiTheme="majorBidi" w:hAnsiTheme="majorBidi" w:cstheme="majorBidi"/>
        </w:rPr>
        <w:t xml:space="preserve">communiqués </w:t>
      </w:r>
      <w:r w:rsidR="006522ED" w:rsidRPr="00D2758E">
        <w:rPr>
          <w:rFonts w:asciiTheme="majorBidi" w:hAnsiTheme="majorBidi" w:cstheme="majorBidi"/>
        </w:rPr>
        <w:t>issued</w:t>
      </w:r>
      <w:r w:rsidR="006522ED">
        <w:rPr>
          <w:rFonts w:asciiTheme="majorBidi" w:hAnsiTheme="majorBidi" w:cstheme="majorBidi"/>
        </w:rPr>
        <w:t xml:space="preserve"> </w:t>
      </w:r>
      <w:r w:rsidR="007D3C4E">
        <w:rPr>
          <w:rFonts w:asciiTheme="majorBidi" w:hAnsiTheme="majorBidi" w:cstheme="majorBidi"/>
        </w:rPr>
        <w:t>were</w:t>
      </w:r>
      <w:r w:rsidR="003C58AE" w:rsidRPr="00D2758E">
        <w:rPr>
          <w:rFonts w:asciiTheme="majorBidi" w:hAnsiTheme="majorBidi" w:cstheme="majorBidi"/>
        </w:rPr>
        <w:t xml:space="preserve"> “</w:t>
      </w:r>
      <w:r w:rsidR="003C58AE" w:rsidRPr="00D2758E">
        <w:t>internal</w:t>
      </w:r>
      <w:r w:rsidR="003C58AE" w:rsidRPr="00D2758E">
        <w:rPr>
          <w:rFonts w:asciiTheme="majorBidi" w:hAnsiTheme="majorBidi" w:cstheme="majorBidi"/>
        </w:rPr>
        <w:t>”</w:t>
      </w:r>
      <w:proofErr w:type="gramStart"/>
      <w:r w:rsidR="00A76E9F">
        <w:rPr>
          <w:rFonts w:asciiTheme="majorBidi" w:hAnsiTheme="majorBidi" w:cstheme="majorBidi"/>
        </w:rPr>
        <w:t>,</w:t>
      </w:r>
      <w:r w:rsidR="006522ED">
        <w:rPr>
          <w:rFonts w:asciiTheme="majorBidi" w:hAnsiTheme="majorBidi" w:cstheme="majorBidi"/>
        </w:rPr>
        <w:t xml:space="preserve"> that is to say, they</w:t>
      </w:r>
      <w:proofErr w:type="gramEnd"/>
      <w:r w:rsidR="00483AD3" w:rsidRPr="00D2758E">
        <w:rPr>
          <w:rFonts w:asciiTheme="majorBidi" w:hAnsiTheme="majorBidi" w:cstheme="majorBidi"/>
        </w:rPr>
        <w:t xml:space="preserve"> </w:t>
      </w:r>
      <w:r w:rsidR="00A76E9F">
        <w:rPr>
          <w:rFonts w:asciiTheme="majorBidi" w:hAnsiTheme="majorBidi" w:cstheme="majorBidi"/>
        </w:rPr>
        <w:t>concerned</w:t>
      </w:r>
      <w:r w:rsidR="00483AD3" w:rsidRPr="00D2758E">
        <w:rPr>
          <w:rFonts w:asciiTheme="majorBidi" w:hAnsiTheme="majorBidi" w:cstheme="majorBidi"/>
        </w:rPr>
        <w:t xml:space="preserve"> the utilization of their own genetic resources</w:t>
      </w:r>
      <w:r w:rsidR="003C58AE" w:rsidRPr="00D2758E">
        <w:rPr>
          <w:rFonts w:asciiTheme="majorBidi" w:hAnsiTheme="majorBidi" w:cstheme="majorBidi"/>
        </w:rPr>
        <w:t>.</w:t>
      </w:r>
      <w:r w:rsidR="0004249F" w:rsidRPr="00D2758E">
        <w:rPr>
          <w:rFonts w:asciiTheme="majorBidi" w:hAnsiTheme="majorBidi" w:cstheme="majorBidi"/>
        </w:rPr>
        <w:t xml:space="preserve">  </w:t>
      </w:r>
    </w:p>
    <w:p w14:paraId="435EB1B6" w14:textId="0283F0D2" w:rsidR="00962FB1" w:rsidRPr="00D2758E" w:rsidRDefault="009057C0" w:rsidP="00CD2C50">
      <w:pPr>
        <w:pStyle w:val="CBDNormalNumber"/>
        <w:rPr>
          <w:rFonts w:asciiTheme="majorBidi" w:hAnsiTheme="majorBidi" w:cstheme="majorBidi"/>
        </w:rPr>
      </w:pPr>
      <w:r>
        <w:rPr>
          <w:rFonts w:asciiTheme="majorBidi" w:hAnsiTheme="majorBidi" w:cstheme="majorBidi"/>
        </w:rPr>
        <w:t>G</w:t>
      </w:r>
      <w:r w:rsidR="0004249F" w:rsidRPr="00D2758E">
        <w:rPr>
          <w:rFonts w:asciiTheme="majorBidi" w:hAnsiTheme="majorBidi" w:cstheme="majorBidi"/>
        </w:rPr>
        <w:t xml:space="preserve">iven the </w:t>
      </w:r>
      <w:r>
        <w:rPr>
          <w:rFonts w:asciiTheme="majorBidi" w:hAnsiTheme="majorBidi" w:cstheme="majorBidi"/>
        </w:rPr>
        <w:t>c</w:t>
      </w:r>
      <w:r w:rsidRPr="00D2758E">
        <w:rPr>
          <w:rFonts w:asciiTheme="majorBidi" w:hAnsiTheme="majorBidi" w:cstheme="majorBidi"/>
        </w:rPr>
        <w:t xml:space="preserve">urrent </w:t>
      </w:r>
      <w:r w:rsidR="0004249F" w:rsidRPr="00D2758E">
        <w:rPr>
          <w:rFonts w:asciiTheme="majorBidi" w:hAnsiTheme="majorBidi" w:cstheme="majorBidi"/>
        </w:rPr>
        <w:t xml:space="preserve">lack of clarity in the checkpoint records </w:t>
      </w:r>
      <w:r>
        <w:rPr>
          <w:rFonts w:asciiTheme="majorBidi" w:hAnsiTheme="majorBidi" w:cstheme="majorBidi"/>
        </w:rPr>
        <w:t>o</w:t>
      </w:r>
      <w:r w:rsidR="00961815" w:rsidRPr="00D2758E">
        <w:rPr>
          <w:rFonts w:asciiTheme="majorBidi" w:hAnsiTheme="majorBidi" w:cstheme="majorBidi"/>
        </w:rPr>
        <w:t xml:space="preserve">n the </w:t>
      </w:r>
      <w:proofErr w:type="gramStart"/>
      <w:r w:rsidR="00961815" w:rsidRPr="00D2758E">
        <w:rPr>
          <w:rFonts w:asciiTheme="majorBidi" w:hAnsiTheme="majorBidi" w:cstheme="majorBidi"/>
        </w:rPr>
        <w:t>Clearing-House</w:t>
      </w:r>
      <w:proofErr w:type="gramEnd"/>
      <w:r>
        <w:rPr>
          <w:rFonts w:asciiTheme="majorBidi" w:hAnsiTheme="majorBidi" w:cstheme="majorBidi"/>
        </w:rPr>
        <w:t xml:space="preserve">, </w:t>
      </w:r>
      <w:r w:rsidR="0004249F" w:rsidRPr="00D2758E">
        <w:rPr>
          <w:rFonts w:asciiTheme="majorBidi" w:hAnsiTheme="majorBidi" w:cstheme="majorBidi"/>
        </w:rPr>
        <w:t xml:space="preserve">it can be difficult to </w:t>
      </w:r>
      <w:r w:rsidR="00155C88" w:rsidRPr="00D2758E">
        <w:rPr>
          <w:rFonts w:asciiTheme="majorBidi" w:hAnsiTheme="majorBidi" w:cstheme="majorBidi"/>
        </w:rPr>
        <w:t>identify</w:t>
      </w:r>
      <w:r w:rsidR="0004249F" w:rsidRPr="00D2758E">
        <w:rPr>
          <w:rFonts w:asciiTheme="majorBidi" w:hAnsiTheme="majorBidi" w:cstheme="majorBidi"/>
        </w:rPr>
        <w:t xml:space="preserve"> where the information for checkpoint communiqu</w:t>
      </w:r>
      <w:r w:rsidR="00ED1BC3" w:rsidRPr="00D2758E">
        <w:rPr>
          <w:rFonts w:asciiTheme="majorBidi" w:hAnsiTheme="majorBidi" w:cstheme="majorBidi"/>
        </w:rPr>
        <w:t>é</w:t>
      </w:r>
      <w:r w:rsidR="0004249F" w:rsidRPr="00D2758E">
        <w:rPr>
          <w:rFonts w:asciiTheme="majorBidi" w:hAnsiTheme="majorBidi" w:cstheme="majorBidi"/>
        </w:rPr>
        <w:t xml:space="preserve">s was gathered </w:t>
      </w:r>
      <w:r w:rsidRPr="00D2758E">
        <w:rPr>
          <w:rFonts w:asciiTheme="majorBidi" w:hAnsiTheme="majorBidi" w:cstheme="majorBidi"/>
        </w:rPr>
        <w:t xml:space="preserve">along the value chain </w:t>
      </w:r>
      <w:r w:rsidR="0004249F" w:rsidRPr="00D2758E">
        <w:rPr>
          <w:rFonts w:asciiTheme="majorBidi" w:hAnsiTheme="majorBidi" w:cstheme="majorBidi"/>
        </w:rPr>
        <w:t xml:space="preserve">and </w:t>
      </w:r>
      <w:r w:rsidR="008C1CEB">
        <w:rPr>
          <w:rFonts w:asciiTheme="majorBidi" w:hAnsiTheme="majorBidi" w:cstheme="majorBidi"/>
        </w:rPr>
        <w:t xml:space="preserve">determine </w:t>
      </w:r>
      <w:r w:rsidR="0004249F" w:rsidRPr="00D2758E">
        <w:rPr>
          <w:rFonts w:asciiTheme="majorBidi" w:hAnsiTheme="majorBidi" w:cstheme="majorBidi"/>
        </w:rPr>
        <w:t>whether the utilization type relate</w:t>
      </w:r>
      <w:r w:rsidR="008C1CEB">
        <w:rPr>
          <w:rFonts w:asciiTheme="majorBidi" w:hAnsiTheme="majorBidi" w:cstheme="majorBidi"/>
        </w:rPr>
        <w:t>d</w:t>
      </w:r>
      <w:r w:rsidR="0004249F" w:rsidRPr="00D2758E">
        <w:rPr>
          <w:rFonts w:asciiTheme="majorBidi" w:hAnsiTheme="majorBidi" w:cstheme="majorBidi"/>
        </w:rPr>
        <w:t xml:space="preserve"> to commercial or non-commercial use. However,</w:t>
      </w:r>
      <w:r w:rsidR="0004249F" w:rsidRPr="00D2758E">
        <w:t xml:space="preserve"> </w:t>
      </w:r>
      <w:r w:rsidR="0004249F" w:rsidRPr="00D2758E">
        <w:rPr>
          <w:rFonts w:asciiTheme="majorBidi" w:hAnsiTheme="majorBidi" w:cstheme="majorBidi"/>
        </w:rPr>
        <w:t>an examination of the certificates referenced in the communiqu</w:t>
      </w:r>
      <w:r w:rsidR="008D6A23" w:rsidRPr="00D2758E">
        <w:rPr>
          <w:rFonts w:asciiTheme="majorBidi" w:hAnsiTheme="majorBidi" w:cstheme="majorBidi"/>
        </w:rPr>
        <w:t>é</w:t>
      </w:r>
      <w:r w:rsidR="0004249F" w:rsidRPr="00D2758E">
        <w:rPr>
          <w:rFonts w:asciiTheme="majorBidi" w:hAnsiTheme="majorBidi" w:cstheme="majorBidi"/>
        </w:rPr>
        <w:t>s indicate</w:t>
      </w:r>
      <w:r w:rsidR="008C1CEB">
        <w:rPr>
          <w:rFonts w:asciiTheme="majorBidi" w:hAnsiTheme="majorBidi" w:cstheme="majorBidi"/>
        </w:rPr>
        <w:t>d</w:t>
      </w:r>
      <w:r w:rsidR="0004249F" w:rsidRPr="00D2758E">
        <w:rPr>
          <w:rFonts w:asciiTheme="majorBidi" w:hAnsiTheme="majorBidi" w:cstheme="majorBidi"/>
        </w:rPr>
        <w:t xml:space="preserve"> the usage type in 95</w:t>
      </w:r>
      <w:r w:rsidR="00FA4888">
        <w:rPr>
          <w:rFonts w:asciiTheme="majorBidi" w:hAnsiTheme="majorBidi" w:cstheme="majorBidi"/>
        </w:rPr>
        <w:t xml:space="preserve"> per cent</w:t>
      </w:r>
      <w:r w:rsidR="0004249F" w:rsidRPr="00D2758E">
        <w:rPr>
          <w:rFonts w:asciiTheme="majorBidi" w:hAnsiTheme="majorBidi" w:cstheme="majorBidi"/>
        </w:rPr>
        <w:t xml:space="preserve"> of cases as non-commercial, while </w:t>
      </w:r>
      <w:r w:rsidR="00FF4E21">
        <w:rPr>
          <w:rFonts w:asciiTheme="majorBidi" w:hAnsiTheme="majorBidi" w:cstheme="majorBidi"/>
        </w:rPr>
        <w:t xml:space="preserve">in </w:t>
      </w:r>
      <w:r w:rsidR="0004249F" w:rsidRPr="00D2758E">
        <w:rPr>
          <w:rFonts w:asciiTheme="majorBidi" w:hAnsiTheme="majorBidi" w:cstheme="majorBidi"/>
        </w:rPr>
        <w:t>the remaining 5</w:t>
      </w:r>
      <w:r w:rsidR="00FF4E21">
        <w:rPr>
          <w:rFonts w:asciiTheme="majorBidi" w:hAnsiTheme="majorBidi" w:cstheme="majorBidi"/>
        </w:rPr>
        <w:t xml:space="preserve"> per cent</w:t>
      </w:r>
      <w:r w:rsidR="0004249F" w:rsidRPr="00D2758E">
        <w:rPr>
          <w:rFonts w:asciiTheme="majorBidi" w:hAnsiTheme="majorBidi" w:cstheme="majorBidi"/>
        </w:rPr>
        <w:t xml:space="preserve"> </w:t>
      </w:r>
      <w:r w:rsidR="00915766">
        <w:rPr>
          <w:rFonts w:asciiTheme="majorBidi" w:hAnsiTheme="majorBidi" w:cstheme="majorBidi"/>
        </w:rPr>
        <w:t xml:space="preserve">of cases </w:t>
      </w:r>
      <w:r w:rsidR="00A52A31">
        <w:rPr>
          <w:rFonts w:asciiTheme="majorBidi" w:hAnsiTheme="majorBidi" w:cstheme="majorBidi"/>
        </w:rPr>
        <w:t>the usage type was</w:t>
      </w:r>
      <w:r w:rsidR="0004249F" w:rsidRPr="00D2758E">
        <w:rPr>
          <w:rFonts w:asciiTheme="majorBidi" w:hAnsiTheme="majorBidi" w:cstheme="majorBidi"/>
        </w:rPr>
        <w:t xml:space="preserve"> either commercial or kept confidential.</w:t>
      </w:r>
      <w:r w:rsidR="00920866" w:rsidRPr="00D2758E">
        <w:rPr>
          <w:rStyle w:val="FootnoteReference"/>
          <w:rFonts w:asciiTheme="majorBidi" w:hAnsiTheme="majorBidi" w:cstheme="majorBidi"/>
        </w:rPr>
        <w:footnoteReference w:id="33"/>
      </w:r>
    </w:p>
    <w:p w14:paraId="2EDDCD4A" w14:textId="1D6FB109" w:rsidR="00251497" w:rsidRPr="00D2758E" w:rsidRDefault="00E422A5" w:rsidP="00CD2C50">
      <w:pPr>
        <w:pStyle w:val="CBDNormalNumber"/>
        <w:rPr>
          <w:rFonts w:asciiTheme="majorBidi" w:hAnsiTheme="majorBidi" w:cstheme="majorBidi"/>
        </w:rPr>
      </w:pPr>
      <w:r w:rsidRPr="00D2758E">
        <w:rPr>
          <w:rFonts w:asciiTheme="majorBidi" w:hAnsiTheme="majorBidi" w:cstheme="majorBidi"/>
        </w:rPr>
        <w:t>Parties ha</w:t>
      </w:r>
      <w:r w:rsidR="00AA2F01">
        <w:rPr>
          <w:rFonts w:asciiTheme="majorBidi" w:hAnsiTheme="majorBidi" w:cstheme="majorBidi"/>
        </w:rPr>
        <w:t>d</w:t>
      </w:r>
      <w:r w:rsidRPr="00D2758E">
        <w:rPr>
          <w:rFonts w:asciiTheme="majorBidi" w:hAnsiTheme="majorBidi" w:cstheme="majorBidi"/>
        </w:rPr>
        <w:t xml:space="preserve"> adopted a </w:t>
      </w:r>
      <w:r w:rsidR="00471F82" w:rsidRPr="00D2758E">
        <w:rPr>
          <w:rFonts w:asciiTheme="majorBidi" w:hAnsiTheme="majorBidi" w:cstheme="majorBidi"/>
        </w:rPr>
        <w:t xml:space="preserve">variety of </w:t>
      </w:r>
      <w:r w:rsidRPr="00D2758E">
        <w:rPr>
          <w:rFonts w:asciiTheme="majorBidi" w:hAnsiTheme="majorBidi" w:cstheme="majorBidi"/>
        </w:rPr>
        <w:t>compliance measures</w:t>
      </w:r>
      <w:r w:rsidR="00471F82" w:rsidRPr="00D2758E">
        <w:rPr>
          <w:rFonts w:asciiTheme="majorBidi" w:hAnsiTheme="majorBidi" w:cstheme="majorBidi"/>
        </w:rPr>
        <w:t xml:space="preserve"> and approaches to support user compliance</w:t>
      </w:r>
      <w:r w:rsidR="00A503F2" w:rsidRPr="00D2758E">
        <w:rPr>
          <w:rFonts w:asciiTheme="majorBidi" w:hAnsiTheme="majorBidi" w:cstheme="majorBidi"/>
        </w:rPr>
        <w:t>,</w:t>
      </w:r>
      <w:r w:rsidRPr="00D2758E">
        <w:rPr>
          <w:rFonts w:asciiTheme="majorBidi" w:hAnsiTheme="majorBidi" w:cstheme="majorBidi"/>
        </w:rPr>
        <w:t xml:space="preserve"> </w:t>
      </w:r>
      <w:r w:rsidR="00D66FD3" w:rsidRPr="00D2758E">
        <w:rPr>
          <w:rFonts w:asciiTheme="majorBidi" w:hAnsiTheme="majorBidi" w:cstheme="majorBidi"/>
        </w:rPr>
        <w:t>including</w:t>
      </w:r>
      <w:r w:rsidR="00AA7802" w:rsidRPr="00D2758E">
        <w:rPr>
          <w:rFonts w:asciiTheme="majorBidi" w:hAnsiTheme="majorBidi" w:cstheme="majorBidi"/>
        </w:rPr>
        <w:t xml:space="preserve"> through</w:t>
      </w:r>
      <w:r w:rsidR="00D66FD3" w:rsidRPr="00D2758E">
        <w:rPr>
          <w:rFonts w:asciiTheme="majorBidi" w:hAnsiTheme="majorBidi" w:cstheme="majorBidi"/>
        </w:rPr>
        <w:t xml:space="preserve"> the development of communication tools and systems to monitor utilization</w:t>
      </w:r>
      <w:r w:rsidR="00A503F2" w:rsidRPr="00D2758E">
        <w:rPr>
          <w:rFonts w:asciiTheme="majorBidi" w:hAnsiTheme="majorBidi" w:cstheme="majorBidi"/>
        </w:rPr>
        <w:t>.</w:t>
      </w:r>
      <w:r w:rsidR="009A737A" w:rsidRPr="00D2758E">
        <w:rPr>
          <w:rStyle w:val="FootnoteReference"/>
          <w:rFonts w:asciiTheme="majorBidi" w:hAnsiTheme="majorBidi" w:cstheme="majorBidi"/>
        </w:rPr>
        <w:footnoteReference w:id="34"/>
      </w:r>
      <w:r w:rsidR="0039770F" w:rsidRPr="00D2758E">
        <w:rPr>
          <w:rFonts w:asciiTheme="majorBidi" w:hAnsiTheme="majorBidi" w:cstheme="majorBidi"/>
        </w:rPr>
        <w:t xml:space="preserve"> </w:t>
      </w:r>
      <w:r w:rsidR="00A52735">
        <w:rPr>
          <w:rFonts w:asciiTheme="majorBidi" w:hAnsiTheme="majorBidi" w:cstheme="majorBidi"/>
        </w:rPr>
        <w:t>Moreover</w:t>
      </w:r>
      <w:r w:rsidR="00C87B40" w:rsidRPr="00D2758E">
        <w:rPr>
          <w:rFonts w:asciiTheme="majorBidi" w:hAnsiTheme="majorBidi" w:cstheme="majorBidi"/>
        </w:rPr>
        <w:t>, users from the business and scientific communities ha</w:t>
      </w:r>
      <w:r w:rsidR="00A52735">
        <w:rPr>
          <w:rFonts w:asciiTheme="majorBidi" w:hAnsiTheme="majorBidi" w:cstheme="majorBidi"/>
        </w:rPr>
        <w:t>d</w:t>
      </w:r>
      <w:r w:rsidR="00C87B40" w:rsidRPr="00D2758E">
        <w:rPr>
          <w:rFonts w:asciiTheme="majorBidi" w:hAnsiTheme="majorBidi" w:cstheme="majorBidi"/>
        </w:rPr>
        <w:t xml:space="preserve"> developed internal processes and adopted </w:t>
      </w:r>
      <w:proofErr w:type="gramStart"/>
      <w:r w:rsidR="00C87B40" w:rsidRPr="00D2758E">
        <w:rPr>
          <w:rFonts w:asciiTheme="majorBidi" w:hAnsiTheme="majorBidi" w:cstheme="majorBidi"/>
        </w:rPr>
        <w:t>a number of</w:t>
      </w:r>
      <w:proofErr w:type="gramEnd"/>
      <w:r w:rsidR="00C87B40" w:rsidRPr="00D2758E">
        <w:rPr>
          <w:rFonts w:asciiTheme="majorBidi" w:hAnsiTheme="majorBidi" w:cstheme="majorBidi"/>
        </w:rPr>
        <w:t xml:space="preserve"> procedures and tools to ensure </w:t>
      </w:r>
      <w:r w:rsidR="007059BD" w:rsidRPr="007059BD">
        <w:rPr>
          <w:rFonts w:asciiTheme="majorBidi" w:hAnsiTheme="majorBidi" w:cstheme="majorBidi"/>
        </w:rPr>
        <w:t xml:space="preserve">access and benefit sharing </w:t>
      </w:r>
      <w:r w:rsidR="00C87B40" w:rsidRPr="00D2758E">
        <w:rPr>
          <w:rFonts w:asciiTheme="majorBidi" w:hAnsiTheme="majorBidi" w:cstheme="majorBidi"/>
        </w:rPr>
        <w:t>compliance.</w:t>
      </w:r>
      <w:r w:rsidR="00251497" w:rsidRPr="00D2758E">
        <w:rPr>
          <w:rStyle w:val="FootnoteReference"/>
          <w:rFonts w:asciiTheme="majorBidi" w:hAnsiTheme="majorBidi" w:cstheme="majorBidi"/>
        </w:rPr>
        <w:footnoteReference w:id="35"/>
      </w:r>
    </w:p>
    <w:p w14:paraId="3C7B4B4D" w14:textId="60E7717F" w:rsidR="004F3818" w:rsidRPr="00D2758E" w:rsidRDefault="004F3818" w:rsidP="00960B3A">
      <w:pPr>
        <w:pStyle w:val="CBDTableTitle"/>
      </w:pPr>
      <w:r w:rsidRPr="00694B61">
        <w:rPr>
          <w:b w:val="0"/>
          <w:bCs/>
        </w:rPr>
        <w:t>Table 5</w:t>
      </w:r>
      <w:r w:rsidRPr="00D2758E">
        <w:t xml:space="preserve"> </w:t>
      </w:r>
      <w:r w:rsidR="00694B61">
        <w:br/>
      </w:r>
      <w:r w:rsidRPr="00D2758E">
        <w:t>Indicators to measure progress in establishing measures related to Article</w:t>
      </w:r>
      <w:r w:rsidR="00694B61">
        <w:t>s</w:t>
      </w:r>
      <w:r w:rsidRPr="00D2758E">
        <w:t xml:space="preserve"> 15 and 1</w:t>
      </w:r>
      <w:r w:rsidR="0023685F" w:rsidRPr="00D2758E">
        <w:t>7</w:t>
      </w:r>
      <w:r w:rsidRPr="00D2758E">
        <w:t xml:space="preserve"> of the Protocol</w:t>
      </w:r>
    </w:p>
    <w:tbl>
      <w:tblPr>
        <w:tblW w:w="9138" w:type="dxa"/>
        <w:tblInd w:w="56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803"/>
        <w:gridCol w:w="1829"/>
        <w:gridCol w:w="1506"/>
      </w:tblGrid>
      <w:tr w:rsidR="004F3818" w:rsidRPr="007441F3" w14:paraId="00D72593" w14:textId="77777777" w:rsidTr="006B066D">
        <w:trPr>
          <w:cantSplit/>
        </w:trPr>
        <w:tc>
          <w:tcPr>
            <w:tcW w:w="5803" w:type="dxa"/>
            <w:tcBorders>
              <w:top w:val="single" w:sz="4" w:space="0" w:color="auto"/>
              <w:left w:val="single" w:sz="4" w:space="0" w:color="auto"/>
              <w:bottom w:val="single" w:sz="4" w:space="0" w:color="auto"/>
              <w:right w:val="single" w:sz="4" w:space="0" w:color="auto"/>
            </w:tcBorders>
            <w:shd w:val="clear" w:color="auto" w:fill="FFFFFF" w:themeFill="background1"/>
            <w:tcMar>
              <w:top w:w="29" w:type="dxa"/>
              <w:left w:w="115" w:type="dxa"/>
              <w:bottom w:w="29" w:type="dxa"/>
              <w:right w:w="115" w:type="dxa"/>
            </w:tcMar>
            <w:vAlign w:val="bottom"/>
            <w:hideMark/>
          </w:tcPr>
          <w:p w14:paraId="61049579" w14:textId="77777777" w:rsidR="004F3818" w:rsidRPr="007441F3" w:rsidRDefault="004F3818" w:rsidP="00545F1D">
            <w:pPr>
              <w:keepNext/>
              <w:suppressLineNumbers/>
              <w:suppressAutoHyphens/>
              <w:kinsoku w:val="0"/>
              <w:overflowPunct w:val="0"/>
              <w:autoSpaceDE w:val="0"/>
              <w:autoSpaceDN w:val="0"/>
              <w:adjustRightInd w:val="0"/>
              <w:snapToGrid w:val="0"/>
              <w:jc w:val="left"/>
              <w:rPr>
                <w:rFonts w:asciiTheme="majorBidi" w:eastAsia="Malgun Gothic" w:hAnsiTheme="majorBidi" w:cstheme="majorBidi"/>
                <w:bCs/>
                <w:i/>
                <w:iCs/>
                <w:kern w:val="22"/>
                <w:sz w:val="20"/>
                <w:szCs w:val="20"/>
              </w:rPr>
            </w:pPr>
            <w:r w:rsidRPr="007441F3">
              <w:rPr>
                <w:rFonts w:asciiTheme="majorBidi" w:eastAsia="Malgun Gothic" w:hAnsiTheme="majorBidi" w:cstheme="majorBidi"/>
                <w:bCs/>
                <w:i/>
                <w:iCs/>
                <w:kern w:val="22"/>
                <w:sz w:val="20"/>
                <w:szCs w:val="20"/>
              </w:rPr>
              <w:t>Framework of indicators</w:t>
            </w:r>
          </w:p>
        </w:tc>
        <w:tc>
          <w:tcPr>
            <w:tcW w:w="1829" w:type="dxa"/>
            <w:tcBorders>
              <w:top w:val="single" w:sz="4" w:space="0" w:color="auto"/>
              <w:left w:val="single" w:sz="4" w:space="0" w:color="auto"/>
              <w:bottom w:val="single" w:sz="4" w:space="0" w:color="auto"/>
              <w:right w:val="single" w:sz="4" w:space="0" w:color="auto"/>
            </w:tcBorders>
            <w:shd w:val="clear" w:color="auto" w:fill="FFFFFF" w:themeFill="background1"/>
            <w:tcMar>
              <w:top w:w="29" w:type="dxa"/>
              <w:left w:w="115" w:type="dxa"/>
              <w:bottom w:w="29" w:type="dxa"/>
              <w:right w:w="115" w:type="dxa"/>
            </w:tcMar>
            <w:vAlign w:val="bottom"/>
            <w:hideMark/>
          </w:tcPr>
          <w:p w14:paraId="07E72E42" w14:textId="3255D336" w:rsidR="004F3818" w:rsidRPr="007441F3" w:rsidRDefault="004F3818" w:rsidP="006B066D">
            <w:pPr>
              <w:keepNext/>
              <w:suppressLineNumbers/>
              <w:suppressAutoHyphens/>
              <w:kinsoku w:val="0"/>
              <w:overflowPunct w:val="0"/>
              <w:autoSpaceDE w:val="0"/>
              <w:autoSpaceDN w:val="0"/>
              <w:adjustRightInd w:val="0"/>
              <w:snapToGrid w:val="0"/>
              <w:jc w:val="right"/>
              <w:rPr>
                <w:rFonts w:asciiTheme="majorBidi" w:eastAsia="Malgun Gothic" w:hAnsiTheme="majorBidi" w:cstheme="majorBidi"/>
                <w:bCs/>
                <w:i/>
                <w:iCs/>
                <w:kern w:val="22"/>
                <w:sz w:val="20"/>
                <w:szCs w:val="20"/>
              </w:rPr>
            </w:pPr>
            <w:r w:rsidRPr="007441F3">
              <w:rPr>
                <w:rFonts w:asciiTheme="majorBidi" w:eastAsia="Malgun Gothic" w:hAnsiTheme="majorBidi" w:cstheme="majorBidi"/>
                <w:bCs/>
                <w:i/>
                <w:iCs/>
                <w:kern w:val="22"/>
                <w:sz w:val="20"/>
                <w:szCs w:val="20"/>
              </w:rPr>
              <w:t xml:space="preserve">Reference point </w:t>
            </w:r>
            <w:r w:rsidR="007441F3">
              <w:rPr>
                <w:rFonts w:asciiTheme="majorBidi" w:eastAsia="Malgun Gothic" w:hAnsiTheme="majorBidi" w:cstheme="majorBidi"/>
                <w:bCs/>
                <w:i/>
                <w:iCs/>
                <w:kern w:val="22"/>
                <w:sz w:val="20"/>
                <w:szCs w:val="20"/>
              </w:rPr>
              <w:br/>
            </w:r>
            <w:r w:rsidRPr="007441F3">
              <w:rPr>
                <w:rFonts w:asciiTheme="majorBidi" w:eastAsia="Malgun Gothic" w:hAnsiTheme="majorBidi" w:cstheme="majorBidi"/>
                <w:bCs/>
                <w:i/>
                <w:iCs/>
                <w:kern w:val="22"/>
                <w:sz w:val="20"/>
                <w:szCs w:val="20"/>
              </w:rPr>
              <w:t xml:space="preserve">(as </w:t>
            </w:r>
            <w:r w:rsidR="007441F3">
              <w:rPr>
                <w:rFonts w:asciiTheme="majorBidi" w:eastAsia="Malgun Gothic" w:hAnsiTheme="majorBidi" w:cstheme="majorBidi"/>
                <w:bCs/>
                <w:i/>
                <w:iCs/>
                <w:kern w:val="22"/>
                <w:sz w:val="20"/>
                <w:szCs w:val="20"/>
              </w:rPr>
              <w:t>at</w:t>
            </w:r>
            <w:r w:rsidRPr="007441F3">
              <w:rPr>
                <w:rFonts w:asciiTheme="majorBidi" w:eastAsia="Malgun Gothic" w:hAnsiTheme="majorBidi" w:cstheme="majorBidi"/>
                <w:bCs/>
                <w:i/>
                <w:iCs/>
                <w:kern w:val="22"/>
                <w:sz w:val="20"/>
                <w:szCs w:val="20"/>
              </w:rPr>
              <w:t xml:space="preserve"> 22 February 2018)</w:t>
            </w:r>
          </w:p>
        </w:tc>
        <w:tc>
          <w:tcPr>
            <w:tcW w:w="1506" w:type="dxa"/>
            <w:tcBorders>
              <w:top w:val="single" w:sz="4" w:space="0" w:color="auto"/>
              <w:left w:val="single" w:sz="4" w:space="0" w:color="auto"/>
              <w:bottom w:val="single" w:sz="4" w:space="0" w:color="auto"/>
              <w:right w:val="single" w:sz="4" w:space="0" w:color="auto"/>
            </w:tcBorders>
            <w:shd w:val="clear" w:color="auto" w:fill="FFFFFF" w:themeFill="background1"/>
            <w:vAlign w:val="bottom"/>
          </w:tcPr>
          <w:p w14:paraId="4AE651A6" w14:textId="6823DF87" w:rsidR="004F3818" w:rsidRPr="007441F3" w:rsidRDefault="006B3B47" w:rsidP="006B066D">
            <w:pPr>
              <w:keepNext/>
              <w:suppressLineNumbers/>
              <w:suppressAutoHyphens/>
              <w:kinsoku w:val="0"/>
              <w:overflowPunct w:val="0"/>
              <w:autoSpaceDE w:val="0"/>
              <w:autoSpaceDN w:val="0"/>
              <w:adjustRightInd w:val="0"/>
              <w:snapToGrid w:val="0"/>
              <w:jc w:val="right"/>
              <w:rPr>
                <w:rFonts w:asciiTheme="majorBidi" w:eastAsia="Malgun Gothic" w:hAnsiTheme="majorBidi" w:cstheme="majorBidi"/>
                <w:bCs/>
                <w:i/>
                <w:iCs/>
                <w:kern w:val="22"/>
                <w:sz w:val="20"/>
                <w:szCs w:val="20"/>
              </w:rPr>
            </w:pPr>
            <w:r>
              <w:rPr>
                <w:rFonts w:asciiTheme="majorBidi" w:eastAsia="Malgun Gothic" w:hAnsiTheme="majorBidi" w:cstheme="majorBidi"/>
                <w:bCs/>
                <w:i/>
                <w:iCs/>
                <w:kern w:val="22"/>
                <w:sz w:val="20"/>
                <w:szCs w:val="20"/>
              </w:rPr>
              <w:t xml:space="preserve">Progress </w:t>
            </w:r>
            <w:r w:rsidR="00915766">
              <w:rPr>
                <w:rFonts w:asciiTheme="majorBidi" w:eastAsia="Malgun Gothic" w:hAnsiTheme="majorBidi" w:cstheme="majorBidi"/>
                <w:bCs/>
                <w:i/>
                <w:iCs/>
                <w:kern w:val="22"/>
                <w:sz w:val="20"/>
                <w:szCs w:val="20"/>
              </w:rPr>
              <w:t xml:space="preserve">as </w:t>
            </w:r>
            <w:r w:rsidR="00814D38">
              <w:rPr>
                <w:rFonts w:asciiTheme="majorBidi" w:eastAsia="Malgun Gothic" w:hAnsiTheme="majorBidi" w:cstheme="majorBidi"/>
                <w:bCs/>
                <w:i/>
                <w:iCs/>
                <w:kern w:val="22"/>
                <w:sz w:val="20"/>
                <w:szCs w:val="20"/>
              </w:rPr>
              <w:t>at</w:t>
            </w:r>
            <w:r w:rsidR="00915766">
              <w:rPr>
                <w:rFonts w:asciiTheme="majorBidi" w:eastAsia="Malgun Gothic" w:hAnsiTheme="majorBidi" w:cstheme="majorBidi"/>
                <w:bCs/>
                <w:i/>
                <w:iCs/>
                <w:kern w:val="22"/>
                <w:sz w:val="20"/>
                <w:szCs w:val="20"/>
              </w:rPr>
              <w:t xml:space="preserve"> </w:t>
            </w:r>
            <w:r w:rsidR="004F3818" w:rsidRPr="007441F3">
              <w:rPr>
                <w:rFonts w:asciiTheme="majorBidi" w:eastAsia="Malgun Gothic" w:hAnsiTheme="majorBidi" w:cstheme="majorBidi"/>
                <w:bCs/>
                <w:i/>
                <w:iCs/>
                <w:kern w:val="22"/>
                <w:sz w:val="20"/>
                <w:szCs w:val="20"/>
              </w:rPr>
              <w:t>9 March 2026</w:t>
            </w:r>
          </w:p>
        </w:tc>
      </w:tr>
      <w:tr w:rsidR="004F3818" w:rsidRPr="00D2758E" w14:paraId="4661485E" w14:textId="77777777" w:rsidTr="006B066D">
        <w:trPr>
          <w:cantSplit/>
        </w:trPr>
        <w:tc>
          <w:tcPr>
            <w:tcW w:w="5803" w:type="dxa"/>
            <w:tcBorders>
              <w:top w:val="single" w:sz="4" w:space="0" w:color="auto"/>
              <w:left w:val="single" w:sz="4" w:space="0" w:color="auto"/>
              <w:bottom w:val="single" w:sz="4" w:space="0" w:color="auto"/>
              <w:right w:val="single" w:sz="4" w:space="0" w:color="auto"/>
            </w:tcBorders>
            <w:tcMar>
              <w:top w:w="29" w:type="dxa"/>
              <w:left w:w="115" w:type="dxa"/>
              <w:bottom w:w="29" w:type="dxa"/>
              <w:right w:w="115" w:type="dxa"/>
            </w:tcMar>
            <w:hideMark/>
          </w:tcPr>
          <w:p w14:paraId="58C92AD4" w14:textId="29F9FD10" w:rsidR="004F3818" w:rsidRPr="00D2758E" w:rsidRDefault="004F3818" w:rsidP="007441F3">
            <w:pPr>
              <w:suppressLineNumbers/>
              <w:suppressAutoHyphens/>
              <w:kinsoku w:val="0"/>
              <w:overflowPunct w:val="0"/>
              <w:autoSpaceDE w:val="0"/>
              <w:autoSpaceDN w:val="0"/>
              <w:adjustRightInd w:val="0"/>
              <w:snapToGrid w:val="0"/>
              <w:jc w:val="left"/>
              <w:rPr>
                <w:rFonts w:asciiTheme="majorBidi" w:eastAsia="Malgun Gothic" w:hAnsiTheme="majorBidi" w:cstheme="majorBidi"/>
                <w:kern w:val="22"/>
                <w:sz w:val="20"/>
                <w:szCs w:val="20"/>
              </w:rPr>
            </w:pPr>
            <w:r w:rsidRPr="00D2758E">
              <w:rPr>
                <w:rFonts w:asciiTheme="majorBidi" w:eastAsia="Malgun Gothic" w:hAnsiTheme="majorBidi" w:cstheme="majorBidi"/>
                <w:kern w:val="22"/>
                <w:sz w:val="20"/>
                <w:szCs w:val="20"/>
              </w:rPr>
              <w:t>Number and percentage of Parties that have taken appropriate, effective and proportionate legislative, administrative or policy measures to implement Article 15</w:t>
            </w:r>
            <w:r w:rsidR="00C2488B">
              <w:rPr>
                <w:rFonts w:asciiTheme="majorBidi" w:eastAsia="Malgun Gothic" w:hAnsiTheme="majorBidi" w:cstheme="majorBidi"/>
                <w:kern w:val="22"/>
                <w:sz w:val="20"/>
                <w:szCs w:val="20"/>
              </w:rPr>
              <w:t xml:space="preserve"> (</w:t>
            </w:r>
            <w:r w:rsidRPr="00D2758E">
              <w:rPr>
                <w:rFonts w:asciiTheme="majorBidi" w:eastAsia="Malgun Gothic" w:hAnsiTheme="majorBidi" w:cstheme="majorBidi"/>
                <w:kern w:val="22"/>
                <w:sz w:val="20"/>
                <w:szCs w:val="20"/>
              </w:rPr>
              <w:t>1</w:t>
            </w:r>
            <w:r w:rsidR="00C2488B">
              <w:rPr>
                <w:rFonts w:asciiTheme="majorBidi" w:eastAsia="Malgun Gothic" w:hAnsiTheme="majorBidi" w:cstheme="majorBidi"/>
                <w:kern w:val="22"/>
                <w:sz w:val="20"/>
                <w:szCs w:val="20"/>
              </w:rPr>
              <w:t>)</w:t>
            </w:r>
            <w:r w:rsidRPr="00D2758E">
              <w:rPr>
                <w:rFonts w:asciiTheme="majorBidi" w:eastAsia="Malgun Gothic" w:hAnsiTheme="majorBidi" w:cstheme="majorBidi"/>
                <w:kern w:val="22"/>
                <w:sz w:val="20"/>
                <w:szCs w:val="20"/>
              </w:rPr>
              <w:t xml:space="preserve"> (genetic resources)</w:t>
            </w:r>
          </w:p>
        </w:tc>
        <w:tc>
          <w:tcPr>
            <w:tcW w:w="1829" w:type="dxa"/>
            <w:tcBorders>
              <w:top w:val="single" w:sz="4" w:space="0" w:color="auto"/>
              <w:left w:val="single" w:sz="4" w:space="0" w:color="auto"/>
              <w:bottom w:val="single" w:sz="4" w:space="0" w:color="auto"/>
              <w:right w:val="single" w:sz="4" w:space="0" w:color="auto"/>
            </w:tcBorders>
            <w:tcMar>
              <w:top w:w="29" w:type="dxa"/>
              <w:left w:w="115" w:type="dxa"/>
              <w:bottom w:w="29" w:type="dxa"/>
              <w:right w:w="115" w:type="dxa"/>
            </w:tcMar>
            <w:vAlign w:val="bottom"/>
            <w:hideMark/>
          </w:tcPr>
          <w:p w14:paraId="387CEA39" w14:textId="766E262D" w:rsidR="004F3818" w:rsidRPr="00D2758E" w:rsidRDefault="004F3818" w:rsidP="00A10C78">
            <w:pPr>
              <w:suppressLineNumbers/>
              <w:suppressAutoHyphens/>
              <w:kinsoku w:val="0"/>
              <w:overflowPunct w:val="0"/>
              <w:autoSpaceDE w:val="0"/>
              <w:autoSpaceDN w:val="0"/>
              <w:adjustRightInd w:val="0"/>
              <w:snapToGrid w:val="0"/>
              <w:jc w:val="right"/>
              <w:rPr>
                <w:rFonts w:asciiTheme="majorBidi" w:hAnsiTheme="majorBidi" w:cstheme="majorBidi"/>
                <w:kern w:val="22"/>
                <w:sz w:val="20"/>
                <w:szCs w:val="20"/>
              </w:rPr>
            </w:pPr>
            <w:r w:rsidRPr="00D2758E">
              <w:rPr>
                <w:rFonts w:asciiTheme="majorBidi" w:hAnsiTheme="majorBidi" w:cstheme="majorBidi"/>
                <w:kern w:val="22"/>
                <w:sz w:val="20"/>
                <w:szCs w:val="20"/>
              </w:rPr>
              <w:t>36 (34</w:t>
            </w:r>
            <w:r w:rsidR="00D54227">
              <w:rPr>
                <w:rFonts w:asciiTheme="majorBidi" w:hAnsiTheme="majorBidi" w:cstheme="majorBidi"/>
                <w:kern w:val="22"/>
                <w:sz w:val="20"/>
                <w:szCs w:val="20"/>
              </w:rPr>
              <w:t xml:space="preserve"> per cent</w:t>
            </w:r>
            <w:r w:rsidRPr="00D2758E">
              <w:rPr>
                <w:rFonts w:asciiTheme="majorBidi" w:hAnsiTheme="majorBidi" w:cstheme="majorBidi"/>
                <w:kern w:val="22"/>
                <w:sz w:val="20"/>
                <w:szCs w:val="20"/>
              </w:rPr>
              <w:t>)</w:t>
            </w:r>
          </w:p>
        </w:tc>
        <w:tc>
          <w:tcPr>
            <w:tcW w:w="1506" w:type="dxa"/>
            <w:vAlign w:val="bottom"/>
          </w:tcPr>
          <w:p w14:paraId="2B325E88" w14:textId="7ABB849B" w:rsidR="004F3818" w:rsidRPr="00D2758E" w:rsidRDefault="004F3818" w:rsidP="00A10C78">
            <w:pPr>
              <w:suppressLineNumbers/>
              <w:suppressAutoHyphens/>
              <w:kinsoku w:val="0"/>
              <w:overflowPunct w:val="0"/>
              <w:autoSpaceDE w:val="0"/>
              <w:autoSpaceDN w:val="0"/>
              <w:adjustRightInd w:val="0"/>
              <w:snapToGrid w:val="0"/>
              <w:jc w:val="right"/>
              <w:rPr>
                <w:rFonts w:asciiTheme="majorBidi" w:hAnsiTheme="majorBidi" w:cstheme="majorBidi"/>
                <w:kern w:val="22"/>
                <w:sz w:val="20"/>
                <w:szCs w:val="20"/>
              </w:rPr>
            </w:pPr>
            <w:r w:rsidRPr="00D2758E">
              <w:rPr>
                <w:rFonts w:asciiTheme="majorBidi" w:hAnsiTheme="majorBidi" w:cstheme="majorBidi"/>
                <w:kern w:val="22"/>
                <w:sz w:val="20"/>
                <w:szCs w:val="20"/>
              </w:rPr>
              <w:t>78 (54</w:t>
            </w:r>
            <w:r w:rsidR="00D54227">
              <w:rPr>
                <w:rFonts w:asciiTheme="majorBidi" w:hAnsiTheme="majorBidi" w:cstheme="majorBidi"/>
                <w:kern w:val="22"/>
                <w:sz w:val="20"/>
                <w:szCs w:val="20"/>
              </w:rPr>
              <w:t xml:space="preserve"> per cent</w:t>
            </w:r>
            <w:r w:rsidRPr="00D2758E">
              <w:rPr>
                <w:rFonts w:asciiTheme="majorBidi" w:hAnsiTheme="majorBidi" w:cstheme="majorBidi"/>
                <w:kern w:val="22"/>
                <w:sz w:val="20"/>
                <w:szCs w:val="20"/>
              </w:rPr>
              <w:t>)</w:t>
            </w:r>
          </w:p>
        </w:tc>
      </w:tr>
      <w:tr w:rsidR="004F3818" w:rsidRPr="00D2758E" w14:paraId="5ABDBDA0" w14:textId="77777777" w:rsidTr="006B066D">
        <w:trPr>
          <w:cantSplit/>
        </w:trPr>
        <w:tc>
          <w:tcPr>
            <w:tcW w:w="5803" w:type="dxa"/>
            <w:tcBorders>
              <w:top w:val="single" w:sz="4" w:space="0" w:color="auto"/>
              <w:left w:val="single" w:sz="4" w:space="0" w:color="auto"/>
              <w:bottom w:val="single" w:sz="4" w:space="0" w:color="auto"/>
              <w:right w:val="single" w:sz="4" w:space="0" w:color="auto"/>
            </w:tcBorders>
            <w:tcMar>
              <w:top w:w="29" w:type="dxa"/>
              <w:left w:w="115" w:type="dxa"/>
              <w:bottom w:w="29" w:type="dxa"/>
              <w:right w:w="115" w:type="dxa"/>
            </w:tcMar>
            <w:hideMark/>
          </w:tcPr>
          <w:p w14:paraId="1D222A7F" w14:textId="06DB1CAF" w:rsidR="004F3818" w:rsidRPr="00D2758E" w:rsidRDefault="004F3818" w:rsidP="007441F3">
            <w:pPr>
              <w:suppressLineNumbers/>
              <w:suppressAutoHyphens/>
              <w:kinsoku w:val="0"/>
              <w:overflowPunct w:val="0"/>
              <w:autoSpaceDE w:val="0"/>
              <w:autoSpaceDN w:val="0"/>
              <w:adjustRightInd w:val="0"/>
              <w:snapToGrid w:val="0"/>
              <w:jc w:val="left"/>
              <w:rPr>
                <w:rFonts w:asciiTheme="majorBidi" w:eastAsia="Malgun Gothic" w:hAnsiTheme="majorBidi" w:cstheme="majorBidi"/>
                <w:kern w:val="22"/>
                <w:sz w:val="20"/>
                <w:szCs w:val="20"/>
              </w:rPr>
            </w:pPr>
            <w:r w:rsidRPr="00D2758E">
              <w:rPr>
                <w:rFonts w:asciiTheme="majorBidi" w:eastAsia="Malgun Gothic" w:hAnsiTheme="majorBidi" w:cstheme="majorBidi"/>
                <w:kern w:val="22"/>
                <w:sz w:val="20"/>
                <w:szCs w:val="20"/>
              </w:rPr>
              <w:t>Number and percentage of Parties that require users of genetic resources to provide the information identified in Article 17</w:t>
            </w:r>
            <w:r w:rsidR="00C2488B">
              <w:rPr>
                <w:rFonts w:asciiTheme="majorBidi" w:eastAsia="Malgun Gothic" w:hAnsiTheme="majorBidi" w:cstheme="majorBidi"/>
                <w:kern w:val="22"/>
                <w:sz w:val="20"/>
                <w:szCs w:val="20"/>
              </w:rPr>
              <w:t xml:space="preserve"> (</w:t>
            </w:r>
            <w:r w:rsidRPr="00D2758E">
              <w:rPr>
                <w:rFonts w:asciiTheme="majorBidi" w:eastAsia="Malgun Gothic" w:hAnsiTheme="majorBidi" w:cstheme="majorBidi"/>
                <w:kern w:val="22"/>
                <w:sz w:val="20"/>
                <w:szCs w:val="20"/>
              </w:rPr>
              <w:t>1</w:t>
            </w:r>
            <w:r w:rsidR="00C2488B">
              <w:rPr>
                <w:rFonts w:asciiTheme="majorBidi" w:eastAsia="Malgun Gothic" w:hAnsiTheme="majorBidi" w:cstheme="majorBidi"/>
                <w:kern w:val="22"/>
                <w:sz w:val="20"/>
                <w:szCs w:val="20"/>
              </w:rPr>
              <w:t>)</w:t>
            </w:r>
            <w:r w:rsidRPr="00D2758E">
              <w:rPr>
                <w:rFonts w:asciiTheme="majorBidi" w:eastAsia="Malgun Gothic" w:hAnsiTheme="majorBidi" w:cstheme="majorBidi"/>
                <w:kern w:val="22"/>
                <w:sz w:val="20"/>
                <w:szCs w:val="20"/>
              </w:rPr>
              <w:t xml:space="preserve"> (a)</w:t>
            </w:r>
            <w:r w:rsidR="000D729C">
              <w:rPr>
                <w:rFonts w:asciiTheme="majorBidi" w:eastAsia="Malgun Gothic" w:hAnsiTheme="majorBidi" w:cstheme="majorBidi"/>
                <w:kern w:val="22"/>
                <w:sz w:val="20"/>
                <w:szCs w:val="20"/>
              </w:rPr>
              <w:t xml:space="preserve"> </w:t>
            </w:r>
            <w:r w:rsidRPr="00D2758E">
              <w:rPr>
                <w:rFonts w:asciiTheme="majorBidi" w:eastAsia="Malgun Gothic" w:hAnsiTheme="majorBidi" w:cstheme="majorBidi"/>
                <w:kern w:val="22"/>
                <w:sz w:val="20"/>
                <w:szCs w:val="20"/>
              </w:rPr>
              <w:t>(</w:t>
            </w:r>
            <w:proofErr w:type="spellStart"/>
            <w:r w:rsidRPr="00D2758E">
              <w:rPr>
                <w:rFonts w:asciiTheme="majorBidi" w:eastAsia="Malgun Gothic" w:hAnsiTheme="majorBidi" w:cstheme="majorBidi"/>
                <w:kern w:val="22"/>
                <w:sz w:val="20"/>
                <w:szCs w:val="20"/>
              </w:rPr>
              <w:t>i</w:t>
            </w:r>
            <w:proofErr w:type="spellEnd"/>
            <w:r w:rsidRPr="00D2758E">
              <w:rPr>
                <w:rFonts w:asciiTheme="majorBidi" w:eastAsia="Malgun Gothic" w:hAnsiTheme="majorBidi" w:cstheme="majorBidi"/>
                <w:kern w:val="22"/>
                <w:sz w:val="20"/>
                <w:szCs w:val="20"/>
              </w:rPr>
              <w:t>), as appropriate, at a designated checkpoint</w:t>
            </w:r>
          </w:p>
        </w:tc>
        <w:tc>
          <w:tcPr>
            <w:tcW w:w="1829" w:type="dxa"/>
            <w:tcBorders>
              <w:top w:val="single" w:sz="4" w:space="0" w:color="auto"/>
              <w:left w:val="single" w:sz="4" w:space="0" w:color="auto"/>
              <w:bottom w:val="single" w:sz="4" w:space="0" w:color="auto"/>
              <w:right w:val="single" w:sz="4" w:space="0" w:color="auto"/>
            </w:tcBorders>
            <w:tcMar>
              <w:top w:w="29" w:type="dxa"/>
              <w:left w:w="115" w:type="dxa"/>
              <w:bottom w:w="29" w:type="dxa"/>
              <w:right w:w="115" w:type="dxa"/>
            </w:tcMar>
            <w:vAlign w:val="bottom"/>
            <w:hideMark/>
          </w:tcPr>
          <w:p w14:paraId="42C516A3" w14:textId="1EE8081E" w:rsidR="004F3818" w:rsidRPr="00D2758E" w:rsidRDefault="004F3818" w:rsidP="00A10C78">
            <w:pPr>
              <w:suppressLineNumbers/>
              <w:suppressAutoHyphens/>
              <w:kinsoku w:val="0"/>
              <w:overflowPunct w:val="0"/>
              <w:autoSpaceDE w:val="0"/>
              <w:autoSpaceDN w:val="0"/>
              <w:adjustRightInd w:val="0"/>
              <w:snapToGrid w:val="0"/>
              <w:jc w:val="right"/>
              <w:rPr>
                <w:rFonts w:asciiTheme="majorBidi" w:hAnsiTheme="majorBidi" w:cstheme="majorBidi"/>
                <w:kern w:val="22"/>
                <w:sz w:val="20"/>
                <w:szCs w:val="20"/>
              </w:rPr>
            </w:pPr>
            <w:r w:rsidRPr="00D2758E">
              <w:rPr>
                <w:rFonts w:asciiTheme="majorBidi" w:hAnsiTheme="majorBidi" w:cstheme="majorBidi"/>
                <w:kern w:val="22"/>
                <w:sz w:val="20"/>
                <w:szCs w:val="20"/>
              </w:rPr>
              <w:t>41 (39</w:t>
            </w:r>
            <w:r w:rsidR="00D54227">
              <w:rPr>
                <w:rFonts w:asciiTheme="majorBidi" w:hAnsiTheme="majorBidi" w:cstheme="majorBidi"/>
                <w:kern w:val="22"/>
                <w:sz w:val="20"/>
                <w:szCs w:val="20"/>
              </w:rPr>
              <w:t xml:space="preserve"> per cent</w:t>
            </w:r>
            <w:r w:rsidRPr="00D2758E">
              <w:rPr>
                <w:rFonts w:asciiTheme="majorBidi" w:hAnsiTheme="majorBidi" w:cstheme="majorBidi"/>
                <w:kern w:val="22"/>
                <w:sz w:val="20"/>
                <w:szCs w:val="20"/>
              </w:rPr>
              <w:t>)</w:t>
            </w:r>
          </w:p>
        </w:tc>
        <w:tc>
          <w:tcPr>
            <w:tcW w:w="1506" w:type="dxa"/>
            <w:vAlign w:val="bottom"/>
          </w:tcPr>
          <w:p w14:paraId="1E025684" w14:textId="468C369F" w:rsidR="004F3818" w:rsidRPr="00D2758E" w:rsidRDefault="004F3818" w:rsidP="00A10C78">
            <w:pPr>
              <w:suppressLineNumbers/>
              <w:suppressAutoHyphens/>
              <w:kinsoku w:val="0"/>
              <w:overflowPunct w:val="0"/>
              <w:autoSpaceDE w:val="0"/>
              <w:autoSpaceDN w:val="0"/>
              <w:adjustRightInd w:val="0"/>
              <w:snapToGrid w:val="0"/>
              <w:jc w:val="right"/>
              <w:rPr>
                <w:rFonts w:asciiTheme="majorBidi" w:hAnsiTheme="majorBidi" w:cstheme="majorBidi"/>
                <w:kern w:val="22"/>
                <w:sz w:val="20"/>
                <w:szCs w:val="20"/>
              </w:rPr>
            </w:pPr>
            <w:r w:rsidRPr="00D2758E">
              <w:rPr>
                <w:rFonts w:asciiTheme="majorBidi" w:hAnsiTheme="majorBidi" w:cstheme="majorBidi"/>
                <w:kern w:val="22"/>
                <w:sz w:val="20"/>
                <w:szCs w:val="20"/>
              </w:rPr>
              <w:t>66 (46</w:t>
            </w:r>
            <w:r w:rsidR="00D54227">
              <w:rPr>
                <w:rFonts w:asciiTheme="majorBidi" w:hAnsiTheme="majorBidi" w:cstheme="majorBidi"/>
                <w:kern w:val="22"/>
                <w:sz w:val="20"/>
                <w:szCs w:val="20"/>
              </w:rPr>
              <w:t xml:space="preserve"> per cent</w:t>
            </w:r>
            <w:r w:rsidRPr="00D2758E">
              <w:rPr>
                <w:rFonts w:asciiTheme="majorBidi" w:hAnsiTheme="majorBidi" w:cstheme="majorBidi"/>
                <w:kern w:val="22"/>
                <w:sz w:val="20"/>
                <w:szCs w:val="20"/>
              </w:rPr>
              <w:t>)</w:t>
            </w:r>
          </w:p>
        </w:tc>
      </w:tr>
      <w:tr w:rsidR="004F3818" w:rsidRPr="00D2758E" w14:paraId="32C3102B" w14:textId="77777777" w:rsidTr="006B066D">
        <w:trPr>
          <w:cantSplit/>
        </w:trPr>
        <w:tc>
          <w:tcPr>
            <w:tcW w:w="5803" w:type="dxa"/>
            <w:tcBorders>
              <w:top w:val="single" w:sz="4" w:space="0" w:color="auto"/>
              <w:left w:val="single" w:sz="4" w:space="0" w:color="auto"/>
              <w:bottom w:val="single" w:sz="4" w:space="0" w:color="auto"/>
              <w:right w:val="single" w:sz="4" w:space="0" w:color="auto"/>
            </w:tcBorders>
            <w:tcMar>
              <w:top w:w="29" w:type="dxa"/>
              <w:left w:w="115" w:type="dxa"/>
              <w:bottom w:w="29" w:type="dxa"/>
              <w:right w:w="115" w:type="dxa"/>
            </w:tcMar>
            <w:hideMark/>
          </w:tcPr>
          <w:p w14:paraId="3C207B64" w14:textId="1CA01308" w:rsidR="004F3818" w:rsidRPr="00D2758E" w:rsidRDefault="004F3818" w:rsidP="007441F3">
            <w:pPr>
              <w:suppressLineNumbers/>
              <w:suppressAutoHyphens/>
              <w:kinsoku w:val="0"/>
              <w:overflowPunct w:val="0"/>
              <w:autoSpaceDE w:val="0"/>
              <w:autoSpaceDN w:val="0"/>
              <w:adjustRightInd w:val="0"/>
              <w:snapToGrid w:val="0"/>
              <w:jc w:val="left"/>
              <w:rPr>
                <w:rFonts w:asciiTheme="majorBidi" w:eastAsia="Malgun Gothic" w:hAnsiTheme="majorBidi" w:cstheme="majorBidi"/>
                <w:kern w:val="22"/>
                <w:sz w:val="20"/>
                <w:szCs w:val="20"/>
              </w:rPr>
            </w:pPr>
            <w:r w:rsidRPr="00D2758E">
              <w:rPr>
                <w:rFonts w:asciiTheme="majorBidi" w:eastAsia="Malgun Gothic" w:hAnsiTheme="majorBidi" w:cstheme="majorBidi"/>
                <w:kern w:val="22"/>
                <w:sz w:val="20"/>
                <w:szCs w:val="20"/>
              </w:rPr>
              <w:t xml:space="preserve">Number and percentage of Parties that provide the information collected or received at a designated checkpoint to relevant national authorities, to the Party providing prior informed consent and to the </w:t>
            </w:r>
            <w:r w:rsidR="0063243D">
              <w:rPr>
                <w:rFonts w:asciiTheme="majorBidi" w:eastAsia="Malgun Gothic" w:hAnsiTheme="majorBidi" w:cstheme="majorBidi"/>
                <w:kern w:val="22"/>
                <w:sz w:val="20"/>
                <w:szCs w:val="20"/>
              </w:rPr>
              <w:t>Access and Benefit-sharing</w:t>
            </w:r>
            <w:r w:rsidR="0063243D" w:rsidRPr="00D2758E">
              <w:rPr>
                <w:rFonts w:asciiTheme="majorBidi" w:eastAsia="Malgun Gothic" w:hAnsiTheme="majorBidi" w:cstheme="majorBidi"/>
                <w:kern w:val="22"/>
                <w:sz w:val="20"/>
                <w:szCs w:val="20"/>
              </w:rPr>
              <w:t xml:space="preserve"> </w:t>
            </w:r>
            <w:r w:rsidRPr="00D2758E">
              <w:rPr>
                <w:rFonts w:asciiTheme="majorBidi" w:eastAsia="Malgun Gothic" w:hAnsiTheme="majorBidi" w:cstheme="majorBidi"/>
                <w:kern w:val="22"/>
                <w:sz w:val="20"/>
                <w:szCs w:val="20"/>
              </w:rPr>
              <w:t>Clearing-House</w:t>
            </w:r>
          </w:p>
        </w:tc>
        <w:tc>
          <w:tcPr>
            <w:tcW w:w="1829" w:type="dxa"/>
            <w:tcBorders>
              <w:top w:val="single" w:sz="4" w:space="0" w:color="auto"/>
              <w:left w:val="single" w:sz="4" w:space="0" w:color="auto"/>
              <w:bottom w:val="single" w:sz="4" w:space="0" w:color="auto"/>
              <w:right w:val="single" w:sz="4" w:space="0" w:color="auto"/>
            </w:tcBorders>
            <w:tcMar>
              <w:top w:w="29" w:type="dxa"/>
              <w:left w:w="115" w:type="dxa"/>
              <w:bottom w:w="29" w:type="dxa"/>
              <w:right w:w="115" w:type="dxa"/>
            </w:tcMar>
            <w:vAlign w:val="bottom"/>
            <w:hideMark/>
          </w:tcPr>
          <w:p w14:paraId="452A841E" w14:textId="4406DBEB" w:rsidR="004F3818" w:rsidRPr="00D2758E" w:rsidRDefault="004F3818" w:rsidP="00A10C78">
            <w:pPr>
              <w:suppressLineNumbers/>
              <w:suppressAutoHyphens/>
              <w:kinsoku w:val="0"/>
              <w:overflowPunct w:val="0"/>
              <w:autoSpaceDE w:val="0"/>
              <w:autoSpaceDN w:val="0"/>
              <w:adjustRightInd w:val="0"/>
              <w:snapToGrid w:val="0"/>
              <w:jc w:val="right"/>
              <w:rPr>
                <w:rFonts w:asciiTheme="majorBidi" w:hAnsiTheme="majorBidi" w:cstheme="majorBidi"/>
                <w:kern w:val="22"/>
                <w:sz w:val="20"/>
                <w:szCs w:val="20"/>
              </w:rPr>
            </w:pPr>
            <w:r w:rsidRPr="00D2758E">
              <w:rPr>
                <w:rFonts w:asciiTheme="majorBidi" w:hAnsiTheme="majorBidi" w:cstheme="majorBidi"/>
                <w:kern w:val="22"/>
                <w:sz w:val="20"/>
                <w:szCs w:val="20"/>
              </w:rPr>
              <w:t>9 (9</w:t>
            </w:r>
            <w:r w:rsidR="000D729C">
              <w:rPr>
                <w:rFonts w:asciiTheme="majorBidi" w:hAnsiTheme="majorBidi" w:cstheme="majorBidi"/>
                <w:kern w:val="22"/>
                <w:sz w:val="20"/>
                <w:szCs w:val="20"/>
              </w:rPr>
              <w:t xml:space="preserve"> per cent</w:t>
            </w:r>
            <w:r w:rsidRPr="00D2758E">
              <w:rPr>
                <w:rFonts w:asciiTheme="majorBidi" w:hAnsiTheme="majorBidi" w:cstheme="majorBidi"/>
                <w:kern w:val="22"/>
                <w:sz w:val="20"/>
                <w:szCs w:val="20"/>
              </w:rPr>
              <w:t>)</w:t>
            </w:r>
          </w:p>
        </w:tc>
        <w:tc>
          <w:tcPr>
            <w:tcW w:w="1506" w:type="dxa"/>
            <w:vAlign w:val="bottom"/>
          </w:tcPr>
          <w:p w14:paraId="0B1B561B" w14:textId="562FA12F" w:rsidR="004F3818" w:rsidRPr="00D2758E" w:rsidRDefault="004F3818" w:rsidP="00A10C78">
            <w:pPr>
              <w:suppressLineNumbers/>
              <w:suppressAutoHyphens/>
              <w:kinsoku w:val="0"/>
              <w:overflowPunct w:val="0"/>
              <w:autoSpaceDE w:val="0"/>
              <w:autoSpaceDN w:val="0"/>
              <w:adjustRightInd w:val="0"/>
              <w:snapToGrid w:val="0"/>
              <w:jc w:val="right"/>
              <w:rPr>
                <w:rFonts w:asciiTheme="majorBidi" w:hAnsiTheme="majorBidi" w:cstheme="majorBidi"/>
                <w:kern w:val="22"/>
                <w:sz w:val="20"/>
                <w:szCs w:val="20"/>
              </w:rPr>
            </w:pPr>
            <w:r w:rsidRPr="00D2758E">
              <w:rPr>
                <w:rFonts w:asciiTheme="majorBidi" w:hAnsiTheme="majorBidi" w:cstheme="majorBidi"/>
                <w:kern w:val="22"/>
                <w:sz w:val="20"/>
                <w:szCs w:val="20"/>
              </w:rPr>
              <w:t>15 (10</w:t>
            </w:r>
            <w:r w:rsidR="000D729C">
              <w:rPr>
                <w:rFonts w:asciiTheme="majorBidi" w:hAnsiTheme="majorBidi" w:cstheme="majorBidi"/>
                <w:kern w:val="22"/>
                <w:sz w:val="20"/>
                <w:szCs w:val="20"/>
              </w:rPr>
              <w:t xml:space="preserve"> per cent</w:t>
            </w:r>
            <w:r w:rsidRPr="00D2758E">
              <w:rPr>
                <w:rFonts w:asciiTheme="majorBidi" w:hAnsiTheme="majorBidi" w:cstheme="majorBidi"/>
                <w:kern w:val="22"/>
                <w:sz w:val="20"/>
                <w:szCs w:val="20"/>
              </w:rPr>
              <w:t>)</w:t>
            </w:r>
          </w:p>
        </w:tc>
      </w:tr>
    </w:tbl>
    <w:p w14:paraId="44F4296B" w14:textId="7C419AE8" w:rsidR="00D70885" w:rsidRPr="00D2758E" w:rsidRDefault="00694B61" w:rsidP="00694B61">
      <w:pPr>
        <w:pStyle w:val="CBDH4"/>
      </w:pPr>
      <w:r>
        <w:t>(b)</w:t>
      </w:r>
      <w:r>
        <w:tab/>
      </w:r>
      <w:r w:rsidR="00B0600E" w:rsidRPr="00D2758E">
        <w:t>Challenges, root causes and possible ways to enhance measures related to implement</w:t>
      </w:r>
      <w:r w:rsidR="00EA3792" w:rsidRPr="00D2758E">
        <w:t>ation of</w:t>
      </w:r>
      <w:r w:rsidR="00B0600E" w:rsidRPr="00D2758E">
        <w:t xml:space="preserve"> Article</w:t>
      </w:r>
      <w:r w:rsidR="00EA3792" w:rsidRPr="00D2758E">
        <w:t>s</w:t>
      </w:r>
      <w:r w:rsidR="00B0600E" w:rsidRPr="00D2758E">
        <w:t xml:space="preserve"> 15 and 17 of the Protocol</w:t>
      </w:r>
    </w:p>
    <w:p w14:paraId="38E39F50" w14:textId="18E3465C" w:rsidR="00073DE2" w:rsidRPr="00D2758E" w:rsidRDefault="005F6484" w:rsidP="00CD2C50">
      <w:pPr>
        <w:pStyle w:val="CBDNormalNumber"/>
        <w:rPr>
          <w:rFonts w:asciiTheme="majorBidi" w:hAnsiTheme="majorBidi" w:cstheme="majorBidi"/>
        </w:rPr>
      </w:pPr>
      <w:r w:rsidRPr="00D2758E">
        <w:rPr>
          <w:rFonts w:asciiTheme="majorBidi" w:hAnsiTheme="majorBidi" w:cstheme="majorBidi"/>
        </w:rPr>
        <w:t>The status of implementation of compliance measures and elements of the monitoring system established by the Nagoya Protocol (</w:t>
      </w:r>
      <w:r w:rsidR="00281CFA" w:rsidRPr="00D2758E">
        <w:rPr>
          <w:rFonts w:asciiTheme="majorBidi" w:hAnsiTheme="majorBidi" w:cstheme="majorBidi"/>
        </w:rPr>
        <w:t>certificates</w:t>
      </w:r>
      <w:r w:rsidR="00957D85" w:rsidRPr="00D2758E">
        <w:rPr>
          <w:rFonts w:asciiTheme="majorBidi" w:hAnsiTheme="majorBidi" w:cstheme="majorBidi"/>
        </w:rPr>
        <w:t>,</w:t>
      </w:r>
      <w:r w:rsidR="00281CFA" w:rsidRPr="00D2758E">
        <w:rPr>
          <w:rFonts w:asciiTheme="majorBidi" w:hAnsiTheme="majorBidi" w:cstheme="majorBidi"/>
        </w:rPr>
        <w:t xml:space="preserve"> </w:t>
      </w:r>
      <w:r w:rsidRPr="00D2758E">
        <w:rPr>
          <w:rFonts w:asciiTheme="majorBidi" w:hAnsiTheme="majorBidi" w:cstheme="majorBidi"/>
        </w:rPr>
        <w:t>checkpoints</w:t>
      </w:r>
      <w:r w:rsidR="00C8492C">
        <w:rPr>
          <w:rFonts w:asciiTheme="majorBidi" w:hAnsiTheme="majorBidi" w:cstheme="majorBidi"/>
        </w:rPr>
        <w:t xml:space="preserve"> and</w:t>
      </w:r>
      <w:r w:rsidRPr="00D2758E">
        <w:rPr>
          <w:rFonts w:asciiTheme="majorBidi" w:hAnsiTheme="majorBidi" w:cstheme="majorBidi"/>
        </w:rPr>
        <w:t xml:space="preserve"> checkpoint communiqués) remains </w:t>
      </w:r>
      <w:r w:rsidRPr="00D2758E">
        <w:rPr>
          <w:rFonts w:asciiTheme="majorBidi" w:hAnsiTheme="majorBidi" w:cstheme="majorBidi"/>
        </w:rPr>
        <w:lastRenderedPageBreak/>
        <w:t xml:space="preserve">uneven. </w:t>
      </w:r>
      <w:r w:rsidR="008E5AC9" w:rsidRPr="00D2758E">
        <w:rPr>
          <w:rFonts w:asciiTheme="majorBidi" w:hAnsiTheme="majorBidi" w:cstheme="majorBidi"/>
        </w:rPr>
        <w:t xml:space="preserve">While </w:t>
      </w:r>
      <w:proofErr w:type="gramStart"/>
      <w:r w:rsidR="008E5AC9" w:rsidRPr="00D2758E">
        <w:rPr>
          <w:rFonts w:asciiTheme="majorBidi" w:hAnsiTheme="majorBidi" w:cstheme="majorBidi"/>
        </w:rPr>
        <w:t>a number of</w:t>
      </w:r>
      <w:proofErr w:type="gramEnd"/>
      <w:r w:rsidR="008E5AC9" w:rsidRPr="00D2758E">
        <w:rPr>
          <w:rFonts w:asciiTheme="majorBidi" w:hAnsiTheme="majorBidi" w:cstheme="majorBidi"/>
        </w:rPr>
        <w:t xml:space="preserve"> developed countries traditionally considered </w:t>
      </w:r>
      <w:r w:rsidR="00501C16">
        <w:rPr>
          <w:rFonts w:asciiTheme="majorBidi" w:hAnsiTheme="majorBidi" w:cstheme="majorBidi"/>
        </w:rPr>
        <w:t xml:space="preserve">to be </w:t>
      </w:r>
      <w:r w:rsidR="008E5AC9" w:rsidRPr="00D2758E">
        <w:rPr>
          <w:rFonts w:asciiTheme="majorBidi" w:hAnsiTheme="majorBidi" w:cstheme="majorBidi"/>
        </w:rPr>
        <w:t xml:space="preserve">“user countries” have adopted </w:t>
      </w:r>
      <w:r w:rsidR="008E5AC9" w:rsidRPr="00D2758E">
        <w:t>compliance</w:t>
      </w:r>
      <w:r w:rsidR="008E5AC9" w:rsidRPr="00D2758E">
        <w:rPr>
          <w:rFonts w:asciiTheme="majorBidi" w:hAnsiTheme="majorBidi" w:cstheme="majorBidi"/>
        </w:rPr>
        <w:t xml:space="preserve"> measures, others have not and many developing countries perceive themselves primarily as providers and have focused on regulating access to their genetic resource without yet having adopted compliance measures.  </w:t>
      </w:r>
    </w:p>
    <w:p w14:paraId="110E7B8A" w14:textId="49D6A7B9" w:rsidR="0058529C" w:rsidRPr="00D2758E" w:rsidRDefault="00C30AD6" w:rsidP="00CD2C50">
      <w:pPr>
        <w:pStyle w:val="CBDNormalNumber"/>
        <w:rPr>
          <w:rFonts w:asciiTheme="majorBidi" w:hAnsiTheme="majorBidi" w:cstheme="majorBidi"/>
        </w:rPr>
      </w:pPr>
      <w:r w:rsidRPr="00D2758E">
        <w:rPr>
          <w:rFonts w:asciiTheme="majorBidi" w:hAnsiTheme="majorBidi" w:cstheme="majorBidi"/>
        </w:rPr>
        <w:t xml:space="preserve">Some Parties have established checkpoints to monitor the utilization of their own genetic resource </w:t>
      </w:r>
      <w:r w:rsidR="00833C6C" w:rsidRPr="00D2758E">
        <w:rPr>
          <w:rFonts w:asciiTheme="majorBidi" w:hAnsiTheme="majorBidi" w:cstheme="majorBidi"/>
        </w:rPr>
        <w:t xml:space="preserve">but have not adopted measures to ensure that users within their jurisdiction comply with </w:t>
      </w:r>
      <w:r w:rsidR="00501C16">
        <w:rPr>
          <w:rFonts w:asciiTheme="majorBidi" w:hAnsiTheme="majorBidi" w:cstheme="majorBidi"/>
        </w:rPr>
        <w:t>access and benefit</w:t>
      </w:r>
      <w:r w:rsidR="00AB3D9D">
        <w:rPr>
          <w:rFonts w:asciiTheme="majorBidi" w:hAnsiTheme="majorBidi" w:cstheme="majorBidi"/>
        </w:rPr>
        <w:t xml:space="preserve">-sharing </w:t>
      </w:r>
      <w:r w:rsidR="00833C6C" w:rsidRPr="00D2758E">
        <w:rPr>
          <w:rFonts w:asciiTheme="majorBidi" w:hAnsiTheme="majorBidi" w:cstheme="majorBidi"/>
        </w:rPr>
        <w:t xml:space="preserve">requirements of </w:t>
      </w:r>
      <w:r w:rsidR="00833C6C" w:rsidRPr="00D2758E">
        <w:t>other</w:t>
      </w:r>
      <w:r w:rsidR="00833C6C" w:rsidRPr="00D2758E">
        <w:rPr>
          <w:rFonts w:asciiTheme="majorBidi" w:hAnsiTheme="majorBidi" w:cstheme="majorBidi"/>
        </w:rPr>
        <w:t xml:space="preserve"> countries, in line with their obligations under the Protocol. </w:t>
      </w:r>
      <w:r w:rsidR="007059BD">
        <w:rPr>
          <w:rFonts w:asciiTheme="majorBidi" w:hAnsiTheme="majorBidi" w:cstheme="majorBidi"/>
        </w:rPr>
        <w:t>While o</w:t>
      </w:r>
      <w:r w:rsidR="00833C6C" w:rsidRPr="00D2758E">
        <w:rPr>
          <w:rFonts w:asciiTheme="majorBidi" w:hAnsiTheme="majorBidi" w:cstheme="majorBidi"/>
        </w:rPr>
        <w:t xml:space="preserve">ther </w:t>
      </w:r>
      <w:r w:rsidR="003877F1" w:rsidRPr="00D2758E">
        <w:rPr>
          <w:rFonts w:asciiTheme="majorBidi" w:hAnsiTheme="majorBidi" w:cstheme="majorBidi"/>
        </w:rPr>
        <w:t xml:space="preserve">Parties </w:t>
      </w:r>
      <w:r w:rsidR="00833C6C" w:rsidRPr="00D2758E">
        <w:rPr>
          <w:rFonts w:asciiTheme="majorBidi" w:hAnsiTheme="majorBidi" w:cstheme="majorBidi"/>
        </w:rPr>
        <w:t>have adopted compliance measures</w:t>
      </w:r>
      <w:r w:rsidR="007059BD">
        <w:rPr>
          <w:rFonts w:asciiTheme="majorBidi" w:hAnsiTheme="majorBidi" w:cstheme="majorBidi"/>
        </w:rPr>
        <w:t xml:space="preserve">, </w:t>
      </w:r>
      <w:r w:rsidR="00833C6C" w:rsidRPr="00D2758E">
        <w:rPr>
          <w:rFonts w:asciiTheme="majorBidi" w:hAnsiTheme="majorBidi" w:cstheme="majorBidi"/>
        </w:rPr>
        <w:t xml:space="preserve">they have reported challenges </w:t>
      </w:r>
      <w:proofErr w:type="gramStart"/>
      <w:r w:rsidR="00833C6C" w:rsidRPr="00D2758E">
        <w:rPr>
          <w:rFonts w:asciiTheme="majorBidi" w:hAnsiTheme="majorBidi" w:cstheme="majorBidi"/>
        </w:rPr>
        <w:t xml:space="preserve">with </w:t>
      </w:r>
      <w:r w:rsidR="001D26AF">
        <w:rPr>
          <w:rFonts w:asciiTheme="majorBidi" w:hAnsiTheme="majorBidi" w:cstheme="majorBidi"/>
        </w:rPr>
        <w:t>regard to</w:t>
      </w:r>
      <w:proofErr w:type="gramEnd"/>
      <w:r w:rsidR="001D26AF">
        <w:rPr>
          <w:rFonts w:asciiTheme="majorBidi" w:hAnsiTheme="majorBidi" w:cstheme="majorBidi"/>
        </w:rPr>
        <w:t xml:space="preserve"> </w:t>
      </w:r>
      <w:r w:rsidR="00833C6C" w:rsidRPr="00D2758E">
        <w:rPr>
          <w:rFonts w:asciiTheme="majorBidi" w:hAnsiTheme="majorBidi" w:cstheme="majorBidi"/>
        </w:rPr>
        <w:t>the implementation and enforcement</w:t>
      </w:r>
      <w:r w:rsidR="005E17D0" w:rsidRPr="00D2758E">
        <w:rPr>
          <w:rFonts w:asciiTheme="majorBidi" w:hAnsiTheme="majorBidi" w:cstheme="majorBidi"/>
        </w:rPr>
        <w:t xml:space="preserve"> of these measures</w:t>
      </w:r>
      <w:r w:rsidR="00833C6C" w:rsidRPr="00D2758E">
        <w:rPr>
          <w:rFonts w:asciiTheme="majorBidi" w:hAnsiTheme="majorBidi" w:cstheme="majorBidi"/>
        </w:rPr>
        <w:t>.</w:t>
      </w:r>
    </w:p>
    <w:p w14:paraId="3F590F6D" w14:textId="687A56FB" w:rsidR="00AF6184" w:rsidRPr="00D2758E" w:rsidRDefault="00996289" w:rsidP="00CD2C50">
      <w:pPr>
        <w:pStyle w:val="CBDNormalNumber"/>
        <w:rPr>
          <w:rFonts w:asciiTheme="majorBidi" w:hAnsiTheme="majorBidi" w:cstheme="majorBidi"/>
        </w:rPr>
      </w:pPr>
      <w:r w:rsidRPr="00D2758E">
        <w:rPr>
          <w:rFonts w:asciiTheme="majorBidi" w:hAnsiTheme="majorBidi" w:cstheme="majorBidi"/>
        </w:rPr>
        <w:t xml:space="preserve"> The data provided in the </w:t>
      </w:r>
      <w:r w:rsidR="008D71A6">
        <w:rPr>
          <w:rFonts w:asciiTheme="majorBidi" w:hAnsiTheme="majorBidi" w:cstheme="majorBidi"/>
        </w:rPr>
        <w:t xml:space="preserve">previous </w:t>
      </w:r>
      <w:r w:rsidRPr="00D2758E">
        <w:rPr>
          <w:rFonts w:asciiTheme="majorBidi" w:hAnsiTheme="majorBidi" w:cstheme="majorBidi"/>
        </w:rPr>
        <w:t xml:space="preserve">section demonstrate </w:t>
      </w:r>
      <w:r w:rsidR="00855A27" w:rsidRPr="00D2758E">
        <w:rPr>
          <w:rFonts w:asciiTheme="majorBidi" w:hAnsiTheme="majorBidi" w:cstheme="majorBidi"/>
        </w:rPr>
        <w:t xml:space="preserve">that </w:t>
      </w:r>
      <w:r w:rsidR="006F08B2" w:rsidRPr="00D2758E">
        <w:rPr>
          <w:rFonts w:asciiTheme="majorBidi" w:hAnsiTheme="majorBidi" w:cstheme="majorBidi"/>
        </w:rPr>
        <w:t>90</w:t>
      </w:r>
      <w:r w:rsidR="008D71A6">
        <w:rPr>
          <w:rFonts w:asciiTheme="majorBidi" w:hAnsiTheme="majorBidi" w:cstheme="majorBidi"/>
        </w:rPr>
        <w:t xml:space="preserve"> per cent </w:t>
      </w:r>
      <w:r w:rsidR="006F08B2" w:rsidRPr="00D2758E">
        <w:rPr>
          <w:rFonts w:asciiTheme="majorBidi" w:hAnsiTheme="majorBidi" w:cstheme="majorBidi"/>
        </w:rPr>
        <w:t>of all checkpoint communiqu</w:t>
      </w:r>
      <w:r w:rsidR="008D71A6">
        <w:rPr>
          <w:rFonts w:asciiTheme="majorBidi" w:hAnsiTheme="majorBidi" w:cstheme="majorBidi"/>
        </w:rPr>
        <w:t>é</w:t>
      </w:r>
      <w:r w:rsidR="006F08B2" w:rsidRPr="00D2758E">
        <w:rPr>
          <w:rFonts w:asciiTheme="majorBidi" w:hAnsiTheme="majorBidi" w:cstheme="majorBidi"/>
        </w:rPr>
        <w:t xml:space="preserve"> records</w:t>
      </w:r>
      <w:r w:rsidR="00373337" w:rsidRPr="00D2758E">
        <w:rPr>
          <w:rFonts w:asciiTheme="majorBidi" w:hAnsiTheme="majorBidi" w:cstheme="majorBidi"/>
        </w:rPr>
        <w:t xml:space="preserve"> </w:t>
      </w:r>
      <w:r w:rsidR="008D71A6">
        <w:rPr>
          <w:rFonts w:asciiTheme="majorBidi" w:hAnsiTheme="majorBidi" w:cstheme="majorBidi"/>
        </w:rPr>
        <w:t>we</w:t>
      </w:r>
      <w:r w:rsidR="00373337" w:rsidRPr="00D2758E">
        <w:rPr>
          <w:rFonts w:asciiTheme="majorBidi" w:hAnsiTheme="majorBidi" w:cstheme="majorBidi"/>
        </w:rPr>
        <w:t>re</w:t>
      </w:r>
      <w:r w:rsidR="006F08B2" w:rsidRPr="00D2758E">
        <w:rPr>
          <w:rFonts w:asciiTheme="majorBidi" w:hAnsiTheme="majorBidi" w:cstheme="majorBidi"/>
        </w:rPr>
        <w:t xml:space="preserve"> published</w:t>
      </w:r>
      <w:r w:rsidR="00373337" w:rsidRPr="00D2758E">
        <w:rPr>
          <w:rFonts w:asciiTheme="majorBidi" w:hAnsiTheme="majorBidi" w:cstheme="majorBidi"/>
        </w:rPr>
        <w:t xml:space="preserve"> by </w:t>
      </w:r>
      <w:r w:rsidR="008D71A6">
        <w:rPr>
          <w:rFonts w:asciiTheme="majorBidi" w:hAnsiTheme="majorBidi" w:cstheme="majorBidi"/>
        </w:rPr>
        <w:t>five</w:t>
      </w:r>
      <w:r w:rsidR="00373337" w:rsidRPr="00D2758E">
        <w:rPr>
          <w:rFonts w:asciiTheme="majorBidi" w:hAnsiTheme="majorBidi" w:cstheme="majorBidi"/>
        </w:rPr>
        <w:t xml:space="preserve"> Parties</w:t>
      </w:r>
      <w:r w:rsidR="00715649" w:rsidRPr="00D2758E">
        <w:rPr>
          <w:rFonts w:asciiTheme="majorBidi" w:hAnsiTheme="majorBidi" w:cstheme="majorBidi"/>
        </w:rPr>
        <w:t xml:space="preserve"> and </w:t>
      </w:r>
      <w:r w:rsidR="008D71A6">
        <w:rPr>
          <w:rFonts w:asciiTheme="majorBidi" w:hAnsiTheme="majorBidi" w:cstheme="majorBidi"/>
        </w:rPr>
        <w:t xml:space="preserve">that </w:t>
      </w:r>
      <w:r w:rsidR="00715649" w:rsidRPr="00D2758E">
        <w:rPr>
          <w:rFonts w:asciiTheme="majorBidi" w:hAnsiTheme="majorBidi" w:cstheme="majorBidi"/>
        </w:rPr>
        <w:t xml:space="preserve">approximately </w:t>
      </w:r>
      <w:r w:rsidR="008D71A6">
        <w:rPr>
          <w:rFonts w:asciiTheme="majorBidi" w:hAnsiTheme="majorBidi" w:cstheme="majorBidi"/>
        </w:rPr>
        <w:t>one</w:t>
      </w:r>
      <w:r w:rsidR="00715649" w:rsidRPr="00D2758E">
        <w:rPr>
          <w:rFonts w:asciiTheme="majorBidi" w:hAnsiTheme="majorBidi" w:cstheme="majorBidi"/>
        </w:rPr>
        <w:t xml:space="preserve"> third of all communiqu</w:t>
      </w:r>
      <w:r w:rsidR="008D71A6">
        <w:rPr>
          <w:rFonts w:asciiTheme="majorBidi" w:hAnsiTheme="majorBidi" w:cstheme="majorBidi"/>
        </w:rPr>
        <w:t>é</w:t>
      </w:r>
      <w:r w:rsidR="00715649" w:rsidRPr="00D2758E">
        <w:rPr>
          <w:rFonts w:asciiTheme="majorBidi" w:hAnsiTheme="majorBidi" w:cstheme="majorBidi"/>
        </w:rPr>
        <w:t xml:space="preserve">s </w:t>
      </w:r>
      <w:r w:rsidR="008D71A6">
        <w:rPr>
          <w:rFonts w:asciiTheme="majorBidi" w:hAnsiTheme="majorBidi" w:cstheme="majorBidi"/>
        </w:rPr>
        <w:t>we</w:t>
      </w:r>
      <w:r w:rsidR="00715649" w:rsidRPr="00D2758E">
        <w:rPr>
          <w:rFonts w:asciiTheme="majorBidi" w:hAnsiTheme="majorBidi" w:cstheme="majorBidi"/>
        </w:rPr>
        <w:t>re internal</w:t>
      </w:r>
      <w:r w:rsidR="008D71A6">
        <w:rPr>
          <w:rFonts w:asciiTheme="majorBidi" w:hAnsiTheme="majorBidi" w:cstheme="majorBidi"/>
        </w:rPr>
        <w:t xml:space="preserve"> and</w:t>
      </w:r>
      <w:r w:rsidR="00715649" w:rsidRPr="00D2758E">
        <w:rPr>
          <w:rFonts w:asciiTheme="majorBidi" w:hAnsiTheme="majorBidi" w:cstheme="majorBidi"/>
        </w:rPr>
        <w:t xml:space="preserve"> therefore d</w:t>
      </w:r>
      <w:r w:rsidR="008D71A6">
        <w:rPr>
          <w:rFonts w:asciiTheme="majorBidi" w:hAnsiTheme="majorBidi" w:cstheme="majorBidi"/>
        </w:rPr>
        <w:t>id</w:t>
      </w:r>
      <w:r w:rsidR="00715649" w:rsidRPr="00D2758E">
        <w:rPr>
          <w:rFonts w:asciiTheme="majorBidi" w:hAnsiTheme="majorBidi" w:cstheme="majorBidi"/>
        </w:rPr>
        <w:t xml:space="preserve"> not contribute to </w:t>
      </w:r>
      <w:r w:rsidR="008D71A6">
        <w:rPr>
          <w:rFonts w:asciiTheme="majorBidi" w:hAnsiTheme="majorBidi" w:cstheme="majorBidi"/>
        </w:rPr>
        <w:t xml:space="preserve">the </w:t>
      </w:r>
      <w:r w:rsidR="00715649" w:rsidRPr="00D2758E">
        <w:rPr>
          <w:rFonts w:asciiTheme="majorBidi" w:hAnsiTheme="majorBidi" w:cstheme="majorBidi"/>
        </w:rPr>
        <w:t>monitoring of the utilization of genetic resources across borders or at the international level. Th</w:t>
      </w:r>
      <w:r w:rsidR="008A7735" w:rsidRPr="00D2758E">
        <w:rPr>
          <w:rFonts w:asciiTheme="majorBidi" w:hAnsiTheme="majorBidi" w:cstheme="majorBidi"/>
        </w:rPr>
        <w:t xml:space="preserve">is points to </w:t>
      </w:r>
      <w:r w:rsidR="00B938C6" w:rsidRPr="00D2758E">
        <w:rPr>
          <w:rFonts w:asciiTheme="majorBidi" w:hAnsiTheme="majorBidi" w:cstheme="majorBidi"/>
        </w:rPr>
        <w:t xml:space="preserve">a major gap </w:t>
      </w:r>
      <w:r w:rsidR="00817BEB" w:rsidRPr="00D2758E">
        <w:rPr>
          <w:rFonts w:asciiTheme="majorBidi" w:hAnsiTheme="majorBidi" w:cstheme="majorBidi"/>
        </w:rPr>
        <w:t>i</w:t>
      </w:r>
      <w:r w:rsidR="00B938C6" w:rsidRPr="00D2758E">
        <w:rPr>
          <w:rFonts w:asciiTheme="majorBidi" w:hAnsiTheme="majorBidi" w:cstheme="majorBidi"/>
        </w:rPr>
        <w:t>n the system for monitoring the utilization of genetic resources</w:t>
      </w:r>
      <w:r w:rsidR="002D0E31" w:rsidRPr="00D2758E">
        <w:rPr>
          <w:rFonts w:asciiTheme="majorBidi" w:hAnsiTheme="majorBidi" w:cstheme="majorBidi"/>
        </w:rPr>
        <w:t xml:space="preserve"> </w:t>
      </w:r>
      <w:r w:rsidR="00A66411" w:rsidRPr="00D2758E">
        <w:rPr>
          <w:rFonts w:asciiTheme="majorBidi" w:hAnsiTheme="majorBidi" w:cstheme="majorBidi"/>
        </w:rPr>
        <w:t xml:space="preserve">at the </w:t>
      </w:r>
      <w:r w:rsidR="002D0E31" w:rsidRPr="00D2758E">
        <w:rPr>
          <w:rFonts w:asciiTheme="majorBidi" w:hAnsiTheme="majorBidi" w:cstheme="majorBidi"/>
        </w:rPr>
        <w:t>international</w:t>
      </w:r>
      <w:r w:rsidR="00A66411" w:rsidRPr="00D2758E">
        <w:rPr>
          <w:rFonts w:asciiTheme="majorBidi" w:hAnsiTheme="majorBidi" w:cstheme="majorBidi"/>
        </w:rPr>
        <w:t xml:space="preserve"> level</w:t>
      </w:r>
      <w:r w:rsidR="005074A0" w:rsidRPr="00D2758E">
        <w:rPr>
          <w:rFonts w:asciiTheme="majorBidi" w:hAnsiTheme="majorBidi" w:cstheme="majorBidi"/>
        </w:rPr>
        <w:t xml:space="preserve"> </w:t>
      </w:r>
      <w:r w:rsidR="0077628B" w:rsidRPr="00D2758E">
        <w:rPr>
          <w:rFonts w:asciiTheme="majorBidi" w:hAnsiTheme="majorBidi" w:cstheme="majorBidi"/>
        </w:rPr>
        <w:t>and</w:t>
      </w:r>
      <w:r w:rsidR="000926EC" w:rsidRPr="00D2758E">
        <w:rPr>
          <w:rFonts w:asciiTheme="majorBidi" w:hAnsiTheme="majorBidi" w:cstheme="majorBidi"/>
        </w:rPr>
        <w:t xml:space="preserve"> </w:t>
      </w:r>
      <w:r w:rsidR="000B1918">
        <w:rPr>
          <w:rFonts w:asciiTheme="majorBidi" w:hAnsiTheme="majorBidi" w:cstheme="majorBidi"/>
        </w:rPr>
        <w:t xml:space="preserve">indicates </w:t>
      </w:r>
      <w:r w:rsidR="005074A0" w:rsidRPr="00D2758E">
        <w:rPr>
          <w:rFonts w:asciiTheme="majorBidi" w:hAnsiTheme="majorBidi" w:cstheme="majorBidi"/>
        </w:rPr>
        <w:t xml:space="preserve">that </w:t>
      </w:r>
      <w:r w:rsidR="00614357" w:rsidRPr="00D2758E">
        <w:rPr>
          <w:rFonts w:asciiTheme="majorBidi" w:hAnsiTheme="majorBidi" w:cstheme="majorBidi"/>
        </w:rPr>
        <w:t xml:space="preserve">for different reasons the checkpoints designated </w:t>
      </w:r>
      <w:r w:rsidR="003E521C" w:rsidRPr="00D2758E">
        <w:rPr>
          <w:rFonts w:asciiTheme="majorBidi" w:hAnsiTheme="majorBidi" w:cstheme="majorBidi"/>
        </w:rPr>
        <w:t xml:space="preserve">by 65 Parties </w:t>
      </w:r>
      <w:r w:rsidR="009111A4" w:rsidRPr="00D2758E">
        <w:rPr>
          <w:rFonts w:asciiTheme="majorBidi" w:hAnsiTheme="majorBidi" w:cstheme="majorBidi"/>
        </w:rPr>
        <w:t xml:space="preserve">may not be </w:t>
      </w:r>
      <w:r w:rsidR="00D26E99" w:rsidRPr="00D2758E">
        <w:rPr>
          <w:rFonts w:asciiTheme="majorBidi" w:hAnsiTheme="majorBidi" w:cstheme="majorBidi"/>
        </w:rPr>
        <w:t xml:space="preserve">fulfilling the role assigned </w:t>
      </w:r>
      <w:r w:rsidR="008E4F2E">
        <w:rPr>
          <w:rFonts w:asciiTheme="majorBidi" w:hAnsiTheme="majorBidi" w:cstheme="majorBidi"/>
        </w:rPr>
        <w:t xml:space="preserve">them </w:t>
      </w:r>
      <w:r w:rsidR="000B1918">
        <w:rPr>
          <w:rFonts w:asciiTheme="majorBidi" w:hAnsiTheme="majorBidi" w:cstheme="majorBidi"/>
        </w:rPr>
        <w:t>under</w:t>
      </w:r>
      <w:r w:rsidR="00D26E99" w:rsidRPr="00D2758E">
        <w:rPr>
          <w:rFonts w:asciiTheme="majorBidi" w:hAnsiTheme="majorBidi" w:cstheme="majorBidi"/>
        </w:rPr>
        <w:t xml:space="preserve"> Article 17 of the Protocol.</w:t>
      </w:r>
    </w:p>
    <w:p w14:paraId="68B1A47F" w14:textId="0677F683" w:rsidR="00EF5F23" w:rsidRPr="00D2758E" w:rsidRDefault="004A7668" w:rsidP="00CD2C50">
      <w:pPr>
        <w:pStyle w:val="CBDNormalNumber"/>
        <w:rPr>
          <w:rFonts w:asciiTheme="majorBidi" w:hAnsiTheme="majorBidi" w:cstheme="majorBidi"/>
        </w:rPr>
      </w:pPr>
      <w:r w:rsidRPr="00D2758E">
        <w:rPr>
          <w:rFonts w:asciiTheme="majorBidi" w:hAnsiTheme="majorBidi" w:cstheme="majorBidi"/>
        </w:rPr>
        <w:t>T</w:t>
      </w:r>
      <w:r w:rsidR="008273D1" w:rsidRPr="00D2758E">
        <w:rPr>
          <w:rFonts w:asciiTheme="majorBidi" w:hAnsiTheme="majorBidi" w:cstheme="majorBidi"/>
        </w:rPr>
        <w:t>aken together</w:t>
      </w:r>
      <w:r w:rsidRPr="00D2758E">
        <w:rPr>
          <w:rFonts w:asciiTheme="majorBidi" w:hAnsiTheme="majorBidi" w:cstheme="majorBidi"/>
        </w:rPr>
        <w:t>, these points</w:t>
      </w:r>
      <w:r w:rsidR="001005DF" w:rsidRPr="00D2758E">
        <w:rPr>
          <w:rFonts w:asciiTheme="majorBidi" w:hAnsiTheme="majorBidi" w:cstheme="majorBidi"/>
        </w:rPr>
        <w:t xml:space="preserve"> </w:t>
      </w:r>
      <w:r w:rsidRPr="00D2758E">
        <w:rPr>
          <w:rFonts w:asciiTheme="majorBidi" w:hAnsiTheme="majorBidi" w:cstheme="majorBidi"/>
        </w:rPr>
        <w:t>demonstrate</w:t>
      </w:r>
      <w:r w:rsidR="001005DF" w:rsidRPr="00D2758E">
        <w:rPr>
          <w:rFonts w:asciiTheme="majorBidi" w:hAnsiTheme="majorBidi" w:cstheme="majorBidi"/>
        </w:rPr>
        <w:t xml:space="preserve"> that the international monitoring system as envisaged by the Nagoya Protocol is not yet applied</w:t>
      </w:r>
      <w:r w:rsidR="00B94C92" w:rsidRPr="00B94C92">
        <w:rPr>
          <w:rFonts w:asciiTheme="majorBidi" w:hAnsiTheme="majorBidi" w:cstheme="majorBidi"/>
        </w:rPr>
        <w:t xml:space="preserve"> </w:t>
      </w:r>
      <w:r w:rsidR="00B94C92" w:rsidRPr="00D2758E">
        <w:rPr>
          <w:rFonts w:asciiTheme="majorBidi" w:hAnsiTheme="majorBidi" w:cstheme="majorBidi"/>
        </w:rPr>
        <w:t>generally</w:t>
      </w:r>
      <w:r w:rsidR="006346E0" w:rsidRPr="00D2758E">
        <w:rPr>
          <w:rFonts w:asciiTheme="majorBidi" w:hAnsiTheme="majorBidi" w:cstheme="majorBidi"/>
        </w:rPr>
        <w:t>.</w:t>
      </w:r>
      <w:r w:rsidR="001005DF" w:rsidRPr="00D2758E">
        <w:rPr>
          <w:rFonts w:asciiTheme="majorBidi" w:hAnsiTheme="majorBidi" w:cstheme="majorBidi"/>
        </w:rPr>
        <w:t xml:space="preserve"> </w:t>
      </w:r>
      <w:r w:rsidR="006346E0" w:rsidRPr="00D2758E">
        <w:rPr>
          <w:rFonts w:asciiTheme="majorBidi" w:hAnsiTheme="majorBidi" w:cstheme="majorBidi"/>
        </w:rPr>
        <w:t>A</w:t>
      </w:r>
      <w:r w:rsidR="001005DF" w:rsidRPr="00D2758E">
        <w:rPr>
          <w:rFonts w:asciiTheme="majorBidi" w:hAnsiTheme="majorBidi" w:cstheme="majorBidi"/>
        </w:rPr>
        <w:t>s a result</w:t>
      </w:r>
      <w:r w:rsidR="006346E0" w:rsidRPr="00D2758E">
        <w:rPr>
          <w:rFonts w:asciiTheme="majorBidi" w:hAnsiTheme="majorBidi" w:cstheme="majorBidi"/>
        </w:rPr>
        <w:t>,</w:t>
      </w:r>
      <w:r w:rsidR="001005DF" w:rsidRPr="00D2758E">
        <w:rPr>
          <w:rFonts w:asciiTheme="majorBidi" w:hAnsiTheme="majorBidi" w:cstheme="majorBidi"/>
        </w:rPr>
        <w:t xml:space="preserve"> concerns </w:t>
      </w:r>
      <w:r w:rsidR="008E4F2E" w:rsidRPr="00D2758E">
        <w:rPr>
          <w:rFonts w:asciiTheme="majorBidi" w:hAnsiTheme="majorBidi" w:cstheme="majorBidi"/>
        </w:rPr>
        <w:t>continu</w:t>
      </w:r>
      <w:r w:rsidR="008E4F2E">
        <w:rPr>
          <w:rFonts w:asciiTheme="majorBidi" w:hAnsiTheme="majorBidi" w:cstheme="majorBidi"/>
        </w:rPr>
        <w:t>e</w:t>
      </w:r>
      <w:r w:rsidR="008E4F2E" w:rsidRPr="00D2758E">
        <w:rPr>
          <w:rFonts w:asciiTheme="majorBidi" w:hAnsiTheme="majorBidi" w:cstheme="majorBidi"/>
        </w:rPr>
        <w:t xml:space="preserve"> </w:t>
      </w:r>
      <w:r w:rsidR="001005DF" w:rsidRPr="00D2758E">
        <w:rPr>
          <w:rFonts w:asciiTheme="majorBidi" w:hAnsiTheme="majorBidi" w:cstheme="majorBidi"/>
        </w:rPr>
        <w:t>about the misappropriation and misuse of genetic resources once they leave th</w:t>
      </w:r>
      <w:r w:rsidR="006346E0" w:rsidRPr="00D2758E">
        <w:rPr>
          <w:rFonts w:asciiTheme="majorBidi" w:hAnsiTheme="majorBidi" w:cstheme="majorBidi"/>
        </w:rPr>
        <w:t xml:space="preserve">e </w:t>
      </w:r>
      <w:r w:rsidR="001005DF" w:rsidRPr="00D2758E">
        <w:rPr>
          <w:rFonts w:asciiTheme="majorBidi" w:hAnsiTheme="majorBidi" w:cstheme="majorBidi"/>
        </w:rPr>
        <w:t>country and</w:t>
      </w:r>
      <w:r w:rsidR="006346E0" w:rsidRPr="00D2758E">
        <w:rPr>
          <w:rFonts w:asciiTheme="majorBidi" w:hAnsiTheme="majorBidi" w:cstheme="majorBidi"/>
        </w:rPr>
        <w:t xml:space="preserve"> Parties are still</w:t>
      </w:r>
      <w:r w:rsidR="001005DF" w:rsidRPr="00D2758E">
        <w:rPr>
          <w:rFonts w:asciiTheme="majorBidi" w:hAnsiTheme="majorBidi" w:cstheme="majorBidi"/>
        </w:rPr>
        <w:t xml:space="preserve"> adopt</w:t>
      </w:r>
      <w:r w:rsidR="006346E0" w:rsidRPr="00D2758E">
        <w:rPr>
          <w:rFonts w:asciiTheme="majorBidi" w:hAnsiTheme="majorBidi" w:cstheme="majorBidi"/>
        </w:rPr>
        <w:t xml:space="preserve">ing </w:t>
      </w:r>
      <w:r w:rsidR="001005DF" w:rsidRPr="00D2758E">
        <w:rPr>
          <w:rFonts w:asciiTheme="majorBidi" w:hAnsiTheme="majorBidi" w:cstheme="majorBidi"/>
        </w:rPr>
        <w:t>defensive measures to regulate access to their genetic resources and wish to take measures to monitor the use of th</w:t>
      </w:r>
      <w:r w:rsidR="00C1647B">
        <w:rPr>
          <w:rFonts w:asciiTheme="majorBidi" w:hAnsiTheme="majorBidi" w:cstheme="majorBidi"/>
        </w:rPr>
        <w:t>ose</w:t>
      </w:r>
      <w:r w:rsidR="006E35CB">
        <w:rPr>
          <w:rFonts w:asciiTheme="majorBidi" w:hAnsiTheme="majorBidi" w:cstheme="majorBidi"/>
        </w:rPr>
        <w:t xml:space="preserve"> </w:t>
      </w:r>
      <w:r w:rsidR="001005DF" w:rsidRPr="00D2758E">
        <w:rPr>
          <w:rFonts w:asciiTheme="majorBidi" w:hAnsiTheme="majorBidi" w:cstheme="majorBidi"/>
        </w:rPr>
        <w:t>genetic resources.</w:t>
      </w:r>
    </w:p>
    <w:p w14:paraId="16EB4ACA" w14:textId="6ACBA9DC" w:rsidR="00F551E5" w:rsidRPr="00D2758E" w:rsidRDefault="005B40E2" w:rsidP="00CD2C50">
      <w:pPr>
        <w:pStyle w:val="CBDNormalNumber"/>
        <w:rPr>
          <w:rFonts w:asciiTheme="majorBidi" w:hAnsiTheme="majorBidi" w:cstheme="majorBidi"/>
        </w:rPr>
      </w:pPr>
      <w:r w:rsidRPr="00D2758E">
        <w:rPr>
          <w:rFonts w:asciiTheme="majorBidi" w:hAnsiTheme="majorBidi" w:cstheme="majorBidi"/>
        </w:rPr>
        <w:t xml:space="preserve">As </w:t>
      </w:r>
      <w:r w:rsidR="00FF2EF2">
        <w:rPr>
          <w:rFonts w:asciiTheme="majorBidi" w:hAnsiTheme="majorBidi" w:cstheme="majorBidi"/>
        </w:rPr>
        <w:t>was</w:t>
      </w:r>
      <w:r w:rsidRPr="00D2758E">
        <w:rPr>
          <w:rFonts w:asciiTheme="majorBidi" w:hAnsiTheme="majorBidi" w:cstheme="majorBidi"/>
        </w:rPr>
        <w:t xml:space="preserve"> </w:t>
      </w:r>
      <w:r w:rsidR="00724F36" w:rsidRPr="00D2758E">
        <w:rPr>
          <w:rFonts w:asciiTheme="majorBidi" w:hAnsiTheme="majorBidi" w:cstheme="majorBidi"/>
        </w:rPr>
        <w:t xml:space="preserve">consistently highlighted </w:t>
      </w:r>
      <w:r w:rsidR="004C6B2B">
        <w:rPr>
          <w:rFonts w:asciiTheme="majorBidi" w:hAnsiTheme="majorBidi" w:cstheme="majorBidi"/>
        </w:rPr>
        <w:t>in</w:t>
      </w:r>
      <w:r w:rsidR="00724F36" w:rsidRPr="00D2758E">
        <w:rPr>
          <w:rFonts w:asciiTheme="majorBidi" w:hAnsiTheme="majorBidi" w:cstheme="majorBidi"/>
        </w:rPr>
        <w:t xml:space="preserve"> the first national reports,</w:t>
      </w:r>
      <w:r w:rsidR="002B6A0B" w:rsidRPr="00D2758E">
        <w:rPr>
          <w:rFonts w:asciiTheme="majorBidi" w:hAnsiTheme="majorBidi" w:cstheme="majorBidi"/>
        </w:rPr>
        <w:t xml:space="preserve"> </w:t>
      </w:r>
      <w:r w:rsidR="008039C3" w:rsidRPr="00D2758E">
        <w:rPr>
          <w:rFonts w:asciiTheme="majorBidi" w:hAnsiTheme="majorBidi" w:cstheme="majorBidi"/>
        </w:rPr>
        <w:t xml:space="preserve">responses </w:t>
      </w:r>
      <w:r w:rsidR="003A42C3" w:rsidRPr="00D2758E">
        <w:rPr>
          <w:rFonts w:asciiTheme="majorBidi" w:hAnsiTheme="majorBidi" w:cstheme="majorBidi"/>
        </w:rPr>
        <w:t>to the</w:t>
      </w:r>
      <w:r w:rsidR="00724F36" w:rsidRPr="00D2758E">
        <w:rPr>
          <w:rFonts w:asciiTheme="majorBidi" w:hAnsiTheme="majorBidi" w:cstheme="majorBidi"/>
        </w:rPr>
        <w:t xml:space="preserve"> targeted surveys and </w:t>
      </w:r>
      <w:r w:rsidR="004B339E" w:rsidRPr="00D2758E">
        <w:rPr>
          <w:rFonts w:asciiTheme="majorBidi" w:hAnsiTheme="majorBidi" w:cstheme="majorBidi"/>
        </w:rPr>
        <w:t xml:space="preserve">documents relevant for the </w:t>
      </w:r>
      <w:r w:rsidR="008659EE">
        <w:rPr>
          <w:rFonts w:asciiTheme="majorBidi" w:hAnsiTheme="majorBidi" w:cstheme="majorBidi"/>
        </w:rPr>
        <w:t xml:space="preserve">Access and Benefit-sharing </w:t>
      </w:r>
      <w:r w:rsidR="004B339E" w:rsidRPr="00D2758E">
        <w:rPr>
          <w:rFonts w:asciiTheme="majorBidi" w:hAnsiTheme="majorBidi" w:cstheme="majorBidi"/>
        </w:rPr>
        <w:t>Clearing-House, Parties need</w:t>
      </w:r>
      <w:r w:rsidR="00204C07">
        <w:rPr>
          <w:rFonts w:asciiTheme="majorBidi" w:hAnsiTheme="majorBidi" w:cstheme="majorBidi"/>
        </w:rPr>
        <w:t>ed</w:t>
      </w:r>
      <w:r w:rsidR="004B339E" w:rsidRPr="00D2758E">
        <w:rPr>
          <w:rFonts w:asciiTheme="majorBidi" w:hAnsiTheme="majorBidi" w:cstheme="majorBidi"/>
        </w:rPr>
        <w:t xml:space="preserve"> support in relation to</w:t>
      </w:r>
      <w:r w:rsidR="00A1328A" w:rsidRPr="00D2758E">
        <w:rPr>
          <w:rFonts w:asciiTheme="majorBidi" w:hAnsiTheme="majorBidi" w:cstheme="majorBidi"/>
        </w:rPr>
        <w:t xml:space="preserve"> </w:t>
      </w:r>
      <w:r w:rsidR="004638BB" w:rsidRPr="00D2758E">
        <w:rPr>
          <w:rFonts w:asciiTheme="majorBidi" w:hAnsiTheme="majorBidi" w:cstheme="majorBidi"/>
        </w:rPr>
        <w:t xml:space="preserve">the </w:t>
      </w:r>
      <w:r w:rsidR="00A1328A" w:rsidRPr="00D2758E">
        <w:rPr>
          <w:rFonts w:asciiTheme="majorBidi" w:hAnsiTheme="majorBidi" w:cstheme="majorBidi"/>
        </w:rPr>
        <w:t>implement</w:t>
      </w:r>
      <w:r w:rsidR="004638BB" w:rsidRPr="00D2758E">
        <w:rPr>
          <w:rFonts w:asciiTheme="majorBidi" w:hAnsiTheme="majorBidi" w:cstheme="majorBidi"/>
        </w:rPr>
        <w:t>ation of</w:t>
      </w:r>
      <w:r w:rsidR="00A1328A" w:rsidRPr="00D2758E">
        <w:rPr>
          <w:rFonts w:asciiTheme="majorBidi" w:hAnsiTheme="majorBidi" w:cstheme="majorBidi"/>
        </w:rPr>
        <w:t xml:space="preserve"> Article 17 of the Protocol</w:t>
      </w:r>
      <w:r w:rsidR="00CF3598" w:rsidRPr="00D2758E">
        <w:rPr>
          <w:rFonts w:asciiTheme="majorBidi" w:hAnsiTheme="majorBidi" w:cstheme="majorBidi"/>
        </w:rPr>
        <w:t>.</w:t>
      </w:r>
      <w:r w:rsidR="008B5173" w:rsidRPr="00D2758E">
        <w:rPr>
          <w:rFonts w:asciiTheme="majorBidi" w:hAnsiTheme="majorBidi" w:cstheme="majorBidi"/>
        </w:rPr>
        <w:t xml:space="preserve"> </w:t>
      </w:r>
      <w:r w:rsidR="00B94C92">
        <w:rPr>
          <w:rFonts w:asciiTheme="majorBidi" w:hAnsiTheme="majorBidi" w:cstheme="majorBidi"/>
        </w:rPr>
        <w:t>This</w:t>
      </w:r>
      <w:r w:rsidR="00655E22">
        <w:rPr>
          <w:rFonts w:asciiTheme="majorBidi" w:hAnsiTheme="majorBidi" w:cstheme="majorBidi"/>
        </w:rPr>
        <w:t xml:space="preserve"> would </w:t>
      </w:r>
      <w:r w:rsidR="00CF3598" w:rsidRPr="00D2758E">
        <w:rPr>
          <w:rFonts w:asciiTheme="majorBidi" w:hAnsiTheme="majorBidi" w:cstheme="majorBidi"/>
        </w:rPr>
        <w:t>include</w:t>
      </w:r>
      <w:r w:rsidR="00F551E5" w:rsidRPr="00D2758E">
        <w:rPr>
          <w:rFonts w:asciiTheme="majorBidi" w:hAnsiTheme="majorBidi" w:cstheme="majorBidi"/>
        </w:rPr>
        <w:t xml:space="preserve"> </w:t>
      </w:r>
      <w:r w:rsidR="00854B6B">
        <w:rPr>
          <w:rFonts w:asciiTheme="majorBidi" w:hAnsiTheme="majorBidi" w:cstheme="majorBidi"/>
        </w:rPr>
        <w:t xml:space="preserve">support related to </w:t>
      </w:r>
      <w:r w:rsidR="008B5173" w:rsidRPr="00D2758E">
        <w:rPr>
          <w:rFonts w:asciiTheme="majorBidi" w:hAnsiTheme="majorBidi" w:cstheme="majorBidi"/>
        </w:rPr>
        <w:t>t</w:t>
      </w:r>
      <w:r w:rsidR="00F551E5" w:rsidRPr="00D2758E">
        <w:rPr>
          <w:rFonts w:asciiTheme="majorBidi" w:hAnsiTheme="majorBidi" w:cstheme="majorBidi"/>
        </w:rPr>
        <w:t xml:space="preserve">he designation and operationalization of checkpoints </w:t>
      </w:r>
      <w:r w:rsidR="008B5173" w:rsidRPr="00D2758E">
        <w:rPr>
          <w:rFonts w:asciiTheme="majorBidi" w:hAnsiTheme="majorBidi" w:cstheme="majorBidi"/>
        </w:rPr>
        <w:t xml:space="preserve">and </w:t>
      </w:r>
      <w:r w:rsidR="00BE1192">
        <w:rPr>
          <w:rFonts w:asciiTheme="majorBidi" w:hAnsiTheme="majorBidi" w:cstheme="majorBidi"/>
        </w:rPr>
        <w:t xml:space="preserve">an </w:t>
      </w:r>
      <w:r w:rsidR="008B5173" w:rsidRPr="00D2758E">
        <w:t>u</w:t>
      </w:r>
      <w:r w:rsidR="00F551E5" w:rsidRPr="00D2758E">
        <w:t>nderstanding</w:t>
      </w:r>
      <w:r w:rsidR="00F551E5" w:rsidRPr="00D2758E">
        <w:rPr>
          <w:rFonts w:asciiTheme="majorBidi" w:hAnsiTheme="majorBidi" w:cstheme="majorBidi"/>
        </w:rPr>
        <w:t xml:space="preserve"> of the system </w:t>
      </w:r>
      <w:r w:rsidR="00917DCD">
        <w:rPr>
          <w:rFonts w:asciiTheme="majorBidi" w:hAnsiTheme="majorBidi" w:cstheme="majorBidi"/>
        </w:rPr>
        <w:t xml:space="preserve">of the </w:t>
      </w:r>
      <w:r w:rsidR="00917DCD" w:rsidRPr="00D2758E">
        <w:rPr>
          <w:rFonts w:asciiTheme="majorBidi" w:hAnsiTheme="majorBidi" w:cstheme="majorBidi"/>
        </w:rPr>
        <w:t xml:space="preserve">Protocol </w:t>
      </w:r>
      <w:r w:rsidR="00F551E5" w:rsidRPr="00D2758E">
        <w:rPr>
          <w:rFonts w:asciiTheme="majorBidi" w:hAnsiTheme="majorBidi" w:cstheme="majorBidi"/>
        </w:rPr>
        <w:t>for monitoring utilization</w:t>
      </w:r>
      <w:r w:rsidR="00FF2EF2">
        <w:rPr>
          <w:rFonts w:asciiTheme="majorBidi" w:hAnsiTheme="majorBidi" w:cstheme="majorBidi"/>
        </w:rPr>
        <w:t xml:space="preserve"> and</w:t>
      </w:r>
      <w:r w:rsidR="00F551E5" w:rsidRPr="00D2758E">
        <w:rPr>
          <w:rFonts w:asciiTheme="majorBidi" w:hAnsiTheme="majorBidi" w:cstheme="majorBidi"/>
        </w:rPr>
        <w:t xml:space="preserve"> in particular </w:t>
      </w:r>
      <w:r w:rsidR="003A19D1">
        <w:rPr>
          <w:rFonts w:asciiTheme="majorBidi" w:hAnsiTheme="majorBidi" w:cstheme="majorBidi"/>
        </w:rPr>
        <w:t xml:space="preserve">an understanding of </w:t>
      </w:r>
      <w:r w:rsidR="00F551E5" w:rsidRPr="00D2758E">
        <w:rPr>
          <w:rFonts w:asciiTheme="majorBidi" w:hAnsiTheme="majorBidi" w:cstheme="majorBidi"/>
        </w:rPr>
        <w:t>the role and function of the checkpoint and the checkpoint communiqu</w:t>
      </w:r>
      <w:r w:rsidR="00655E22">
        <w:rPr>
          <w:rFonts w:asciiTheme="majorBidi" w:hAnsiTheme="majorBidi" w:cstheme="majorBidi"/>
        </w:rPr>
        <w:t>é</w:t>
      </w:r>
      <w:r w:rsidR="00F551E5" w:rsidRPr="00D2758E">
        <w:rPr>
          <w:rFonts w:asciiTheme="majorBidi" w:hAnsiTheme="majorBidi" w:cstheme="majorBidi"/>
        </w:rPr>
        <w:t xml:space="preserve">s within that system. </w:t>
      </w:r>
    </w:p>
    <w:p w14:paraId="1A97D730" w14:textId="45E22512" w:rsidR="00603F94" w:rsidRPr="00D2758E" w:rsidRDefault="00A1328A" w:rsidP="00CD2C50">
      <w:pPr>
        <w:pStyle w:val="CBDNormalNumber"/>
        <w:rPr>
          <w:rFonts w:asciiTheme="majorBidi" w:hAnsiTheme="majorBidi" w:cstheme="majorBidi"/>
        </w:rPr>
      </w:pPr>
      <w:r w:rsidRPr="00D2758E">
        <w:rPr>
          <w:rFonts w:asciiTheme="majorBidi" w:hAnsiTheme="majorBidi" w:cstheme="majorBidi"/>
        </w:rPr>
        <w:t xml:space="preserve">Challenges </w:t>
      </w:r>
      <w:r w:rsidR="006A74E1">
        <w:rPr>
          <w:rFonts w:asciiTheme="majorBidi" w:hAnsiTheme="majorBidi" w:cstheme="majorBidi"/>
        </w:rPr>
        <w:t xml:space="preserve">to Parties </w:t>
      </w:r>
      <w:r w:rsidRPr="00D2758E">
        <w:rPr>
          <w:rFonts w:asciiTheme="majorBidi" w:hAnsiTheme="majorBidi" w:cstheme="majorBidi"/>
        </w:rPr>
        <w:t xml:space="preserve">mentioned </w:t>
      </w:r>
      <w:proofErr w:type="gramStart"/>
      <w:r w:rsidR="00260C5C" w:rsidRPr="00D2758E">
        <w:rPr>
          <w:rFonts w:asciiTheme="majorBidi" w:hAnsiTheme="majorBidi" w:cstheme="majorBidi"/>
        </w:rPr>
        <w:t xml:space="preserve">with regard </w:t>
      </w:r>
      <w:r w:rsidR="00603F94" w:rsidRPr="00D2758E">
        <w:rPr>
          <w:rFonts w:asciiTheme="majorBidi" w:hAnsiTheme="majorBidi" w:cstheme="majorBidi"/>
        </w:rPr>
        <w:t>to</w:t>
      </w:r>
      <w:proofErr w:type="gramEnd"/>
      <w:r w:rsidR="00603F94" w:rsidRPr="00D2758E">
        <w:rPr>
          <w:rFonts w:asciiTheme="majorBidi" w:hAnsiTheme="majorBidi" w:cstheme="majorBidi"/>
        </w:rPr>
        <w:t xml:space="preserve"> implement</w:t>
      </w:r>
      <w:r w:rsidR="00260C5C" w:rsidRPr="00D2758E">
        <w:rPr>
          <w:rFonts w:asciiTheme="majorBidi" w:hAnsiTheme="majorBidi" w:cstheme="majorBidi"/>
        </w:rPr>
        <w:t>ation of</w:t>
      </w:r>
      <w:r w:rsidR="00603F94" w:rsidRPr="00D2758E">
        <w:rPr>
          <w:rFonts w:asciiTheme="majorBidi" w:hAnsiTheme="majorBidi" w:cstheme="majorBidi"/>
        </w:rPr>
        <w:t xml:space="preserve"> Article 15 of the Protocol </w:t>
      </w:r>
      <w:r w:rsidRPr="00D2758E">
        <w:rPr>
          <w:rFonts w:asciiTheme="majorBidi" w:hAnsiTheme="majorBidi" w:cstheme="majorBidi"/>
        </w:rPr>
        <w:t>include</w:t>
      </w:r>
      <w:r w:rsidR="00204C07">
        <w:rPr>
          <w:rFonts w:asciiTheme="majorBidi" w:hAnsiTheme="majorBidi" w:cstheme="majorBidi"/>
        </w:rPr>
        <w:t>d</w:t>
      </w:r>
      <w:r w:rsidRPr="00D2758E">
        <w:rPr>
          <w:rFonts w:asciiTheme="majorBidi" w:hAnsiTheme="majorBidi" w:cstheme="majorBidi"/>
        </w:rPr>
        <w:t xml:space="preserve">: identifying users of </w:t>
      </w:r>
      <w:r w:rsidR="00F80DBF" w:rsidRPr="00D2758E">
        <w:rPr>
          <w:rFonts w:asciiTheme="majorBidi" w:hAnsiTheme="majorBidi" w:cstheme="majorBidi"/>
        </w:rPr>
        <w:t>genetic resources</w:t>
      </w:r>
      <w:r w:rsidRPr="00D2758E">
        <w:rPr>
          <w:rFonts w:asciiTheme="majorBidi" w:hAnsiTheme="majorBidi" w:cstheme="majorBidi"/>
        </w:rPr>
        <w:t xml:space="preserve"> within their jurisdiction; </w:t>
      </w:r>
      <w:r w:rsidR="005B49D1" w:rsidRPr="00D2758E">
        <w:rPr>
          <w:rFonts w:asciiTheme="majorBidi" w:hAnsiTheme="majorBidi" w:cstheme="majorBidi"/>
        </w:rPr>
        <w:t>m</w:t>
      </w:r>
      <w:r w:rsidRPr="00D2758E">
        <w:rPr>
          <w:rFonts w:asciiTheme="majorBidi" w:hAnsiTheme="majorBidi" w:cstheme="majorBidi"/>
        </w:rPr>
        <w:t xml:space="preserve">onitoring compliance of users within their </w:t>
      </w:r>
      <w:r w:rsidRPr="00D2758E">
        <w:t>jurisdiction</w:t>
      </w:r>
      <w:r w:rsidRPr="00D2758E">
        <w:rPr>
          <w:rFonts w:asciiTheme="majorBidi" w:hAnsiTheme="majorBidi" w:cstheme="majorBidi"/>
        </w:rPr>
        <w:t xml:space="preserve"> accessing </w:t>
      </w:r>
      <w:r w:rsidR="00F80DBF" w:rsidRPr="00D2758E">
        <w:rPr>
          <w:rFonts w:asciiTheme="majorBidi" w:hAnsiTheme="majorBidi" w:cstheme="majorBidi"/>
        </w:rPr>
        <w:t xml:space="preserve">genetic resources or associated traditional knowledge </w:t>
      </w:r>
      <w:r w:rsidRPr="00D2758E">
        <w:rPr>
          <w:rFonts w:asciiTheme="majorBidi" w:hAnsiTheme="majorBidi" w:cstheme="majorBidi"/>
        </w:rPr>
        <w:t>from other countries</w:t>
      </w:r>
      <w:r w:rsidR="005B49D1" w:rsidRPr="00D2758E">
        <w:rPr>
          <w:rFonts w:asciiTheme="majorBidi" w:hAnsiTheme="majorBidi" w:cstheme="majorBidi"/>
        </w:rPr>
        <w:t>;</w:t>
      </w:r>
      <w:r w:rsidRPr="00D2758E">
        <w:rPr>
          <w:rFonts w:asciiTheme="majorBidi" w:hAnsiTheme="majorBidi" w:cstheme="majorBidi"/>
        </w:rPr>
        <w:t xml:space="preserve"> limited awareness of users </w:t>
      </w:r>
      <w:r w:rsidR="00204C07">
        <w:rPr>
          <w:rFonts w:asciiTheme="majorBidi" w:hAnsiTheme="majorBidi" w:cstheme="majorBidi"/>
        </w:rPr>
        <w:t>of</w:t>
      </w:r>
      <w:r w:rsidRPr="00D2758E">
        <w:rPr>
          <w:rFonts w:asciiTheme="majorBidi" w:hAnsiTheme="majorBidi" w:cstheme="majorBidi"/>
        </w:rPr>
        <w:t xml:space="preserve"> </w:t>
      </w:r>
      <w:r w:rsidR="00204C07" w:rsidRPr="00204C07">
        <w:rPr>
          <w:rFonts w:asciiTheme="majorBidi" w:hAnsiTheme="majorBidi" w:cstheme="majorBidi"/>
        </w:rPr>
        <w:t xml:space="preserve">access and benefit-sharing </w:t>
      </w:r>
      <w:r w:rsidRPr="00D2758E">
        <w:rPr>
          <w:rFonts w:asciiTheme="majorBidi" w:hAnsiTheme="majorBidi" w:cstheme="majorBidi"/>
        </w:rPr>
        <w:t xml:space="preserve">issues; and the diversity of national </w:t>
      </w:r>
      <w:r w:rsidR="000F78BE" w:rsidRPr="000F78BE">
        <w:rPr>
          <w:rFonts w:asciiTheme="majorBidi" w:hAnsiTheme="majorBidi" w:cstheme="majorBidi"/>
        </w:rPr>
        <w:t xml:space="preserve">access and benefit-sharing </w:t>
      </w:r>
      <w:r w:rsidRPr="00D2758E">
        <w:rPr>
          <w:rFonts w:asciiTheme="majorBidi" w:hAnsiTheme="majorBidi" w:cstheme="majorBidi"/>
        </w:rPr>
        <w:t xml:space="preserve">legal requirements in provider countries. </w:t>
      </w:r>
      <w:r w:rsidR="007773DB">
        <w:rPr>
          <w:rFonts w:asciiTheme="majorBidi" w:hAnsiTheme="majorBidi" w:cstheme="majorBidi"/>
        </w:rPr>
        <w:t xml:space="preserve">Moreover, </w:t>
      </w:r>
      <w:r w:rsidR="004F006B" w:rsidRPr="00D2758E">
        <w:rPr>
          <w:rFonts w:asciiTheme="majorBidi" w:hAnsiTheme="majorBidi" w:cstheme="majorBidi"/>
        </w:rPr>
        <w:t xml:space="preserve">competing national priorities, the limited visibility of benefits and high </w:t>
      </w:r>
      <w:r w:rsidR="005B448D" w:rsidRPr="00D2758E">
        <w:rPr>
          <w:rFonts w:asciiTheme="majorBidi" w:hAnsiTheme="majorBidi" w:cstheme="majorBidi"/>
        </w:rPr>
        <w:t xml:space="preserve">staff </w:t>
      </w:r>
      <w:r w:rsidR="004F006B" w:rsidRPr="00D2758E">
        <w:rPr>
          <w:rFonts w:asciiTheme="majorBidi" w:hAnsiTheme="majorBidi" w:cstheme="majorBidi"/>
        </w:rPr>
        <w:t>turnover are common challenges for countries implement</w:t>
      </w:r>
      <w:r w:rsidR="004C6B2B">
        <w:rPr>
          <w:rFonts w:asciiTheme="majorBidi" w:hAnsiTheme="majorBidi" w:cstheme="majorBidi"/>
        </w:rPr>
        <w:t>ing</w:t>
      </w:r>
      <w:r w:rsidR="004F006B" w:rsidRPr="00D2758E">
        <w:rPr>
          <w:rFonts w:asciiTheme="majorBidi" w:hAnsiTheme="majorBidi" w:cstheme="majorBidi"/>
        </w:rPr>
        <w:t xml:space="preserve"> compliance measures.  </w:t>
      </w:r>
    </w:p>
    <w:p w14:paraId="7BC21D60" w14:textId="18601415" w:rsidR="005B4E66" w:rsidRPr="00D2758E" w:rsidRDefault="00C26F00" w:rsidP="00CD2C50">
      <w:pPr>
        <w:pStyle w:val="CBDNormalNumber"/>
        <w:rPr>
          <w:rFonts w:asciiTheme="majorBidi" w:hAnsiTheme="majorBidi" w:cstheme="majorBidi"/>
        </w:rPr>
      </w:pPr>
      <w:r w:rsidRPr="00D2758E">
        <w:rPr>
          <w:rFonts w:asciiTheme="majorBidi" w:hAnsiTheme="majorBidi" w:cstheme="majorBidi"/>
        </w:rPr>
        <w:t>Digital systems, tools and databases can contribute to improving communication, reducing administrative burdens and enhancing transparency and efficiencies.</w:t>
      </w:r>
      <w:r w:rsidR="005B2473" w:rsidRPr="00D2758E">
        <w:rPr>
          <w:rFonts w:asciiTheme="majorBidi" w:hAnsiTheme="majorBidi" w:cstheme="majorBidi"/>
        </w:rPr>
        <w:t xml:space="preserve"> Online systems </w:t>
      </w:r>
      <w:r w:rsidR="00EF54BF" w:rsidRPr="00D2758E">
        <w:rPr>
          <w:rFonts w:asciiTheme="majorBidi" w:hAnsiTheme="majorBidi" w:cstheme="majorBidi"/>
        </w:rPr>
        <w:t xml:space="preserve">collecting information from checkpoints </w:t>
      </w:r>
      <w:r w:rsidR="00EF54BF">
        <w:rPr>
          <w:rFonts w:asciiTheme="majorBidi" w:hAnsiTheme="majorBidi" w:cstheme="majorBidi"/>
        </w:rPr>
        <w:t xml:space="preserve">that are </w:t>
      </w:r>
      <w:r w:rsidR="0021216C" w:rsidRPr="00D2758E">
        <w:rPr>
          <w:rFonts w:asciiTheme="majorBidi" w:hAnsiTheme="majorBidi" w:cstheme="majorBidi"/>
        </w:rPr>
        <w:t xml:space="preserve">connected to the </w:t>
      </w:r>
      <w:proofErr w:type="gramStart"/>
      <w:r w:rsidR="0021216C" w:rsidRPr="00D2758E">
        <w:rPr>
          <w:rFonts w:asciiTheme="majorBidi" w:hAnsiTheme="majorBidi" w:cstheme="majorBidi"/>
        </w:rPr>
        <w:t>Clearing-House</w:t>
      </w:r>
      <w:proofErr w:type="gramEnd"/>
      <w:r w:rsidR="00A56D9A">
        <w:rPr>
          <w:rFonts w:asciiTheme="majorBidi" w:hAnsiTheme="majorBidi" w:cstheme="majorBidi"/>
        </w:rPr>
        <w:t>,</w:t>
      </w:r>
      <w:r w:rsidR="0021216C" w:rsidRPr="00D2758E">
        <w:rPr>
          <w:rFonts w:asciiTheme="majorBidi" w:hAnsiTheme="majorBidi" w:cstheme="majorBidi"/>
        </w:rPr>
        <w:t xml:space="preserve"> </w:t>
      </w:r>
      <w:r w:rsidR="00A56D9A">
        <w:rPr>
          <w:rFonts w:asciiTheme="majorBidi" w:hAnsiTheme="majorBidi" w:cstheme="majorBidi"/>
        </w:rPr>
        <w:t xml:space="preserve">so </w:t>
      </w:r>
      <w:r w:rsidR="00E53FEA">
        <w:rPr>
          <w:rFonts w:asciiTheme="majorBidi" w:hAnsiTheme="majorBidi" w:cstheme="majorBidi"/>
        </w:rPr>
        <w:t xml:space="preserve">that </w:t>
      </w:r>
      <w:r w:rsidR="00924DC2" w:rsidRPr="00D2758E">
        <w:rPr>
          <w:rFonts w:asciiTheme="majorBidi" w:hAnsiTheme="majorBidi" w:cstheme="majorBidi"/>
        </w:rPr>
        <w:t>checkpoint communiqu</w:t>
      </w:r>
      <w:r w:rsidR="00175B00" w:rsidRPr="00D2758E">
        <w:rPr>
          <w:rFonts w:asciiTheme="majorBidi" w:hAnsiTheme="majorBidi" w:cstheme="majorBidi"/>
        </w:rPr>
        <w:t>é</w:t>
      </w:r>
      <w:r w:rsidR="00924DC2" w:rsidRPr="00D2758E">
        <w:rPr>
          <w:rFonts w:asciiTheme="majorBidi" w:hAnsiTheme="majorBidi" w:cstheme="majorBidi"/>
        </w:rPr>
        <w:t xml:space="preserve">s </w:t>
      </w:r>
      <w:r w:rsidR="00A56D9A">
        <w:rPr>
          <w:rFonts w:asciiTheme="majorBidi" w:hAnsiTheme="majorBidi" w:cstheme="majorBidi"/>
        </w:rPr>
        <w:t>c</w:t>
      </w:r>
      <w:r w:rsidR="004A143B">
        <w:rPr>
          <w:rFonts w:asciiTheme="majorBidi" w:hAnsiTheme="majorBidi" w:cstheme="majorBidi"/>
        </w:rPr>
        <w:t>a</w:t>
      </w:r>
      <w:r w:rsidR="00A56D9A">
        <w:rPr>
          <w:rFonts w:asciiTheme="majorBidi" w:hAnsiTheme="majorBidi" w:cstheme="majorBidi"/>
        </w:rPr>
        <w:t xml:space="preserve">n be </w:t>
      </w:r>
      <w:r w:rsidR="00464781" w:rsidRPr="00D2758E">
        <w:rPr>
          <w:rFonts w:asciiTheme="majorBidi" w:hAnsiTheme="majorBidi" w:cstheme="majorBidi"/>
        </w:rPr>
        <w:t>published automatically</w:t>
      </w:r>
      <w:r w:rsidR="004A143B">
        <w:rPr>
          <w:rFonts w:asciiTheme="majorBidi" w:hAnsiTheme="majorBidi" w:cstheme="majorBidi"/>
        </w:rPr>
        <w:t>,</w:t>
      </w:r>
      <w:r w:rsidR="00DB369B" w:rsidRPr="00D2758E">
        <w:rPr>
          <w:rFonts w:asciiTheme="majorBidi" w:hAnsiTheme="majorBidi" w:cstheme="majorBidi"/>
        </w:rPr>
        <w:t xml:space="preserve"> </w:t>
      </w:r>
      <w:r w:rsidR="00BA4517" w:rsidRPr="00D2758E">
        <w:rPr>
          <w:rFonts w:asciiTheme="majorBidi" w:hAnsiTheme="majorBidi" w:cstheme="majorBidi"/>
        </w:rPr>
        <w:t xml:space="preserve">could </w:t>
      </w:r>
      <w:r w:rsidR="00DB369B" w:rsidRPr="00D2758E">
        <w:rPr>
          <w:rFonts w:asciiTheme="majorBidi" w:hAnsiTheme="majorBidi" w:cstheme="majorBidi"/>
        </w:rPr>
        <w:t>facilitate</w:t>
      </w:r>
      <w:r w:rsidR="00EF4055" w:rsidRPr="00D2758E">
        <w:rPr>
          <w:rFonts w:asciiTheme="majorBidi" w:hAnsiTheme="majorBidi" w:cstheme="majorBidi"/>
        </w:rPr>
        <w:t xml:space="preserve"> the monitoring process and operationalization of checkpoints. </w:t>
      </w:r>
      <w:r w:rsidR="004A143B">
        <w:rPr>
          <w:rFonts w:asciiTheme="majorBidi" w:hAnsiTheme="majorBidi" w:cstheme="majorBidi"/>
        </w:rPr>
        <w:t>I</w:t>
      </w:r>
      <w:r w:rsidR="004A143B" w:rsidRPr="00D2758E">
        <w:rPr>
          <w:rFonts w:asciiTheme="majorBidi" w:hAnsiTheme="majorBidi" w:cstheme="majorBidi"/>
        </w:rPr>
        <w:t>t was noted</w:t>
      </w:r>
      <w:r w:rsidR="004A143B">
        <w:rPr>
          <w:rFonts w:asciiTheme="majorBidi" w:hAnsiTheme="majorBidi" w:cstheme="majorBidi"/>
        </w:rPr>
        <w:t>, h</w:t>
      </w:r>
      <w:r w:rsidRPr="00D2758E">
        <w:rPr>
          <w:rFonts w:asciiTheme="majorBidi" w:hAnsiTheme="majorBidi" w:cstheme="majorBidi"/>
        </w:rPr>
        <w:t xml:space="preserve">owever, that financing of digital tools often relies on short-term </w:t>
      </w:r>
      <w:r w:rsidRPr="00D2758E">
        <w:t>projects</w:t>
      </w:r>
      <w:r w:rsidRPr="00D2758E">
        <w:rPr>
          <w:rFonts w:asciiTheme="majorBidi" w:hAnsiTheme="majorBidi" w:cstheme="majorBidi"/>
        </w:rPr>
        <w:t xml:space="preserve"> and that </w:t>
      </w:r>
      <w:r w:rsidR="00EB61B3">
        <w:rPr>
          <w:rFonts w:asciiTheme="majorBidi" w:hAnsiTheme="majorBidi" w:cstheme="majorBidi"/>
        </w:rPr>
        <w:t>such tools</w:t>
      </w:r>
      <w:r w:rsidRPr="00D2758E">
        <w:rPr>
          <w:rFonts w:asciiTheme="majorBidi" w:hAnsiTheme="majorBidi" w:cstheme="majorBidi"/>
        </w:rPr>
        <w:t xml:space="preserve"> require continuous maintenance and further development, which poses a significant challenge for countries with limited financial and human resources or with less </w:t>
      </w:r>
      <w:r w:rsidR="004A143B">
        <w:rPr>
          <w:rFonts w:asciiTheme="majorBidi" w:hAnsiTheme="majorBidi" w:cstheme="majorBidi"/>
        </w:rPr>
        <w:t xml:space="preserve">developed </w:t>
      </w:r>
      <w:r w:rsidRPr="00D2758E">
        <w:rPr>
          <w:rFonts w:asciiTheme="majorBidi" w:hAnsiTheme="majorBidi" w:cstheme="majorBidi"/>
        </w:rPr>
        <w:t>technical capacities. For th</w:t>
      </w:r>
      <w:r w:rsidR="00C22733">
        <w:rPr>
          <w:rFonts w:asciiTheme="majorBidi" w:hAnsiTheme="majorBidi" w:cstheme="majorBidi"/>
        </w:rPr>
        <w:t>o</w:t>
      </w:r>
      <w:r w:rsidRPr="00D2758E">
        <w:rPr>
          <w:rFonts w:asciiTheme="majorBidi" w:hAnsiTheme="majorBidi" w:cstheme="majorBidi"/>
        </w:rPr>
        <w:t xml:space="preserve">se types of initiatives, projects should include plans for their long-term sustainability. </w:t>
      </w:r>
    </w:p>
    <w:p w14:paraId="11FA4F3F" w14:textId="1E58E773" w:rsidR="00E04480" w:rsidRPr="00D2758E" w:rsidRDefault="00E04480" w:rsidP="00CD2C50">
      <w:pPr>
        <w:pStyle w:val="CBDNormalNumber"/>
        <w:rPr>
          <w:rFonts w:asciiTheme="majorBidi" w:hAnsiTheme="majorBidi" w:cstheme="majorBidi"/>
        </w:rPr>
      </w:pPr>
      <w:r w:rsidRPr="00D2758E">
        <w:rPr>
          <w:rFonts w:asciiTheme="majorBidi" w:hAnsiTheme="majorBidi" w:cstheme="majorBidi"/>
        </w:rPr>
        <w:t xml:space="preserve">To ensure </w:t>
      </w:r>
      <w:r w:rsidRPr="00D2758E">
        <w:t>compliance</w:t>
      </w:r>
      <w:r w:rsidRPr="00D2758E">
        <w:rPr>
          <w:rFonts w:asciiTheme="majorBidi" w:hAnsiTheme="majorBidi" w:cstheme="majorBidi"/>
        </w:rPr>
        <w:t xml:space="preserve"> with </w:t>
      </w:r>
      <w:r w:rsidR="004A143B">
        <w:rPr>
          <w:rFonts w:asciiTheme="majorBidi" w:hAnsiTheme="majorBidi" w:cstheme="majorBidi"/>
        </w:rPr>
        <w:t>a</w:t>
      </w:r>
      <w:r w:rsidR="004A143B" w:rsidRPr="004A143B">
        <w:rPr>
          <w:rFonts w:asciiTheme="majorBidi" w:hAnsiTheme="majorBidi" w:cstheme="majorBidi"/>
        </w:rPr>
        <w:t xml:space="preserve">ccess and </w:t>
      </w:r>
      <w:r w:rsidR="004A143B">
        <w:rPr>
          <w:rFonts w:asciiTheme="majorBidi" w:hAnsiTheme="majorBidi" w:cstheme="majorBidi"/>
        </w:rPr>
        <w:t>b</w:t>
      </w:r>
      <w:r w:rsidR="004A143B" w:rsidRPr="004A143B">
        <w:rPr>
          <w:rFonts w:asciiTheme="majorBidi" w:hAnsiTheme="majorBidi" w:cstheme="majorBidi"/>
        </w:rPr>
        <w:t xml:space="preserve">enefit-sharing </w:t>
      </w:r>
      <w:r w:rsidRPr="00D2758E">
        <w:rPr>
          <w:rFonts w:asciiTheme="majorBidi" w:hAnsiTheme="majorBidi" w:cstheme="majorBidi"/>
        </w:rPr>
        <w:t xml:space="preserve">measures, </w:t>
      </w:r>
      <w:r w:rsidR="00511353" w:rsidRPr="00D2758E">
        <w:rPr>
          <w:rFonts w:asciiTheme="majorBidi" w:hAnsiTheme="majorBidi" w:cstheme="majorBidi"/>
        </w:rPr>
        <w:t xml:space="preserve">further </w:t>
      </w:r>
      <w:r w:rsidRPr="00D2758E">
        <w:rPr>
          <w:rFonts w:asciiTheme="majorBidi" w:hAnsiTheme="majorBidi" w:cstheme="majorBidi"/>
        </w:rPr>
        <w:t xml:space="preserve">efforts are needed to raise awareness </w:t>
      </w:r>
      <w:r w:rsidR="00511353" w:rsidRPr="00D2758E">
        <w:rPr>
          <w:rFonts w:asciiTheme="majorBidi" w:hAnsiTheme="majorBidi" w:cstheme="majorBidi"/>
        </w:rPr>
        <w:t>among</w:t>
      </w:r>
      <w:r w:rsidRPr="00D2758E">
        <w:rPr>
          <w:rFonts w:asciiTheme="majorBidi" w:hAnsiTheme="majorBidi" w:cstheme="majorBidi"/>
        </w:rPr>
        <w:t xml:space="preserve"> users </w:t>
      </w:r>
      <w:r w:rsidR="00511353" w:rsidRPr="00D2758E">
        <w:rPr>
          <w:rFonts w:asciiTheme="majorBidi" w:hAnsiTheme="majorBidi" w:cstheme="majorBidi"/>
        </w:rPr>
        <w:t xml:space="preserve">in </w:t>
      </w:r>
      <w:r w:rsidRPr="00D2758E">
        <w:rPr>
          <w:rFonts w:asciiTheme="majorBidi" w:hAnsiTheme="majorBidi" w:cstheme="majorBidi"/>
        </w:rPr>
        <w:t>the scientific</w:t>
      </w:r>
      <w:r w:rsidR="000F29BD" w:rsidRPr="00D2758E">
        <w:rPr>
          <w:rFonts w:asciiTheme="majorBidi" w:hAnsiTheme="majorBidi" w:cstheme="majorBidi"/>
        </w:rPr>
        <w:t xml:space="preserve"> and business community, including </w:t>
      </w:r>
      <w:r w:rsidR="00E02261" w:rsidRPr="00D2758E">
        <w:rPr>
          <w:rFonts w:asciiTheme="majorBidi" w:hAnsiTheme="majorBidi" w:cstheme="majorBidi"/>
        </w:rPr>
        <w:t xml:space="preserve">across </w:t>
      </w:r>
      <w:r w:rsidR="000F29BD" w:rsidRPr="00D2758E">
        <w:rPr>
          <w:rFonts w:asciiTheme="majorBidi" w:hAnsiTheme="majorBidi" w:cstheme="majorBidi"/>
        </w:rPr>
        <w:t xml:space="preserve">the </w:t>
      </w:r>
      <w:r w:rsidR="00C22733" w:rsidRPr="00C22733">
        <w:rPr>
          <w:rFonts w:asciiTheme="majorBidi" w:hAnsiTheme="majorBidi" w:cstheme="majorBidi"/>
        </w:rPr>
        <w:t xml:space="preserve">access and benefit-sharing </w:t>
      </w:r>
      <w:r w:rsidR="000F29BD" w:rsidRPr="00D2758E">
        <w:rPr>
          <w:rFonts w:asciiTheme="majorBidi" w:hAnsiTheme="majorBidi" w:cstheme="majorBidi"/>
        </w:rPr>
        <w:t>value chain</w:t>
      </w:r>
      <w:r w:rsidR="00E02261" w:rsidRPr="00D2758E">
        <w:rPr>
          <w:rFonts w:asciiTheme="majorBidi" w:hAnsiTheme="majorBidi" w:cstheme="majorBidi"/>
        </w:rPr>
        <w:t>.</w:t>
      </w:r>
    </w:p>
    <w:p w14:paraId="5F04E2A0" w14:textId="698C2EDC" w:rsidR="005B4E66" w:rsidRPr="00D2758E" w:rsidRDefault="005B4E66" w:rsidP="00CD2C50">
      <w:pPr>
        <w:pStyle w:val="CBDNormalNumber"/>
        <w:rPr>
          <w:rFonts w:asciiTheme="majorBidi" w:hAnsiTheme="majorBidi" w:cstheme="majorBidi"/>
        </w:rPr>
      </w:pPr>
      <w:r w:rsidRPr="00D2758E">
        <w:rPr>
          <w:rFonts w:asciiTheme="majorBidi" w:hAnsiTheme="majorBidi" w:cstheme="majorBidi"/>
        </w:rPr>
        <w:t>Suggest</w:t>
      </w:r>
      <w:r w:rsidR="00C833FD">
        <w:rPr>
          <w:rFonts w:asciiTheme="majorBidi" w:hAnsiTheme="majorBidi" w:cstheme="majorBidi"/>
        </w:rPr>
        <w:t xml:space="preserve">ed actions </w:t>
      </w:r>
      <w:r w:rsidR="00687BBE">
        <w:rPr>
          <w:rFonts w:asciiTheme="majorBidi" w:hAnsiTheme="majorBidi" w:cstheme="majorBidi"/>
        </w:rPr>
        <w:t xml:space="preserve">that </w:t>
      </w:r>
      <w:r w:rsidR="00D55C3C" w:rsidRPr="00D2758E">
        <w:rPr>
          <w:rFonts w:asciiTheme="majorBidi" w:hAnsiTheme="majorBidi" w:cstheme="majorBidi"/>
        </w:rPr>
        <w:t xml:space="preserve">should be encouraged </w:t>
      </w:r>
      <w:r w:rsidR="00A62173">
        <w:rPr>
          <w:rFonts w:asciiTheme="majorBidi" w:hAnsiTheme="majorBidi" w:cstheme="majorBidi"/>
        </w:rPr>
        <w:t xml:space="preserve">with respect </w:t>
      </w:r>
      <w:r w:rsidRPr="00D2758E">
        <w:rPr>
          <w:rFonts w:asciiTheme="majorBidi" w:hAnsiTheme="majorBidi" w:cstheme="majorBidi"/>
        </w:rPr>
        <w:t>to support</w:t>
      </w:r>
      <w:r w:rsidR="00A62173">
        <w:rPr>
          <w:rFonts w:asciiTheme="majorBidi" w:hAnsiTheme="majorBidi" w:cstheme="majorBidi"/>
        </w:rPr>
        <w:t>ing</w:t>
      </w:r>
      <w:r w:rsidRPr="00D2758E">
        <w:rPr>
          <w:rFonts w:asciiTheme="majorBidi" w:hAnsiTheme="majorBidi" w:cstheme="majorBidi"/>
        </w:rPr>
        <w:t xml:space="preserve"> </w:t>
      </w:r>
      <w:r w:rsidR="00262F26" w:rsidRPr="00D2758E">
        <w:rPr>
          <w:rFonts w:asciiTheme="majorBidi" w:hAnsiTheme="majorBidi" w:cstheme="majorBidi"/>
        </w:rPr>
        <w:t>users</w:t>
      </w:r>
      <w:r w:rsidR="0086506D">
        <w:rPr>
          <w:rFonts w:asciiTheme="majorBidi" w:hAnsiTheme="majorBidi" w:cstheme="majorBidi"/>
        </w:rPr>
        <w:t>’</w:t>
      </w:r>
      <w:r w:rsidR="00262F26" w:rsidRPr="00D2758E">
        <w:rPr>
          <w:rFonts w:asciiTheme="majorBidi" w:hAnsiTheme="majorBidi" w:cstheme="majorBidi"/>
        </w:rPr>
        <w:t xml:space="preserve"> </w:t>
      </w:r>
      <w:r w:rsidR="00A62173" w:rsidRPr="00A62173">
        <w:rPr>
          <w:rFonts w:asciiTheme="majorBidi" w:hAnsiTheme="majorBidi" w:cstheme="majorBidi"/>
        </w:rPr>
        <w:t xml:space="preserve">access and benefit-sharing </w:t>
      </w:r>
      <w:r w:rsidRPr="00D2758E">
        <w:rPr>
          <w:rFonts w:asciiTheme="majorBidi" w:hAnsiTheme="majorBidi" w:cstheme="majorBidi"/>
        </w:rPr>
        <w:t>compliance included</w:t>
      </w:r>
      <w:r w:rsidR="008B7CFC" w:rsidRPr="00D2758E">
        <w:rPr>
          <w:rFonts w:asciiTheme="majorBidi" w:hAnsiTheme="majorBidi" w:cstheme="majorBidi"/>
        </w:rPr>
        <w:t>:</w:t>
      </w:r>
      <w:r w:rsidRPr="00D2758E">
        <w:rPr>
          <w:rFonts w:asciiTheme="majorBidi" w:hAnsiTheme="majorBidi" w:cstheme="majorBidi"/>
        </w:rPr>
        <w:t xml:space="preserve"> institutional support and capacity-building; improved international coordination and interoperability between national systems</w:t>
      </w:r>
      <w:r w:rsidR="00B566AA" w:rsidRPr="00D2758E">
        <w:rPr>
          <w:rFonts w:asciiTheme="majorBidi" w:hAnsiTheme="majorBidi" w:cstheme="majorBidi"/>
        </w:rPr>
        <w:t xml:space="preserve">, </w:t>
      </w:r>
      <w:r w:rsidR="00ED0BE8" w:rsidRPr="00D2758E">
        <w:rPr>
          <w:rFonts w:asciiTheme="majorBidi" w:hAnsiTheme="majorBidi" w:cstheme="majorBidi"/>
        </w:rPr>
        <w:t xml:space="preserve">including clearer links </w:t>
      </w:r>
      <w:r w:rsidR="00ED0BE8" w:rsidRPr="00D2758E">
        <w:rPr>
          <w:rFonts w:asciiTheme="majorBidi" w:hAnsiTheme="majorBidi" w:cstheme="majorBidi"/>
        </w:rPr>
        <w:lastRenderedPageBreak/>
        <w:t>between checkpoints in the user country and competent authorities in provider countries</w:t>
      </w:r>
      <w:r w:rsidR="00B566AA" w:rsidRPr="00D2758E">
        <w:rPr>
          <w:rFonts w:asciiTheme="majorBidi" w:hAnsiTheme="majorBidi" w:cstheme="majorBidi"/>
        </w:rPr>
        <w:t>;</w:t>
      </w:r>
      <w:r w:rsidR="00ED0BE8" w:rsidRPr="00D2758E">
        <w:rPr>
          <w:rFonts w:asciiTheme="majorBidi" w:hAnsiTheme="majorBidi" w:cstheme="majorBidi"/>
        </w:rPr>
        <w:t xml:space="preserve"> </w:t>
      </w:r>
      <w:r w:rsidR="002B3297" w:rsidRPr="00D2758E">
        <w:rPr>
          <w:rFonts w:asciiTheme="majorBidi" w:hAnsiTheme="majorBidi" w:cstheme="majorBidi"/>
        </w:rPr>
        <w:t>exchange of knowledge and experiences, promot</w:t>
      </w:r>
      <w:r w:rsidR="009B5ABA" w:rsidRPr="00D2758E">
        <w:rPr>
          <w:rFonts w:asciiTheme="majorBidi" w:hAnsiTheme="majorBidi" w:cstheme="majorBidi"/>
        </w:rPr>
        <w:t>ing</w:t>
      </w:r>
      <w:r w:rsidR="002B3297" w:rsidRPr="00D2758E">
        <w:rPr>
          <w:rFonts w:asciiTheme="majorBidi" w:hAnsiTheme="majorBidi" w:cstheme="majorBidi"/>
        </w:rPr>
        <w:t xml:space="preserve"> best practices and facilitat</w:t>
      </w:r>
      <w:r w:rsidR="009B5ABA" w:rsidRPr="00D2758E">
        <w:rPr>
          <w:rFonts w:asciiTheme="majorBidi" w:hAnsiTheme="majorBidi" w:cstheme="majorBidi"/>
        </w:rPr>
        <w:t>ing</w:t>
      </w:r>
      <w:r w:rsidR="002B3297" w:rsidRPr="00D2758E">
        <w:rPr>
          <w:rFonts w:asciiTheme="majorBidi" w:hAnsiTheme="majorBidi" w:cstheme="majorBidi"/>
        </w:rPr>
        <w:t xml:space="preserve"> communication with competent national authorities through new mechanisms or additional tools, such as a knowledge-sharing platform</w:t>
      </w:r>
      <w:r w:rsidR="00B566AA" w:rsidRPr="00D2758E">
        <w:rPr>
          <w:rFonts w:asciiTheme="majorBidi" w:hAnsiTheme="majorBidi" w:cstheme="majorBidi"/>
        </w:rPr>
        <w:t xml:space="preserve">; </w:t>
      </w:r>
      <w:r w:rsidR="006E057C">
        <w:rPr>
          <w:rFonts w:asciiTheme="majorBidi" w:hAnsiTheme="majorBidi" w:cstheme="majorBidi"/>
        </w:rPr>
        <w:t xml:space="preserve">and </w:t>
      </w:r>
      <w:r w:rsidR="00D12F5B">
        <w:rPr>
          <w:rFonts w:asciiTheme="majorBidi" w:hAnsiTheme="majorBidi" w:cstheme="majorBidi"/>
        </w:rPr>
        <w:t xml:space="preserve">a </w:t>
      </w:r>
      <w:r w:rsidR="002B3297" w:rsidRPr="00D2758E">
        <w:rPr>
          <w:rFonts w:asciiTheme="majorBidi" w:hAnsiTheme="majorBidi" w:cstheme="majorBidi"/>
        </w:rPr>
        <w:t xml:space="preserve">more structured collaboration between </w:t>
      </w:r>
      <w:r w:rsidR="008273D1" w:rsidRPr="00D2758E">
        <w:rPr>
          <w:rFonts w:asciiTheme="majorBidi" w:hAnsiTheme="majorBidi" w:cstheme="majorBidi"/>
        </w:rPr>
        <w:t xml:space="preserve">national focal points </w:t>
      </w:r>
      <w:r w:rsidR="002B3297" w:rsidRPr="00D2758E">
        <w:rPr>
          <w:rFonts w:asciiTheme="majorBidi" w:hAnsiTheme="majorBidi" w:cstheme="majorBidi"/>
        </w:rPr>
        <w:t xml:space="preserve">and/or </w:t>
      </w:r>
      <w:r w:rsidR="008273D1" w:rsidRPr="00D2758E">
        <w:rPr>
          <w:rFonts w:asciiTheme="majorBidi" w:hAnsiTheme="majorBidi" w:cstheme="majorBidi"/>
        </w:rPr>
        <w:t>c</w:t>
      </w:r>
      <w:r w:rsidR="00A32EA1" w:rsidRPr="00D2758E">
        <w:rPr>
          <w:rFonts w:asciiTheme="majorBidi" w:hAnsiTheme="majorBidi" w:cstheme="majorBidi"/>
        </w:rPr>
        <w:t>ompetent national authorities</w:t>
      </w:r>
      <w:r w:rsidR="002B3297" w:rsidRPr="00D2758E">
        <w:rPr>
          <w:rFonts w:asciiTheme="majorBidi" w:hAnsiTheme="majorBidi" w:cstheme="majorBidi"/>
        </w:rPr>
        <w:t xml:space="preserve"> from provider and user countries.</w:t>
      </w:r>
      <w:r w:rsidR="00B566AA" w:rsidRPr="00D2758E">
        <w:rPr>
          <w:rStyle w:val="FootnoteReference"/>
          <w:rFonts w:asciiTheme="majorBidi" w:hAnsiTheme="majorBidi" w:cstheme="majorBidi"/>
        </w:rPr>
        <w:footnoteReference w:id="36"/>
      </w:r>
    </w:p>
    <w:p w14:paraId="1F0A2D1A" w14:textId="7831261E" w:rsidR="00001BBA" w:rsidRPr="00D2758E" w:rsidRDefault="000F29BD" w:rsidP="00CD2C50">
      <w:pPr>
        <w:pStyle w:val="CBDNormalNumber"/>
        <w:rPr>
          <w:rFonts w:asciiTheme="majorBidi" w:hAnsiTheme="majorBidi" w:cstheme="majorBidi"/>
        </w:rPr>
      </w:pPr>
      <w:r w:rsidRPr="00D2758E">
        <w:rPr>
          <w:rFonts w:asciiTheme="majorBidi" w:hAnsiTheme="majorBidi" w:cstheme="majorBidi"/>
        </w:rPr>
        <w:t xml:space="preserve">Lessons learned by those countries </w:t>
      </w:r>
      <w:r w:rsidR="007B4D47">
        <w:rPr>
          <w:rFonts w:asciiTheme="majorBidi" w:hAnsiTheme="majorBidi" w:cstheme="majorBidi"/>
        </w:rPr>
        <w:t xml:space="preserve">that were </w:t>
      </w:r>
      <w:r w:rsidRPr="00D2758E">
        <w:rPr>
          <w:rFonts w:asciiTheme="majorBidi" w:hAnsiTheme="majorBidi" w:cstheme="majorBidi"/>
        </w:rPr>
        <w:t>most advanced in implementing compliance measures</w:t>
      </w:r>
      <w:r w:rsidR="007A16EC" w:rsidRPr="00D2758E">
        <w:rPr>
          <w:rFonts w:asciiTheme="majorBidi" w:hAnsiTheme="majorBidi" w:cstheme="majorBidi"/>
        </w:rPr>
        <w:t xml:space="preserve"> </w:t>
      </w:r>
      <w:r w:rsidRPr="00D2758E">
        <w:rPr>
          <w:rFonts w:asciiTheme="majorBidi" w:hAnsiTheme="majorBidi" w:cstheme="majorBidi"/>
        </w:rPr>
        <w:t>w</w:t>
      </w:r>
      <w:r w:rsidR="007B4D47">
        <w:rPr>
          <w:rFonts w:asciiTheme="majorBidi" w:hAnsiTheme="majorBidi" w:cstheme="majorBidi"/>
        </w:rPr>
        <w:t xml:space="preserve">ould </w:t>
      </w:r>
      <w:r w:rsidRPr="00D2758E">
        <w:rPr>
          <w:rFonts w:asciiTheme="majorBidi" w:hAnsiTheme="majorBidi" w:cstheme="majorBidi"/>
        </w:rPr>
        <w:t xml:space="preserve">be useful </w:t>
      </w:r>
      <w:r w:rsidR="007B4D47">
        <w:rPr>
          <w:rFonts w:asciiTheme="majorBidi" w:hAnsiTheme="majorBidi" w:cstheme="majorBidi"/>
        </w:rPr>
        <w:t xml:space="preserve">in the context of </w:t>
      </w:r>
      <w:r w:rsidRPr="00D2758E">
        <w:rPr>
          <w:rFonts w:asciiTheme="majorBidi" w:hAnsiTheme="majorBidi" w:cstheme="majorBidi"/>
        </w:rPr>
        <w:t>support</w:t>
      </w:r>
      <w:r w:rsidR="007B4D47">
        <w:rPr>
          <w:rFonts w:asciiTheme="majorBidi" w:hAnsiTheme="majorBidi" w:cstheme="majorBidi"/>
        </w:rPr>
        <w:t>ing</w:t>
      </w:r>
      <w:r w:rsidRPr="00D2758E">
        <w:rPr>
          <w:rFonts w:asciiTheme="majorBidi" w:hAnsiTheme="majorBidi" w:cstheme="majorBidi"/>
        </w:rPr>
        <w:t xml:space="preserve"> developments in other countries.</w:t>
      </w:r>
    </w:p>
    <w:p w14:paraId="5085098C" w14:textId="7C732CA2" w:rsidR="00455F03" w:rsidRPr="00D2758E" w:rsidRDefault="00694B61" w:rsidP="00694B61">
      <w:pPr>
        <w:pStyle w:val="CBDH3"/>
      </w:pPr>
      <w:r>
        <w:t>6.</w:t>
      </w:r>
      <w:r>
        <w:tab/>
      </w:r>
      <w:r w:rsidR="00455F03" w:rsidRPr="00D2758E">
        <w:t>Measures addressing special considerations (Article 8)</w:t>
      </w:r>
      <w:r w:rsidR="002507E0" w:rsidRPr="00D2758E">
        <w:rPr>
          <w:rStyle w:val="FootnoteReference"/>
        </w:rPr>
        <w:footnoteReference w:id="37"/>
      </w:r>
      <w:r w:rsidR="00455F03" w:rsidRPr="00D2758E">
        <w:t xml:space="preserve"> </w:t>
      </w:r>
    </w:p>
    <w:p w14:paraId="2EDDC85D" w14:textId="476C243C" w:rsidR="004A5572" w:rsidRPr="00D2758E" w:rsidRDefault="00694B61" w:rsidP="00694B61">
      <w:pPr>
        <w:pStyle w:val="CBDH4"/>
      </w:pPr>
      <w:r>
        <w:t>(a)</w:t>
      </w:r>
      <w:r>
        <w:tab/>
      </w:r>
      <w:r w:rsidR="004A5572" w:rsidRPr="00D2758E">
        <w:t xml:space="preserve">Progress made in implementation and updated indicator data </w:t>
      </w:r>
    </w:p>
    <w:p w14:paraId="0B767C04" w14:textId="13E72120" w:rsidR="007627A5" w:rsidRPr="00D2758E" w:rsidRDefault="00B81BA0" w:rsidP="00CD2C50">
      <w:pPr>
        <w:pStyle w:val="CBDNormalNumber"/>
        <w:rPr>
          <w:rFonts w:asciiTheme="majorBidi" w:hAnsiTheme="majorBidi" w:cstheme="majorBidi"/>
        </w:rPr>
      </w:pPr>
      <w:r>
        <w:rPr>
          <w:rFonts w:asciiTheme="majorBidi" w:hAnsiTheme="majorBidi" w:cstheme="majorBidi"/>
        </w:rPr>
        <w:t>B</w:t>
      </w:r>
      <w:r w:rsidRPr="00D2758E">
        <w:rPr>
          <w:rFonts w:asciiTheme="majorBidi" w:hAnsiTheme="majorBidi" w:cstheme="majorBidi"/>
        </w:rPr>
        <w:t xml:space="preserve">ecause of the overall progress made in adopting and implementing </w:t>
      </w:r>
      <w:r w:rsidRPr="00B81BA0">
        <w:rPr>
          <w:rFonts w:asciiTheme="majorBidi" w:hAnsiTheme="majorBidi" w:cstheme="majorBidi"/>
        </w:rPr>
        <w:t>access and benefit-</w:t>
      </w:r>
      <w:r w:rsidR="00CB566F">
        <w:rPr>
          <w:rFonts w:asciiTheme="majorBidi" w:hAnsiTheme="majorBidi" w:cstheme="majorBidi"/>
        </w:rPr>
        <w:t>s</w:t>
      </w:r>
      <w:r w:rsidRPr="00B81BA0">
        <w:rPr>
          <w:rFonts w:asciiTheme="majorBidi" w:hAnsiTheme="majorBidi" w:cstheme="majorBidi"/>
        </w:rPr>
        <w:t xml:space="preserve">haring </w:t>
      </w:r>
      <w:r w:rsidRPr="00D2758E">
        <w:rPr>
          <w:rFonts w:asciiTheme="majorBidi" w:hAnsiTheme="majorBidi" w:cstheme="majorBidi"/>
        </w:rPr>
        <w:t>measures</w:t>
      </w:r>
      <w:r w:rsidR="007627A5" w:rsidRPr="00D2758E">
        <w:rPr>
          <w:rFonts w:asciiTheme="majorBidi" w:hAnsiTheme="majorBidi" w:cstheme="majorBidi"/>
        </w:rPr>
        <w:t xml:space="preserve">, there has been </w:t>
      </w:r>
      <w:r w:rsidR="001764D7" w:rsidRPr="00D2758E">
        <w:rPr>
          <w:rFonts w:asciiTheme="majorBidi" w:hAnsiTheme="majorBidi" w:cstheme="majorBidi"/>
        </w:rPr>
        <w:t xml:space="preserve">significant </w:t>
      </w:r>
      <w:r w:rsidR="007627A5" w:rsidRPr="00D2758E">
        <w:rPr>
          <w:rFonts w:asciiTheme="majorBidi" w:hAnsiTheme="majorBidi" w:cstheme="majorBidi"/>
        </w:rPr>
        <w:t xml:space="preserve">progress in implementing </w:t>
      </w:r>
      <w:r w:rsidR="00254207" w:rsidRPr="00D2758E">
        <w:rPr>
          <w:rFonts w:asciiTheme="majorBidi" w:hAnsiTheme="majorBidi" w:cstheme="majorBidi"/>
        </w:rPr>
        <w:t xml:space="preserve">the </w:t>
      </w:r>
      <w:r w:rsidR="007627A5" w:rsidRPr="00D2758E">
        <w:t>provisions</w:t>
      </w:r>
      <w:r w:rsidR="007627A5" w:rsidRPr="00D2758E">
        <w:rPr>
          <w:rFonts w:asciiTheme="majorBidi" w:hAnsiTheme="majorBidi" w:cstheme="majorBidi"/>
        </w:rPr>
        <w:t xml:space="preserve"> </w:t>
      </w:r>
      <w:r w:rsidR="00BA617D">
        <w:rPr>
          <w:rFonts w:asciiTheme="majorBidi" w:hAnsiTheme="majorBidi" w:cstheme="majorBidi"/>
        </w:rPr>
        <w:t>of</w:t>
      </w:r>
      <w:r w:rsidR="007627A5" w:rsidRPr="00D2758E">
        <w:rPr>
          <w:rFonts w:asciiTheme="majorBidi" w:hAnsiTheme="majorBidi" w:cstheme="majorBidi"/>
        </w:rPr>
        <w:t xml:space="preserve"> Article 8 of the </w:t>
      </w:r>
      <w:r w:rsidR="000D33B7" w:rsidRPr="00D2758E">
        <w:rPr>
          <w:rFonts w:asciiTheme="majorBidi" w:hAnsiTheme="majorBidi" w:cstheme="majorBidi"/>
        </w:rPr>
        <w:t>Protoco</w:t>
      </w:r>
      <w:r w:rsidR="00FE49CC" w:rsidRPr="00D2758E">
        <w:rPr>
          <w:rFonts w:asciiTheme="majorBidi" w:hAnsiTheme="majorBidi" w:cstheme="majorBidi"/>
        </w:rPr>
        <w:t>l,</w:t>
      </w:r>
      <w:r w:rsidR="00FC7661">
        <w:rPr>
          <w:rFonts w:asciiTheme="majorBidi" w:hAnsiTheme="majorBidi" w:cstheme="majorBidi"/>
        </w:rPr>
        <w:t xml:space="preserve"> a</w:t>
      </w:r>
      <w:r w:rsidR="00FC7661" w:rsidRPr="00D2758E">
        <w:rPr>
          <w:rFonts w:asciiTheme="majorBidi" w:hAnsiTheme="majorBidi" w:cstheme="majorBidi"/>
        </w:rPr>
        <w:t>s show</w:t>
      </w:r>
      <w:r w:rsidR="00FC7661">
        <w:rPr>
          <w:rFonts w:asciiTheme="majorBidi" w:hAnsiTheme="majorBidi" w:cstheme="majorBidi"/>
        </w:rPr>
        <w:t>n</w:t>
      </w:r>
      <w:r w:rsidR="00FC7661" w:rsidRPr="00D2758E">
        <w:rPr>
          <w:rFonts w:asciiTheme="majorBidi" w:hAnsiTheme="majorBidi" w:cstheme="majorBidi"/>
        </w:rPr>
        <w:t xml:space="preserve"> </w:t>
      </w:r>
      <w:r w:rsidR="00FC7661">
        <w:rPr>
          <w:rFonts w:asciiTheme="majorBidi" w:hAnsiTheme="majorBidi" w:cstheme="majorBidi"/>
        </w:rPr>
        <w:t xml:space="preserve">by </w:t>
      </w:r>
      <w:r w:rsidR="00FC7661" w:rsidRPr="00D2758E">
        <w:rPr>
          <w:rFonts w:asciiTheme="majorBidi" w:hAnsiTheme="majorBidi" w:cstheme="majorBidi"/>
        </w:rPr>
        <w:t>the indicators in table 6 below</w:t>
      </w:r>
      <w:r w:rsidR="00054F59" w:rsidRPr="00D2758E">
        <w:rPr>
          <w:rFonts w:asciiTheme="majorBidi" w:hAnsiTheme="majorBidi" w:cstheme="majorBidi"/>
        </w:rPr>
        <w:t xml:space="preserve">. </w:t>
      </w:r>
      <w:r w:rsidR="00116D86" w:rsidRPr="00D2758E">
        <w:rPr>
          <w:rFonts w:asciiTheme="majorBidi" w:hAnsiTheme="majorBidi" w:cstheme="majorBidi"/>
        </w:rPr>
        <w:t>Parties</w:t>
      </w:r>
      <w:r w:rsidR="00697028" w:rsidRPr="00D2758E">
        <w:rPr>
          <w:rFonts w:asciiTheme="majorBidi" w:hAnsiTheme="majorBidi" w:cstheme="majorBidi"/>
        </w:rPr>
        <w:t xml:space="preserve"> have </w:t>
      </w:r>
      <w:r w:rsidR="00FE49CC" w:rsidRPr="00D2758E">
        <w:rPr>
          <w:rFonts w:asciiTheme="majorBidi" w:hAnsiTheme="majorBidi" w:cstheme="majorBidi"/>
        </w:rPr>
        <w:t xml:space="preserve">adopted </w:t>
      </w:r>
      <w:r w:rsidR="00625370" w:rsidRPr="00D2758E">
        <w:rPr>
          <w:rFonts w:asciiTheme="majorBidi" w:hAnsiTheme="majorBidi" w:cstheme="majorBidi"/>
        </w:rPr>
        <w:t>different approaches</w:t>
      </w:r>
      <w:r w:rsidR="00054F59" w:rsidRPr="00D2758E">
        <w:rPr>
          <w:rFonts w:asciiTheme="majorBidi" w:hAnsiTheme="majorBidi" w:cstheme="majorBidi"/>
        </w:rPr>
        <w:t xml:space="preserve"> </w:t>
      </w:r>
      <w:r w:rsidR="00C308B2" w:rsidRPr="00D2758E">
        <w:rPr>
          <w:rFonts w:asciiTheme="majorBidi" w:hAnsiTheme="majorBidi" w:cstheme="majorBidi"/>
        </w:rPr>
        <w:t>i</w:t>
      </w:r>
      <w:r w:rsidR="00054F59" w:rsidRPr="00D2758E">
        <w:rPr>
          <w:rFonts w:asciiTheme="majorBidi" w:hAnsiTheme="majorBidi" w:cstheme="majorBidi"/>
        </w:rPr>
        <w:t>n th</w:t>
      </w:r>
      <w:r w:rsidR="00B92DA3">
        <w:rPr>
          <w:rFonts w:asciiTheme="majorBidi" w:hAnsiTheme="majorBidi" w:cstheme="majorBidi"/>
        </w:rPr>
        <w:t>at</w:t>
      </w:r>
      <w:r w:rsidR="00054F59" w:rsidRPr="00D2758E">
        <w:rPr>
          <w:rFonts w:asciiTheme="majorBidi" w:hAnsiTheme="majorBidi" w:cstheme="majorBidi"/>
        </w:rPr>
        <w:t xml:space="preserve"> regard</w:t>
      </w:r>
      <w:r w:rsidR="00B92DA3" w:rsidRPr="00D2758E">
        <w:rPr>
          <w:rFonts w:asciiTheme="majorBidi" w:hAnsiTheme="majorBidi" w:cstheme="majorBidi"/>
        </w:rPr>
        <w:t>.</w:t>
      </w:r>
      <w:r w:rsidR="002D3D35" w:rsidRPr="00D2758E">
        <w:rPr>
          <w:rStyle w:val="FootnoteReference"/>
          <w:rFonts w:asciiTheme="majorBidi" w:hAnsiTheme="majorBidi" w:cstheme="majorBidi"/>
        </w:rPr>
        <w:footnoteReference w:id="38"/>
      </w:r>
      <w:r w:rsidR="00BA617D">
        <w:rPr>
          <w:rFonts w:asciiTheme="majorBidi" w:hAnsiTheme="majorBidi" w:cstheme="majorBidi"/>
        </w:rPr>
        <w:t xml:space="preserve"> </w:t>
      </w:r>
      <w:r w:rsidR="00587320" w:rsidRPr="00D2758E">
        <w:rPr>
          <w:rFonts w:asciiTheme="majorBidi" w:hAnsiTheme="majorBidi" w:cstheme="majorBidi"/>
        </w:rPr>
        <w:t xml:space="preserve">Most progress was made </w:t>
      </w:r>
      <w:r w:rsidR="0048126C">
        <w:rPr>
          <w:rFonts w:asciiTheme="majorBidi" w:hAnsiTheme="majorBidi" w:cstheme="majorBidi"/>
        </w:rPr>
        <w:t>with respect to</w:t>
      </w:r>
      <w:r w:rsidR="00A36804">
        <w:rPr>
          <w:rFonts w:asciiTheme="majorBidi" w:hAnsiTheme="majorBidi" w:cstheme="majorBidi"/>
        </w:rPr>
        <w:t xml:space="preserve"> </w:t>
      </w:r>
      <w:r w:rsidR="00587320" w:rsidRPr="00D2758E">
        <w:rPr>
          <w:rFonts w:asciiTheme="majorBidi" w:hAnsiTheme="majorBidi" w:cstheme="majorBidi"/>
        </w:rPr>
        <w:t xml:space="preserve">considerations related to research </w:t>
      </w:r>
      <w:r w:rsidR="00C44C53">
        <w:rPr>
          <w:rFonts w:asciiTheme="majorBidi" w:hAnsiTheme="majorBidi" w:cstheme="majorBidi"/>
        </w:rPr>
        <w:t xml:space="preserve">on </w:t>
      </w:r>
      <w:r w:rsidR="00587320" w:rsidRPr="00D2758E">
        <w:rPr>
          <w:rFonts w:asciiTheme="majorBidi" w:hAnsiTheme="majorBidi" w:cstheme="majorBidi"/>
        </w:rPr>
        <w:t xml:space="preserve">and non-commercial access </w:t>
      </w:r>
      <w:r w:rsidR="00C44C53">
        <w:rPr>
          <w:rFonts w:asciiTheme="majorBidi" w:hAnsiTheme="majorBidi" w:cstheme="majorBidi"/>
        </w:rPr>
        <w:t>to</w:t>
      </w:r>
      <w:r w:rsidR="00587320" w:rsidRPr="00D2758E">
        <w:rPr>
          <w:rFonts w:asciiTheme="majorBidi" w:hAnsiTheme="majorBidi" w:cstheme="majorBidi"/>
        </w:rPr>
        <w:t xml:space="preserve"> genetic resources for food and agriculture and moderate progress </w:t>
      </w:r>
      <w:r w:rsidR="0048126C">
        <w:rPr>
          <w:rFonts w:asciiTheme="majorBidi" w:hAnsiTheme="majorBidi" w:cstheme="majorBidi"/>
        </w:rPr>
        <w:t>with respect to</w:t>
      </w:r>
      <w:r w:rsidR="00587320" w:rsidRPr="00D2758E">
        <w:rPr>
          <w:rFonts w:asciiTheme="majorBidi" w:hAnsiTheme="majorBidi" w:cstheme="majorBidi"/>
        </w:rPr>
        <w:t xml:space="preserve"> considerations related to imminent emergencies that threaten</w:t>
      </w:r>
      <w:r w:rsidR="003D6671">
        <w:rPr>
          <w:rFonts w:asciiTheme="majorBidi" w:hAnsiTheme="majorBidi" w:cstheme="majorBidi"/>
        </w:rPr>
        <w:t>ed</w:t>
      </w:r>
      <w:r w:rsidR="00587320" w:rsidRPr="00D2758E">
        <w:rPr>
          <w:rFonts w:asciiTheme="majorBidi" w:hAnsiTheme="majorBidi" w:cstheme="majorBidi"/>
        </w:rPr>
        <w:t xml:space="preserve"> human, animal or plant health.</w:t>
      </w:r>
    </w:p>
    <w:p w14:paraId="0A8D0537" w14:textId="6B556C0A" w:rsidR="00054F59" w:rsidRPr="00D2758E" w:rsidRDefault="00234E53" w:rsidP="00CD2C50">
      <w:pPr>
        <w:pStyle w:val="CBDNormalNumber"/>
        <w:rPr>
          <w:rFonts w:asciiTheme="majorBidi" w:hAnsiTheme="majorBidi" w:cstheme="majorBidi"/>
        </w:rPr>
      </w:pPr>
      <w:r w:rsidRPr="00D2758E">
        <w:rPr>
          <w:rFonts w:asciiTheme="majorBidi" w:hAnsiTheme="majorBidi" w:cstheme="majorBidi"/>
        </w:rPr>
        <w:t>Measures addressing special considerations are also related to mutually supportive implementation</w:t>
      </w:r>
      <w:r w:rsidR="00181E76" w:rsidRPr="00D2758E">
        <w:rPr>
          <w:rFonts w:asciiTheme="majorBidi" w:hAnsiTheme="majorBidi" w:cstheme="majorBidi"/>
        </w:rPr>
        <w:t xml:space="preserve"> </w:t>
      </w:r>
      <w:r w:rsidR="00A97B54">
        <w:rPr>
          <w:rFonts w:asciiTheme="majorBidi" w:hAnsiTheme="majorBidi" w:cstheme="majorBidi"/>
        </w:rPr>
        <w:t xml:space="preserve">of the Protocol </w:t>
      </w:r>
      <w:r w:rsidR="00181E76" w:rsidRPr="00D2758E">
        <w:rPr>
          <w:rFonts w:asciiTheme="majorBidi" w:hAnsiTheme="majorBidi" w:cstheme="majorBidi"/>
        </w:rPr>
        <w:t xml:space="preserve">with other </w:t>
      </w:r>
      <w:r w:rsidR="00181E76" w:rsidRPr="00D2758E">
        <w:t>international</w:t>
      </w:r>
      <w:r w:rsidR="00181E76" w:rsidRPr="00D2758E">
        <w:rPr>
          <w:rFonts w:asciiTheme="majorBidi" w:hAnsiTheme="majorBidi" w:cstheme="majorBidi"/>
        </w:rPr>
        <w:t xml:space="preserve"> instruments r</w:t>
      </w:r>
      <w:r w:rsidR="00326E99" w:rsidRPr="00D2758E">
        <w:rPr>
          <w:rFonts w:asciiTheme="majorBidi" w:hAnsiTheme="majorBidi" w:cstheme="majorBidi"/>
        </w:rPr>
        <w:t>elevant to the Protocol in accordance wit</w:t>
      </w:r>
      <w:r w:rsidR="002751AF" w:rsidRPr="00D2758E">
        <w:rPr>
          <w:rFonts w:asciiTheme="majorBidi" w:hAnsiTheme="majorBidi" w:cstheme="majorBidi"/>
        </w:rPr>
        <w:t xml:space="preserve">h its </w:t>
      </w:r>
      <w:r w:rsidR="008078EB">
        <w:rPr>
          <w:rFonts w:asciiTheme="majorBidi" w:hAnsiTheme="majorBidi" w:cstheme="majorBidi"/>
        </w:rPr>
        <w:t>A</w:t>
      </w:r>
      <w:r w:rsidR="002751AF" w:rsidRPr="00D2758E">
        <w:rPr>
          <w:rFonts w:asciiTheme="majorBidi" w:hAnsiTheme="majorBidi" w:cstheme="majorBidi"/>
        </w:rPr>
        <w:t>rticle 4</w:t>
      </w:r>
      <w:r w:rsidR="004444F5" w:rsidRPr="00D2758E">
        <w:rPr>
          <w:rFonts w:asciiTheme="majorBidi" w:hAnsiTheme="majorBidi" w:cstheme="majorBidi"/>
        </w:rPr>
        <w:t xml:space="preserve">, </w:t>
      </w:r>
      <w:r w:rsidR="00380F54">
        <w:rPr>
          <w:rFonts w:asciiTheme="majorBidi" w:hAnsiTheme="majorBidi" w:cstheme="majorBidi"/>
        </w:rPr>
        <w:t>which</w:t>
      </w:r>
      <w:r w:rsidR="004444F5" w:rsidRPr="00D2758E">
        <w:rPr>
          <w:rFonts w:asciiTheme="majorBidi" w:hAnsiTheme="majorBidi" w:cstheme="majorBidi"/>
        </w:rPr>
        <w:t xml:space="preserve"> requires coordination among different administrations and instruments.</w:t>
      </w:r>
      <w:r w:rsidR="009F6BD8" w:rsidRPr="00D2758E">
        <w:rPr>
          <w:rStyle w:val="FootnoteReference"/>
          <w:rFonts w:asciiTheme="majorBidi" w:hAnsiTheme="majorBidi" w:cstheme="majorBidi"/>
        </w:rPr>
        <w:footnoteReference w:id="39"/>
      </w:r>
      <w:r w:rsidR="004444F5" w:rsidRPr="00D2758E">
        <w:rPr>
          <w:rFonts w:asciiTheme="majorBidi" w:hAnsiTheme="majorBidi" w:cstheme="majorBidi"/>
        </w:rPr>
        <w:t xml:space="preserve"> </w:t>
      </w:r>
    </w:p>
    <w:p w14:paraId="76CCFD50" w14:textId="7DA65A1D" w:rsidR="007627A5" w:rsidRPr="00D2758E" w:rsidRDefault="007627A5" w:rsidP="00694B61">
      <w:pPr>
        <w:pStyle w:val="CBDTableTitle"/>
      </w:pPr>
      <w:r w:rsidRPr="00762797">
        <w:rPr>
          <w:b w:val="0"/>
          <w:bCs/>
        </w:rPr>
        <w:t xml:space="preserve">Table </w:t>
      </w:r>
      <w:r w:rsidR="00B53179" w:rsidRPr="00762797">
        <w:rPr>
          <w:b w:val="0"/>
          <w:bCs/>
        </w:rPr>
        <w:t>6</w:t>
      </w:r>
      <w:r w:rsidR="00762797">
        <w:br/>
      </w:r>
      <w:r w:rsidRPr="00D2758E">
        <w:t>Indicators to measure progress in establishing measures addressing Article 8 considerations</w:t>
      </w:r>
    </w:p>
    <w:tbl>
      <w:tblPr>
        <w:tblW w:w="9138" w:type="dxa"/>
        <w:tblInd w:w="56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803"/>
        <w:gridCol w:w="1829"/>
        <w:gridCol w:w="1506"/>
      </w:tblGrid>
      <w:tr w:rsidR="007627A5" w:rsidRPr="00EC0AB1" w14:paraId="28673981" w14:textId="77777777" w:rsidTr="006B066D">
        <w:trPr>
          <w:cantSplit/>
        </w:trPr>
        <w:tc>
          <w:tcPr>
            <w:tcW w:w="5803" w:type="dxa"/>
            <w:tcBorders>
              <w:top w:val="single" w:sz="4" w:space="0" w:color="auto"/>
              <w:left w:val="single" w:sz="4" w:space="0" w:color="auto"/>
              <w:bottom w:val="single" w:sz="4" w:space="0" w:color="auto"/>
              <w:right w:val="single" w:sz="4" w:space="0" w:color="auto"/>
            </w:tcBorders>
            <w:shd w:val="clear" w:color="auto" w:fill="FFFFFF" w:themeFill="background1"/>
            <w:tcMar>
              <w:top w:w="29" w:type="dxa"/>
              <w:left w:w="115" w:type="dxa"/>
              <w:bottom w:w="29" w:type="dxa"/>
              <w:right w:w="115" w:type="dxa"/>
            </w:tcMar>
            <w:vAlign w:val="bottom"/>
            <w:hideMark/>
          </w:tcPr>
          <w:p w14:paraId="311EEDE9" w14:textId="77777777" w:rsidR="007627A5" w:rsidRPr="00EC0AB1" w:rsidRDefault="007627A5" w:rsidP="0063243D">
            <w:pPr>
              <w:suppressLineNumbers/>
              <w:suppressAutoHyphens/>
              <w:kinsoku w:val="0"/>
              <w:overflowPunct w:val="0"/>
              <w:autoSpaceDE w:val="0"/>
              <w:autoSpaceDN w:val="0"/>
              <w:adjustRightInd w:val="0"/>
              <w:snapToGrid w:val="0"/>
              <w:jc w:val="left"/>
              <w:rPr>
                <w:rFonts w:asciiTheme="majorBidi" w:eastAsia="Malgun Gothic" w:hAnsiTheme="majorBidi" w:cstheme="majorBidi"/>
                <w:bCs/>
                <w:i/>
                <w:iCs/>
                <w:kern w:val="22"/>
                <w:sz w:val="20"/>
                <w:szCs w:val="20"/>
              </w:rPr>
            </w:pPr>
            <w:r w:rsidRPr="00EC0AB1">
              <w:rPr>
                <w:rFonts w:asciiTheme="majorBidi" w:eastAsia="Malgun Gothic" w:hAnsiTheme="majorBidi" w:cstheme="majorBidi"/>
                <w:bCs/>
                <w:i/>
                <w:iCs/>
                <w:kern w:val="22"/>
                <w:sz w:val="20"/>
                <w:szCs w:val="20"/>
              </w:rPr>
              <w:t>Framework of indicators</w:t>
            </w:r>
          </w:p>
        </w:tc>
        <w:tc>
          <w:tcPr>
            <w:tcW w:w="1829" w:type="dxa"/>
            <w:tcBorders>
              <w:top w:val="single" w:sz="4" w:space="0" w:color="auto"/>
              <w:left w:val="single" w:sz="4" w:space="0" w:color="auto"/>
              <w:bottom w:val="single" w:sz="4" w:space="0" w:color="auto"/>
              <w:right w:val="single" w:sz="4" w:space="0" w:color="auto"/>
            </w:tcBorders>
            <w:shd w:val="clear" w:color="auto" w:fill="FFFFFF" w:themeFill="background1"/>
            <w:tcMar>
              <w:top w:w="29" w:type="dxa"/>
              <w:left w:w="115" w:type="dxa"/>
              <w:bottom w:w="29" w:type="dxa"/>
              <w:right w:w="115" w:type="dxa"/>
            </w:tcMar>
            <w:vAlign w:val="bottom"/>
            <w:hideMark/>
          </w:tcPr>
          <w:p w14:paraId="0A99C343" w14:textId="7F9EDDBE" w:rsidR="007627A5" w:rsidRPr="00EC0AB1" w:rsidRDefault="007627A5" w:rsidP="006B066D">
            <w:pPr>
              <w:suppressLineNumbers/>
              <w:suppressAutoHyphens/>
              <w:kinsoku w:val="0"/>
              <w:overflowPunct w:val="0"/>
              <w:autoSpaceDE w:val="0"/>
              <w:autoSpaceDN w:val="0"/>
              <w:adjustRightInd w:val="0"/>
              <w:snapToGrid w:val="0"/>
              <w:jc w:val="right"/>
              <w:rPr>
                <w:rFonts w:asciiTheme="majorBidi" w:eastAsia="Malgun Gothic" w:hAnsiTheme="majorBidi" w:cstheme="majorBidi"/>
                <w:bCs/>
                <w:i/>
                <w:iCs/>
                <w:kern w:val="22"/>
                <w:sz w:val="20"/>
                <w:szCs w:val="20"/>
              </w:rPr>
            </w:pPr>
            <w:r w:rsidRPr="00EC0AB1">
              <w:rPr>
                <w:rFonts w:asciiTheme="majorBidi" w:eastAsia="Malgun Gothic" w:hAnsiTheme="majorBidi" w:cstheme="majorBidi"/>
                <w:bCs/>
                <w:i/>
                <w:iCs/>
                <w:kern w:val="22"/>
                <w:sz w:val="20"/>
                <w:szCs w:val="20"/>
              </w:rPr>
              <w:t xml:space="preserve">Reference point </w:t>
            </w:r>
            <w:r w:rsidR="00EC0AB1">
              <w:rPr>
                <w:rFonts w:asciiTheme="majorBidi" w:eastAsia="Malgun Gothic" w:hAnsiTheme="majorBidi" w:cstheme="majorBidi"/>
                <w:bCs/>
                <w:i/>
                <w:iCs/>
                <w:kern w:val="22"/>
                <w:sz w:val="20"/>
                <w:szCs w:val="20"/>
              </w:rPr>
              <w:br/>
            </w:r>
            <w:r w:rsidRPr="00EC0AB1">
              <w:rPr>
                <w:rFonts w:asciiTheme="majorBidi" w:eastAsia="Malgun Gothic" w:hAnsiTheme="majorBidi" w:cstheme="majorBidi"/>
                <w:bCs/>
                <w:i/>
                <w:iCs/>
                <w:kern w:val="22"/>
                <w:sz w:val="20"/>
                <w:szCs w:val="20"/>
              </w:rPr>
              <w:t xml:space="preserve">(as </w:t>
            </w:r>
            <w:r w:rsidR="00EC0AB1">
              <w:rPr>
                <w:rFonts w:asciiTheme="majorBidi" w:eastAsia="Malgun Gothic" w:hAnsiTheme="majorBidi" w:cstheme="majorBidi"/>
                <w:bCs/>
                <w:i/>
                <w:iCs/>
                <w:kern w:val="22"/>
                <w:sz w:val="20"/>
                <w:szCs w:val="20"/>
              </w:rPr>
              <w:t>at</w:t>
            </w:r>
            <w:r w:rsidRPr="00EC0AB1">
              <w:rPr>
                <w:rFonts w:asciiTheme="majorBidi" w:eastAsia="Malgun Gothic" w:hAnsiTheme="majorBidi" w:cstheme="majorBidi"/>
                <w:bCs/>
                <w:i/>
                <w:iCs/>
                <w:kern w:val="22"/>
                <w:sz w:val="20"/>
                <w:szCs w:val="20"/>
              </w:rPr>
              <w:t xml:space="preserve"> 22 February 2018)</w:t>
            </w:r>
          </w:p>
        </w:tc>
        <w:tc>
          <w:tcPr>
            <w:tcW w:w="1506" w:type="dxa"/>
            <w:tcBorders>
              <w:top w:val="single" w:sz="4" w:space="0" w:color="auto"/>
              <w:left w:val="single" w:sz="4" w:space="0" w:color="auto"/>
              <w:bottom w:val="single" w:sz="4" w:space="0" w:color="auto"/>
              <w:right w:val="single" w:sz="4" w:space="0" w:color="auto"/>
            </w:tcBorders>
            <w:shd w:val="clear" w:color="auto" w:fill="FFFFFF" w:themeFill="background1"/>
            <w:vAlign w:val="bottom"/>
          </w:tcPr>
          <w:p w14:paraId="47E49CFC" w14:textId="72CE5622" w:rsidR="007627A5" w:rsidRPr="00EC0AB1" w:rsidRDefault="00984F81" w:rsidP="006B066D">
            <w:pPr>
              <w:suppressLineNumbers/>
              <w:suppressAutoHyphens/>
              <w:kinsoku w:val="0"/>
              <w:overflowPunct w:val="0"/>
              <w:autoSpaceDE w:val="0"/>
              <w:autoSpaceDN w:val="0"/>
              <w:adjustRightInd w:val="0"/>
              <w:snapToGrid w:val="0"/>
              <w:jc w:val="right"/>
              <w:rPr>
                <w:rFonts w:asciiTheme="majorBidi" w:eastAsia="Malgun Gothic" w:hAnsiTheme="majorBidi" w:cstheme="majorBidi"/>
                <w:bCs/>
                <w:i/>
                <w:iCs/>
                <w:kern w:val="22"/>
                <w:sz w:val="20"/>
                <w:szCs w:val="20"/>
              </w:rPr>
            </w:pPr>
            <w:r>
              <w:rPr>
                <w:rFonts w:asciiTheme="majorBidi" w:eastAsia="Malgun Gothic" w:hAnsiTheme="majorBidi" w:cstheme="majorBidi"/>
                <w:bCs/>
                <w:i/>
                <w:iCs/>
                <w:kern w:val="22"/>
                <w:sz w:val="20"/>
                <w:szCs w:val="20"/>
              </w:rPr>
              <w:t>Progress as at</w:t>
            </w:r>
            <w:r w:rsidR="0084523B">
              <w:rPr>
                <w:rFonts w:asciiTheme="majorBidi" w:eastAsia="Malgun Gothic" w:hAnsiTheme="majorBidi" w:cstheme="majorBidi"/>
                <w:bCs/>
                <w:i/>
                <w:iCs/>
                <w:kern w:val="22"/>
                <w:sz w:val="20"/>
                <w:szCs w:val="20"/>
              </w:rPr>
              <w:t xml:space="preserve"> </w:t>
            </w:r>
            <w:r w:rsidR="007627A5" w:rsidRPr="00EC0AB1">
              <w:rPr>
                <w:rFonts w:asciiTheme="majorBidi" w:eastAsia="Malgun Gothic" w:hAnsiTheme="majorBidi" w:cstheme="majorBidi"/>
                <w:bCs/>
                <w:i/>
                <w:iCs/>
                <w:kern w:val="22"/>
                <w:sz w:val="20"/>
                <w:szCs w:val="20"/>
              </w:rPr>
              <w:t>9 March 2026</w:t>
            </w:r>
          </w:p>
        </w:tc>
      </w:tr>
      <w:tr w:rsidR="007627A5" w:rsidRPr="00D2758E" w14:paraId="53DBB34B" w14:textId="77777777" w:rsidTr="006B066D">
        <w:trPr>
          <w:cantSplit/>
        </w:trPr>
        <w:tc>
          <w:tcPr>
            <w:tcW w:w="5803" w:type="dxa"/>
            <w:tcBorders>
              <w:top w:val="single" w:sz="4" w:space="0" w:color="auto"/>
              <w:left w:val="single" w:sz="4" w:space="0" w:color="auto"/>
              <w:bottom w:val="single" w:sz="4" w:space="0" w:color="auto"/>
              <w:right w:val="single" w:sz="4" w:space="0" w:color="auto"/>
            </w:tcBorders>
            <w:tcMar>
              <w:top w:w="29" w:type="dxa"/>
              <w:left w:w="115" w:type="dxa"/>
              <w:bottom w:w="29" w:type="dxa"/>
              <w:right w:w="115" w:type="dxa"/>
            </w:tcMar>
            <w:hideMark/>
          </w:tcPr>
          <w:p w14:paraId="1B15C80E" w14:textId="63EB334A" w:rsidR="007627A5" w:rsidRPr="00D2758E" w:rsidRDefault="007627A5" w:rsidP="006B066D">
            <w:pPr>
              <w:suppressLineNumbers/>
              <w:suppressAutoHyphens/>
              <w:kinsoku w:val="0"/>
              <w:overflowPunct w:val="0"/>
              <w:autoSpaceDE w:val="0"/>
              <w:autoSpaceDN w:val="0"/>
              <w:adjustRightInd w:val="0"/>
              <w:snapToGrid w:val="0"/>
              <w:jc w:val="left"/>
              <w:rPr>
                <w:rFonts w:asciiTheme="majorBidi" w:hAnsiTheme="majorBidi" w:cstheme="majorBidi"/>
                <w:kern w:val="22"/>
                <w:sz w:val="20"/>
                <w:szCs w:val="20"/>
              </w:rPr>
            </w:pPr>
            <w:r w:rsidRPr="00D2758E">
              <w:rPr>
                <w:rFonts w:asciiTheme="majorBidi" w:eastAsia="Malgun Gothic" w:hAnsiTheme="majorBidi" w:cstheme="majorBidi"/>
                <w:kern w:val="22"/>
                <w:sz w:val="20"/>
                <w:szCs w:val="20"/>
              </w:rPr>
              <w:t xml:space="preserve">Number and percentage </w:t>
            </w:r>
            <w:r w:rsidRPr="00D2758E">
              <w:rPr>
                <w:rFonts w:asciiTheme="majorBidi" w:hAnsiTheme="majorBidi" w:cstheme="majorBidi"/>
                <w:kern w:val="22"/>
                <w:sz w:val="20"/>
                <w:szCs w:val="20"/>
              </w:rPr>
              <w:t>of Parties that created conditions to promote and encourage research which contributes to the conservation and sustainable use of biodiversity as provided in Article 8</w:t>
            </w:r>
            <w:r w:rsidR="0063243D">
              <w:rPr>
                <w:rFonts w:asciiTheme="majorBidi" w:hAnsiTheme="majorBidi" w:cstheme="majorBidi"/>
                <w:kern w:val="22"/>
                <w:sz w:val="20"/>
                <w:szCs w:val="20"/>
              </w:rPr>
              <w:t> </w:t>
            </w:r>
            <w:r w:rsidRPr="00D2758E">
              <w:rPr>
                <w:rFonts w:asciiTheme="majorBidi" w:hAnsiTheme="majorBidi" w:cstheme="majorBidi"/>
                <w:kern w:val="22"/>
                <w:sz w:val="20"/>
                <w:szCs w:val="20"/>
              </w:rPr>
              <w:t>(a)</w:t>
            </w:r>
          </w:p>
        </w:tc>
        <w:tc>
          <w:tcPr>
            <w:tcW w:w="1829" w:type="dxa"/>
            <w:tcBorders>
              <w:top w:val="single" w:sz="4" w:space="0" w:color="auto"/>
              <w:left w:val="single" w:sz="4" w:space="0" w:color="auto"/>
              <w:bottom w:val="single" w:sz="4" w:space="0" w:color="auto"/>
              <w:right w:val="single" w:sz="4" w:space="0" w:color="auto"/>
            </w:tcBorders>
            <w:tcMar>
              <w:top w:w="29" w:type="dxa"/>
              <w:left w:w="115" w:type="dxa"/>
              <w:bottom w:w="29" w:type="dxa"/>
              <w:right w:w="115" w:type="dxa"/>
            </w:tcMar>
            <w:vAlign w:val="bottom"/>
            <w:hideMark/>
          </w:tcPr>
          <w:p w14:paraId="2DA891C9" w14:textId="71DC0976" w:rsidR="007627A5" w:rsidRPr="00D2758E" w:rsidRDefault="007627A5" w:rsidP="00416FDE">
            <w:pPr>
              <w:suppressLineNumbers/>
              <w:suppressAutoHyphens/>
              <w:kinsoku w:val="0"/>
              <w:overflowPunct w:val="0"/>
              <w:autoSpaceDE w:val="0"/>
              <w:autoSpaceDN w:val="0"/>
              <w:adjustRightInd w:val="0"/>
              <w:snapToGrid w:val="0"/>
              <w:jc w:val="right"/>
              <w:rPr>
                <w:rFonts w:asciiTheme="majorBidi" w:eastAsia="Calibri" w:hAnsiTheme="majorBidi" w:cstheme="majorBidi"/>
                <w:kern w:val="22"/>
                <w:sz w:val="20"/>
                <w:szCs w:val="20"/>
              </w:rPr>
            </w:pPr>
            <w:r w:rsidRPr="00D2758E">
              <w:rPr>
                <w:rFonts w:asciiTheme="majorBidi" w:eastAsia="Calibri" w:hAnsiTheme="majorBidi" w:cstheme="majorBidi"/>
                <w:kern w:val="22"/>
                <w:sz w:val="20"/>
                <w:szCs w:val="20"/>
              </w:rPr>
              <w:t>48 (46</w:t>
            </w:r>
            <w:r w:rsidR="0084523B">
              <w:rPr>
                <w:rFonts w:asciiTheme="majorBidi" w:eastAsia="Calibri" w:hAnsiTheme="majorBidi" w:cstheme="majorBidi"/>
                <w:kern w:val="22"/>
                <w:sz w:val="20"/>
                <w:szCs w:val="20"/>
              </w:rPr>
              <w:t xml:space="preserve"> per cent</w:t>
            </w:r>
            <w:r w:rsidRPr="00D2758E">
              <w:rPr>
                <w:rFonts w:asciiTheme="majorBidi" w:eastAsia="Calibri" w:hAnsiTheme="majorBidi" w:cstheme="majorBidi"/>
                <w:kern w:val="22"/>
                <w:sz w:val="20"/>
                <w:szCs w:val="20"/>
              </w:rPr>
              <w:t>)</w:t>
            </w:r>
          </w:p>
        </w:tc>
        <w:tc>
          <w:tcPr>
            <w:tcW w:w="1506" w:type="dxa"/>
            <w:vAlign w:val="bottom"/>
          </w:tcPr>
          <w:p w14:paraId="36ED978C" w14:textId="2163E8AF" w:rsidR="007627A5" w:rsidRPr="00D2758E" w:rsidRDefault="007627A5" w:rsidP="0063243D">
            <w:pPr>
              <w:suppressLineNumbers/>
              <w:suppressAutoHyphens/>
              <w:kinsoku w:val="0"/>
              <w:overflowPunct w:val="0"/>
              <w:autoSpaceDE w:val="0"/>
              <w:autoSpaceDN w:val="0"/>
              <w:adjustRightInd w:val="0"/>
              <w:snapToGrid w:val="0"/>
              <w:jc w:val="right"/>
              <w:rPr>
                <w:rFonts w:asciiTheme="majorBidi" w:eastAsia="Calibri" w:hAnsiTheme="majorBidi" w:cstheme="majorBidi"/>
                <w:kern w:val="22"/>
                <w:sz w:val="20"/>
                <w:szCs w:val="20"/>
              </w:rPr>
            </w:pPr>
            <w:r w:rsidRPr="00D2758E">
              <w:rPr>
                <w:rFonts w:asciiTheme="majorBidi" w:eastAsia="Calibri" w:hAnsiTheme="majorBidi" w:cstheme="majorBidi"/>
                <w:kern w:val="22"/>
                <w:sz w:val="20"/>
                <w:szCs w:val="20"/>
              </w:rPr>
              <w:t>81 (57</w:t>
            </w:r>
            <w:r w:rsidR="0084523B">
              <w:rPr>
                <w:rFonts w:asciiTheme="majorBidi" w:eastAsia="Calibri" w:hAnsiTheme="majorBidi" w:cstheme="majorBidi"/>
                <w:kern w:val="22"/>
                <w:sz w:val="20"/>
                <w:szCs w:val="20"/>
              </w:rPr>
              <w:t xml:space="preserve"> per cent</w:t>
            </w:r>
            <w:r w:rsidRPr="00D2758E">
              <w:rPr>
                <w:rFonts w:asciiTheme="majorBidi" w:eastAsia="Calibri" w:hAnsiTheme="majorBidi" w:cstheme="majorBidi"/>
                <w:kern w:val="22"/>
                <w:sz w:val="20"/>
                <w:szCs w:val="20"/>
              </w:rPr>
              <w:t>)</w:t>
            </w:r>
          </w:p>
        </w:tc>
      </w:tr>
      <w:tr w:rsidR="007627A5" w:rsidRPr="00D2758E" w14:paraId="5068268C" w14:textId="77777777" w:rsidTr="006B066D">
        <w:trPr>
          <w:cantSplit/>
        </w:trPr>
        <w:tc>
          <w:tcPr>
            <w:tcW w:w="5803" w:type="dxa"/>
            <w:tcBorders>
              <w:top w:val="single" w:sz="4" w:space="0" w:color="auto"/>
              <w:left w:val="single" w:sz="4" w:space="0" w:color="auto"/>
              <w:bottom w:val="single" w:sz="4" w:space="0" w:color="auto"/>
              <w:right w:val="single" w:sz="4" w:space="0" w:color="auto"/>
            </w:tcBorders>
            <w:tcMar>
              <w:top w:w="29" w:type="dxa"/>
              <w:left w:w="115" w:type="dxa"/>
              <w:bottom w:w="29" w:type="dxa"/>
              <w:right w:w="115" w:type="dxa"/>
            </w:tcMar>
            <w:hideMark/>
          </w:tcPr>
          <w:p w14:paraId="2E7A317E" w14:textId="5AD4BA45" w:rsidR="007627A5" w:rsidRPr="00D2758E" w:rsidRDefault="007627A5" w:rsidP="006B066D">
            <w:pPr>
              <w:suppressLineNumbers/>
              <w:suppressAutoHyphens/>
              <w:kinsoku w:val="0"/>
              <w:overflowPunct w:val="0"/>
              <w:autoSpaceDE w:val="0"/>
              <w:autoSpaceDN w:val="0"/>
              <w:adjustRightInd w:val="0"/>
              <w:snapToGrid w:val="0"/>
              <w:jc w:val="left"/>
              <w:rPr>
                <w:rFonts w:asciiTheme="majorBidi" w:eastAsia="Malgun Gothic" w:hAnsiTheme="majorBidi" w:cstheme="majorBidi"/>
                <w:kern w:val="22"/>
                <w:sz w:val="20"/>
                <w:szCs w:val="20"/>
              </w:rPr>
            </w:pPr>
            <w:r w:rsidRPr="00D2758E">
              <w:rPr>
                <w:rFonts w:asciiTheme="majorBidi" w:eastAsia="Malgun Gothic" w:hAnsiTheme="majorBidi" w:cstheme="majorBidi"/>
                <w:kern w:val="22"/>
                <w:sz w:val="20"/>
                <w:szCs w:val="20"/>
              </w:rPr>
              <w:t>Number and percentage of Parties that paid due regard to cases of present or imminent emergencies that threaten or damage human, animal or plant health as provided in Article 8</w:t>
            </w:r>
            <w:r w:rsidR="0063243D">
              <w:rPr>
                <w:rFonts w:asciiTheme="majorBidi" w:eastAsia="Malgun Gothic" w:hAnsiTheme="majorBidi" w:cstheme="majorBidi"/>
                <w:kern w:val="22"/>
                <w:sz w:val="20"/>
                <w:szCs w:val="20"/>
              </w:rPr>
              <w:t> </w:t>
            </w:r>
            <w:r w:rsidRPr="00D2758E">
              <w:rPr>
                <w:rFonts w:asciiTheme="majorBidi" w:eastAsia="Malgun Gothic" w:hAnsiTheme="majorBidi" w:cstheme="majorBidi"/>
                <w:kern w:val="22"/>
                <w:sz w:val="20"/>
                <w:szCs w:val="20"/>
              </w:rPr>
              <w:t>(b)</w:t>
            </w:r>
          </w:p>
        </w:tc>
        <w:tc>
          <w:tcPr>
            <w:tcW w:w="1829" w:type="dxa"/>
            <w:tcBorders>
              <w:top w:val="single" w:sz="4" w:space="0" w:color="auto"/>
              <w:left w:val="single" w:sz="4" w:space="0" w:color="auto"/>
              <w:bottom w:val="single" w:sz="4" w:space="0" w:color="auto"/>
              <w:right w:val="single" w:sz="4" w:space="0" w:color="auto"/>
            </w:tcBorders>
            <w:tcMar>
              <w:top w:w="29" w:type="dxa"/>
              <w:left w:w="115" w:type="dxa"/>
              <w:bottom w:w="29" w:type="dxa"/>
              <w:right w:w="115" w:type="dxa"/>
            </w:tcMar>
            <w:vAlign w:val="bottom"/>
            <w:hideMark/>
          </w:tcPr>
          <w:p w14:paraId="20C9822C" w14:textId="10E23BF2" w:rsidR="007627A5" w:rsidRPr="00D2758E" w:rsidRDefault="007627A5" w:rsidP="00416FDE">
            <w:pPr>
              <w:suppressLineNumbers/>
              <w:suppressAutoHyphens/>
              <w:kinsoku w:val="0"/>
              <w:overflowPunct w:val="0"/>
              <w:autoSpaceDE w:val="0"/>
              <w:autoSpaceDN w:val="0"/>
              <w:adjustRightInd w:val="0"/>
              <w:snapToGrid w:val="0"/>
              <w:jc w:val="right"/>
              <w:rPr>
                <w:rFonts w:asciiTheme="majorBidi" w:hAnsiTheme="majorBidi" w:cstheme="majorBidi"/>
                <w:kern w:val="22"/>
                <w:sz w:val="20"/>
                <w:szCs w:val="20"/>
              </w:rPr>
            </w:pPr>
            <w:r w:rsidRPr="00D2758E">
              <w:rPr>
                <w:rFonts w:asciiTheme="majorBidi" w:hAnsiTheme="majorBidi" w:cstheme="majorBidi"/>
                <w:kern w:val="22"/>
                <w:sz w:val="20"/>
                <w:szCs w:val="20"/>
              </w:rPr>
              <w:t>39 (37</w:t>
            </w:r>
            <w:r w:rsidR="0084523B">
              <w:rPr>
                <w:rFonts w:asciiTheme="majorBidi" w:hAnsiTheme="majorBidi" w:cstheme="majorBidi"/>
                <w:kern w:val="22"/>
                <w:sz w:val="20"/>
                <w:szCs w:val="20"/>
              </w:rPr>
              <w:t xml:space="preserve"> per cent</w:t>
            </w:r>
            <w:r w:rsidRPr="00D2758E">
              <w:rPr>
                <w:rFonts w:asciiTheme="majorBidi" w:hAnsiTheme="majorBidi" w:cstheme="majorBidi"/>
                <w:kern w:val="22"/>
                <w:sz w:val="20"/>
                <w:szCs w:val="20"/>
              </w:rPr>
              <w:t>)</w:t>
            </w:r>
          </w:p>
        </w:tc>
        <w:tc>
          <w:tcPr>
            <w:tcW w:w="1506" w:type="dxa"/>
            <w:vAlign w:val="bottom"/>
          </w:tcPr>
          <w:p w14:paraId="6D938BD4" w14:textId="5222797F" w:rsidR="007627A5" w:rsidRPr="00D2758E" w:rsidRDefault="007627A5" w:rsidP="0063243D">
            <w:pPr>
              <w:suppressLineNumbers/>
              <w:suppressAutoHyphens/>
              <w:kinsoku w:val="0"/>
              <w:overflowPunct w:val="0"/>
              <w:autoSpaceDE w:val="0"/>
              <w:autoSpaceDN w:val="0"/>
              <w:adjustRightInd w:val="0"/>
              <w:snapToGrid w:val="0"/>
              <w:jc w:val="right"/>
              <w:rPr>
                <w:rFonts w:asciiTheme="majorBidi" w:hAnsiTheme="majorBidi" w:cstheme="majorBidi"/>
                <w:kern w:val="22"/>
                <w:sz w:val="20"/>
                <w:szCs w:val="20"/>
                <w:highlight w:val="yellow"/>
              </w:rPr>
            </w:pPr>
            <w:r w:rsidRPr="00D2758E">
              <w:rPr>
                <w:rFonts w:asciiTheme="majorBidi" w:hAnsiTheme="majorBidi" w:cstheme="majorBidi"/>
                <w:kern w:val="22"/>
                <w:sz w:val="20"/>
                <w:szCs w:val="20"/>
              </w:rPr>
              <w:t>81 (57</w:t>
            </w:r>
            <w:r w:rsidR="0084523B">
              <w:rPr>
                <w:rFonts w:asciiTheme="majorBidi" w:hAnsiTheme="majorBidi" w:cstheme="majorBidi"/>
                <w:kern w:val="22"/>
                <w:sz w:val="20"/>
                <w:szCs w:val="20"/>
              </w:rPr>
              <w:t xml:space="preserve"> per cent</w:t>
            </w:r>
            <w:r w:rsidRPr="00D2758E">
              <w:rPr>
                <w:rFonts w:asciiTheme="majorBidi" w:hAnsiTheme="majorBidi" w:cstheme="majorBidi"/>
                <w:kern w:val="22"/>
                <w:sz w:val="20"/>
                <w:szCs w:val="20"/>
              </w:rPr>
              <w:t>)</w:t>
            </w:r>
          </w:p>
        </w:tc>
      </w:tr>
      <w:tr w:rsidR="007627A5" w:rsidRPr="00D2758E" w14:paraId="5E65B27F" w14:textId="77777777" w:rsidTr="006B066D">
        <w:trPr>
          <w:cantSplit/>
        </w:trPr>
        <w:tc>
          <w:tcPr>
            <w:tcW w:w="5803" w:type="dxa"/>
            <w:tcBorders>
              <w:top w:val="single" w:sz="4" w:space="0" w:color="auto"/>
              <w:left w:val="single" w:sz="4" w:space="0" w:color="auto"/>
              <w:bottom w:val="single" w:sz="4" w:space="0" w:color="auto"/>
              <w:right w:val="single" w:sz="4" w:space="0" w:color="auto"/>
            </w:tcBorders>
            <w:tcMar>
              <w:top w:w="29" w:type="dxa"/>
              <w:left w:w="115" w:type="dxa"/>
              <w:bottom w:w="29" w:type="dxa"/>
              <w:right w:w="115" w:type="dxa"/>
            </w:tcMar>
            <w:hideMark/>
          </w:tcPr>
          <w:p w14:paraId="469B9D4E" w14:textId="1D36E438" w:rsidR="007627A5" w:rsidRPr="00D2758E" w:rsidRDefault="007627A5" w:rsidP="006B066D">
            <w:pPr>
              <w:suppressLineNumbers/>
              <w:suppressAutoHyphens/>
              <w:kinsoku w:val="0"/>
              <w:overflowPunct w:val="0"/>
              <w:autoSpaceDE w:val="0"/>
              <w:autoSpaceDN w:val="0"/>
              <w:adjustRightInd w:val="0"/>
              <w:snapToGrid w:val="0"/>
              <w:jc w:val="left"/>
              <w:rPr>
                <w:rFonts w:asciiTheme="majorBidi" w:eastAsia="Malgun Gothic" w:hAnsiTheme="majorBidi" w:cstheme="majorBidi"/>
                <w:kern w:val="22"/>
                <w:sz w:val="20"/>
                <w:szCs w:val="20"/>
              </w:rPr>
            </w:pPr>
            <w:r w:rsidRPr="00D2758E">
              <w:rPr>
                <w:rFonts w:asciiTheme="majorBidi" w:eastAsia="Malgun Gothic" w:hAnsiTheme="majorBidi" w:cstheme="majorBidi"/>
                <w:kern w:val="22"/>
                <w:sz w:val="20"/>
                <w:szCs w:val="20"/>
              </w:rPr>
              <w:t>Number and percentage of Parties that have taken into consideration the need for expeditious access to genetic resources and expeditious fair and equitable sharing of benefits arising out of the use of such genetic resources as provided in Article 8</w:t>
            </w:r>
            <w:r w:rsidR="0063243D">
              <w:rPr>
                <w:rFonts w:asciiTheme="majorBidi" w:eastAsia="Malgun Gothic" w:hAnsiTheme="majorBidi" w:cstheme="majorBidi"/>
                <w:kern w:val="22"/>
                <w:sz w:val="20"/>
                <w:szCs w:val="20"/>
              </w:rPr>
              <w:t> </w:t>
            </w:r>
            <w:r w:rsidRPr="00D2758E">
              <w:rPr>
                <w:rFonts w:asciiTheme="majorBidi" w:eastAsia="Malgun Gothic" w:hAnsiTheme="majorBidi" w:cstheme="majorBidi"/>
                <w:kern w:val="22"/>
                <w:sz w:val="20"/>
                <w:szCs w:val="20"/>
              </w:rPr>
              <w:t>(b)</w:t>
            </w:r>
          </w:p>
        </w:tc>
        <w:tc>
          <w:tcPr>
            <w:tcW w:w="1829" w:type="dxa"/>
            <w:tcBorders>
              <w:top w:val="single" w:sz="4" w:space="0" w:color="auto"/>
              <w:left w:val="single" w:sz="4" w:space="0" w:color="auto"/>
              <w:bottom w:val="single" w:sz="4" w:space="0" w:color="auto"/>
              <w:right w:val="single" w:sz="4" w:space="0" w:color="auto"/>
            </w:tcBorders>
            <w:tcMar>
              <w:top w:w="29" w:type="dxa"/>
              <w:left w:w="115" w:type="dxa"/>
              <w:bottom w:w="29" w:type="dxa"/>
              <w:right w:w="115" w:type="dxa"/>
            </w:tcMar>
            <w:vAlign w:val="bottom"/>
            <w:hideMark/>
          </w:tcPr>
          <w:p w14:paraId="5AEE8802" w14:textId="0F9BDB06" w:rsidR="007627A5" w:rsidRPr="00D2758E" w:rsidRDefault="007627A5" w:rsidP="00416FDE">
            <w:pPr>
              <w:suppressLineNumbers/>
              <w:suppressAutoHyphens/>
              <w:kinsoku w:val="0"/>
              <w:overflowPunct w:val="0"/>
              <w:autoSpaceDE w:val="0"/>
              <w:autoSpaceDN w:val="0"/>
              <w:adjustRightInd w:val="0"/>
              <w:snapToGrid w:val="0"/>
              <w:jc w:val="right"/>
              <w:rPr>
                <w:rFonts w:asciiTheme="majorBidi" w:hAnsiTheme="majorBidi" w:cstheme="majorBidi"/>
                <w:kern w:val="22"/>
                <w:sz w:val="20"/>
                <w:szCs w:val="20"/>
              </w:rPr>
            </w:pPr>
            <w:r w:rsidRPr="00D2758E">
              <w:rPr>
                <w:rFonts w:asciiTheme="majorBidi" w:hAnsiTheme="majorBidi" w:cstheme="majorBidi"/>
                <w:kern w:val="22"/>
                <w:sz w:val="20"/>
                <w:szCs w:val="20"/>
              </w:rPr>
              <w:t>26 (25</w:t>
            </w:r>
            <w:r w:rsidR="0084523B">
              <w:rPr>
                <w:rFonts w:asciiTheme="majorBidi" w:hAnsiTheme="majorBidi" w:cstheme="majorBidi"/>
                <w:kern w:val="22"/>
                <w:sz w:val="20"/>
                <w:szCs w:val="20"/>
              </w:rPr>
              <w:t xml:space="preserve"> per cent</w:t>
            </w:r>
            <w:r w:rsidRPr="00D2758E">
              <w:rPr>
                <w:rFonts w:asciiTheme="majorBidi" w:hAnsiTheme="majorBidi" w:cstheme="majorBidi"/>
                <w:kern w:val="22"/>
                <w:sz w:val="20"/>
                <w:szCs w:val="20"/>
              </w:rPr>
              <w:t>)</w:t>
            </w:r>
          </w:p>
        </w:tc>
        <w:tc>
          <w:tcPr>
            <w:tcW w:w="1506" w:type="dxa"/>
            <w:vAlign w:val="bottom"/>
          </w:tcPr>
          <w:p w14:paraId="0BE4AA4B" w14:textId="692E3F82" w:rsidR="007627A5" w:rsidRPr="00D2758E" w:rsidRDefault="007627A5" w:rsidP="0063243D">
            <w:pPr>
              <w:suppressLineNumbers/>
              <w:suppressAutoHyphens/>
              <w:kinsoku w:val="0"/>
              <w:overflowPunct w:val="0"/>
              <w:autoSpaceDE w:val="0"/>
              <w:autoSpaceDN w:val="0"/>
              <w:adjustRightInd w:val="0"/>
              <w:snapToGrid w:val="0"/>
              <w:jc w:val="right"/>
              <w:rPr>
                <w:rFonts w:asciiTheme="majorBidi" w:hAnsiTheme="majorBidi" w:cstheme="majorBidi"/>
                <w:kern w:val="22"/>
                <w:sz w:val="20"/>
                <w:szCs w:val="20"/>
              </w:rPr>
            </w:pPr>
            <w:r w:rsidRPr="00D2758E">
              <w:rPr>
                <w:rFonts w:asciiTheme="majorBidi" w:hAnsiTheme="majorBidi" w:cstheme="majorBidi"/>
                <w:kern w:val="22"/>
                <w:sz w:val="20"/>
                <w:szCs w:val="20"/>
              </w:rPr>
              <w:t>42 (30</w:t>
            </w:r>
            <w:r w:rsidR="0084523B">
              <w:rPr>
                <w:rFonts w:asciiTheme="majorBidi" w:hAnsiTheme="majorBidi" w:cstheme="majorBidi"/>
                <w:kern w:val="22"/>
                <w:sz w:val="20"/>
                <w:szCs w:val="20"/>
              </w:rPr>
              <w:t xml:space="preserve"> per cent</w:t>
            </w:r>
            <w:r w:rsidRPr="00D2758E">
              <w:rPr>
                <w:rFonts w:asciiTheme="majorBidi" w:hAnsiTheme="majorBidi" w:cstheme="majorBidi"/>
                <w:kern w:val="22"/>
                <w:sz w:val="20"/>
                <w:szCs w:val="20"/>
              </w:rPr>
              <w:t>)</w:t>
            </w:r>
          </w:p>
        </w:tc>
      </w:tr>
      <w:tr w:rsidR="007627A5" w:rsidRPr="00D2758E" w14:paraId="1406E05F" w14:textId="77777777" w:rsidTr="006B066D">
        <w:trPr>
          <w:cantSplit/>
        </w:trPr>
        <w:tc>
          <w:tcPr>
            <w:tcW w:w="5803" w:type="dxa"/>
            <w:tcBorders>
              <w:top w:val="single" w:sz="4" w:space="0" w:color="auto"/>
              <w:left w:val="single" w:sz="4" w:space="0" w:color="auto"/>
              <w:bottom w:val="single" w:sz="4" w:space="0" w:color="auto"/>
              <w:right w:val="single" w:sz="4" w:space="0" w:color="auto"/>
            </w:tcBorders>
            <w:tcMar>
              <w:top w:w="29" w:type="dxa"/>
              <w:left w:w="115" w:type="dxa"/>
              <w:bottom w:w="29" w:type="dxa"/>
              <w:right w:w="115" w:type="dxa"/>
            </w:tcMar>
            <w:hideMark/>
          </w:tcPr>
          <w:p w14:paraId="7E7D9543" w14:textId="5D3DC042" w:rsidR="007627A5" w:rsidRPr="00D2758E" w:rsidRDefault="007627A5" w:rsidP="006B066D">
            <w:pPr>
              <w:suppressLineNumbers/>
              <w:suppressAutoHyphens/>
              <w:kinsoku w:val="0"/>
              <w:overflowPunct w:val="0"/>
              <w:autoSpaceDE w:val="0"/>
              <w:autoSpaceDN w:val="0"/>
              <w:adjustRightInd w:val="0"/>
              <w:snapToGrid w:val="0"/>
              <w:jc w:val="left"/>
              <w:rPr>
                <w:rFonts w:asciiTheme="majorBidi" w:hAnsiTheme="majorBidi" w:cstheme="majorBidi"/>
                <w:kern w:val="22"/>
                <w:sz w:val="20"/>
                <w:szCs w:val="20"/>
              </w:rPr>
            </w:pPr>
            <w:r w:rsidRPr="00D2758E">
              <w:rPr>
                <w:rFonts w:asciiTheme="majorBidi" w:eastAsia="Malgun Gothic" w:hAnsiTheme="majorBidi" w:cstheme="majorBidi"/>
                <w:kern w:val="22"/>
                <w:sz w:val="20"/>
                <w:szCs w:val="20"/>
              </w:rPr>
              <w:t xml:space="preserve">Number and percentage </w:t>
            </w:r>
            <w:r w:rsidRPr="00D2758E">
              <w:rPr>
                <w:rFonts w:asciiTheme="majorBidi" w:hAnsiTheme="majorBidi" w:cstheme="majorBidi"/>
                <w:kern w:val="22"/>
                <w:sz w:val="20"/>
                <w:szCs w:val="20"/>
              </w:rPr>
              <w:t>of Parties that have taken into consideration the importance of genetic resources for food and agriculture and their special role for food security as provided in Article 8</w:t>
            </w:r>
            <w:r w:rsidR="0063243D">
              <w:rPr>
                <w:rFonts w:asciiTheme="majorBidi" w:hAnsiTheme="majorBidi" w:cstheme="majorBidi"/>
                <w:kern w:val="22"/>
                <w:sz w:val="20"/>
                <w:szCs w:val="20"/>
              </w:rPr>
              <w:t> </w:t>
            </w:r>
            <w:r w:rsidRPr="00D2758E">
              <w:rPr>
                <w:rFonts w:asciiTheme="majorBidi" w:hAnsiTheme="majorBidi" w:cstheme="majorBidi"/>
                <w:kern w:val="22"/>
                <w:sz w:val="20"/>
                <w:szCs w:val="20"/>
              </w:rPr>
              <w:t>(c)</w:t>
            </w:r>
          </w:p>
        </w:tc>
        <w:tc>
          <w:tcPr>
            <w:tcW w:w="1829" w:type="dxa"/>
            <w:tcBorders>
              <w:top w:val="single" w:sz="4" w:space="0" w:color="auto"/>
              <w:left w:val="single" w:sz="4" w:space="0" w:color="auto"/>
              <w:bottom w:val="single" w:sz="4" w:space="0" w:color="auto"/>
              <w:right w:val="single" w:sz="4" w:space="0" w:color="auto"/>
            </w:tcBorders>
            <w:tcMar>
              <w:top w:w="29" w:type="dxa"/>
              <w:left w:w="115" w:type="dxa"/>
              <w:bottom w:w="29" w:type="dxa"/>
              <w:right w:w="115" w:type="dxa"/>
            </w:tcMar>
            <w:vAlign w:val="bottom"/>
            <w:hideMark/>
          </w:tcPr>
          <w:p w14:paraId="32D43775" w14:textId="2E473F43" w:rsidR="007627A5" w:rsidRPr="00D2758E" w:rsidRDefault="007627A5" w:rsidP="00416FDE">
            <w:pPr>
              <w:suppressLineNumbers/>
              <w:suppressAutoHyphens/>
              <w:kinsoku w:val="0"/>
              <w:overflowPunct w:val="0"/>
              <w:autoSpaceDE w:val="0"/>
              <w:autoSpaceDN w:val="0"/>
              <w:adjustRightInd w:val="0"/>
              <w:snapToGrid w:val="0"/>
              <w:jc w:val="right"/>
              <w:rPr>
                <w:rFonts w:asciiTheme="majorBidi" w:hAnsiTheme="majorBidi" w:cstheme="majorBidi"/>
                <w:kern w:val="22"/>
                <w:sz w:val="20"/>
                <w:szCs w:val="20"/>
              </w:rPr>
            </w:pPr>
            <w:r w:rsidRPr="00D2758E">
              <w:rPr>
                <w:rFonts w:asciiTheme="majorBidi" w:hAnsiTheme="majorBidi" w:cstheme="majorBidi"/>
                <w:kern w:val="22"/>
                <w:sz w:val="20"/>
                <w:szCs w:val="20"/>
              </w:rPr>
              <w:t>48 (46</w:t>
            </w:r>
            <w:r w:rsidR="0084523B">
              <w:rPr>
                <w:rFonts w:asciiTheme="majorBidi" w:hAnsiTheme="majorBidi" w:cstheme="majorBidi"/>
                <w:kern w:val="22"/>
                <w:sz w:val="20"/>
                <w:szCs w:val="20"/>
              </w:rPr>
              <w:t xml:space="preserve"> per cent</w:t>
            </w:r>
            <w:r w:rsidRPr="00D2758E">
              <w:rPr>
                <w:rFonts w:asciiTheme="majorBidi" w:hAnsiTheme="majorBidi" w:cstheme="majorBidi"/>
                <w:kern w:val="22"/>
                <w:sz w:val="20"/>
                <w:szCs w:val="20"/>
              </w:rPr>
              <w:t>)</w:t>
            </w:r>
          </w:p>
        </w:tc>
        <w:tc>
          <w:tcPr>
            <w:tcW w:w="1506" w:type="dxa"/>
            <w:vAlign w:val="bottom"/>
          </w:tcPr>
          <w:p w14:paraId="126050C2" w14:textId="7E52A96E" w:rsidR="007627A5" w:rsidRPr="00D2758E" w:rsidRDefault="007627A5" w:rsidP="0063243D">
            <w:pPr>
              <w:suppressLineNumbers/>
              <w:suppressAutoHyphens/>
              <w:kinsoku w:val="0"/>
              <w:overflowPunct w:val="0"/>
              <w:autoSpaceDE w:val="0"/>
              <w:autoSpaceDN w:val="0"/>
              <w:adjustRightInd w:val="0"/>
              <w:snapToGrid w:val="0"/>
              <w:jc w:val="right"/>
              <w:rPr>
                <w:rFonts w:asciiTheme="majorBidi" w:hAnsiTheme="majorBidi" w:cstheme="majorBidi"/>
                <w:kern w:val="22"/>
                <w:sz w:val="20"/>
                <w:szCs w:val="20"/>
              </w:rPr>
            </w:pPr>
            <w:r w:rsidRPr="00D2758E">
              <w:rPr>
                <w:rFonts w:asciiTheme="majorBidi" w:hAnsiTheme="majorBidi" w:cstheme="majorBidi"/>
                <w:kern w:val="22"/>
                <w:sz w:val="20"/>
                <w:szCs w:val="20"/>
              </w:rPr>
              <w:t>85 (60</w:t>
            </w:r>
            <w:r w:rsidR="0084523B">
              <w:rPr>
                <w:rFonts w:asciiTheme="majorBidi" w:hAnsiTheme="majorBidi" w:cstheme="majorBidi"/>
                <w:kern w:val="22"/>
                <w:sz w:val="20"/>
                <w:szCs w:val="20"/>
              </w:rPr>
              <w:t xml:space="preserve"> per cent</w:t>
            </w:r>
            <w:r w:rsidRPr="00D2758E">
              <w:rPr>
                <w:rFonts w:asciiTheme="majorBidi" w:hAnsiTheme="majorBidi" w:cstheme="majorBidi"/>
                <w:kern w:val="22"/>
                <w:sz w:val="20"/>
                <w:szCs w:val="20"/>
              </w:rPr>
              <w:t>)</w:t>
            </w:r>
          </w:p>
        </w:tc>
      </w:tr>
    </w:tbl>
    <w:p w14:paraId="26DB6136" w14:textId="2EFB8EDF" w:rsidR="00F937E5" w:rsidRPr="00D2758E" w:rsidRDefault="00762797" w:rsidP="00762797">
      <w:pPr>
        <w:pStyle w:val="CBDH4"/>
      </w:pPr>
      <w:r>
        <w:t>(b)</w:t>
      </w:r>
      <w:r>
        <w:tab/>
      </w:r>
      <w:r w:rsidR="00902A42" w:rsidRPr="00D2758E">
        <w:t xml:space="preserve">Challenges, root causes and possible ways to enhance measures related to special considerations </w:t>
      </w:r>
      <w:r w:rsidR="00B221AD" w:rsidRPr="00D2758E">
        <w:t>under Article 8 of the Protocol</w:t>
      </w:r>
    </w:p>
    <w:p w14:paraId="621F9E1F" w14:textId="0E16B5CA" w:rsidR="008E140D" w:rsidRPr="00D2758E" w:rsidRDefault="003D168B" w:rsidP="00CD2C50">
      <w:pPr>
        <w:pStyle w:val="CBDNormalNumber"/>
        <w:rPr>
          <w:rFonts w:asciiTheme="majorBidi" w:hAnsiTheme="majorBidi" w:cstheme="majorBidi"/>
        </w:rPr>
      </w:pPr>
      <w:r w:rsidRPr="00D2758E">
        <w:rPr>
          <w:rFonts w:asciiTheme="majorBidi" w:hAnsiTheme="majorBidi" w:cstheme="majorBidi"/>
        </w:rPr>
        <w:t xml:space="preserve">Some of the challenges mentioned in section </w:t>
      </w:r>
      <w:r w:rsidR="00DF5510" w:rsidRPr="00D2758E">
        <w:rPr>
          <w:rFonts w:asciiTheme="majorBidi" w:hAnsiTheme="majorBidi" w:cstheme="majorBidi"/>
        </w:rPr>
        <w:t xml:space="preserve">III.A.3 above </w:t>
      </w:r>
      <w:r w:rsidRPr="00D2758E">
        <w:rPr>
          <w:rFonts w:asciiTheme="majorBidi" w:hAnsiTheme="majorBidi" w:cstheme="majorBidi"/>
        </w:rPr>
        <w:t>on measures on</w:t>
      </w:r>
      <w:r w:rsidR="00CD46EA" w:rsidRPr="00D2758E">
        <w:rPr>
          <w:rFonts w:asciiTheme="majorBidi" w:hAnsiTheme="majorBidi" w:cstheme="majorBidi"/>
        </w:rPr>
        <w:t xml:space="preserve"> </w:t>
      </w:r>
      <w:r w:rsidRPr="00D2758E">
        <w:rPr>
          <w:rFonts w:asciiTheme="majorBidi" w:hAnsiTheme="majorBidi" w:cstheme="majorBidi"/>
        </w:rPr>
        <w:t xml:space="preserve">access </w:t>
      </w:r>
      <w:r w:rsidR="00CD46EA" w:rsidRPr="00D2758E">
        <w:rPr>
          <w:rFonts w:asciiTheme="majorBidi" w:hAnsiTheme="majorBidi" w:cstheme="majorBidi"/>
        </w:rPr>
        <w:t xml:space="preserve">to genetic </w:t>
      </w:r>
      <w:r w:rsidR="008C1E91" w:rsidRPr="00D2758E">
        <w:rPr>
          <w:rFonts w:asciiTheme="majorBidi" w:hAnsiTheme="majorBidi" w:cstheme="majorBidi"/>
        </w:rPr>
        <w:t>resources</w:t>
      </w:r>
      <w:r w:rsidR="009931E9" w:rsidRPr="00D2758E">
        <w:rPr>
          <w:rFonts w:asciiTheme="majorBidi" w:hAnsiTheme="majorBidi" w:cstheme="majorBidi"/>
        </w:rPr>
        <w:t xml:space="preserve"> </w:t>
      </w:r>
      <w:r w:rsidR="008C1E91" w:rsidRPr="00D2758E">
        <w:rPr>
          <w:rFonts w:asciiTheme="majorBidi" w:hAnsiTheme="majorBidi" w:cstheme="majorBidi"/>
        </w:rPr>
        <w:t>are</w:t>
      </w:r>
      <w:r w:rsidR="008724EB" w:rsidRPr="00D2758E">
        <w:rPr>
          <w:rFonts w:asciiTheme="majorBidi" w:hAnsiTheme="majorBidi" w:cstheme="majorBidi"/>
        </w:rPr>
        <w:t xml:space="preserve"> </w:t>
      </w:r>
      <w:r w:rsidR="008724EB" w:rsidRPr="00D2758E">
        <w:t>also</w:t>
      </w:r>
      <w:r w:rsidR="008C1E91" w:rsidRPr="00D2758E">
        <w:rPr>
          <w:rFonts w:asciiTheme="majorBidi" w:hAnsiTheme="majorBidi" w:cstheme="majorBidi"/>
        </w:rPr>
        <w:t xml:space="preserve"> relevant t</w:t>
      </w:r>
      <w:r w:rsidR="005726F8" w:rsidRPr="00D2758E">
        <w:rPr>
          <w:rFonts w:asciiTheme="majorBidi" w:hAnsiTheme="majorBidi" w:cstheme="majorBidi"/>
        </w:rPr>
        <w:t xml:space="preserve">o implementing special considerations under </w:t>
      </w:r>
      <w:r w:rsidR="00C726F9" w:rsidRPr="00D2758E">
        <w:rPr>
          <w:rFonts w:asciiTheme="majorBidi" w:hAnsiTheme="majorBidi" w:cstheme="majorBidi"/>
        </w:rPr>
        <w:t>Article 8 of the Protocol.</w:t>
      </w:r>
    </w:p>
    <w:p w14:paraId="380FC45D" w14:textId="475BFAC3" w:rsidR="002C196D" w:rsidRPr="00D2758E" w:rsidRDefault="00F066F3" w:rsidP="00CD2C50">
      <w:pPr>
        <w:pStyle w:val="CBDNormalNumber"/>
        <w:rPr>
          <w:rFonts w:asciiTheme="majorBidi" w:hAnsiTheme="majorBidi" w:cstheme="majorBidi"/>
        </w:rPr>
      </w:pPr>
      <w:r>
        <w:rPr>
          <w:rFonts w:asciiTheme="majorBidi" w:hAnsiTheme="majorBidi" w:cstheme="majorBidi"/>
        </w:rPr>
        <w:lastRenderedPageBreak/>
        <w:t>T</w:t>
      </w:r>
      <w:r w:rsidR="006C4CC5" w:rsidRPr="00D2758E">
        <w:rPr>
          <w:rFonts w:asciiTheme="majorBidi" w:hAnsiTheme="majorBidi" w:cstheme="majorBidi"/>
        </w:rPr>
        <w:t xml:space="preserve">he </w:t>
      </w:r>
      <w:r w:rsidR="0088001D" w:rsidRPr="00D2758E">
        <w:rPr>
          <w:rFonts w:asciiTheme="majorBidi" w:hAnsiTheme="majorBidi" w:cstheme="majorBidi"/>
        </w:rPr>
        <w:t xml:space="preserve">scoping </w:t>
      </w:r>
      <w:r w:rsidR="006C4CC5" w:rsidRPr="00D2758E">
        <w:rPr>
          <w:rFonts w:asciiTheme="majorBidi" w:hAnsiTheme="majorBidi" w:cstheme="majorBidi"/>
        </w:rPr>
        <w:t>study include</w:t>
      </w:r>
      <w:r>
        <w:rPr>
          <w:rFonts w:asciiTheme="majorBidi" w:hAnsiTheme="majorBidi" w:cstheme="majorBidi"/>
        </w:rPr>
        <w:t>d</w:t>
      </w:r>
      <w:r w:rsidR="006C4CC5" w:rsidRPr="00D2758E">
        <w:rPr>
          <w:rFonts w:asciiTheme="majorBidi" w:hAnsiTheme="majorBidi" w:cstheme="majorBidi"/>
        </w:rPr>
        <w:t xml:space="preserve"> </w:t>
      </w:r>
      <w:r>
        <w:rPr>
          <w:rFonts w:asciiTheme="majorBidi" w:hAnsiTheme="majorBidi" w:cstheme="majorBidi"/>
        </w:rPr>
        <w:t xml:space="preserve">information on </w:t>
      </w:r>
      <w:r w:rsidR="0088001D" w:rsidRPr="00D2758E">
        <w:rPr>
          <w:rFonts w:asciiTheme="majorBidi" w:hAnsiTheme="majorBidi" w:cstheme="majorBidi"/>
        </w:rPr>
        <w:t xml:space="preserve">concerns </w:t>
      </w:r>
      <w:r>
        <w:rPr>
          <w:rFonts w:asciiTheme="majorBidi" w:hAnsiTheme="majorBidi" w:cstheme="majorBidi"/>
        </w:rPr>
        <w:t>of</w:t>
      </w:r>
      <w:r w:rsidR="0088001D" w:rsidRPr="00D2758E">
        <w:rPr>
          <w:rFonts w:asciiTheme="majorBidi" w:hAnsiTheme="majorBidi" w:cstheme="majorBidi"/>
        </w:rPr>
        <w:t xml:space="preserve"> users</w:t>
      </w:r>
      <w:r w:rsidR="00C726F9" w:rsidRPr="00D2758E">
        <w:rPr>
          <w:rFonts w:asciiTheme="majorBidi" w:hAnsiTheme="majorBidi" w:cstheme="majorBidi"/>
        </w:rPr>
        <w:t xml:space="preserve"> on th</w:t>
      </w:r>
      <w:r>
        <w:rPr>
          <w:rFonts w:asciiTheme="majorBidi" w:hAnsiTheme="majorBidi" w:cstheme="majorBidi"/>
        </w:rPr>
        <w:t>at</w:t>
      </w:r>
      <w:r w:rsidR="00C726F9" w:rsidRPr="00D2758E">
        <w:rPr>
          <w:rFonts w:asciiTheme="majorBidi" w:hAnsiTheme="majorBidi" w:cstheme="majorBidi"/>
        </w:rPr>
        <w:t xml:space="preserve"> matter</w:t>
      </w:r>
      <w:r w:rsidR="0088001D" w:rsidRPr="00D2758E">
        <w:rPr>
          <w:rFonts w:asciiTheme="majorBidi" w:hAnsiTheme="majorBidi" w:cstheme="majorBidi"/>
        </w:rPr>
        <w:t>.</w:t>
      </w:r>
      <w:r w:rsidR="00372BD8" w:rsidRPr="00D2758E">
        <w:rPr>
          <w:rStyle w:val="FootnoteReference"/>
          <w:rFonts w:asciiTheme="majorBidi" w:hAnsiTheme="majorBidi" w:cstheme="majorBidi"/>
        </w:rPr>
        <w:footnoteReference w:id="40"/>
      </w:r>
      <w:r w:rsidR="008E140D" w:rsidRPr="00D2758E">
        <w:rPr>
          <w:rFonts w:asciiTheme="majorBidi" w:hAnsiTheme="majorBidi" w:cstheme="majorBidi"/>
        </w:rPr>
        <w:t xml:space="preserve"> Users from the scientific community </w:t>
      </w:r>
      <w:r w:rsidR="008E140D" w:rsidRPr="00D2758E">
        <w:t>expressed</w:t>
      </w:r>
      <w:r w:rsidR="008E140D" w:rsidRPr="00D2758E">
        <w:rPr>
          <w:rFonts w:asciiTheme="majorBidi" w:hAnsiTheme="majorBidi" w:cstheme="majorBidi"/>
        </w:rPr>
        <w:t xml:space="preserve"> concern </w:t>
      </w:r>
      <w:r w:rsidR="00A55B33">
        <w:rPr>
          <w:rFonts w:asciiTheme="majorBidi" w:hAnsiTheme="majorBidi" w:cstheme="majorBidi"/>
        </w:rPr>
        <w:t xml:space="preserve">regarding </w:t>
      </w:r>
      <w:r w:rsidR="008E140D" w:rsidRPr="00D2758E">
        <w:rPr>
          <w:rFonts w:asciiTheme="majorBidi" w:hAnsiTheme="majorBidi" w:cstheme="majorBidi"/>
        </w:rPr>
        <w:t xml:space="preserve">the limited application of simplified measures on access for non-commercial research purposes in accordance with Article 8 (a) of the Protocol.  </w:t>
      </w:r>
    </w:p>
    <w:p w14:paraId="0AC40B9D" w14:textId="3AE18108" w:rsidR="00072B2E" w:rsidRPr="00D2758E" w:rsidRDefault="00137233" w:rsidP="00CD2C50">
      <w:pPr>
        <w:pStyle w:val="CBDNormalNumber"/>
        <w:rPr>
          <w:rFonts w:asciiTheme="majorBidi" w:hAnsiTheme="majorBidi" w:cstheme="majorBidi"/>
        </w:rPr>
      </w:pPr>
      <w:r>
        <w:rPr>
          <w:rFonts w:asciiTheme="majorBidi" w:hAnsiTheme="majorBidi" w:cstheme="majorBidi"/>
        </w:rPr>
        <w:t>Such</w:t>
      </w:r>
      <w:r w:rsidR="00776488" w:rsidRPr="00D2758E">
        <w:rPr>
          <w:rFonts w:asciiTheme="majorBidi" w:hAnsiTheme="majorBidi" w:cstheme="majorBidi"/>
        </w:rPr>
        <w:t xml:space="preserve"> reluctance </w:t>
      </w:r>
      <w:r w:rsidR="00DE31E4">
        <w:rPr>
          <w:rFonts w:asciiTheme="majorBidi" w:hAnsiTheme="majorBidi" w:cstheme="majorBidi"/>
        </w:rPr>
        <w:t>could</w:t>
      </w:r>
      <w:r w:rsidR="00776488" w:rsidRPr="00D2758E">
        <w:rPr>
          <w:rFonts w:asciiTheme="majorBidi" w:hAnsiTheme="majorBidi" w:cstheme="majorBidi"/>
        </w:rPr>
        <w:t xml:space="preserve"> be explained by </w:t>
      </w:r>
      <w:proofErr w:type="gramStart"/>
      <w:r w:rsidRPr="00D2758E">
        <w:rPr>
          <w:rFonts w:asciiTheme="majorBidi" w:hAnsiTheme="majorBidi" w:cstheme="majorBidi"/>
        </w:rPr>
        <w:t>providers</w:t>
      </w:r>
      <w:r>
        <w:rPr>
          <w:rFonts w:asciiTheme="majorBidi" w:hAnsiTheme="majorBidi" w:cstheme="majorBidi"/>
        </w:rPr>
        <w:t>’</w:t>
      </w:r>
      <w:proofErr w:type="gramEnd"/>
      <w:r w:rsidR="00776488" w:rsidRPr="00D2758E">
        <w:rPr>
          <w:rFonts w:asciiTheme="majorBidi" w:hAnsiTheme="majorBidi" w:cstheme="majorBidi"/>
        </w:rPr>
        <w:t xml:space="preserve"> continued concern that material accessed for </w:t>
      </w:r>
      <w:r w:rsidR="004A66B7" w:rsidRPr="00D2758E">
        <w:rPr>
          <w:rFonts w:asciiTheme="majorBidi" w:hAnsiTheme="majorBidi" w:cstheme="majorBidi"/>
        </w:rPr>
        <w:t xml:space="preserve">non-commercial </w:t>
      </w:r>
      <w:r w:rsidR="00776488" w:rsidRPr="00D2758E">
        <w:rPr>
          <w:rFonts w:asciiTheme="majorBidi" w:hAnsiTheme="majorBidi" w:cstheme="majorBidi"/>
        </w:rPr>
        <w:t>research purposes m</w:t>
      </w:r>
      <w:r w:rsidR="00D763C8">
        <w:rPr>
          <w:rFonts w:asciiTheme="majorBidi" w:hAnsiTheme="majorBidi" w:cstheme="majorBidi"/>
        </w:rPr>
        <w:t>ight</w:t>
      </w:r>
      <w:r w:rsidR="00776488" w:rsidRPr="00D2758E">
        <w:rPr>
          <w:rFonts w:asciiTheme="majorBidi" w:hAnsiTheme="majorBidi" w:cstheme="majorBidi"/>
        </w:rPr>
        <w:t xml:space="preserve"> eventually be used by third parties for commercial purposes. Providers may not trust that the user will return when there is a change of intent or that terms regarding </w:t>
      </w:r>
      <w:r w:rsidR="00776488" w:rsidRPr="00D2758E">
        <w:t>transfer</w:t>
      </w:r>
      <w:r w:rsidR="00776488" w:rsidRPr="00D2758E">
        <w:rPr>
          <w:rFonts w:asciiTheme="majorBidi" w:hAnsiTheme="majorBidi" w:cstheme="majorBidi"/>
        </w:rPr>
        <w:t xml:space="preserve"> to third parties will be respected </w:t>
      </w:r>
    </w:p>
    <w:p w14:paraId="49BD69C7" w14:textId="3F8FBC0D" w:rsidR="00286075" w:rsidRPr="00D2758E" w:rsidRDefault="00372BD8" w:rsidP="00CD2C50">
      <w:pPr>
        <w:pStyle w:val="CBDNormalNumber"/>
        <w:rPr>
          <w:rFonts w:asciiTheme="majorBidi" w:hAnsiTheme="majorBidi" w:cstheme="majorBidi"/>
        </w:rPr>
      </w:pPr>
      <w:r w:rsidRPr="00D2758E">
        <w:rPr>
          <w:rFonts w:asciiTheme="majorBidi" w:hAnsiTheme="majorBidi" w:cstheme="majorBidi"/>
        </w:rPr>
        <w:t xml:space="preserve"> </w:t>
      </w:r>
      <w:r w:rsidR="009648EC">
        <w:rPr>
          <w:rFonts w:asciiTheme="majorBidi" w:hAnsiTheme="majorBidi" w:cstheme="majorBidi"/>
        </w:rPr>
        <w:t>As indicated i</w:t>
      </w:r>
      <w:r w:rsidRPr="00D2758E">
        <w:rPr>
          <w:rFonts w:asciiTheme="majorBidi" w:hAnsiTheme="majorBidi" w:cstheme="majorBidi"/>
        </w:rPr>
        <w:t>n the targeted surveys</w:t>
      </w:r>
      <w:r w:rsidR="008F6BA6" w:rsidRPr="00D2758E">
        <w:rPr>
          <w:rFonts w:asciiTheme="majorBidi" w:hAnsiTheme="majorBidi" w:cstheme="majorBidi"/>
        </w:rPr>
        <w:t>,</w:t>
      </w:r>
      <w:r w:rsidRPr="00D2758E">
        <w:rPr>
          <w:rFonts w:asciiTheme="majorBidi" w:hAnsiTheme="majorBidi" w:cstheme="majorBidi"/>
        </w:rPr>
        <w:t xml:space="preserve"> t</w:t>
      </w:r>
      <w:r w:rsidR="00286075" w:rsidRPr="00D2758E">
        <w:rPr>
          <w:rFonts w:asciiTheme="majorBidi" w:hAnsiTheme="majorBidi" w:cstheme="majorBidi"/>
        </w:rPr>
        <w:t xml:space="preserve">he pharmaceutical industry </w:t>
      </w:r>
      <w:r w:rsidR="00834775">
        <w:rPr>
          <w:rFonts w:asciiTheme="majorBidi" w:hAnsiTheme="majorBidi" w:cstheme="majorBidi"/>
        </w:rPr>
        <w:t xml:space="preserve">had </w:t>
      </w:r>
      <w:r w:rsidRPr="00D2758E">
        <w:rPr>
          <w:rFonts w:asciiTheme="majorBidi" w:hAnsiTheme="majorBidi" w:cstheme="majorBidi"/>
        </w:rPr>
        <w:t xml:space="preserve">expressed concern </w:t>
      </w:r>
      <w:r w:rsidR="00834775">
        <w:rPr>
          <w:rFonts w:asciiTheme="majorBidi" w:hAnsiTheme="majorBidi" w:cstheme="majorBidi"/>
        </w:rPr>
        <w:t>over</w:t>
      </w:r>
      <w:r w:rsidR="00286075" w:rsidRPr="00D2758E">
        <w:rPr>
          <w:rFonts w:asciiTheme="majorBidi" w:hAnsiTheme="majorBidi" w:cstheme="majorBidi"/>
        </w:rPr>
        <w:t xml:space="preserve"> </w:t>
      </w:r>
      <w:r w:rsidR="004029F6">
        <w:rPr>
          <w:rFonts w:asciiTheme="majorBidi" w:hAnsiTheme="majorBidi" w:cstheme="majorBidi"/>
        </w:rPr>
        <w:t xml:space="preserve">failures to </w:t>
      </w:r>
      <w:r w:rsidR="00286075" w:rsidRPr="00D2758E">
        <w:rPr>
          <w:rFonts w:asciiTheme="majorBidi" w:hAnsiTheme="majorBidi" w:cstheme="majorBidi"/>
        </w:rPr>
        <w:t>implement Article 8</w:t>
      </w:r>
      <w:r w:rsidR="008F7A7D">
        <w:rPr>
          <w:rFonts w:asciiTheme="majorBidi" w:hAnsiTheme="majorBidi" w:cstheme="majorBidi"/>
        </w:rPr>
        <w:t xml:space="preserve"> </w:t>
      </w:r>
      <w:r w:rsidR="00286075" w:rsidRPr="00D2758E">
        <w:rPr>
          <w:rFonts w:asciiTheme="majorBidi" w:hAnsiTheme="majorBidi" w:cstheme="majorBidi"/>
        </w:rPr>
        <w:t>(b) of the Protocol</w:t>
      </w:r>
      <w:r w:rsidR="00BD30D8" w:rsidRPr="00D2758E">
        <w:rPr>
          <w:rFonts w:asciiTheme="majorBidi" w:hAnsiTheme="majorBidi" w:cstheme="majorBidi"/>
        </w:rPr>
        <w:t>.</w:t>
      </w:r>
      <w:r w:rsidRPr="00D2758E">
        <w:rPr>
          <w:rStyle w:val="FootnoteReference"/>
          <w:rFonts w:asciiTheme="majorBidi" w:hAnsiTheme="majorBidi" w:cstheme="majorBidi"/>
        </w:rPr>
        <w:t xml:space="preserve"> </w:t>
      </w:r>
    </w:p>
    <w:p w14:paraId="7CF80DD9" w14:textId="7001B29B" w:rsidR="00BD30D8" w:rsidRPr="00D2758E" w:rsidRDefault="00BD30D8" w:rsidP="00CD2C50">
      <w:pPr>
        <w:pStyle w:val="CBDNormalNumber"/>
        <w:rPr>
          <w:rFonts w:asciiTheme="majorBidi" w:hAnsiTheme="majorBidi" w:cstheme="majorBidi"/>
        </w:rPr>
      </w:pPr>
      <w:r w:rsidRPr="00D2758E">
        <w:rPr>
          <w:rFonts w:asciiTheme="majorBidi" w:hAnsiTheme="majorBidi" w:cstheme="majorBidi"/>
        </w:rPr>
        <w:t>Mutually supportive implementation of relevant international</w:t>
      </w:r>
      <w:r w:rsidR="00AD12F4">
        <w:rPr>
          <w:rFonts w:asciiTheme="majorBidi" w:hAnsiTheme="majorBidi" w:cstheme="majorBidi"/>
        </w:rPr>
        <w:t xml:space="preserve"> access and benefit-sharin</w:t>
      </w:r>
      <w:r w:rsidR="00937E59">
        <w:rPr>
          <w:rFonts w:asciiTheme="majorBidi" w:hAnsiTheme="majorBidi" w:cstheme="majorBidi"/>
        </w:rPr>
        <w:t>g</w:t>
      </w:r>
      <w:r w:rsidR="00AD12F4">
        <w:rPr>
          <w:rFonts w:asciiTheme="majorBidi" w:hAnsiTheme="majorBidi" w:cstheme="majorBidi"/>
        </w:rPr>
        <w:t xml:space="preserve"> </w:t>
      </w:r>
      <w:r w:rsidRPr="00D2758E">
        <w:rPr>
          <w:rFonts w:asciiTheme="majorBidi" w:hAnsiTheme="majorBidi" w:cstheme="majorBidi"/>
        </w:rPr>
        <w:t xml:space="preserve">instruments </w:t>
      </w:r>
      <w:r w:rsidR="00243CF3" w:rsidRPr="00D2758E">
        <w:rPr>
          <w:rFonts w:asciiTheme="majorBidi" w:hAnsiTheme="majorBidi" w:cstheme="majorBidi"/>
        </w:rPr>
        <w:t>was</w:t>
      </w:r>
      <w:r w:rsidRPr="00D2758E">
        <w:rPr>
          <w:rFonts w:asciiTheme="majorBidi" w:hAnsiTheme="majorBidi" w:cstheme="majorBidi"/>
        </w:rPr>
        <w:t xml:space="preserve"> identified as an area where </w:t>
      </w:r>
      <w:r w:rsidRPr="00D2758E">
        <w:t>Parties</w:t>
      </w:r>
      <w:r w:rsidRPr="00D2758E">
        <w:rPr>
          <w:rFonts w:asciiTheme="majorBidi" w:hAnsiTheme="majorBidi" w:cstheme="majorBidi"/>
        </w:rPr>
        <w:t xml:space="preserve"> could receive further support, including through the establishment of mechanisms for intersectoral coordination and enhanc</w:t>
      </w:r>
      <w:r w:rsidR="00634C65">
        <w:rPr>
          <w:rFonts w:asciiTheme="majorBidi" w:hAnsiTheme="majorBidi" w:cstheme="majorBidi"/>
        </w:rPr>
        <w:t>ement of</w:t>
      </w:r>
      <w:r w:rsidRPr="00D2758E">
        <w:rPr>
          <w:rFonts w:asciiTheme="majorBidi" w:hAnsiTheme="majorBidi" w:cstheme="majorBidi"/>
        </w:rPr>
        <w:t xml:space="preserve"> clarity on the scope and relationship </w:t>
      </w:r>
      <w:r w:rsidR="00C9588E">
        <w:rPr>
          <w:rFonts w:asciiTheme="majorBidi" w:hAnsiTheme="majorBidi" w:cstheme="majorBidi"/>
        </w:rPr>
        <w:t xml:space="preserve">of </w:t>
      </w:r>
      <w:r w:rsidRPr="00D2758E">
        <w:rPr>
          <w:rFonts w:asciiTheme="majorBidi" w:hAnsiTheme="majorBidi" w:cstheme="majorBidi"/>
        </w:rPr>
        <w:t xml:space="preserve">different </w:t>
      </w:r>
      <w:r w:rsidR="00C9588E" w:rsidRPr="00C9588E">
        <w:rPr>
          <w:rFonts w:asciiTheme="majorBidi" w:hAnsiTheme="majorBidi" w:cstheme="majorBidi"/>
        </w:rPr>
        <w:t xml:space="preserve">access and benefit-sharing </w:t>
      </w:r>
      <w:r w:rsidRPr="00D2758E">
        <w:rPr>
          <w:rFonts w:asciiTheme="majorBidi" w:hAnsiTheme="majorBidi" w:cstheme="majorBidi"/>
        </w:rPr>
        <w:t>regimes.</w:t>
      </w:r>
    </w:p>
    <w:p w14:paraId="6ABC63A3" w14:textId="79E9D918" w:rsidR="00DC4A3F" w:rsidRPr="00D2758E" w:rsidRDefault="00DC4A3F" w:rsidP="00CD2C50">
      <w:pPr>
        <w:pStyle w:val="CBDNormalNumber"/>
        <w:rPr>
          <w:rFonts w:asciiTheme="majorBidi" w:hAnsiTheme="majorBidi" w:cstheme="majorBidi"/>
        </w:rPr>
      </w:pPr>
      <w:r w:rsidRPr="00D2758E">
        <w:rPr>
          <w:rFonts w:asciiTheme="majorBidi" w:hAnsiTheme="majorBidi" w:cstheme="majorBidi"/>
        </w:rPr>
        <w:t xml:space="preserve">Given that </w:t>
      </w:r>
      <w:r w:rsidRPr="00D2758E">
        <w:t>most</w:t>
      </w:r>
      <w:r w:rsidRPr="00D2758E">
        <w:rPr>
          <w:rFonts w:asciiTheme="majorBidi" w:hAnsiTheme="majorBidi" w:cstheme="majorBidi"/>
        </w:rPr>
        <w:t xml:space="preserve"> of the permits reported</w:t>
      </w:r>
      <w:r w:rsidR="004A4766" w:rsidRPr="00D2758E">
        <w:rPr>
          <w:rFonts w:asciiTheme="majorBidi" w:hAnsiTheme="majorBidi" w:cstheme="majorBidi"/>
        </w:rPr>
        <w:t xml:space="preserve"> and certificates issued</w:t>
      </w:r>
      <w:r w:rsidRPr="00D2758E">
        <w:rPr>
          <w:rFonts w:asciiTheme="majorBidi" w:hAnsiTheme="majorBidi" w:cstheme="majorBidi"/>
        </w:rPr>
        <w:t xml:space="preserve"> </w:t>
      </w:r>
      <w:r w:rsidR="00DA487F">
        <w:rPr>
          <w:rFonts w:asciiTheme="majorBidi" w:hAnsiTheme="majorBidi" w:cstheme="majorBidi"/>
        </w:rPr>
        <w:t>we</w:t>
      </w:r>
      <w:r w:rsidRPr="00D2758E">
        <w:rPr>
          <w:rFonts w:asciiTheme="majorBidi" w:hAnsiTheme="majorBidi" w:cstheme="majorBidi"/>
        </w:rPr>
        <w:t xml:space="preserve">re </w:t>
      </w:r>
      <w:r w:rsidR="00CB43D6">
        <w:rPr>
          <w:rFonts w:asciiTheme="majorBidi" w:hAnsiTheme="majorBidi" w:cstheme="majorBidi"/>
        </w:rPr>
        <w:t xml:space="preserve">provided </w:t>
      </w:r>
      <w:r w:rsidRPr="00D2758E">
        <w:rPr>
          <w:rFonts w:asciiTheme="majorBidi" w:hAnsiTheme="majorBidi" w:cstheme="majorBidi"/>
        </w:rPr>
        <w:t xml:space="preserve">for non-commercial </w:t>
      </w:r>
      <w:r w:rsidR="00F0087C" w:rsidRPr="00D2758E">
        <w:rPr>
          <w:rFonts w:asciiTheme="majorBidi" w:hAnsiTheme="majorBidi" w:cstheme="majorBidi"/>
        </w:rPr>
        <w:t>purposes, further</w:t>
      </w:r>
      <w:r w:rsidR="00B70C4F" w:rsidRPr="00D2758E">
        <w:rPr>
          <w:rFonts w:asciiTheme="majorBidi" w:hAnsiTheme="majorBidi" w:cstheme="majorBidi"/>
        </w:rPr>
        <w:t xml:space="preserve"> work could be </w:t>
      </w:r>
      <w:r w:rsidR="00E926C0">
        <w:rPr>
          <w:rFonts w:asciiTheme="majorBidi" w:hAnsiTheme="majorBidi" w:cstheme="majorBidi"/>
        </w:rPr>
        <w:t>carried out</w:t>
      </w:r>
      <w:r w:rsidR="00F86869" w:rsidRPr="00D2758E">
        <w:rPr>
          <w:rFonts w:asciiTheme="majorBidi" w:hAnsiTheme="majorBidi" w:cstheme="majorBidi"/>
        </w:rPr>
        <w:t xml:space="preserve"> to address </w:t>
      </w:r>
      <w:r w:rsidR="00140C5D">
        <w:rPr>
          <w:rFonts w:asciiTheme="majorBidi" w:hAnsiTheme="majorBidi" w:cstheme="majorBidi"/>
        </w:rPr>
        <w:t>th</w:t>
      </w:r>
      <w:r w:rsidR="00C74C38">
        <w:rPr>
          <w:rFonts w:asciiTheme="majorBidi" w:hAnsiTheme="majorBidi" w:cstheme="majorBidi"/>
        </w:rPr>
        <w:t>at</w:t>
      </w:r>
      <w:r w:rsidR="00140C5D">
        <w:rPr>
          <w:rFonts w:asciiTheme="majorBidi" w:hAnsiTheme="majorBidi" w:cstheme="majorBidi"/>
        </w:rPr>
        <w:t xml:space="preserve"> matter </w:t>
      </w:r>
      <w:r w:rsidR="00317BD0" w:rsidRPr="00D2758E">
        <w:rPr>
          <w:rFonts w:asciiTheme="majorBidi" w:hAnsiTheme="majorBidi" w:cstheme="majorBidi"/>
        </w:rPr>
        <w:t>in the context of Article 8</w:t>
      </w:r>
      <w:r w:rsidR="00937E59">
        <w:rPr>
          <w:rFonts w:asciiTheme="majorBidi" w:hAnsiTheme="majorBidi" w:cstheme="majorBidi"/>
        </w:rPr>
        <w:t xml:space="preserve"> </w:t>
      </w:r>
      <w:r w:rsidR="00317BD0" w:rsidRPr="00D2758E">
        <w:rPr>
          <w:rFonts w:asciiTheme="majorBidi" w:hAnsiTheme="majorBidi" w:cstheme="majorBidi"/>
        </w:rPr>
        <w:t>(a) of the Protocol</w:t>
      </w:r>
      <w:r w:rsidR="00937E59">
        <w:rPr>
          <w:rFonts w:asciiTheme="majorBidi" w:hAnsiTheme="majorBidi" w:cstheme="majorBidi"/>
        </w:rPr>
        <w:t>.</w:t>
      </w:r>
    </w:p>
    <w:p w14:paraId="29486D0D" w14:textId="2D6C2BB5" w:rsidR="00561B29" w:rsidRPr="00D2758E" w:rsidRDefault="00EA00CF" w:rsidP="00CD2C50">
      <w:pPr>
        <w:pStyle w:val="CBDNormalNumber"/>
        <w:rPr>
          <w:rFonts w:asciiTheme="majorBidi" w:hAnsiTheme="majorBidi" w:cstheme="majorBidi"/>
        </w:rPr>
      </w:pPr>
      <w:r w:rsidRPr="00D2758E">
        <w:rPr>
          <w:rFonts w:asciiTheme="majorBidi" w:hAnsiTheme="majorBidi" w:cstheme="majorBidi"/>
        </w:rPr>
        <w:t>Development of t</w:t>
      </w:r>
      <w:r w:rsidR="00096BE6" w:rsidRPr="00D2758E">
        <w:rPr>
          <w:rFonts w:asciiTheme="majorBidi" w:hAnsiTheme="majorBidi" w:cstheme="majorBidi"/>
        </w:rPr>
        <w:t>emplates,</w:t>
      </w:r>
      <w:r w:rsidRPr="00D2758E">
        <w:rPr>
          <w:rFonts w:asciiTheme="majorBidi" w:hAnsiTheme="majorBidi" w:cstheme="majorBidi"/>
        </w:rPr>
        <w:t xml:space="preserve"> guidance</w:t>
      </w:r>
      <w:r w:rsidR="00140C5D">
        <w:rPr>
          <w:rFonts w:asciiTheme="majorBidi" w:hAnsiTheme="majorBidi" w:cstheme="majorBidi"/>
        </w:rPr>
        <w:t xml:space="preserve"> and</w:t>
      </w:r>
      <w:r w:rsidR="00A70FF1" w:rsidRPr="00D2758E">
        <w:rPr>
          <w:rFonts w:asciiTheme="majorBidi" w:hAnsiTheme="majorBidi" w:cstheme="majorBidi"/>
        </w:rPr>
        <w:t xml:space="preserve"> </w:t>
      </w:r>
      <w:r w:rsidR="00C36673" w:rsidRPr="00D2758E">
        <w:rPr>
          <w:rFonts w:asciiTheme="majorBidi" w:hAnsiTheme="majorBidi" w:cstheme="majorBidi"/>
        </w:rPr>
        <w:t>standard contractual clauses</w:t>
      </w:r>
      <w:r w:rsidR="002251F5" w:rsidRPr="00D2758E">
        <w:rPr>
          <w:rFonts w:asciiTheme="majorBidi" w:hAnsiTheme="majorBidi" w:cstheme="majorBidi"/>
        </w:rPr>
        <w:t xml:space="preserve"> </w:t>
      </w:r>
      <w:r w:rsidR="00A70FF1" w:rsidRPr="00D2758E">
        <w:rPr>
          <w:rFonts w:asciiTheme="majorBidi" w:hAnsiTheme="majorBidi" w:cstheme="majorBidi"/>
        </w:rPr>
        <w:t xml:space="preserve">and </w:t>
      </w:r>
      <w:r w:rsidR="00691082">
        <w:rPr>
          <w:rFonts w:asciiTheme="majorBidi" w:hAnsiTheme="majorBidi" w:cstheme="majorBidi"/>
        </w:rPr>
        <w:t xml:space="preserve">enabling </w:t>
      </w:r>
      <w:r w:rsidR="00096BE6" w:rsidRPr="00D2758E">
        <w:rPr>
          <w:rFonts w:asciiTheme="majorBidi" w:hAnsiTheme="majorBidi" w:cstheme="majorBidi"/>
        </w:rPr>
        <w:t xml:space="preserve"> </w:t>
      </w:r>
      <w:r w:rsidR="00403C67">
        <w:rPr>
          <w:rFonts w:asciiTheme="majorBidi" w:hAnsiTheme="majorBidi" w:cstheme="majorBidi"/>
        </w:rPr>
        <w:t xml:space="preserve"> </w:t>
      </w:r>
      <w:r w:rsidR="00096BE6" w:rsidRPr="00D2758E">
        <w:rPr>
          <w:rFonts w:asciiTheme="majorBidi" w:hAnsiTheme="majorBidi" w:cstheme="majorBidi"/>
        </w:rPr>
        <w:t>exchanges</w:t>
      </w:r>
      <w:r w:rsidR="00C1439E" w:rsidRPr="00D2758E">
        <w:rPr>
          <w:rFonts w:asciiTheme="majorBidi" w:hAnsiTheme="majorBidi" w:cstheme="majorBidi"/>
        </w:rPr>
        <w:t xml:space="preserve"> of experiences </w:t>
      </w:r>
      <w:r w:rsidR="00C1439E" w:rsidRPr="00D2758E">
        <w:t>and</w:t>
      </w:r>
      <w:r w:rsidR="00C1439E" w:rsidRPr="00D2758E">
        <w:rPr>
          <w:rFonts w:asciiTheme="majorBidi" w:hAnsiTheme="majorBidi" w:cstheme="majorBidi"/>
        </w:rPr>
        <w:t xml:space="preserve"> </w:t>
      </w:r>
      <w:r w:rsidR="004D40B2" w:rsidRPr="00D2758E">
        <w:rPr>
          <w:rFonts w:asciiTheme="majorBidi" w:hAnsiTheme="majorBidi" w:cstheme="majorBidi"/>
        </w:rPr>
        <w:t>approaches could</w:t>
      </w:r>
      <w:r w:rsidR="007E5263" w:rsidRPr="00D2758E">
        <w:rPr>
          <w:rFonts w:asciiTheme="majorBidi" w:hAnsiTheme="majorBidi" w:cstheme="majorBidi"/>
        </w:rPr>
        <w:t xml:space="preserve"> assist </w:t>
      </w:r>
      <w:r w:rsidR="0029528D" w:rsidRPr="00D2758E">
        <w:rPr>
          <w:rFonts w:asciiTheme="majorBidi" w:hAnsiTheme="majorBidi" w:cstheme="majorBidi"/>
        </w:rPr>
        <w:t xml:space="preserve">Parties in implementing Article </w:t>
      </w:r>
      <w:r w:rsidR="008B590B" w:rsidRPr="00D2758E">
        <w:rPr>
          <w:rFonts w:asciiTheme="majorBidi" w:hAnsiTheme="majorBidi" w:cstheme="majorBidi"/>
        </w:rPr>
        <w:t>8</w:t>
      </w:r>
      <w:r w:rsidR="007E14F4">
        <w:rPr>
          <w:rFonts w:asciiTheme="majorBidi" w:hAnsiTheme="majorBidi" w:cstheme="majorBidi"/>
        </w:rPr>
        <w:t xml:space="preserve">. Such </w:t>
      </w:r>
      <w:r w:rsidR="00D4784C">
        <w:rPr>
          <w:rFonts w:asciiTheme="majorBidi" w:hAnsiTheme="majorBidi" w:cstheme="majorBidi"/>
        </w:rPr>
        <w:t>assistance could</w:t>
      </w:r>
      <w:r w:rsidR="008B590B" w:rsidRPr="00D2758E">
        <w:rPr>
          <w:rFonts w:asciiTheme="majorBidi" w:hAnsiTheme="majorBidi" w:cstheme="majorBidi"/>
        </w:rPr>
        <w:t xml:space="preserve"> includ</w:t>
      </w:r>
      <w:r w:rsidR="00D4784C">
        <w:rPr>
          <w:rFonts w:asciiTheme="majorBidi" w:hAnsiTheme="majorBidi" w:cstheme="majorBidi"/>
        </w:rPr>
        <w:t>e</w:t>
      </w:r>
      <w:r w:rsidR="008B590B" w:rsidRPr="00D2758E">
        <w:rPr>
          <w:rFonts w:asciiTheme="majorBidi" w:hAnsiTheme="majorBidi" w:cstheme="majorBidi"/>
        </w:rPr>
        <w:t xml:space="preserve"> </w:t>
      </w:r>
      <w:r w:rsidR="00561B29" w:rsidRPr="00D2758E">
        <w:rPr>
          <w:rFonts w:asciiTheme="majorBidi" w:hAnsiTheme="majorBidi" w:cstheme="majorBidi"/>
        </w:rPr>
        <w:t xml:space="preserve">best practices for addressing situations where there </w:t>
      </w:r>
      <w:r w:rsidR="007E14F4">
        <w:rPr>
          <w:rFonts w:asciiTheme="majorBidi" w:hAnsiTheme="majorBidi" w:cstheme="majorBidi"/>
        </w:rPr>
        <w:t>wa</w:t>
      </w:r>
      <w:r w:rsidR="00561B29" w:rsidRPr="00D2758E">
        <w:rPr>
          <w:rFonts w:asciiTheme="majorBidi" w:hAnsiTheme="majorBidi" w:cstheme="majorBidi"/>
        </w:rPr>
        <w:t>s a change of intent in the utilization of the genetic resource accessed.</w:t>
      </w:r>
    </w:p>
    <w:p w14:paraId="71CDA4EA" w14:textId="11CC5465" w:rsidR="00455F03" w:rsidRPr="00D2758E" w:rsidRDefault="00762797" w:rsidP="00762797">
      <w:pPr>
        <w:pStyle w:val="CBDH3"/>
      </w:pPr>
      <w:r>
        <w:t>7.</w:t>
      </w:r>
      <w:r>
        <w:tab/>
      </w:r>
      <w:r w:rsidR="00455F03" w:rsidRPr="00D2758E">
        <w:t>Measures related to indigenous peoples and local communities (Article 6, 7 and 12)</w:t>
      </w:r>
      <w:r w:rsidR="00D212D6" w:rsidRPr="00D2758E">
        <w:rPr>
          <w:rStyle w:val="FootnoteReference"/>
        </w:rPr>
        <w:footnoteReference w:id="41"/>
      </w:r>
    </w:p>
    <w:p w14:paraId="18088670" w14:textId="75E14428" w:rsidR="004A5572" w:rsidRPr="00D2758E" w:rsidRDefault="00762797" w:rsidP="00762797">
      <w:pPr>
        <w:pStyle w:val="CBDH4"/>
      </w:pPr>
      <w:r>
        <w:t>(a)</w:t>
      </w:r>
      <w:r>
        <w:tab/>
      </w:r>
      <w:r w:rsidR="004A5572" w:rsidRPr="00D2758E">
        <w:t xml:space="preserve">Progress made in implementation and updated indicator data </w:t>
      </w:r>
    </w:p>
    <w:p w14:paraId="20C7E8FA" w14:textId="0FCFFFBD" w:rsidR="00E85F26" w:rsidRPr="00D2758E" w:rsidRDefault="00D13F20" w:rsidP="00CD2C50">
      <w:pPr>
        <w:pStyle w:val="CBDNormalNumber"/>
        <w:rPr>
          <w:rFonts w:asciiTheme="majorBidi" w:hAnsiTheme="majorBidi" w:cstheme="majorBidi"/>
        </w:rPr>
      </w:pPr>
      <w:r w:rsidRPr="00D2758E">
        <w:rPr>
          <w:rFonts w:asciiTheme="majorBidi" w:hAnsiTheme="majorBidi" w:cstheme="majorBidi"/>
        </w:rPr>
        <w:t>A total of 69 Parties reported that they ha</w:t>
      </w:r>
      <w:r w:rsidR="0011679D">
        <w:rPr>
          <w:rFonts w:asciiTheme="majorBidi" w:hAnsiTheme="majorBidi" w:cstheme="majorBidi"/>
        </w:rPr>
        <w:t>d</w:t>
      </w:r>
      <w:r w:rsidRPr="00D2758E">
        <w:rPr>
          <w:rFonts w:asciiTheme="majorBidi" w:hAnsiTheme="majorBidi" w:cstheme="majorBidi"/>
        </w:rPr>
        <w:t xml:space="preserve"> indigenous peoples and local communities </w:t>
      </w:r>
      <w:r w:rsidR="00BA3B3D">
        <w:rPr>
          <w:rFonts w:asciiTheme="majorBidi" w:hAnsiTheme="majorBidi" w:cstheme="majorBidi"/>
        </w:rPr>
        <w:t xml:space="preserve">residing </w:t>
      </w:r>
      <w:r w:rsidRPr="00D2758E">
        <w:rPr>
          <w:rFonts w:asciiTheme="majorBidi" w:hAnsiTheme="majorBidi" w:cstheme="majorBidi"/>
        </w:rPr>
        <w:t xml:space="preserve">in their country. As the indicators below demonstrate, </w:t>
      </w:r>
      <w:r w:rsidR="007A627C">
        <w:rPr>
          <w:rFonts w:asciiTheme="majorBidi" w:hAnsiTheme="majorBidi" w:cstheme="majorBidi"/>
        </w:rPr>
        <w:t>highly</w:t>
      </w:r>
      <w:r w:rsidR="000B4141" w:rsidRPr="00D2758E">
        <w:rPr>
          <w:rFonts w:asciiTheme="majorBidi" w:hAnsiTheme="majorBidi" w:cstheme="majorBidi"/>
        </w:rPr>
        <w:t xml:space="preserve"> </w:t>
      </w:r>
      <w:r w:rsidRPr="00D2758E">
        <w:rPr>
          <w:rFonts w:asciiTheme="majorBidi" w:hAnsiTheme="majorBidi" w:cstheme="majorBidi"/>
        </w:rPr>
        <w:t>significant progress ha</w:t>
      </w:r>
      <w:r w:rsidR="007A627C">
        <w:rPr>
          <w:rFonts w:asciiTheme="majorBidi" w:hAnsiTheme="majorBidi" w:cstheme="majorBidi"/>
        </w:rPr>
        <w:t>d</w:t>
      </w:r>
      <w:r w:rsidRPr="00D2758E">
        <w:rPr>
          <w:rFonts w:asciiTheme="majorBidi" w:hAnsiTheme="majorBidi" w:cstheme="majorBidi"/>
        </w:rPr>
        <w:t xml:space="preserve"> been made by th</w:t>
      </w:r>
      <w:r w:rsidR="00880A78">
        <w:rPr>
          <w:rFonts w:asciiTheme="majorBidi" w:hAnsiTheme="majorBidi" w:cstheme="majorBidi"/>
        </w:rPr>
        <w:t>o</w:t>
      </w:r>
      <w:r w:rsidRPr="00D2758E">
        <w:rPr>
          <w:rFonts w:asciiTheme="majorBidi" w:hAnsiTheme="majorBidi" w:cstheme="majorBidi"/>
        </w:rPr>
        <w:t xml:space="preserve">se 69 Parties in </w:t>
      </w:r>
      <w:r w:rsidRPr="00D2758E">
        <w:t>requiring</w:t>
      </w:r>
      <w:r w:rsidRPr="00D2758E">
        <w:rPr>
          <w:rFonts w:asciiTheme="majorBidi" w:hAnsiTheme="majorBidi" w:cstheme="majorBidi"/>
        </w:rPr>
        <w:t xml:space="preserve"> the prior informed consent of </w:t>
      </w:r>
      <w:r w:rsidR="00E77E18" w:rsidRPr="00D2758E">
        <w:rPr>
          <w:rFonts w:asciiTheme="majorBidi" w:hAnsiTheme="majorBidi" w:cstheme="majorBidi"/>
        </w:rPr>
        <w:t xml:space="preserve">indigenous peoples and local communities </w:t>
      </w:r>
      <w:r w:rsidR="000B0F66">
        <w:rPr>
          <w:rFonts w:asciiTheme="majorBidi" w:hAnsiTheme="majorBidi" w:cstheme="majorBidi"/>
        </w:rPr>
        <w:t>regarding</w:t>
      </w:r>
      <w:r w:rsidR="005C7CFF">
        <w:rPr>
          <w:rFonts w:asciiTheme="majorBidi" w:hAnsiTheme="majorBidi" w:cstheme="majorBidi"/>
        </w:rPr>
        <w:t xml:space="preserve"> </w:t>
      </w:r>
      <w:r w:rsidRPr="00D2758E">
        <w:rPr>
          <w:rFonts w:asciiTheme="majorBidi" w:hAnsiTheme="majorBidi" w:cstheme="majorBidi"/>
        </w:rPr>
        <w:t>access to their genetic resources when they ha</w:t>
      </w:r>
      <w:r w:rsidR="00447BC5">
        <w:rPr>
          <w:rFonts w:asciiTheme="majorBidi" w:hAnsiTheme="majorBidi" w:cstheme="majorBidi"/>
        </w:rPr>
        <w:t>d</w:t>
      </w:r>
      <w:r w:rsidRPr="00D2758E">
        <w:rPr>
          <w:rFonts w:asciiTheme="majorBidi" w:hAnsiTheme="majorBidi" w:cstheme="majorBidi"/>
        </w:rPr>
        <w:t xml:space="preserve"> established rights</w:t>
      </w:r>
      <w:r w:rsidR="00016F11">
        <w:rPr>
          <w:rFonts w:asciiTheme="majorBidi" w:hAnsiTheme="majorBidi" w:cstheme="majorBidi"/>
        </w:rPr>
        <w:t xml:space="preserve"> </w:t>
      </w:r>
      <w:r w:rsidR="00892752">
        <w:rPr>
          <w:rFonts w:asciiTheme="majorBidi" w:hAnsiTheme="majorBidi" w:cstheme="majorBidi"/>
        </w:rPr>
        <w:t>over those resources</w:t>
      </w:r>
      <w:r w:rsidRPr="00D2758E">
        <w:rPr>
          <w:rFonts w:asciiTheme="majorBidi" w:hAnsiTheme="majorBidi" w:cstheme="majorBidi"/>
        </w:rPr>
        <w:t xml:space="preserve"> and associated traditional knowledge</w:t>
      </w:r>
      <w:r w:rsidR="00880F85" w:rsidRPr="00D2758E">
        <w:rPr>
          <w:rFonts w:asciiTheme="majorBidi" w:hAnsiTheme="majorBidi" w:cstheme="majorBidi"/>
        </w:rPr>
        <w:t>.</w:t>
      </w:r>
    </w:p>
    <w:p w14:paraId="358CACFB" w14:textId="2D0D64E5" w:rsidR="0095728A" w:rsidRPr="00D2758E" w:rsidRDefault="00363F59" w:rsidP="00CD2C50">
      <w:pPr>
        <w:pStyle w:val="CBDNormalNumber"/>
        <w:rPr>
          <w:rFonts w:asciiTheme="majorBidi" w:hAnsiTheme="majorBidi" w:cstheme="majorBidi"/>
        </w:rPr>
      </w:pPr>
      <w:r w:rsidRPr="00D2758E">
        <w:rPr>
          <w:rFonts w:asciiTheme="majorBidi" w:hAnsiTheme="majorBidi" w:cstheme="majorBidi"/>
        </w:rPr>
        <w:t xml:space="preserve">This </w:t>
      </w:r>
      <w:r w:rsidRPr="00D2758E">
        <w:t>indicator</w:t>
      </w:r>
      <w:r w:rsidRPr="00D2758E">
        <w:rPr>
          <w:rFonts w:asciiTheme="majorBidi" w:hAnsiTheme="majorBidi" w:cstheme="majorBidi"/>
        </w:rPr>
        <w:t xml:space="preserve"> has shown </w:t>
      </w:r>
      <w:r w:rsidR="00780FC0" w:rsidRPr="00D2758E">
        <w:rPr>
          <w:rFonts w:asciiTheme="majorBidi" w:hAnsiTheme="majorBidi" w:cstheme="majorBidi"/>
        </w:rPr>
        <w:t>very significant progress</w:t>
      </w:r>
      <w:r w:rsidR="006A18D7" w:rsidRPr="00D2758E">
        <w:rPr>
          <w:rFonts w:asciiTheme="majorBidi" w:hAnsiTheme="majorBidi" w:cstheme="majorBidi"/>
        </w:rPr>
        <w:t xml:space="preserve"> </w:t>
      </w:r>
      <w:r w:rsidRPr="00D2758E">
        <w:rPr>
          <w:rFonts w:asciiTheme="majorBidi" w:hAnsiTheme="majorBidi" w:cstheme="majorBidi"/>
        </w:rPr>
        <w:t>since 2018.</w:t>
      </w:r>
      <w:r w:rsidR="0095728A" w:rsidRPr="00D2758E">
        <w:rPr>
          <w:rFonts w:asciiTheme="majorBidi" w:hAnsiTheme="majorBidi" w:cstheme="majorBidi"/>
        </w:rPr>
        <w:t xml:space="preserve"> </w:t>
      </w:r>
      <w:r w:rsidR="00982296">
        <w:rPr>
          <w:rFonts w:asciiTheme="majorBidi" w:hAnsiTheme="majorBidi" w:cstheme="majorBidi"/>
        </w:rPr>
        <w:t>However, w</w:t>
      </w:r>
      <w:r w:rsidR="00A2393A">
        <w:rPr>
          <w:rFonts w:asciiTheme="majorBidi" w:hAnsiTheme="majorBidi" w:cstheme="majorBidi"/>
        </w:rPr>
        <w:t>hile</w:t>
      </w:r>
      <w:r w:rsidR="00651BFC">
        <w:rPr>
          <w:rFonts w:asciiTheme="majorBidi" w:hAnsiTheme="majorBidi" w:cstheme="majorBidi"/>
        </w:rPr>
        <w:t>,</w:t>
      </w:r>
      <w:r w:rsidR="00067047">
        <w:rPr>
          <w:rFonts w:asciiTheme="majorBidi" w:hAnsiTheme="majorBidi" w:cstheme="majorBidi"/>
        </w:rPr>
        <w:t xml:space="preserve"> </w:t>
      </w:r>
      <w:r w:rsidR="0095728A" w:rsidRPr="00D2758E">
        <w:rPr>
          <w:rFonts w:asciiTheme="majorBidi" w:hAnsiTheme="majorBidi" w:cstheme="majorBidi"/>
        </w:rPr>
        <w:t xml:space="preserve">generally, the requirement for </w:t>
      </w:r>
      <w:r w:rsidR="00067047">
        <w:rPr>
          <w:rFonts w:asciiTheme="majorBidi" w:hAnsiTheme="majorBidi" w:cstheme="majorBidi"/>
        </w:rPr>
        <w:t xml:space="preserve">the </w:t>
      </w:r>
      <w:r w:rsidR="0095728A" w:rsidRPr="00D2758E">
        <w:rPr>
          <w:rFonts w:asciiTheme="majorBidi" w:hAnsiTheme="majorBidi" w:cstheme="majorBidi"/>
        </w:rPr>
        <w:t xml:space="preserve">prior informed consent of </w:t>
      </w:r>
      <w:r w:rsidR="0004760C" w:rsidRPr="00D2758E">
        <w:rPr>
          <w:rFonts w:asciiTheme="majorBidi" w:hAnsiTheme="majorBidi" w:cstheme="majorBidi"/>
        </w:rPr>
        <w:t>indigenous peoples and local communities</w:t>
      </w:r>
      <w:r w:rsidR="0095728A" w:rsidRPr="00D2758E">
        <w:rPr>
          <w:rFonts w:asciiTheme="majorBidi" w:hAnsiTheme="majorBidi" w:cstheme="majorBidi"/>
        </w:rPr>
        <w:t xml:space="preserve"> </w:t>
      </w:r>
      <w:r w:rsidR="00067047">
        <w:rPr>
          <w:rFonts w:asciiTheme="majorBidi" w:hAnsiTheme="majorBidi" w:cstheme="majorBidi"/>
        </w:rPr>
        <w:t>was i</w:t>
      </w:r>
      <w:r w:rsidR="0095728A" w:rsidRPr="00D2758E">
        <w:rPr>
          <w:rFonts w:asciiTheme="majorBidi" w:hAnsiTheme="majorBidi" w:cstheme="majorBidi"/>
        </w:rPr>
        <w:t xml:space="preserve">ncluded in </w:t>
      </w:r>
      <w:r w:rsidR="0004760C" w:rsidRPr="00D2758E">
        <w:rPr>
          <w:rFonts w:asciiTheme="majorBidi" w:hAnsiTheme="majorBidi" w:cstheme="majorBidi"/>
        </w:rPr>
        <w:t>access and benefit-sharing</w:t>
      </w:r>
      <w:r w:rsidR="0095728A" w:rsidRPr="00D2758E">
        <w:rPr>
          <w:rFonts w:asciiTheme="majorBidi" w:hAnsiTheme="majorBidi" w:cstheme="majorBidi"/>
        </w:rPr>
        <w:t xml:space="preserve"> measures, many Parties ha</w:t>
      </w:r>
      <w:r w:rsidR="00067047">
        <w:rPr>
          <w:rFonts w:asciiTheme="majorBidi" w:hAnsiTheme="majorBidi" w:cstheme="majorBidi"/>
        </w:rPr>
        <w:t>d</w:t>
      </w:r>
      <w:r w:rsidR="0095728A" w:rsidRPr="00D2758E">
        <w:rPr>
          <w:rFonts w:asciiTheme="majorBidi" w:hAnsiTheme="majorBidi" w:cstheme="majorBidi"/>
        </w:rPr>
        <w:t xml:space="preserve"> not fully operationali</w:t>
      </w:r>
      <w:r w:rsidR="00F268EB">
        <w:rPr>
          <w:rFonts w:asciiTheme="majorBidi" w:hAnsiTheme="majorBidi" w:cstheme="majorBidi"/>
        </w:rPr>
        <w:t>z</w:t>
      </w:r>
      <w:r w:rsidR="0095728A" w:rsidRPr="00D2758E">
        <w:rPr>
          <w:rFonts w:asciiTheme="majorBidi" w:hAnsiTheme="majorBidi" w:cstheme="majorBidi"/>
        </w:rPr>
        <w:t xml:space="preserve">ed the implementation of the </w:t>
      </w:r>
      <w:r w:rsidR="0004760C" w:rsidRPr="00D2758E">
        <w:rPr>
          <w:rFonts w:asciiTheme="majorBidi" w:hAnsiTheme="majorBidi" w:cstheme="majorBidi"/>
        </w:rPr>
        <w:t>prior informed consent</w:t>
      </w:r>
      <w:r w:rsidR="0095728A" w:rsidRPr="00D2758E">
        <w:rPr>
          <w:rFonts w:asciiTheme="majorBidi" w:hAnsiTheme="majorBidi" w:cstheme="majorBidi"/>
        </w:rPr>
        <w:t xml:space="preserve"> requirement. </w:t>
      </w:r>
    </w:p>
    <w:p w14:paraId="528DBF09" w14:textId="21A753D3" w:rsidR="001C4C59" w:rsidRPr="00D2758E" w:rsidRDefault="000250D2" w:rsidP="00CD2C50">
      <w:pPr>
        <w:pStyle w:val="CBDNormalNumber"/>
        <w:rPr>
          <w:rFonts w:asciiTheme="majorBidi" w:hAnsiTheme="majorBidi" w:cstheme="majorBidi"/>
        </w:rPr>
      </w:pPr>
      <w:r>
        <w:rPr>
          <w:rFonts w:asciiTheme="majorBidi" w:hAnsiTheme="majorBidi" w:cstheme="majorBidi"/>
        </w:rPr>
        <w:t>With respect to indigenous peoples and local communities</w:t>
      </w:r>
      <w:r w:rsidR="00AF5CBE" w:rsidRPr="00D2758E">
        <w:rPr>
          <w:rFonts w:asciiTheme="majorBidi" w:hAnsiTheme="majorBidi" w:cstheme="majorBidi"/>
        </w:rPr>
        <w:t>, Parties ha</w:t>
      </w:r>
      <w:r w:rsidR="009F55AA">
        <w:rPr>
          <w:rFonts w:asciiTheme="majorBidi" w:hAnsiTheme="majorBidi" w:cstheme="majorBidi"/>
        </w:rPr>
        <w:t>d</w:t>
      </w:r>
      <w:r w:rsidR="00AF5CBE" w:rsidRPr="00D2758E">
        <w:rPr>
          <w:rFonts w:asciiTheme="majorBidi" w:hAnsiTheme="majorBidi" w:cstheme="majorBidi"/>
        </w:rPr>
        <w:t xml:space="preserve"> adopted different </w:t>
      </w:r>
      <w:r w:rsidR="006C38D3" w:rsidRPr="00D2758E">
        <w:rPr>
          <w:rFonts w:asciiTheme="majorBidi" w:hAnsiTheme="majorBidi" w:cstheme="majorBidi"/>
        </w:rPr>
        <w:t>measures and approaches</w:t>
      </w:r>
      <w:r w:rsidR="00F03154" w:rsidRPr="00D2758E">
        <w:rPr>
          <w:rFonts w:asciiTheme="majorBidi" w:hAnsiTheme="majorBidi" w:cstheme="majorBidi"/>
        </w:rPr>
        <w:t>.</w:t>
      </w:r>
      <w:r w:rsidR="006C38D3" w:rsidRPr="00D2758E">
        <w:rPr>
          <w:rStyle w:val="FootnoteReference"/>
          <w:rFonts w:asciiTheme="majorBidi" w:hAnsiTheme="majorBidi" w:cstheme="majorBidi"/>
        </w:rPr>
        <w:footnoteReference w:id="42"/>
      </w:r>
      <w:r w:rsidR="00AF5CBE" w:rsidRPr="00D2758E">
        <w:t xml:space="preserve"> </w:t>
      </w:r>
      <w:r w:rsidR="00F03154" w:rsidRPr="00D2758E">
        <w:t>W</w:t>
      </w:r>
      <w:r w:rsidR="00AF5CBE" w:rsidRPr="00D2758E">
        <w:t xml:space="preserve">hile some Parties </w:t>
      </w:r>
      <w:r w:rsidR="00CE266E">
        <w:t>we</w:t>
      </w:r>
      <w:r w:rsidR="00AF5CBE" w:rsidRPr="00D2758E">
        <w:t xml:space="preserve">re at preliminary stages of implementation and focused on raising awareness </w:t>
      </w:r>
      <w:r w:rsidR="00360FE1" w:rsidRPr="00D2758E">
        <w:t xml:space="preserve">of </w:t>
      </w:r>
      <w:r w:rsidR="00AF5CBE" w:rsidRPr="00D2758E">
        <w:t xml:space="preserve">the value of genetic resources and associated traditional knowledge and the importance of </w:t>
      </w:r>
      <w:r w:rsidR="00B16B99">
        <w:t xml:space="preserve">access and benefit sharing </w:t>
      </w:r>
      <w:r w:rsidR="00AF5CBE" w:rsidRPr="00D2758E">
        <w:t>, other</w:t>
      </w:r>
      <w:r w:rsidR="00B16B99">
        <w:t xml:space="preserve"> Parties</w:t>
      </w:r>
      <w:r w:rsidR="00AF5CBE" w:rsidRPr="00D2758E">
        <w:t xml:space="preserve"> that </w:t>
      </w:r>
      <w:r w:rsidR="00B16B99">
        <w:t>we</w:t>
      </w:r>
      <w:r w:rsidR="00AF5CBE" w:rsidRPr="00D2758E">
        <w:t xml:space="preserve">re more advanced </w:t>
      </w:r>
      <w:r w:rsidR="000B58DA">
        <w:t>with respect to</w:t>
      </w:r>
      <w:r w:rsidR="00AF5CBE" w:rsidRPr="00D2758E">
        <w:t xml:space="preserve"> implementation ha</w:t>
      </w:r>
      <w:r w:rsidR="000B58DA">
        <w:t>d</w:t>
      </w:r>
      <w:r w:rsidR="00AF5CBE" w:rsidRPr="00D2758E">
        <w:t xml:space="preserve"> in</w:t>
      </w:r>
      <w:r w:rsidR="000B58DA">
        <w:t>cluded</w:t>
      </w:r>
      <w:r w:rsidR="00AF5CBE" w:rsidRPr="00D2758E">
        <w:t xml:space="preserve"> indigenous peoples and local communities in the development and implementation of national </w:t>
      </w:r>
      <w:r w:rsidR="00201AFE" w:rsidRPr="00201AFE">
        <w:t>access and benefit</w:t>
      </w:r>
      <w:r w:rsidR="002C3CB2">
        <w:t>-</w:t>
      </w:r>
      <w:r w:rsidR="00201AFE" w:rsidRPr="00201AFE">
        <w:t xml:space="preserve">sharing </w:t>
      </w:r>
      <w:r w:rsidR="00AF5CBE" w:rsidRPr="00D2758E">
        <w:t>measures.</w:t>
      </w:r>
    </w:p>
    <w:p w14:paraId="4682BF55" w14:textId="2FA698A6" w:rsidR="00F30855" w:rsidRPr="00D2758E" w:rsidRDefault="00562778" w:rsidP="00CD2C50">
      <w:pPr>
        <w:pStyle w:val="CBDNormalNumber"/>
        <w:rPr>
          <w:rFonts w:asciiTheme="majorBidi" w:hAnsiTheme="majorBidi" w:cstheme="majorBidi"/>
        </w:rPr>
      </w:pPr>
      <w:r>
        <w:t>According to the i</w:t>
      </w:r>
      <w:r w:rsidR="004E3A6E" w:rsidRPr="00D2758E">
        <w:t>nformation</w:t>
      </w:r>
      <w:r>
        <w:t xml:space="preserve">, </w:t>
      </w:r>
      <w:r w:rsidR="004E3A6E" w:rsidRPr="00D2758E">
        <w:t>t</w:t>
      </w:r>
      <w:r w:rsidR="00031D6E" w:rsidRPr="00D2758E">
        <w:t>here seems to be a g</w:t>
      </w:r>
      <w:r w:rsidR="00F30855" w:rsidRPr="00D2758E">
        <w:t>eneral lack of practical experience in implementation</w:t>
      </w:r>
      <w:r w:rsidR="009B3912" w:rsidRPr="00D2758E">
        <w:t xml:space="preserve"> </w:t>
      </w:r>
      <w:r w:rsidR="00FD5E05">
        <w:t>with respect to A</w:t>
      </w:r>
      <w:r w:rsidR="009B3912" w:rsidRPr="00D2758E">
        <w:t>rticles</w:t>
      </w:r>
      <w:r w:rsidR="00FD5E05">
        <w:t xml:space="preserve"> 6, 7 and 12</w:t>
      </w:r>
      <w:r w:rsidR="009B3912" w:rsidRPr="00D2758E">
        <w:t xml:space="preserve"> </w:t>
      </w:r>
      <w:r w:rsidR="00F350FF">
        <w:t xml:space="preserve">of the Protocol </w:t>
      </w:r>
      <w:r w:rsidR="00F30855" w:rsidRPr="00D2758E">
        <w:t xml:space="preserve">and some </w:t>
      </w:r>
      <w:r w:rsidR="001D7413">
        <w:t xml:space="preserve">Parties </w:t>
      </w:r>
      <w:r w:rsidR="00F30855" w:rsidRPr="00D2758E">
        <w:t>pointed out that they ha</w:t>
      </w:r>
      <w:r w:rsidR="001D7413">
        <w:t>d</w:t>
      </w:r>
      <w:r w:rsidR="00F30855" w:rsidRPr="00D2758E">
        <w:t xml:space="preserve"> not received any requests for access </w:t>
      </w:r>
      <w:r w:rsidR="00F350FF">
        <w:t>to</w:t>
      </w:r>
      <w:r w:rsidR="00F30855" w:rsidRPr="00D2758E">
        <w:t xml:space="preserve"> resources or knowledge of </w:t>
      </w:r>
      <w:r w:rsidR="007413B5" w:rsidRPr="00D2758E">
        <w:t xml:space="preserve">indigenous peoples and local communities. </w:t>
      </w:r>
      <w:r w:rsidR="007413B5" w:rsidRPr="00D2758E">
        <w:rPr>
          <w:rFonts w:asciiTheme="majorBidi" w:hAnsiTheme="majorBidi" w:cstheme="majorBidi"/>
        </w:rPr>
        <w:t xml:space="preserve">For instance, only 13 </w:t>
      </w:r>
      <w:r w:rsidR="004E3A6E" w:rsidRPr="00D2758E">
        <w:rPr>
          <w:rFonts w:asciiTheme="majorBidi" w:hAnsiTheme="majorBidi" w:cstheme="majorBidi"/>
        </w:rPr>
        <w:t xml:space="preserve">certificates </w:t>
      </w:r>
      <w:r w:rsidR="00CD231D" w:rsidRPr="00D2758E">
        <w:rPr>
          <w:rFonts w:asciiTheme="majorBidi" w:hAnsiTheme="majorBidi" w:cstheme="majorBidi"/>
        </w:rPr>
        <w:t xml:space="preserve">out of the </w:t>
      </w:r>
      <w:r w:rsidR="00CD231D" w:rsidRPr="00D2758E">
        <w:rPr>
          <w:lang w:eastAsia="zh-CN"/>
        </w:rPr>
        <w:t xml:space="preserve">6,269 certificates </w:t>
      </w:r>
      <w:r w:rsidR="00CD231D">
        <w:rPr>
          <w:lang w:eastAsia="zh-CN"/>
        </w:rPr>
        <w:t>o</w:t>
      </w:r>
      <w:r w:rsidR="00CD231D" w:rsidRPr="00D2758E">
        <w:rPr>
          <w:lang w:eastAsia="zh-CN"/>
        </w:rPr>
        <w:t xml:space="preserve">n the </w:t>
      </w:r>
      <w:r w:rsidR="00CD231D">
        <w:rPr>
          <w:lang w:eastAsia="zh-CN"/>
        </w:rPr>
        <w:t xml:space="preserve">Access and Benefit-sharing </w:t>
      </w:r>
      <w:r w:rsidR="00CD231D" w:rsidRPr="00D2758E">
        <w:rPr>
          <w:lang w:eastAsia="zh-CN"/>
        </w:rPr>
        <w:t>Clearing-House</w:t>
      </w:r>
      <w:r w:rsidR="00CD231D" w:rsidRPr="00D2758E">
        <w:rPr>
          <w:rFonts w:asciiTheme="majorBidi" w:hAnsiTheme="majorBidi" w:cstheme="majorBidi"/>
        </w:rPr>
        <w:t xml:space="preserve"> </w:t>
      </w:r>
      <w:r w:rsidR="007413B5" w:rsidRPr="00D2758E">
        <w:rPr>
          <w:rFonts w:asciiTheme="majorBidi" w:hAnsiTheme="majorBidi" w:cstheme="majorBidi"/>
        </w:rPr>
        <w:t>ha</w:t>
      </w:r>
      <w:r w:rsidR="00F350FF">
        <w:rPr>
          <w:rFonts w:asciiTheme="majorBidi" w:hAnsiTheme="majorBidi" w:cstheme="majorBidi"/>
        </w:rPr>
        <w:t>d</w:t>
      </w:r>
      <w:r w:rsidR="007413B5" w:rsidRPr="00D2758E">
        <w:rPr>
          <w:rFonts w:asciiTheme="majorBidi" w:hAnsiTheme="majorBidi" w:cstheme="majorBidi"/>
        </w:rPr>
        <w:t xml:space="preserve"> been issued for access to traditional knowledge</w:t>
      </w:r>
      <w:r w:rsidR="009F6BD8" w:rsidRPr="00D2758E">
        <w:rPr>
          <w:lang w:eastAsia="zh-CN"/>
        </w:rPr>
        <w:t>.</w:t>
      </w:r>
      <w:r w:rsidR="007413B5" w:rsidRPr="00D2758E">
        <w:rPr>
          <w:rFonts w:asciiTheme="majorBidi" w:hAnsiTheme="majorBidi" w:cstheme="majorBidi"/>
        </w:rPr>
        <w:t xml:space="preserve"> </w:t>
      </w:r>
      <w:r w:rsidR="00747964">
        <w:t>I</w:t>
      </w:r>
      <w:r w:rsidR="00F30855" w:rsidRPr="00D2758E">
        <w:t xml:space="preserve">n </w:t>
      </w:r>
      <w:r w:rsidR="001E0D55" w:rsidRPr="00D2758E">
        <w:t xml:space="preserve">some </w:t>
      </w:r>
      <w:r w:rsidR="00F30855" w:rsidRPr="00D2758E">
        <w:lastRenderedPageBreak/>
        <w:t xml:space="preserve">countries, </w:t>
      </w:r>
      <w:r w:rsidR="00CD231D">
        <w:t>h</w:t>
      </w:r>
      <w:r w:rsidR="00CD231D" w:rsidRPr="00D2758E">
        <w:t xml:space="preserve">owever, </w:t>
      </w:r>
      <w:r w:rsidR="00F30855" w:rsidRPr="00D2758E">
        <w:t>indigenous peoples and local communities ha</w:t>
      </w:r>
      <w:r w:rsidR="00747964">
        <w:t>d</w:t>
      </w:r>
      <w:r w:rsidR="00F30855" w:rsidRPr="00D2758E">
        <w:t xml:space="preserve"> been involved in the negotiation and establishment of mutually agreed terms and </w:t>
      </w:r>
      <w:r w:rsidR="00CD231D">
        <w:t>the</w:t>
      </w:r>
      <w:r w:rsidR="00F30855" w:rsidRPr="00D2758E">
        <w:t xml:space="preserve"> receiving </w:t>
      </w:r>
      <w:r w:rsidR="00CD231D">
        <w:t xml:space="preserve">of </w:t>
      </w:r>
      <w:r w:rsidR="00F30855" w:rsidRPr="00D2758E">
        <w:t>benefits.</w:t>
      </w:r>
      <w:r w:rsidR="001E0D55" w:rsidRPr="00D2758E">
        <w:rPr>
          <w:rStyle w:val="FootnoteReference"/>
        </w:rPr>
        <w:footnoteReference w:id="43"/>
      </w:r>
    </w:p>
    <w:p w14:paraId="75430B0A" w14:textId="253ADD9E" w:rsidR="00D13F20" w:rsidRPr="00D2758E" w:rsidRDefault="00D13F20" w:rsidP="00762797">
      <w:pPr>
        <w:pStyle w:val="CBDTableTitle"/>
      </w:pPr>
      <w:r w:rsidRPr="007840FF">
        <w:rPr>
          <w:b w:val="0"/>
          <w:bCs/>
        </w:rPr>
        <w:t xml:space="preserve">Table </w:t>
      </w:r>
      <w:r w:rsidR="00946AAA" w:rsidRPr="007840FF">
        <w:rPr>
          <w:b w:val="0"/>
          <w:bCs/>
        </w:rPr>
        <w:t>7</w:t>
      </w:r>
      <w:r w:rsidRPr="00D2758E">
        <w:t xml:space="preserve"> </w:t>
      </w:r>
      <w:r w:rsidR="00762797">
        <w:br/>
      </w:r>
      <w:r w:rsidRPr="00D2758E">
        <w:t>Indicators to measure progress in establishing measure</w:t>
      </w:r>
      <w:r w:rsidR="00E021C0" w:rsidRPr="00D2758E">
        <w:t>s</w:t>
      </w:r>
      <w:r w:rsidRPr="00D2758E">
        <w:t xml:space="preserve"> </w:t>
      </w:r>
      <w:r w:rsidR="00946AAA" w:rsidRPr="00D2758E">
        <w:t>related to indigenous peoples and local communities</w:t>
      </w:r>
    </w:p>
    <w:tbl>
      <w:tblPr>
        <w:tblW w:w="9144" w:type="dxa"/>
        <w:tblInd w:w="56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803"/>
        <w:gridCol w:w="1829"/>
        <w:gridCol w:w="1512"/>
      </w:tblGrid>
      <w:tr w:rsidR="00D13F20" w:rsidRPr="00174BEE" w14:paraId="51BE3927" w14:textId="77777777" w:rsidTr="006B066D">
        <w:trPr>
          <w:cantSplit/>
        </w:trPr>
        <w:tc>
          <w:tcPr>
            <w:tcW w:w="5803" w:type="dxa"/>
            <w:tcBorders>
              <w:top w:val="single" w:sz="4" w:space="0" w:color="auto"/>
              <w:left w:val="single" w:sz="4" w:space="0" w:color="auto"/>
              <w:bottom w:val="single" w:sz="4" w:space="0" w:color="auto"/>
              <w:right w:val="single" w:sz="4" w:space="0" w:color="auto"/>
            </w:tcBorders>
            <w:tcMar>
              <w:top w:w="29" w:type="dxa"/>
              <w:left w:w="115" w:type="dxa"/>
              <w:bottom w:w="29" w:type="dxa"/>
              <w:right w:w="115" w:type="dxa"/>
            </w:tcMar>
            <w:vAlign w:val="bottom"/>
            <w:hideMark/>
          </w:tcPr>
          <w:p w14:paraId="280B686F" w14:textId="77777777" w:rsidR="00D13F20" w:rsidRPr="006B066D" w:rsidRDefault="00D13F20" w:rsidP="006B066D">
            <w:pPr>
              <w:suppressLineNumbers/>
              <w:suppressAutoHyphens/>
              <w:kinsoku w:val="0"/>
              <w:overflowPunct w:val="0"/>
              <w:autoSpaceDE w:val="0"/>
              <w:autoSpaceDN w:val="0"/>
              <w:adjustRightInd w:val="0"/>
              <w:snapToGrid w:val="0"/>
              <w:jc w:val="left"/>
              <w:rPr>
                <w:rFonts w:asciiTheme="majorBidi" w:eastAsia="Malgun Gothic" w:hAnsiTheme="majorBidi" w:cstheme="majorBidi"/>
                <w:bCs/>
                <w:i/>
                <w:iCs/>
                <w:kern w:val="22"/>
                <w:sz w:val="20"/>
                <w:szCs w:val="20"/>
              </w:rPr>
            </w:pPr>
            <w:r w:rsidRPr="006B066D">
              <w:rPr>
                <w:rFonts w:asciiTheme="majorBidi" w:eastAsia="Malgun Gothic" w:hAnsiTheme="majorBidi" w:cstheme="majorBidi"/>
                <w:bCs/>
                <w:i/>
                <w:iCs/>
                <w:kern w:val="22"/>
                <w:sz w:val="20"/>
                <w:szCs w:val="20"/>
              </w:rPr>
              <w:t>Framework of indicators</w:t>
            </w:r>
          </w:p>
        </w:tc>
        <w:tc>
          <w:tcPr>
            <w:tcW w:w="1829" w:type="dxa"/>
            <w:tcBorders>
              <w:top w:val="single" w:sz="4" w:space="0" w:color="auto"/>
              <w:left w:val="single" w:sz="4" w:space="0" w:color="auto"/>
              <w:bottom w:val="single" w:sz="4" w:space="0" w:color="auto"/>
              <w:right w:val="single" w:sz="4" w:space="0" w:color="auto"/>
            </w:tcBorders>
            <w:tcMar>
              <w:top w:w="29" w:type="dxa"/>
              <w:left w:w="115" w:type="dxa"/>
              <w:bottom w:w="29" w:type="dxa"/>
              <w:right w:w="115" w:type="dxa"/>
            </w:tcMar>
            <w:vAlign w:val="bottom"/>
            <w:hideMark/>
          </w:tcPr>
          <w:p w14:paraId="58B23015" w14:textId="5E54AA8C" w:rsidR="00D13F20" w:rsidRPr="006B066D" w:rsidRDefault="00D13F20" w:rsidP="006B066D">
            <w:pPr>
              <w:suppressLineNumbers/>
              <w:suppressAutoHyphens/>
              <w:kinsoku w:val="0"/>
              <w:overflowPunct w:val="0"/>
              <w:autoSpaceDE w:val="0"/>
              <w:autoSpaceDN w:val="0"/>
              <w:adjustRightInd w:val="0"/>
              <w:snapToGrid w:val="0"/>
              <w:jc w:val="right"/>
              <w:rPr>
                <w:rFonts w:asciiTheme="majorBidi" w:eastAsia="Malgun Gothic" w:hAnsiTheme="majorBidi" w:cstheme="majorBidi"/>
                <w:bCs/>
                <w:i/>
                <w:iCs/>
                <w:kern w:val="22"/>
                <w:sz w:val="20"/>
                <w:szCs w:val="20"/>
              </w:rPr>
            </w:pPr>
            <w:r w:rsidRPr="006B066D">
              <w:rPr>
                <w:rFonts w:asciiTheme="majorBidi" w:eastAsia="Malgun Gothic" w:hAnsiTheme="majorBidi" w:cstheme="majorBidi"/>
                <w:bCs/>
                <w:i/>
                <w:iCs/>
                <w:kern w:val="22"/>
                <w:sz w:val="20"/>
                <w:szCs w:val="20"/>
              </w:rPr>
              <w:t xml:space="preserve">Reference point (as </w:t>
            </w:r>
            <w:r w:rsidR="00174BEE">
              <w:rPr>
                <w:rFonts w:asciiTheme="majorBidi" w:eastAsia="Malgun Gothic" w:hAnsiTheme="majorBidi" w:cstheme="majorBidi"/>
                <w:bCs/>
                <w:i/>
                <w:iCs/>
                <w:kern w:val="22"/>
                <w:sz w:val="20"/>
                <w:szCs w:val="20"/>
              </w:rPr>
              <w:t>at</w:t>
            </w:r>
            <w:r w:rsidR="00174BEE" w:rsidRPr="006B066D">
              <w:rPr>
                <w:rFonts w:asciiTheme="majorBidi" w:eastAsia="Malgun Gothic" w:hAnsiTheme="majorBidi" w:cstheme="majorBidi"/>
                <w:bCs/>
                <w:i/>
                <w:iCs/>
                <w:kern w:val="22"/>
                <w:sz w:val="20"/>
                <w:szCs w:val="20"/>
              </w:rPr>
              <w:t xml:space="preserve"> </w:t>
            </w:r>
            <w:r w:rsidRPr="006B066D">
              <w:rPr>
                <w:rFonts w:asciiTheme="majorBidi" w:eastAsia="Malgun Gothic" w:hAnsiTheme="majorBidi" w:cstheme="majorBidi"/>
                <w:bCs/>
                <w:i/>
                <w:iCs/>
                <w:kern w:val="22"/>
                <w:sz w:val="20"/>
                <w:szCs w:val="20"/>
              </w:rPr>
              <w:t>22 February 2018)</w:t>
            </w:r>
          </w:p>
        </w:tc>
        <w:tc>
          <w:tcPr>
            <w:tcW w:w="1512" w:type="dxa"/>
            <w:tcBorders>
              <w:top w:val="single" w:sz="4" w:space="0" w:color="auto"/>
              <w:left w:val="single" w:sz="4" w:space="0" w:color="auto"/>
              <w:bottom w:val="single" w:sz="4" w:space="0" w:color="auto"/>
              <w:right w:val="single" w:sz="4" w:space="0" w:color="auto"/>
            </w:tcBorders>
            <w:vAlign w:val="bottom"/>
          </w:tcPr>
          <w:p w14:paraId="46EB7397" w14:textId="44FD21BE" w:rsidR="00D13F20" w:rsidRPr="006B066D" w:rsidRDefault="007D0195" w:rsidP="006B066D">
            <w:pPr>
              <w:suppressLineNumbers/>
              <w:suppressAutoHyphens/>
              <w:kinsoku w:val="0"/>
              <w:overflowPunct w:val="0"/>
              <w:autoSpaceDE w:val="0"/>
              <w:autoSpaceDN w:val="0"/>
              <w:adjustRightInd w:val="0"/>
              <w:snapToGrid w:val="0"/>
              <w:jc w:val="right"/>
              <w:rPr>
                <w:rFonts w:asciiTheme="majorBidi" w:eastAsia="Malgun Gothic" w:hAnsiTheme="majorBidi" w:cstheme="majorBidi"/>
                <w:bCs/>
                <w:i/>
                <w:iCs/>
                <w:kern w:val="22"/>
                <w:sz w:val="20"/>
                <w:szCs w:val="20"/>
              </w:rPr>
            </w:pPr>
            <w:r>
              <w:rPr>
                <w:rFonts w:asciiTheme="majorBidi" w:eastAsia="Malgun Gothic" w:hAnsiTheme="majorBidi" w:cstheme="majorBidi"/>
                <w:bCs/>
                <w:i/>
                <w:iCs/>
                <w:kern w:val="22"/>
                <w:sz w:val="20"/>
                <w:szCs w:val="20"/>
              </w:rPr>
              <w:t>Progres</w:t>
            </w:r>
            <w:r w:rsidR="006572FC">
              <w:rPr>
                <w:rFonts w:asciiTheme="majorBidi" w:eastAsia="Malgun Gothic" w:hAnsiTheme="majorBidi" w:cstheme="majorBidi"/>
                <w:bCs/>
                <w:i/>
                <w:iCs/>
                <w:kern w:val="22"/>
                <w:sz w:val="20"/>
                <w:szCs w:val="20"/>
              </w:rPr>
              <w:t xml:space="preserve">s as </w:t>
            </w:r>
            <w:proofErr w:type="gramStart"/>
            <w:r w:rsidR="006572FC">
              <w:rPr>
                <w:rFonts w:asciiTheme="majorBidi" w:eastAsia="Malgun Gothic" w:hAnsiTheme="majorBidi" w:cstheme="majorBidi"/>
                <w:bCs/>
                <w:i/>
                <w:iCs/>
                <w:kern w:val="22"/>
                <w:sz w:val="20"/>
                <w:szCs w:val="20"/>
              </w:rPr>
              <w:t xml:space="preserve">at </w:t>
            </w:r>
            <w:r w:rsidR="00430EFC">
              <w:rPr>
                <w:rFonts w:asciiTheme="majorBidi" w:eastAsia="Malgun Gothic" w:hAnsiTheme="majorBidi" w:cstheme="majorBidi"/>
                <w:bCs/>
                <w:i/>
                <w:iCs/>
                <w:kern w:val="22"/>
                <w:sz w:val="20"/>
                <w:szCs w:val="20"/>
              </w:rPr>
              <w:t xml:space="preserve"> </w:t>
            </w:r>
            <w:r w:rsidR="00D13F20" w:rsidRPr="006B066D">
              <w:rPr>
                <w:rFonts w:asciiTheme="majorBidi" w:eastAsia="Malgun Gothic" w:hAnsiTheme="majorBidi" w:cstheme="majorBidi"/>
                <w:bCs/>
                <w:i/>
                <w:iCs/>
                <w:kern w:val="22"/>
                <w:sz w:val="20"/>
                <w:szCs w:val="20"/>
              </w:rPr>
              <w:t>9</w:t>
            </w:r>
            <w:proofErr w:type="gramEnd"/>
            <w:r w:rsidR="00D13F20" w:rsidRPr="006B066D">
              <w:rPr>
                <w:rFonts w:asciiTheme="majorBidi" w:eastAsia="Malgun Gothic" w:hAnsiTheme="majorBidi" w:cstheme="majorBidi"/>
                <w:bCs/>
                <w:i/>
                <w:iCs/>
                <w:kern w:val="22"/>
                <w:sz w:val="20"/>
                <w:szCs w:val="20"/>
              </w:rPr>
              <w:t xml:space="preserve"> March 2026</w:t>
            </w:r>
          </w:p>
        </w:tc>
      </w:tr>
      <w:tr w:rsidR="00D13F20" w:rsidRPr="00D2758E" w14:paraId="34B6A6F4" w14:textId="77777777" w:rsidTr="006B066D">
        <w:trPr>
          <w:cantSplit/>
        </w:trPr>
        <w:tc>
          <w:tcPr>
            <w:tcW w:w="5803" w:type="dxa"/>
            <w:tcBorders>
              <w:top w:val="single" w:sz="4" w:space="0" w:color="auto"/>
              <w:left w:val="single" w:sz="4" w:space="0" w:color="auto"/>
              <w:bottom w:val="single" w:sz="4" w:space="0" w:color="auto"/>
              <w:right w:val="single" w:sz="4" w:space="0" w:color="auto"/>
            </w:tcBorders>
            <w:tcMar>
              <w:top w:w="29" w:type="dxa"/>
              <w:left w:w="115" w:type="dxa"/>
              <w:bottom w:w="29" w:type="dxa"/>
              <w:right w:w="115" w:type="dxa"/>
            </w:tcMar>
          </w:tcPr>
          <w:p w14:paraId="09A36A15" w14:textId="1B7970A3" w:rsidR="00D13F20" w:rsidRPr="00D2758E" w:rsidRDefault="00D13F20" w:rsidP="006B066D">
            <w:pPr>
              <w:suppressLineNumbers/>
              <w:suppressAutoHyphens/>
              <w:kinsoku w:val="0"/>
              <w:overflowPunct w:val="0"/>
              <w:autoSpaceDE w:val="0"/>
              <w:autoSpaceDN w:val="0"/>
              <w:adjustRightInd w:val="0"/>
              <w:snapToGrid w:val="0"/>
              <w:jc w:val="left"/>
              <w:rPr>
                <w:rFonts w:asciiTheme="majorBidi" w:hAnsiTheme="majorBidi" w:cstheme="majorBidi"/>
                <w:kern w:val="22"/>
                <w:sz w:val="20"/>
                <w:szCs w:val="20"/>
              </w:rPr>
            </w:pPr>
            <w:r w:rsidRPr="00D2758E">
              <w:rPr>
                <w:rFonts w:asciiTheme="majorBidi" w:hAnsiTheme="majorBidi" w:cstheme="majorBidi"/>
                <w:kern w:val="22"/>
                <w:sz w:val="20"/>
                <w:szCs w:val="20"/>
              </w:rPr>
              <w:t xml:space="preserve">Number and percentage of Parties with indigenous peoples and local communities in their </w:t>
            </w:r>
            <w:proofErr w:type="spellStart"/>
            <w:r w:rsidRPr="00D2758E">
              <w:rPr>
                <w:rFonts w:asciiTheme="majorBidi" w:hAnsiTheme="majorBidi" w:cstheme="majorBidi"/>
                <w:kern w:val="22"/>
                <w:sz w:val="20"/>
                <w:szCs w:val="20"/>
              </w:rPr>
              <w:t>country</w:t>
            </w:r>
            <w:r w:rsidR="00F9474A" w:rsidRPr="006B066D">
              <w:rPr>
                <w:rFonts w:asciiTheme="majorBidi" w:hAnsiTheme="majorBidi" w:cstheme="majorBidi"/>
                <w:kern w:val="22"/>
                <w:sz w:val="20"/>
                <w:szCs w:val="20"/>
                <w:vertAlign w:val="superscript"/>
              </w:rPr>
              <w:t>a</w:t>
            </w:r>
            <w:proofErr w:type="spellEnd"/>
            <w:r w:rsidRPr="00D2758E">
              <w:rPr>
                <w:rFonts w:asciiTheme="majorBidi" w:hAnsiTheme="majorBidi" w:cstheme="majorBidi"/>
                <w:kern w:val="22"/>
                <w:sz w:val="20"/>
                <w:szCs w:val="20"/>
              </w:rPr>
              <w:t xml:space="preserve"> </w:t>
            </w:r>
          </w:p>
        </w:tc>
        <w:tc>
          <w:tcPr>
            <w:tcW w:w="1829" w:type="dxa"/>
            <w:tcBorders>
              <w:top w:val="single" w:sz="4" w:space="0" w:color="auto"/>
              <w:left w:val="single" w:sz="4" w:space="0" w:color="auto"/>
              <w:bottom w:val="single" w:sz="4" w:space="0" w:color="auto"/>
              <w:right w:val="single" w:sz="4" w:space="0" w:color="auto"/>
            </w:tcBorders>
            <w:tcMar>
              <w:top w:w="29" w:type="dxa"/>
              <w:left w:w="115" w:type="dxa"/>
              <w:bottom w:w="29" w:type="dxa"/>
              <w:right w:w="115" w:type="dxa"/>
            </w:tcMar>
            <w:vAlign w:val="bottom"/>
          </w:tcPr>
          <w:p w14:paraId="5D296418" w14:textId="47D6C0A8" w:rsidR="00D13F20" w:rsidRPr="00D2758E" w:rsidRDefault="00430EFC" w:rsidP="006B066D">
            <w:pPr>
              <w:suppressLineNumbers/>
              <w:suppressAutoHyphens/>
              <w:kinsoku w:val="0"/>
              <w:overflowPunct w:val="0"/>
              <w:autoSpaceDE w:val="0"/>
              <w:autoSpaceDN w:val="0"/>
              <w:adjustRightInd w:val="0"/>
              <w:snapToGrid w:val="0"/>
              <w:jc w:val="right"/>
              <w:rPr>
                <w:rFonts w:asciiTheme="majorBidi" w:hAnsiTheme="majorBidi" w:cstheme="majorBidi"/>
                <w:kern w:val="22"/>
                <w:sz w:val="20"/>
                <w:szCs w:val="20"/>
              </w:rPr>
            </w:pPr>
            <w:r>
              <w:rPr>
                <w:rFonts w:asciiTheme="majorBidi" w:hAnsiTheme="majorBidi" w:cstheme="majorBidi"/>
                <w:kern w:val="22"/>
                <w:sz w:val="20"/>
                <w:szCs w:val="20"/>
              </w:rPr>
              <w:t>N</w:t>
            </w:r>
            <w:r w:rsidR="00416FDE">
              <w:rPr>
                <w:rFonts w:asciiTheme="majorBidi" w:hAnsiTheme="majorBidi" w:cstheme="majorBidi"/>
                <w:kern w:val="22"/>
                <w:sz w:val="20"/>
                <w:szCs w:val="20"/>
              </w:rPr>
              <w:t>ew</w:t>
            </w:r>
          </w:p>
        </w:tc>
        <w:tc>
          <w:tcPr>
            <w:tcW w:w="1512" w:type="dxa"/>
            <w:vAlign w:val="bottom"/>
          </w:tcPr>
          <w:p w14:paraId="17F1DCF7" w14:textId="14A9D39C" w:rsidR="00D13F20" w:rsidRPr="00D2758E" w:rsidRDefault="00D13F20" w:rsidP="006B066D">
            <w:pPr>
              <w:suppressLineNumbers/>
              <w:suppressAutoHyphens/>
              <w:kinsoku w:val="0"/>
              <w:overflowPunct w:val="0"/>
              <w:autoSpaceDE w:val="0"/>
              <w:autoSpaceDN w:val="0"/>
              <w:adjustRightInd w:val="0"/>
              <w:snapToGrid w:val="0"/>
              <w:jc w:val="right"/>
              <w:rPr>
                <w:rFonts w:asciiTheme="majorBidi" w:hAnsiTheme="majorBidi" w:cstheme="majorBidi"/>
                <w:kern w:val="22"/>
                <w:sz w:val="20"/>
                <w:szCs w:val="20"/>
              </w:rPr>
            </w:pPr>
            <w:r w:rsidRPr="00D2758E">
              <w:rPr>
                <w:rFonts w:asciiTheme="majorBidi" w:hAnsiTheme="majorBidi" w:cstheme="majorBidi"/>
                <w:kern w:val="22"/>
                <w:sz w:val="20"/>
                <w:szCs w:val="20"/>
              </w:rPr>
              <w:t>69 (48</w:t>
            </w:r>
            <w:r w:rsidR="00430EFC">
              <w:rPr>
                <w:rFonts w:asciiTheme="majorBidi" w:hAnsiTheme="majorBidi" w:cstheme="majorBidi"/>
                <w:kern w:val="22"/>
                <w:sz w:val="20"/>
                <w:szCs w:val="20"/>
              </w:rPr>
              <w:t xml:space="preserve"> per cent</w:t>
            </w:r>
            <w:r w:rsidRPr="00D2758E">
              <w:rPr>
                <w:rFonts w:asciiTheme="majorBidi" w:hAnsiTheme="majorBidi" w:cstheme="majorBidi"/>
                <w:kern w:val="22"/>
                <w:sz w:val="20"/>
                <w:szCs w:val="20"/>
              </w:rPr>
              <w:t>)</w:t>
            </w:r>
          </w:p>
        </w:tc>
      </w:tr>
      <w:tr w:rsidR="00D13F20" w:rsidRPr="00D2758E" w14:paraId="69A3F06A" w14:textId="77777777" w:rsidTr="006B066D">
        <w:trPr>
          <w:cantSplit/>
        </w:trPr>
        <w:tc>
          <w:tcPr>
            <w:tcW w:w="5803" w:type="dxa"/>
            <w:tcBorders>
              <w:top w:val="single" w:sz="4" w:space="0" w:color="auto"/>
              <w:left w:val="single" w:sz="4" w:space="0" w:color="auto"/>
              <w:bottom w:val="single" w:sz="4" w:space="0" w:color="auto"/>
              <w:right w:val="single" w:sz="4" w:space="0" w:color="auto"/>
            </w:tcBorders>
            <w:tcMar>
              <w:top w:w="29" w:type="dxa"/>
              <w:left w:w="115" w:type="dxa"/>
              <w:bottom w:w="29" w:type="dxa"/>
              <w:right w:w="115" w:type="dxa"/>
            </w:tcMar>
            <w:hideMark/>
          </w:tcPr>
          <w:p w14:paraId="5E2FB375" w14:textId="6822687C" w:rsidR="00D13F20" w:rsidRPr="00D2758E" w:rsidRDefault="00D13F20" w:rsidP="006B066D">
            <w:pPr>
              <w:suppressLineNumbers/>
              <w:suppressAutoHyphens/>
              <w:kinsoku w:val="0"/>
              <w:overflowPunct w:val="0"/>
              <w:autoSpaceDE w:val="0"/>
              <w:autoSpaceDN w:val="0"/>
              <w:adjustRightInd w:val="0"/>
              <w:snapToGrid w:val="0"/>
              <w:jc w:val="left"/>
              <w:rPr>
                <w:rFonts w:asciiTheme="majorBidi" w:hAnsiTheme="majorBidi" w:cstheme="majorBidi"/>
                <w:kern w:val="22"/>
                <w:sz w:val="20"/>
                <w:szCs w:val="20"/>
              </w:rPr>
            </w:pPr>
            <w:r w:rsidRPr="00D2758E">
              <w:rPr>
                <w:rFonts w:asciiTheme="majorBidi" w:eastAsia="Malgun Gothic" w:hAnsiTheme="majorBidi" w:cstheme="majorBidi"/>
                <w:kern w:val="22"/>
                <w:sz w:val="20"/>
                <w:szCs w:val="20"/>
              </w:rPr>
              <w:t xml:space="preserve">Number and percentage </w:t>
            </w:r>
            <w:r w:rsidRPr="00D2758E">
              <w:rPr>
                <w:rFonts w:asciiTheme="majorBidi" w:hAnsiTheme="majorBidi" w:cstheme="majorBidi"/>
                <w:kern w:val="22"/>
                <w:sz w:val="20"/>
                <w:szCs w:val="20"/>
              </w:rPr>
              <w:t xml:space="preserve">of Parties where indigenous peoples and local communities have the established rights to grant access to genetic </w:t>
            </w:r>
            <w:proofErr w:type="spellStart"/>
            <w:r w:rsidRPr="00D2758E">
              <w:rPr>
                <w:rFonts w:asciiTheme="majorBidi" w:hAnsiTheme="majorBidi" w:cstheme="majorBidi"/>
                <w:kern w:val="22"/>
                <w:sz w:val="20"/>
                <w:szCs w:val="20"/>
              </w:rPr>
              <w:t>resources</w:t>
            </w:r>
            <w:r w:rsidR="00FE3500" w:rsidRPr="006B066D">
              <w:rPr>
                <w:rFonts w:asciiTheme="majorBidi" w:hAnsiTheme="majorBidi" w:cstheme="majorBidi"/>
                <w:kern w:val="22"/>
                <w:sz w:val="20"/>
                <w:szCs w:val="20"/>
                <w:vertAlign w:val="superscript"/>
              </w:rPr>
              <w:t>b</w:t>
            </w:r>
            <w:proofErr w:type="spellEnd"/>
            <w:r w:rsidRPr="00D2758E">
              <w:rPr>
                <w:rFonts w:asciiTheme="majorBidi" w:hAnsiTheme="majorBidi" w:cstheme="majorBidi"/>
                <w:kern w:val="22"/>
                <w:sz w:val="20"/>
                <w:szCs w:val="20"/>
              </w:rPr>
              <w:t xml:space="preserve"> with measures in place with the aim of ensuring the prior informed consent or approval and involvement of indigenous peoples and local communities as provided in Article 6</w:t>
            </w:r>
            <w:r w:rsidR="0067157C">
              <w:rPr>
                <w:rFonts w:asciiTheme="majorBidi" w:hAnsiTheme="majorBidi" w:cstheme="majorBidi"/>
                <w:kern w:val="22"/>
                <w:sz w:val="20"/>
                <w:szCs w:val="20"/>
              </w:rPr>
              <w:t xml:space="preserve"> (</w:t>
            </w:r>
            <w:r w:rsidRPr="00D2758E">
              <w:rPr>
                <w:rFonts w:asciiTheme="majorBidi" w:hAnsiTheme="majorBidi" w:cstheme="majorBidi"/>
                <w:kern w:val="22"/>
                <w:sz w:val="20"/>
                <w:szCs w:val="20"/>
              </w:rPr>
              <w:t>2</w:t>
            </w:r>
            <w:r w:rsidR="0067157C">
              <w:rPr>
                <w:rFonts w:asciiTheme="majorBidi" w:hAnsiTheme="majorBidi" w:cstheme="majorBidi"/>
                <w:kern w:val="22"/>
                <w:sz w:val="20"/>
                <w:szCs w:val="20"/>
              </w:rPr>
              <w:t>)</w:t>
            </w:r>
          </w:p>
        </w:tc>
        <w:tc>
          <w:tcPr>
            <w:tcW w:w="1829" w:type="dxa"/>
            <w:tcBorders>
              <w:top w:val="single" w:sz="4" w:space="0" w:color="auto"/>
              <w:left w:val="single" w:sz="4" w:space="0" w:color="auto"/>
              <w:bottom w:val="single" w:sz="4" w:space="0" w:color="auto"/>
              <w:right w:val="single" w:sz="4" w:space="0" w:color="auto"/>
            </w:tcBorders>
            <w:tcMar>
              <w:top w:w="29" w:type="dxa"/>
              <w:left w:w="115" w:type="dxa"/>
              <w:bottom w:w="29" w:type="dxa"/>
              <w:right w:w="115" w:type="dxa"/>
            </w:tcMar>
            <w:vAlign w:val="bottom"/>
            <w:hideMark/>
          </w:tcPr>
          <w:p w14:paraId="67048105" w14:textId="0B0F43A1" w:rsidR="00D13F20" w:rsidRPr="00D2758E" w:rsidRDefault="00D13F20" w:rsidP="006B066D">
            <w:pPr>
              <w:suppressLineNumbers/>
              <w:suppressAutoHyphens/>
              <w:kinsoku w:val="0"/>
              <w:overflowPunct w:val="0"/>
              <w:autoSpaceDE w:val="0"/>
              <w:autoSpaceDN w:val="0"/>
              <w:adjustRightInd w:val="0"/>
              <w:snapToGrid w:val="0"/>
              <w:jc w:val="right"/>
              <w:rPr>
                <w:rFonts w:asciiTheme="majorBidi" w:hAnsiTheme="majorBidi" w:cstheme="majorBidi"/>
                <w:kern w:val="22"/>
                <w:sz w:val="20"/>
                <w:szCs w:val="20"/>
              </w:rPr>
            </w:pPr>
            <w:r w:rsidRPr="00D2758E">
              <w:rPr>
                <w:rFonts w:asciiTheme="majorBidi" w:hAnsiTheme="majorBidi" w:cstheme="majorBidi"/>
                <w:kern w:val="22"/>
                <w:sz w:val="20"/>
                <w:szCs w:val="20"/>
              </w:rPr>
              <w:t>23 (47</w:t>
            </w:r>
            <w:r w:rsidR="00430EFC">
              <w:rPr>
                <w:rFonts w:asciiTheme="majorBidi" w:hAnsiTheme="majorBidi" w:cstheme="majorBidi"/>
                <w:kern w:val="22"/>
                <w:sz w:val="20"/>
                <w:szCs w:val="20"/>
              </w:rPr>
              <w:t xml:space="preserve"> per cent</w:t>
            </w:r>
            <w:r w:rsidRPr="00D2758E">
              <w:rPr>
                <w:rFonts w:asciiTheme="majorBidi" w:hAnsiTheme="majorBidi" w:cstheme="majorBidi"/>
                <w:kern w:val="22"/>
                <w:sz w:val="20"/>
                <w:szCs w:val="20"/>
              </w:rPr>
              <w:t>)</w:t>
            </w:r>
          </w:p>
        </w:tc>
        <w:tc>
          <w:tcPr>
            <w:tcW w:w="1512" w:type="dxa"/>
            <w:vAlign w:val="bottom"/>
          </w:tcPr>
          <w:p w14:paraId="32D67DC6" w14:textId="63A21E26" w:rsidR="00D13F20" w:rsidRPr="00D2758E" w:rsidRDefault="00D13F20" w:rsidP="006B066D">
            <w:pPr>
              <w:suppressLineNumbers/>
              <w:suppressAutoHyphens/>
              <w:kinsoku w:val="0"/>
              <w:overflowPunct w:val="0"/>
              <w:autoSpaceDE w:val="0"/>
              <w:autoSpaceDN w:val="0"/>
              <w:adjustRightInd w:val="0"/>
              <w:snapToGrid w:val="0"/>
              <w:jc w:val="right"/>
              <w:rPr>
                <w:rFonts w:asciiTheme="majorBidi" w:hAnsiTheme="majorBidi" w:cstheme="majorBidi"/>
                <w:kern w:val="22"/>
                <w:sz w:val="20"/>
                <w:szCs w:val="20"/>
              </w:rPr>
            </w:pPr>
            <w:r w:rsidRPr="00D2758E">
              <w:rPr>
                <w:rFonts w:asciiTheme="majorBidi" w:hAnsiTheme="majorBidi" w:cstheme="majorBidi"/>
                <w:kern w:val="22"/>
                <w:sz w:val="20"/>
                <w:szCs w:val="20"/>
              </w:rPr>
              <w:t>47 (87</w:t>
            </w:r>
            <w:r w:rsidR="00430EFC">
              <w:rPr>
                <w:rFonts w:asciiTheme="majorBidi" w:hAnsiTheme="majorBidi" w:cstheme="majorBidi"/>
                <w:kern w:val="22"/>
                <w:sz w:val="20"/>
                <w:szCs w:val="20"/>
              </w:rPr>
              <w:t xml:space="preserve"> per cent</w:t>
            </w:r>
            <w:r w:rsidRPr="00D2758E">
              <w:rPr>
                <w:rFonts w:asciiTheme="majorBidi" w:hAnsiTheme="majorBidi" w:cstheme="majorBidi"/>
                <w:kern w:val="22"/>
                <w:sz w:val="20"/>
                <w:szCs w:val="20"/>
              </w:rPr>
              <w:t>)</w:t>
            </w:r>
          </w:p>
        </w:tc>
      </w:tr>
      <w:tr w:rsidR="00D13F20" w:rsidRPr="00D2758E" w14:paraId="192E02A7" w14:textId="77777777" w:rsidTr="006B066D">
        <w:trPr>
          <w:cantSplit/>
        </w:trPr>
        <w:tc>
          <w:tcPr>
            <w:tcW w:w="5803" w:type="dxa"/>
            <w:tcBorders>
              <w:top w:val="single" w:sz="4" w:space="0" w:color="auto"/>
              <w:left w:val="single" w:sz="4" w:space="0" w:color="auto"/>
              <w:bottom w:val="single" w:sz="4" w:space="0" w:color="auto"/>
              <w:right w:val="single" w:sz="4" w:space="0" w:color="auto"/>
            </w:tcBorders>
            <w:tcMar>
              <w:top w:w="29" w:type="dxa"/>
              <w:left w:w="115" w:type="dxa"/>
              <w:bottom w:w="29" w:type="dxa"/>
              <w:right w:w="115" w:type="dxa"/>
            </w:tcMar>
            <w:hideMark/>
          </w:tcPr>
          <w:p w14:paraId="514B0A64" w14:textId="4BF2E741" w:rsidR="00D13F20" w:rsidRPr="00D2758E" w:rsidRDefault="00D13F20" w:rsidP="006B066D">
            <w:pPr>
              <w:suppressLineNumbers/>
              <w:suppressAutoHyphens/>
              <w:kinsoku w:val="0"/>
              <w:overflowPunct w:val="0"/>
              <w:autoSpaceDE w:val="0"/>
              <w:autoSpaceDN w:val="0"/>
              <w:adjustRightInd w:val="0"/>
              <w:snapToGrid w:val="0"/>
              <w:ind w:left="-46"/>
              <w:jc w:val="left"/>
              <w:rPr>
                <w:rFonts w:asciiTheme="majorBidi" w:hAnsiTheme="majorBidi" w:cstheme="majorBidi"/>
                <w:kern w:val="22"/>
                <w:sz w:val="20"/>
                <w:szCs w:val="20"/>
              </w:rPr>
            </w:pPr>
            <w:r w:rsidRPr="00D2758E">
              <w:rPr>
                <w:rFonts w:asciiTheme="majorBidi" w:eastAsia="Malgun Gothic" w:hAnsiTheme="majorBidi" w:cstheme="majorBidi"/>
                <w:kern w:val="22"/>
                <w:sz w:val="20"/>
                <w:szCs w:val="20"/>
              </w:rPr>
              <w:t xml:space="preserve">Number and percentage </w:t>
            </w:r>
            <w:r w:rsidRPr="00D2758E">
              <w:rPr>
                <w:rFonts w:asciiTheme="majorBidi" w:hAnsiTheme="majorBidi" w:cstheme="majorBidi"/>
                <w:kern w:val="22"/>
                <w:sz w:val="20"/>
                <w:szCs w:val="20"/>
              </w:rPr>
              <w:t xml:space="preserve">of </w:t>
            </w:r>
            <w:proofErr w:type="spellStart"/>
            <w:r w:rsidRPr="00D2758E">
              <w:rPr>
                <w:rFonts w:asciiTheme="majorBidi" w:hAnsiTheme="majorBidi" w:cstheme="majorBidi"/>
                <w:kern w:val="22"/>
                <w:sz w:val="20"/>
                <w:szCs w:val="20"/>
              </w:rPr>
              <w:t>Parties</w:t>
            </w:r>
            <w:r w:rsidR="00397DE5" w:rsidRPr="006B066D">
              <w:rPr>
                <w:rFonts w:asciiTheme="majorBidi" w:hAnsiTheme="majorBidi" w:cstheme="majorBidi"/>
                <w:kern w:val="22"/>
                <w:sz w:val="20"/>
                <w:szCs w:val="20"/>
                <w:vertAlign w:val="superscript"/>
              </w:rPr>
              <w:t>c</w:t>
            </w:r>
            <w:proofErr w:type="spellEnd"/>
            <w:r w:rsidRPr="00D2758E">
              <w:rPr>
                <w:rFonts w:asciiTheme="majorBidi" w:hAnsiTheme="majorBidi" w:cstheme="majorBidi"/>
                <w:kern w:val="22"/>
                <w:sz w:val="20"/>
                <w:szCs w:val="20"/>
              </w:rPr>
              <w:t xml:space="preserve"> with indigenous peoples and local communities in their country that have taken measures with the aim of ensuring that traditional knowledge associated with genetic resources that is held by indigenous peoples and local communities have been accessed with the prior informed consent or approval and involvement of these indigenous peoples and local communities and that mutually agreed terms have been established as provided in Article 7</w:t>
            </w:r>
          </w:p>
        </w:tc>
        <w:tc>
          <w:tcPr>
            <w:tcW w:w="1829" w:type="dxa"/>
            <w:tcBorders>
              <w:top w:val="single" w:sz="4" w:space="0" w:color="auto"/>
              <w:left w:val="single" w:sz="4" w:space="0" w:color="auto"/>
              <w:bottom w:val="single" w:sz="4" w:space="0" w:color="auto"/>
              <w:right w:val="single" w:sz="4" w:space="0" w:color="auto"/>
            </w:tcBorders>
            <w:tcMar>
              <w:top w:w="29" w:type="dxa"/>
              <w:left w:w="115" w:type="dxa"/>
              <w:bottom w:w="29" w:type="dxa"/>
              <w:right w:w="115" w:type="dxa"/>
            </w:tcMar>
            <w:vAlign w:val="bottom"/>
            <w:hideMark/>
          </w:tcPr>
          <w:p w14:paraId="46DA9025" w14:textId="409E85AD" w:rsidR="00D13F20" w:rsidRPr="00D2758E" w:rsidRDefault="00D13F20" w:rsidP="006B066D">
            <w:pPr>
              <w:suppressLineNumbers/>
              <w:suppressAutoHyphens/>
              <w:kinsoku w:val="0"/>
              <w:overflowPunct w:val="0"/>
              <w:autoSpaceDE w:val="0"/>
              <w:autoSpaceDN w:val="0"/>
              <w:adjustRightInd w:val="0"/>
              <w:snapToGrid w:val="0"/>
              <w:jc w:val="right"/>
              <w:rPr>
                <w:rFonts w:asciiTheme="majorBidi" w:hAnsiTheme="majorBidi" w:cstheme="majorBidi"/>
                <w:kern w:val="22"/>
                <w:sz w:val="20"/>
                <w:szCs w:val="20"/>
              </w:rPr>
            </w:pPr>
            <w:r w:rsidRPr="00D2758E">
              <w:rPr>
                <w:rFonts w:asciiTheme="majorBidi" w:hAnsiTheme="majorBidi" w:cstheme="majorBidi"/>
                <w:kern w:val="22"/>
                <w:sz w:val="20"/>
                <w:szCs w:val="20"/>
              </w:rPr>
              <w:t>21 (43</w:t>
            </w:r>
            <w:r w:rsidR="0067157C">
              <w:rPr>
                <w:rFonts w:asciiTheme="majorBidi" w:hAnsiTheme="majorBidi" w:cstheme="majorBidi"/>
                <w:kern w:val="22"/>
                <w:sz w:val="20"/>
                <w:szCs w:val="20"/>
              </w:rPr>
              <w:t xml:space="preserve"> per cent</w:t>
            </w:r>
            <w:r w:rsidRPr="00D2758E">
              <w:rPr>
                <w:rFonts w:asciiTheme="majorBidi" w:hAnsiTheme="majorBidi" w:cstheme="majorBidi"/>
                <w:kern w:val="22"/>
                <w:sz w:val="20"/>
                <w:szCs w:val="20"/>
              </w:rPr>
              <w:t>)</w:t>
            </w:r>
          </w:p>
        </w:tc>
        <w:tc>
          <w:tcPr>
            <w:tcW w:w="1512" w:type="dxa"/>
            <w:vAlign w:val="bottom"/>
          </w:tcPr>
          <w:p w14:paraId="49D8B1E9" w14:textId="1C7B0841" w:rsidR="00D13F20" w:rsidRPr="00D2758E" w:rsidRDefault="00D13F20" w:rsidP="006B066D">
            <w:pPr>
              <w:suppressLineNumbers/>
              <w:suppressAutoHyphens/>
              <w:kinsoku w:val="0"/>
              <w:overflowPunct w:val="0"/>
              <w:autoSpaceDE w:val="0"/>
              <w:autoSpaceDN w:val="0"/>
              <w:adjustRightInd w:val="0"/>
              <w:snapToGrid w:val="0"/>
              <w:jc w:val="right"/>
              <w:rPr>
                <w:rFonts w:asciiTheme="majorBidi" w:hAnsiTheme="majorBidi" w:cstheme="majorBidi"/>
                <w:kern w:val="22"/>
                <w:sz w:val="20"/>
                <w:szCs w:val="20"/>
              </w:rPr>
            </w:pPr>
            <w:r w:rsidRPr="00D2758E">
              <w:rPr>
                <w:rFonts w:asciiTheme="majorBidi" w:hAnsiTheme="majorBidi" w:cstheme="majorBidi"/>
                <w:kern w:val="22"/>
                <w:sz w:val="20"/>
                <w:szCs w:val="20"/>
              </w:rPr>
              <w:t>56 (81</w:t>
            </w:r>
            <w:r w:rsidR="0067157C">
              <w:rPr>
                <w:rFonts w:asciiTheme="majorBidi" w:hAnsiTheme="majorBidi" w:cstheme="majorBidi"/>
                <w:kern w:val="22"/>
                <w:sz w:val="20"/>
                <w:szCs w:val="20"/>
              </w:rPr>
              <w:t xml:space="preserve"> per cent</w:t>
            </w:r>
            <w:r w:rsidRPr="00D2758E">
              <w:rPr>
                <w:rFonts w:asciiTheme="majorBidi" w:hAnsiTheme="majorBidi" w:cstheme="majorBidi"/>
                <w:kern w:val="22"/>
                <w:sz w:val="20"/>
                <w:szCs w:val="20"/>
              </w:rPr>
              <w:t>)</w:t>
            </w:r>
          </w:p>
        </w:tc>
      </w:tr>
    </w:tbl>
    <w:p w14:paraId="73A48626" w14:textId="36F86740" w:rsidR="00114A25" w:rsidRPr="006B066D" w:rsidRDefault="00114A25" w:rsidP="006B066D">
      <w:pPr>
        <w:ind w:left="567"/>
        <w:rPr>
          <w:sz w:val="18"/>
          <w:szCs w:val="18"/>
        </w:rPr>
      </w:pPr>
      <w:proofErr w:type="gramStart"/>
      <w:r w:rsidRPr="006B066D">
        <w:rPr>
          <w:i/>
          <w:iCs/>
          <w:sz w:val="18"/>
          <w:szCs w:val="18"/>
          <w:vertAlign w:val="superscript"/>
        </w:rPr>
        <w:t>a</w:t>
      </w:r>
      <w:r w:rsidRPr="006B066D">
        <w:rPr>
          <w:sz w:val="18"/>
          <w:szCs w:val="18"/>
          <w:vertAlign w:val="superscript"/>
        </w:rPr>
        <w:t xml:space="preserve"> </w:t>
      </w:r>
      <w:r>
        <w:rPr>
          <w:sz w:val="18"/>
          <w:szCs w:val="18"/>
        </w:rPr>
        <w:t xml:space="preserve"> </w:t>
      </w:r>
      <w:proofErr w:type="spellStart"/>
      <w:r w:rsidRPr="006B066D">
        <w:rPr>
          <w:sz w:val="18"/>
          <w:szCs w:val="18"/>
        </w:rPr>
        <w:t>A</w:t>
      </w:r>
      <w:proofErr w:type="spellEnd"/>
      <w:proofErr w:type="gramEnd"/>
      <w:r w:rsidRPr="006B066D">
        <w:rPr>
          <w:sz w:val="18"/>
          <w:szCs w:val="18"/>
        </w:rPr>
        <w:t xml:space="preserve"> new indicator, which is based on responses to question 34 of the first national report format, has been added to provide context for the other indicators.</w:t>
      </w:r>
    </w:p>
    <w:p w14:paraId="0FC1FBD4" w14:textId="729DE095" w:rsidR="00114A25" w:rsidRPr="006B066D" w:rsidRDefault="00114A25" w:rsidP="006B066D">
      <w:pPr>
        <w:ind w:left="567"/>
        <w:rPr>
          <w:sz w:val="18"/>
          <w:szCs w:val="18"/>
        </w:rPr>
      </w:pPr>
      <w:r w:rsidRPr="006B066D">
        <w:rPr>
          <w:i/>
          <w:iCs/>
          <w:sz w:val="18"/>
          <w:szCs w:val="18"/>
          <w:vertAlign w:val="superscript"/>
        </w:rPr>
        <w:t>b</w:t>
      </w:r>
      <w:r>
        <w:rPr>
          <w:sz w:val="18"/>
          <w:szCs w:val="18"/>
        </w:rPr>
        <w:t xml:space="preserve"> </w:t>
      </w:r>
      <w:r w:rsidRPr="006B066D">
        <w:rPr>
          <w:sz w:val="18"/>
          <w:szCs w:val="18"/>
        </w:rPr>
        <w:t xml:space="preserve">Percentage </w:t>
      </w:r>
      <w:r w:rsidR="007215F3">
        <w:rPr>
          <w:sz w:val="18"/>
          <w:szCs w:val="18"/>
        </w:rPr>
        <w:t>for</w:t>
      </w:r>
      <w:r w:rsidRPr="006B066D">
        <w:rPr>
          <w:sz w:val="18"/>
          <w:szCs w:val="18"/>
        </w:rPr>
        <w:t xml:space="preserve"> this indicator ha</w:t>
      </w:r>
      <w:r w:rsidR="007215F3">
        <w:rPr>
          <w:sz w:val="18"/>
          <w:szCs w:val="18"/>
        </w:rPr>
        <w:t>ve</w:t>
      </w:r>
      <w:r w:rsidRPr="006B066D">
        <w:rPr>
          <w:sz w:val="18"/>
          <w:szCs w:val="18"/>
        </w:rPr>
        <w:t xml:space="preserve"> been calculated based on the number of Parties where indigenous peoples and local communities have the established right to grant access to genetic resources.</w:t>
      </w:r>
    </w:p>
    <w:p w14:paraId="4D838F86" w14:textId="57618C65" w:rsidR="002508BD" w:rsidRPr="006B066D" w:rsidRDefault="00F9474A" w:rsidP="006B066D">
      <w:pPr>
        <w:ind w:left="567"/>
        <w:rPr>
          <w:sz w:val="18"/>
          <w:szCs w:val="18"/>
        </w:rPr>
      </w:pPr>
      <w:r w:rsidRPr="006B066D">
        <w:rPr>
          <w:i/>
          <w:iCs/>
          <w:sz w:val="18"/>
          <w:szCs w:val="18"/>
          <w:vertAlign w:val="superscript"/>
        </w:rPr>
        <w:t>c</w:t>
      </w:r>
      <w:r>
        <w:rPr>
          <w:sz w:val="18"/>
          <w:szCs w:val="18"/>
        </w:rPr>
        <w:t xml:space="preserve"> </w:t>
      </w:r>
      <w:r w:rsidR="00114A25" w:rsidRPr="006B066D">
        <w:rPr>
          <w:sz w:val="18"/>
          <w:szCs w:val="18"/>
        </w:rPr>
        <w:t>Percentages are calculated based on the number of Parties that have indigenous peoples and local communities in their country.</w:t>
      </w:r>
    </w:p>
    <w:p w14:paraId="0A9D257B" w14:textId="569D82EC" w:rsidR="0070432E" w:rsidRPr="00D2758E" w:rsidRDefault="00061789" w:rsidP="00061789">
      <w:pPr>
        <w:pStyle w:val="CBDH4"/>
      </w:pPr>
      <w:r>
        <w:t>(b)</w:t>
      </w:r>
      <w:r>
        <w:tab/>
      </w:r>
      <w:r w:rsidR="00E12255" w:rsidRPr="00D2758E">
        <w:t>Challenges</w:t>
      </w:r>
      <w:r w:rsidR="00A04770" w:rsidRPr="00D2758E">
        <w:t xml:space="preserve"> in implementation and </w:t>
      </w:r>
      <w:r w:rsidR="00E12255" w:rsidRPr="00D2758E">
        <w:t xml:space="preserve">root causes </w:t>
      </w:r>
    </w:p>
    <w:p w14:paraId="3570498B" w14:textId="36B70D3C" w:rsidR="00F4629B" w:rsidRPr="00D2758E" w:rsidRDefault="00F4629B" w:rsidP="00CD2C50">
      <w:pPr>
        <w:pStyle w:val="CBDNormalNumber"/>
      </w:pPr>
      <w:r w:rsidRPr="00D2758E">
        <w:t xml:space="preserve">Challenges identified </w:t>
      </w:r>
      <w:r w:rsidR="00226EA4" w:rsidRPr="00D2758E">
        <w:rPr>
          <w:rFonts w:asciiTheme="majorBidi" w:hAnsiTheme="majorBidi" w:cstheme="majorBidi"/>
        </w:rPr>
        <w:t xml:space="preserve">by </w:t>
      </w:r>
      <w:r w:rsidR="00A10972">
        <w:rPr>
          <w:rFonts w:asciiTheme="majorBidi" w:hAnsiTheme="majorBidi" w:cstheme="majorBidi"/>
        </w:rPr>
        <w:t>G</w:t>
      </w:r>
      <w:r w:rsidR="00226EA4" w:rsidRPr="00D2758E">
        <w:rPr>
          <w:rFonts w:asciiTheme="majorBidi" w:hAnsiTheme="majorBidi" w:cstheme="majorBidi"/>
        </w:rPr>
        <w:t xml:space="preserve">overnments in relation to the involvement of indigenous peoples and local communities in </w:t>
      </w:r>
      <w:r w:rsidR="00226EA4" w:rsidRPr="00D2758E">
        <w:t>national</w:t>
      </w:r>
      <w:r w:rsidR="00226EA4" w:rsidRPr="00D2758E">
        <w:rPr>
          <w:rFonts w:asciiTheme="majorBidi" w:hAnsiTheme="majorBidi" w:cstheme="majorBidi"/>
        </w:rPr>
        <w:t xml:space="preserve"> </w:t>
      </w:r>
      <w:r w:rsidR="00684D26">
        <w:rPr>
          <w:rFonts w:asciiTheme="majorBidi" w:hAnsiTheme="majorBidi" w:cstheme="majorBidi"/>
        </w:rPr>
        <w:t>access and benefit-sharing</w:t>
      </w:r>
      <w:r w:rsidR="00226EA4" w:rsidRPr="00D2758E">
        <w:rPr>
          <w:rFonts w:asciiTheme="majorBidi" w:hAnsiTheme="majorBidi" w:cstheme="majorBidi"/>
        </w:rPr>
        <w:t xml:space="preserve"> implementation include</w:t>
      </w:r>
      <w:r w:rsidRPr="00D2758E">
        <w:t>:</w:t>
      </w:r>
    </w:p>
    <w:p w14:paraId="2FC23549" w14:textId="27838FAA" w:rsidR="00F4629B" w:rsidRPr="00D2758E" w:rsidRDefault="00F4629B" w:rsidP="00A558F3">
      <w:pPr>
        <w:pStyle w:val="CBDNormalNumber"/>
        <w:numPr>
          <w:ilvl w:val="1"/>
          <w:numId w:val="7"/>
        </w:numPr>
        <w:rPr>
          <w:rFonts w:asciiTheme="majorBidi" w:hAnsiTheme="majorBidi" w:cstheme="majorBidi"/>
        </w:rPr>
      </w:pPr>
      <w:r w:rsidRPr="00D2758E">
        <w:rPr>
          <w:rFonts w:asciiTheme="majorBidi" w:hAnsiTheme="majorBidi" w:cstheme="majorBidi"/>
        </w:rPr>
        <w:t xml:space="preserve">Clarifying what the term </w:t>
      </w:r>
      <w:r w:rsidR="00361770">
        <w:rPr>
          <w:rFonts w:asciiTheme="majorBidi" w:hAnsiTheme="majorBidi" w:cstheme="majorBidi"/>
        </w:rPr>
        <w:t>“</w:t>
      </w:r>
      <w:r w:rsidR="00614EA4" w:rsidRPr="00D2758E">
        <w:rPr>
          <w:rFonts w:asciiTheme="majorBidi" w:hAnsiTheme="majorBidi" w:cstheme="majorBidi"/>
        </w:rPr>
        <w:t>indigenous peoples and local communities</w:t>
      </w:r>
      <w:r w:rsidR="00361770">
        <w:rPr>
          <w:rFonts w:asciiTheme="majorBidi" w:hAnsiTheme="majorBidi" w:cstheme="majorBidi"/>
        </w:rPr>
        <w:t>”</w:t>
      </w:r>
      <w:r w:rsidRPr="00D2758E">
        <w:rPr>
          <w:rFonts w:asciiTheme="majorBidi" w:hAnsiTheme="majorBidi" w:cstheme="majorBidi"/>
        </w:rPr>
        <w:t xml:space="preserve"> meant in the national context, </w:t>
      </w:r>
      <w:r w:rsidRPr="00D2758E">
        <w:t>including</w:t>
      </w:r>
      <w:r w:rsidRPr="00D2758E">
        <w:rPr>
          <w:rFonts w:asciiTheme="majorBidi" w:hAnsiTheme="majorBidi" w:cstheme="majorBidi"/>
        </w:rPr>
        <w:t xml:space="preserve"> provi</w:t>
      </w:r>
      <w:r w:rsidR="00C857A1">
        <w:rPr>
          <w:rFonts w:asciiTheme="majorBidi" w:hAnsiTheme="majorBidi" w:cstheme="majorBidi"/>
        </w:rPr>
        <w:t>sion of</w:t>
      </w:r>
      <w:r w:rsidRPr="00D2758E">
        <w:rPr>
          <w:rFonts w:asciiTheme="majorBidi" w:hAnsiTheme="majorBidi" w:cstheme="majorBidi"/>
        </w:rPr>
        <w:t xml:space="preserve"> clarity on the ownership of </w:t>
      </w:r>
      <w:r w:rsidR="00614EA4" w:rsidRPr="00D2758E">
        <w:rPr>
          <w:rFonts w:asciiTheme="majorBidi" w:hAnsiTheme="majorBidi" w:cstheme="majorBidi"/>
        </w:rPr>
        <w:t>indigenous peoples and local communities</w:t>
      </w:r>
      <w:r w:rsidRPr="00D2758E">
        <w:rPr>
          <w:rFonts w:asciiTheme="majorBidi" w:hAnsiTheme="majorBidi" w:cstheme="majorBidi"/>
        </w:rPr>
        <w:t xml:space="preserve"> over genetic resources and/or traditional knowledge associated with genetic resources;</w:t>
      </w:r>
    </w:p>
    <w:p w14:paraId="3012B28A" w14:textId="52A850A8" w:rsidR="009D4689" w:rsidRPr="00D2758E" w:rsidRDefault="00B119C5" w:rsidP="00A558F3">
      <w:pPr>
        <w:pStyle w:val="CBDNormalNumber"/>
        <w:numPr>
          <w:ilvl w:val="1"/>
          <w:numId w:val="7"/>
        </w:numPr>
        <w:rPr>
          <w:rFonts w:asciiTheme="majorBidi" w:hAnsiTheme="majorBidi" w:cstheme="majorBidi"/>
        </w:rPr>
      </w:pPr>
      <w:r w:rsidRPr="00D2758E">
        <w:rPr>
          <w:rFonts w:asciiTheme="majorBidi" w:hAnsiTheme="majorBidi" w:cstheme="majorBidi"/>
        </w:rPr>
        <w:t xml:space="preserve">Lack of awareness of the concept of </w:t>
      </w:r>
      <w:r w:rsidR="00A10D7F">
        <w:rPr>
          <w:rFonts w:asciiTheme="majorBidi" w:hAnsiTheme="majorBidi" w:cstheme="majorBidi"/>
        </w:rPr>
        <w:t xml:space="preserve">access and benefit-sharing </w:t>
      </w:r>
      <w:r w:rsidRPr="00D2758E">
        <w:rPr>
          <w:rFonts w:asciiTheme="majorBidi" w:hAnsiTheme="majorBidi" w:cstheme="majorBidi"/>
        </w:rPr>
        <w:t xml:space="preserve">by </w:t>
      </w:r>
      <w:r w:rsidR="00614EA4" w:rsidRPr="00D2758E">
        <w:rPr>
          <w:rFonts w:asciiTheme="majorBidi" w:hAnsiTheme="majorBidi" w:cstheme="majorBidi"/>
        </w:rPr>
        <w:t>indigenous peoples and local communities</w:t>
      </w:r>
      <w:r w:rsidRPr="00D2758E">
        <w:rPr>
          <w:rFonts w:asciiTheme="majorBidi" w:hAnsiTheme="majorBidi" w:cstheme="majorBidi"/>
        </w:rPr>
        <w:t xml:space="preserve"> and </w:t>
      </w:r>
      <w:r w:rsidR="00080C6E">
        <w:rPr>
          <w:rFonts w:asciiTheme="majorBidi" w:hAnsiTheme="majorBidi" w:cstheme="majorBidi"/>
        </w:rPr>
        <w:t>the</w:t>
      </w:r>
      <w:r w:rsidR="00F70E32" w:rsidRPr="00D2758E">
        <w:rPr>
          <w:rFonts w:asciiTheme="majorBidi" w:hAnsiTheme="majorBidi" w:cstheme="majorBidi"/>
        </w:rPr>
        <w:t xml:space="preserve"> </w:t>
      </w:r>
      <w:r w:rsidRPr="00D2758E">
        <w:rPr>
          <w:rFonts w:asciiTheme="majorBidi" w:hAnsiTheme="majorBidi" w:cstheme="majorBidi"/>
        </w:rPr>
        <w:t>relevan</w:t>
      </w:r>
      <w:r w:rsidR="00F70E32" w:rsidRPr="00D2758E">
        <w:rPr>
          <w:rFonts w:asciiTheme="majorBidi" w:hAnsiTheme="majorBidi" w:cstheme="majorBidi"/>
        </w:rPr>
        <w:t>ce</w:t>
      </w:r>
      <w:r w:rsidRPr="00D2758E">
        <w:rPr>
          <w:rFonts w:asciiTheme="majorBidi" w:hAnsiTheme="majorBidi" w:cstheme="majorBidi"/>
        </w:rPr>
        <w:t xml:space="preserve"> </w:t>
      </w:r>
      <w:r w:rsidR="00080C6E">
        <w:rPr>
          <w:rFonts w:asciiTheme="majorBidi" w:hAnsiTheme="majorBidi" w:cstheme="majorBidi"/>
        </w:rPr>
        <w:t xml:space="preserve">of that concept </w:t>
      </w:r>
      <w:r w:rsidRPr="00D2758E">
        <w:rPr>
          <w:rFonts w:asciiTheme="majorBidi" w:hAnsiTheme="majorBidi" w:cstheme="majorBidi"/>
        </w:rPr>
        <w:t xml:space="preserve">to </w:t>
      </w:r>
      <w:r w:rsidRPr="00D2758E">
        <w:t>them</w:t>
      </w:r>
      <w:r w:rsidRPr="00D2758E">
        <w:rPr>
          <w:rFonts w:asciiTheme="majorBidi" w:hAnsiTheme="majorBidi" w:cstheme="majorBidi"/>
        </w:rPr>
        <w:t xml:space="preserve">; </w:t>
      </w:r>
    </w:p>
    <w:p w14:paraId="4882F88D" w14:textId="1E2B1719" w:rsidR="00F4629B" w:rsidRPr="00D2758E" w:rsidRDefault="00F4629B" w:rsidP="00A558F3">
      <w:pPr>
        <w:pStyle w:val="CBDNormalNumber"/>
        <w:numPr>
          <w:ilvl w:val="1"/>
          <w:numId w:val="7"/>
        </w:numPr>
        <w:rPr>
          <w:rFonts w:asciiTheme="majorBidi" w:hAnsiTheme="majorBidi" w:cstheme="majorBidi"/>
        </w:rPr>
      </w:pPr>
      <w:r w:rsidRPr="00D2758E">
        <w:rPr>
          <w:rFonts w:asciiTheme="majorBidi" w:hAnsiTheme="majorBidi" w:cstheme="majorBidi"/>
        </w:rPr>
        <w:t xml:space="preserve">Lack of </w:t>
      </w:r>
      <w:r w:rsidRPr="00D2758E">
        <w:t>mechanisms</w:t>
      </w:r>
      <w:r w:rsidRPr="00D2758E">
        <w:rPr>
          <w:rFonts w:asciiTheme="majorBidi" w:hAnsiTheme="majorBidi" w:cstheme="majorBidi"/>
        </w:rPr>
        <w:t xml:space="preserve"> for appropriate coordination </w:t>
      </w:r>
      <w:proofErr w:type="gramStart"/>
      <w:r w:rsidR="002D3B84">
        <w:rPr>
          <w:rFonts w:asciiTheme="majorBidi" w:hAnsiTheme="majorBidi" w:cstheme="majorBidi"/>
        </w:rPr>
        <w:t>with regard to</w:t>
      </w:r>
      <w:proofErr w:type="gramEnd"/>
      <w:r w:rsidRPr="00D2758E">
        <w:rPr>
          <w:rFonts w:asciiTheme="majorBidi" w:hAnsiTheme="majorBidi" w:cstheme="majorBidi"/>
        </w:rPr>
        <w:t xml:space="preserve"> implementing the provisions of the Protocol related to indigenous peoples and local communities; </w:t>
      </w:r>
    </w:p>
    <w:p w14:paraId="63861A8D" w14:textId="35BA5A70" w:rsidR="00F4629B" w:rsidRPr="00D2758E" w:rsidRDefault="00F4629B" w:rsidP="00A558F3">
      <w:pPr>
        <w:pStyle w:val="CBDNormalNumber"/>
        <w:numPr>
          <w:ilvl w:val="1"/>
          <w:numId w:val="7"/>
        </w:numPr>
        <w:rPr>
          <w:rFonts w:asciiTheme="majorBidi" w:hAnsiTheme="majorBidi" w:cstheme="majorBidi"/>
        </w:rPr>
      </w:pPr>
      <w:r w:rsidRPr="00D2758E">
        <w:rPr>
          <w:rFonts w:asciiTheme="majorBidi" w:hAnsiTheme="majorBidi" w:cstheme="majorBidi"/>
        </w:rPr>
        <w:t xml:space="preserve">Identifying the different groups of indigenous peoples and local communities, understanding </w:t>
      </w:r>
      <w:r w:rsidR="002D3B84">
        <w:rPr>
          <w:rFonts w:asciiTheme="majorBidi" w:hAnsiTheme="majorBidi" w:cstheme="majorBidi"/>
        </w:rPr>
        <w:t xml:space="preserve">how </w:t>
      </w:r>
      <w:r w:rsidRPr="00D2758E">
        <w:rPr>
          <w:rFonts w:asciiTheme="majorBidi" w:hAnsiTheme="majorBidi" w:cstheme="majorBidi"/>
        </w:rPr>
        <w:t xml:space="preserve">they are organized and </w:t>
      </w:r>
      <w:r w:rsidR="002B4FFC">
        <w:rPr>
          <w:rFonts w:asciiTheme="majorBidi" w:hAnsiTheme="majorBidi" w:cstheme="majorBidi"/>
        </w:rPr>
        <w:t>developing</w:t>
      </w:r>
      <w:r w:rsidR="00012DC5">
        <w:rPr>
          <w:rFonts w:asciiTheme="majorBidi" w:hAnsiTheme="majorBidi" w:cstheme="majorBidi"/>
        </w:rPr>
        <w:t xml:space="preserve"> the </w:t>
      </w:r>
      <w:r w:rsidRPr="00D2758E">
        <w:rPr>
          <w:rFonts w:asciiTheme="majorBidi" w:hAnsiTheme="majorBidi" w:cstheme="majorBidi"/>
        </w:rPr>
        <w:t>ab</w:t>
      </w:r>
      <w:r w:rsidR="00012DC5">
        <w:rPr>
          <w:rFonts w:asciiTheme="majorBidi" w:hAnsiTheme="majorBidi" w:cstheme="majorBidi"/>
        </w:rPr>
        <w:t>i</w:t>
      </w:r>
      <w:r w:rsidRPr="00D2758E">
        <w:rPr>
          <w:rFonts w:asciiTheme="majorBidi" w:hAnsiTheme="majorBidi" w:cstheme="majorBidi"/>
        </w:rPr>
        <w:t>l</w:t>
      </w:r>
      <w:r w:rsidR="00012DC5">
        <w:rPr>
          <w:rFonts w:asciiTheme="majorBidi" w:hAnsiTheme="majorBidi" w:cstheme="majorBidi"/>
        </w:rPr>
        <w:t>it</w:t>
      </w:r>
      <w:r w:rsidR="00E70514">
        <w:rPr>
          <w:rFonts w:asciiTheme="majorBidi" w:hAnsiTheme="majorBidi" w:cstheme="majorBidi"/>
        </w:rPr>
        <w:t>y</w:t>
      </w:r>
      <w:r w:rsidRPr="00D2758E">
        <w:rPr>
          <w:rFonts w:asciiTheme="majorBidi" w:hAnsiTheme="majorBidi" w:cstheme="majorBidi"/>
        </w:rPr>
        <w:t xml:space="preserve"> to link traditional knowledge with the holder/s of such knowledge; </w:t>
      </w:r>
    </w:p>
    <w:p w14:paraId="376437D5" w14:textId="692A095C" w:rsidR="00B119C5" w:rsidRPr="00D2758E" w:rsidRDefault="009F1F58" w:rsidP="00A558F3">
      <w:pPr>
        <w:pStyle w:val="CBDNormalNumber"/>
        <w:numPr>
          <w:ilvl w:val="1"/>
          <w:numId w:val="7"/>
        </w:numPr>
        <w:rPr>
          <w:rFonts w:asciiTheme="majorBidi" w:hAnsiTheme="majorBidi" w:cstheme="majorBidi"/>
        </w:rPr>
      </w:pPr>
      <w:r w:rsidRPr="00D2758E">
        <w:rPr>
          <w:rFonts w:asciiTheme="majorBidi" w:hAnsiTheme="majorBidi" w:cstheme="majorBidi"/>
        </w:rPr>
        <w:t>Insufficien</w:t>
      </w:r>
      <w:r w:rsidR="00E70514">
        <w:rPr>
          <w:rFonts w:asciiTheme="majorBidi" w:hAnsiTheme="majorBidi" w:cstheme="majorBidi"/>
        </w:rPr>
        <w:t>cy of</w:t>
      </w:r>
      <w:r w:rsidRPr="00D2758E">
        <w:rPr>
          <w:rFonts w:asciiTheme="majorBidi" w:hAnsiTheme="majorBidi" w:cstheme="majorBidi"/>
        </w:rPr>
        <w:t xml:space="preserve"> financial resources </w:t>
      </w:r>
      <w:r w:rsidR="00E70514">
        <w:rPr>
          <w:rFonts w:asciiTheme="majorBidi" w:hAnsiTheme="majorBidi" w:cstheme="majorBidi"/>
        </w:rPr>
        <w:t>for</w:t>
      </w:r>
      <w:r w:rsidRPr="00D2758E">
        <w:rPr>
          <w:rFonts w:asciiTheme="majorBidi" w:hAnsiTheme="majorBidi" w:cstheme="majorBidi"/>
        </w:rPr>
        <w:t xml:space="preserve"> build</w:t>
      </w:r>
      <w:r w:rsidR="00E70514">
        <w:rPr>
          <w:rFonts w:asciiTheme="majorBidi" w:hAnsiTheme="majorBidi" w:cstheme="majorBidi"/>
        </w:rPr>
        <w:t>ing</w:t>
      </w:r>
      <w:r w:rsidRPr="00D2758E">
        <w:rPr>
          <w:rFonts w:asciiTheme="majorBidi" w:hAnsiTheme="majorBidi" w:cstheme="majorBidi"/>
        </w:rPr>
        <w:t xml:space="preserve"> capacity, rais</w:t>
      </w:r>
      <w:r w:rsidR="00E70514">
        <w:rPr>
          <w:rFonts w:asciiTheme="majorBidi" w:hAnsiTheme="majorBidi" w:cstheme="majorBidi"/>
        </w:rPr>
        <w:t>ing</w:t>
      </w:r>
      <w:r w:rsidRPr="00D2758E">
        <w:rPr>
          <w:rFonts w:asciiTheme="majorBidi" w:hAnsiTheme="majorBidi" w:cstheme="majorBidi"/>
        </w:rPr>
        <w:t xml:space="preserve"> awareness and ensur</w:t>
      </w:r>
      <w:r w:rsidR="00E70514">
        <w:rPr>
          <w:rFonts w:asciiTheme="majorBidi" w:hAnsiTheme="majorBidi" w:cstheme="majorBidi"/>
        </w:rPr>
        <w:t>ing</w:t>
      </w:r>
      <w:r w:rsidRPr="00D2758E">
        <w:rPr>
          <w:rFonts w:asciiTheme="majorBidi" w:hAnsiTheme="majorBidi" w:cstheme="majorBidi"/>
        </w:rPr>
        <w:t xml:space="preserve"> effective participation of </w:t>
      </w:r>
      <w:r w:rsidR="00614EA4" w:rsidRPr="00D2758E">
        <w:rPr>
          <w:rFonts w:asciiTheme="majorBidi" w:hAnsiTheme="majorBidi" w:cstheme="majorBidi"/>
        </w:rPr>
        <w:t>indigenous peoples and local communities</w:t>
      </w:r>
      <w:r w:rsidRPr="00D2758E">
        <w:rPr>
          <w:rFonts w:asciiTheme="majorBidi" w:hAnsiTheme="majorBidi" w:cstheme="majorBidi"/>
        </w:rPr>
        <w:t xml:space="preserve"> in </w:t>
      </w:r>
      <w:r w:rsidR="00906A57">
        <w:rPr>
          <w:rFonts w:asciiTheme="majorBidi" w:hAnsiTheme="majorBidi" w:cstheme="majorBidi"/>
        </w:rPr>
        <w:t xml:space="preserve">access and benefit </w:t>
      </w:r>
      <w:r w:rsidR="00906A57">
        <w:rPr>
          <w:rFonts w:asciiTheme="majorBidi" w:hAnsiTheme="majorBidi" w:cstheme="majorBidi"/>
        </w:rPr>
        <w:lastRenderedPageBreak/>
        <w:t xml:space="preserve">sharing </w:t>
      </w:r>
      <w:r w:rsidRPr="00D2758E">
        <w:rPr>
          <w:rFonts w:asciiTheme="majorBidi" w:hAnsiTheme="majorBidi" w:cstheme="majorBidi"/>
        </w:rPr>
        <w:t xml:space="preserve">processes, particularly </w:t>
      </w:r>
      <w:r w:rsidR="00C55D6C">
        <w:rPr>
          <w:rFonts w:asciiTheme="majorBidi" w:hAnsiTheme="majorBidi" w:cstheme="majorBidi"/>
        </w:rPr>
        <w:t xml:space="preserve">in the context of </w:t>
      </w:r>
      <w:r w:rsidRPr="00D2758E">
        <w:rPr>
          <w:rFonts w:asciiTheme="majorBidi" w:hAnsiTheme="majorBidi" w:cstheme="majorBidi"/>
        </w:rPr>
        <w:t xml:space="preserve">tailoring </w:t>
      </w:r>
      <w:r w:rsidR="00C55D6C">
        <w:rPr>
          <w:rFonts w:asciiTheme="majorBidi" w:hAnsiTheme="majorBidi" w:cstheme="majorBidi"/>
        </w:rPr>
        <w:t xml:space="preserve">implementation </w:t>
      </w:r>
      <w:r w:rsidRPr="00D2758E">
        <w:rPr>
          <w:rFonts w:asciiTheme="majorBidi" w:hAnsiTheme="majorBidi" w:cstheme="majorBidi"/>
        </w:rPr>
        <w:t xml:space="preserve">to the cultural and linguistic realities of the communities concerned; </w:t>
      </w:r>
    </w:p>
    <w:p w14:paraId="129DB181" w14:textId="173B0BED" w:rsidR="00F4629B" w:rsidRPr="00D2758E" w:rsidRDefault="00F4629B" w:rsidP="00A558F3">
      <w:pPr>
        <w:pStyle w:val="CBDNormalNumber"/>
        <w:numPr>
          <w:ilvl w:val="1"/>
          <w:numId w:val="7"/>
        </w:numPr>
        <w:rPr>
          <w:rFonts w:asciiTheme="majorBidi" w:eastAsia="Malgun Gothic" w:hAnsiTheme="majorBidi" w:cstheme="majorBidi"/>
        </w:rPr>
      </w:pPr>
      <w:r w:rsidRPr="00D2758E">
        <w:rPr>
          <w:rFonts w:asciiTheme="majorBidi" w:hAnsiTheme="majorBidi" w:cstheme="majorBidi"/>
        </w:rPr>
        <w:t xml:space="preserve">Fear of </w:t>
      </w:r>
      <w:r w:rsidRPr="00D2758E">
        <w:t>biopiracy</w:t>
      </w:r>
      <w:r w:rsidRPr="00D2758E">
        <w:rPr>
          <w:rFonts w:asciiTheme="majorBidi" w:hAnsiTheme="majorBidi" w:cstheme="majorBidi"/>
        </w:rPr>
        <w:t xml:space="preserve"> or misappropriation, lack of trust or historic conflicts</w:t>
      </w:r>
      <w:r w:rsidR="00693DBB">
        <w:rPr>
          <w:rFonts w:asciiTheme="majorBidi" w:hAnsiTheme="majorBidi" w:cstheme="majorBidi"/>
        </w:rPr>
        <w:t>, which</w:t>
      </w:r>
      <w:r w:rsidRPr="00D2758E">
        <w:rPr>
          <w:rFonts w:asciiTheme="majorBidi" w:hAnsiTheme="majorBidi" w:cstheme="majorBidi"/>
        </w:rPr>
        <w:t xml:space="preserve"> can be </w:t>
      </w:r>
      <w:r w:rsidR="00715FC7">
        <w:rPr>
          <w:rFonts w:asciiTheme="majorBidi" w:hAnsiTheme="majorBidi" w:cstheme="majorBidi"/>
        </w:rPr>
        <w:t xml:space="preserve">among </w:t>
      </w:r>
      <w:r w:rsidRPr="00D2758E">
        <w:rPr>
          <w:rFonts w:asciiTheme="majorBidi" w:hAnsiTheme="majorBidi" w:cstheme="majorBidi"/>
        </w:rPr>
        <w:t xml:space="preserve">the root causes </w:t>
      </w:r>
      <w:r w:rsidR="00693DBB">
        <w:rPr>
          <w:rFonts w:asciiTheme="majorBidi" w:hAnsiTheme="majorBidi" w:cstheme="majorBidi"/>
        </w:rPr>
        <w:t>of</w:t>
      </w:r>
      <w:r w:rsidRPr="00D2758E">
        <w:rPr>
          <w:rFonts w:asciiTheme="majorBidi" w:hAnsiTheme="majorBidi" w:cstheme="majorBidi"/>
        </w:rPr>
        <w:t xml:space="preserve"> </w:t>
      </w:r>
      <w:r w:rsidR="002530A4" w:rsidRPr="00D2758E">
        <w:rPr>
          <w:rFonts w:asciiTheme="majorBidi" w:hAnsiTheme="majorBidi" w:cstheme="majorBidi"/>
        </w:rPr>
        <w:t xml:space="preserve">the </w:t>
      </w:r>
      <w:r w:rsidRPr="00D2758E">
        <w:rPr>
          <w:rFonts w:asciiTheme="majorBidi" w:hAnsiTheme="majorBidi" w:cstheme="majorBidi"/>
        </w:rPr>
        <w:t xml:space="preserve">lack of </w:t>
      </w:r>
      <w:r w:rsidR="00693DBB">
        <w:rPr>
          <w:rFonts w:asciiTheme="majorBidi" w:hAnsiTheme="majorBidi" w:cstheme="majorBidi"/>
        </w:rPr>
        <w:t xml:space="preserve">the </w:t>
      </w:r>
      <w:r w:rsidR="00693DBB" w:rsidRPr="00D2758E">
        <w:rPr>
          <w:rFonts w:asciiTheme="majorBidi" w:hAnsiTheme="majorBidi" w:cstheme="majorBidi"/>
        </w:rPr>
        <w:t xml:space="preserve">participation </w:t>
      </w:r>
      <w:r w:rsidR="00693DBB">
        <w:rPr>
          <w:rFonts w:asciiTheme="majorBidi" w:hAnsiTheme="majorBidi" w:cstheme="majorBidi"/>
        </w:rPr>
        <w:t xml:space="preserve">of </w:t>
      </w:r>
      <w:r w:rsidR="00614EA4" w:rsidRPr="00D2758E">
        <w:rPr>
          <w:rFonts w:asciiTheme="majorBidi" w:hAnsiTheme="majorBidi" w:cstheme="majorBidi"/>
        </w:rPr>
        <w:t xml:space="preserve">indigenous peoples and local </w:t>
      </w:r>
      <w:r w:rsidR="007C1CF5" w:rsidRPr="00D2758E">
        <w:rPr>
          <w:rFonts w:asciiTheme="majorBidi" w:hAnsiTheme="majorBidi" w:cstheme="majorBidi"/>
        </w:rPr>
        <w:t>communities</w:t>
      </w:r>
      <w:r w:rsidRPr="00D2758E">
        <w:rPr>
          <w:rFonts w:asciiTheme="majorBidi" w:hAnsiTheme="majorBidi" w:cstheme="majorBidi"/>
        </w:rPr>
        <w:t xml:space="preserve"> in </w:t>
      </w:r>
      <w:r w:rsidR="00693DBB">
        <w:rPr>
          <w:rFonts w:asciiTheme="majorBidi" w:hAnsiTheme="majorBidi" w:cstheme="majorBidi"/>
        </w:rPr>
        <w:t xml:space="preserve">access and benefit-sharing </w:t>
      </w:r>
      <w:r w:rsidRPr="00D2758E">
        <w:rPr>
          <w:rFonts w:asciiTheme="majorBidi" w:hAnsiTheme="majorBidi" w:cstheme="majorBidi"/>
        </w:rPr>
        <w:t>processes.</w:t>
      </w:r>
    </w:p>
    <w:p w14:paraId="3FFA0038" w14:textId="492C51AE" w:rsidR="008C200A" w:rsidRPr="00D2758E" w:rsidRDefault="001C0126" w:rsidP="00CD2C50">
      <w:pPr>
        <w:pStyle w:val="CBDNormalNumber"/>
        <w:rPr>
          <w:rFonts w:asciiTheme="majorBidi" w:hAnsiTheme="majorBidi" w:cstheme="majorBidi"/>
        </w:rPr>
      </w:pPr>
      <w:r w:rsidRPr="00D2758E">
        <w:rPr>
          <w:rFonts w:asciiTheme="majorBidi" w:hAnsiTheme="majorBidi" w:cstheme="majorBidi"/>
        </w:rPr>
        <w:t>According to the results of the targeted survey, m</w:t>
      </w:r>
      <w:r w:rsidR="008C200A" w:rsidRPr="00D2758E">
        <w:rPr>
          <w:rFonts w:asciiTheme="majorBidi" w:hAnsiTheme="majorBidi" w:cstheme="majorBidi"/>
        </w:rPr>
        <w:t xml:space="preserve">any users </w:t>
      </w:r>
      <w:r w:rsidR="006768A1">
        <w:rPr>
          <w:rFonts w:asciiTheme="majorBidi" w:hAnsiTheme="majorBidi" w:cstheme="majorBidi"/>
        </w:rPr>
        <w:t>had</w:t>
      </w:r>
      <w:r w:rsidR="009F4E2A">
        <w:rPr>
          <w:rFonts w:asciiTheme="majorBidi" w:hAnsiTheme="majorBidi" w:cstheme="majorBidi"/>
        </w:rPr>
        <w:t xml:space="preserve"> not attain</w:t>
      </w:r>
      <w:r w:rsidR="006768A1">
        <w:rPr>
          <w:rFonts w:asciiTheme="majorBidi" w:hAnsiTheme="majorBidi" w:cstheme="majorBidi"/>
        </w:rPr>
        <w:t>ed</w:t>
      </w:r>
      <w:r w:rsidR="009F4E2A">
        <w:rPr>
          <w:rFonts w:asciiTheme="majorBidi" w:hAnsiTheme="majorBidi" w:cstheme="majorBidi"/>
        </w:rPr>
        <w:t xml:space="preserve"> </w:t>
      </w:r>
      <w:r w:rsidR="008C200A" w:rsidRPr="00D2758E">
        <w:rPr>
          <w:rFonts w:asciiTheme="majorBidi" w:hAnsiTheme="majorBidi" w:cstheme="majorBidi"/>
        </w:rPr>
        <w:t xml:space="preserve">access to traditional knowledge </w:t>
      </w:r>
      <w:r w:rsidR="00594C66">
        <w:rPr>
          <w:rFonts w:asciiTheme="majorBidi" w:hAnsiTheme="majorBidi" w:cstheme="majorBidi"/>
        </w:rPr>
        <w:t>owing</w:t>
      </w:r>
      <w:r w:rsidR="008C200A" w:rsidRPr="00D2758E">
        <w:rPr>
          <w:rFonts w:asciiTheme="majorBidi" w:hAnsiTheme="majorBidi" w:cstheme="majorBidi"/>
        </w:rPr>
        <w:t xml:space="preserve"> to potential challenges. Specific challenges encountered by users include</w:t>
      </w:r>
      <w:r w:rsidR="009F4E2A">
        <w:rPr>
          <w:rFonts w:asciiTheme="majorBidi" w:hAnsiTheme="majorBidi" w:cstheme="majorBidi"/>
        </w:rPr>
        <w:t>d</w:t>
      </w:r>
      <w:r w:rsidR="008C200A" w:rsidRPr="00D2758E">
        <w:rPr>
          <w:rFonts w:asciiTheme="majorBidi" w:hAnsiTheme="majorBidi" w:cstheme="majorBidi"/>
        </w:rPr>
        <w:t xml:space="preserve"> a limited understanding of commercial operations</w:t>
      </w:r>
      <w:r w:rsidR="009B6879">
        <w:rPr>
          <w:rFonts w:asciiTheme="majorBidi" w:hAnsiTheme="majorBidi" w:cstheme="majorBidi"/>
        </w:rPr>
        <w:t>,</w:t>
      </w:r>
      <w:r w:rsidR="009B6879" w:rsidRPr="009B6879">
        <w:rPr>
          <w:rFonts w:asciiTheme="majorBidi" w:hAnsiTheme="majorBidi" w:cstheme="majorBidi"/>
        </w:rPr>
        <w:t xml:space="preserve"> </w:t>
      </w:r>
      <w:r w:rsidR="009B6879" w:rsidRPr="00D2758E">
        <w:rPr>
          <w:rFonts w:asciiTheme="majorBidi" w:hAnsiTheme="majorBidi" w:cstheme="majorBidi"/>
        </w:rPr>
        <w:t>including how markets and value chains function</w:t>
      </w:r>
      <w:r w:rsidR="009B6879">
        <w:rPr>
          <w:rFonts w:asciiTheme="majorBidi" w:hAnsiTheme="majorBidi" w:cstheme="majorBidi"/>
        </w:rPr>
        <w:t>ed,</w:t>
      </w:r>
      <w:r w:rsidR="002F344B">
        <w:rPr>
          <w:rFonts w:asciiTheme="majorBidi" w:hAnsiTheme="majorBidi" w:cstheme="majorBidi"/>
        </w:rPr>
        <w:t xml:space="preserve"> </w:t>
      </w:r>
      <w:r w:rsidR="009B6879" w:rsidRPr="00D2758E">
        <w:rPr>
          <w:rFonts w:asciiTheme="majorBidi" w:hAnsiTheme="majorBidi" w:cstheme="majorBidi"/>
        </w:rPr>
        <w:t>by many indigenous peoples and local communities</w:t>
      </w:r>
      <w:r w:rsidR="008C200A" w:rsidRPr="00D2758E">
        <w:rPr>
          <w:rFonts w:asciiTheme="majorBidi" w:hAnsiTheme="majorBidi" w:cstheme="majorBidi"/>
        </w:rPr>
        <w:t xml:space="preserve">, combined with information asymmetries and unrealistic expectations regarding potential benefits which </w:t>
      </w:r>
      <w:r w:rsidR="00011B06">
        <w:rPr>
          <w:rFonts w:asciiTheme="majorBidi" w:hAnsiTheme="majorBidi" w:cstheme="majorBidi"/>
        </w:rPr>
        <w:t>could</w:t>
      </w:r>
      <w:r w:rsidR="008C200A" w:rsidRPr="00D2758E">
        <w:rPr>
          <w:rFonts w:asciiTheme="majorBidi" w:hAnsiTheme="majorBidi" w:cstheme="majorBidi"/>
        </w:rPr>
        <w:t xml:space="preserve"> create misunderstandings and hinder the development of mutually agreed terms; </w:t>
      </w:r>
      <w:r w:rsidR="00011B06">
        <w:rPr>
          <w:rFonts w:asciiTheme="majorBidi" w:hAnsiTheme="majorBidi" w:cstheme="majorBidi"/>
        </w:rPr>
        <w:t xml:space="preserve">and </w:t>
      </w:r>
      <w:r w:rsidR="008C200A" w:rsidRPr="00D2758E">
        <w:rPr>
          <w:rFonts w:asciiTheme="majorBidi" w:hAnsiTheme="majorBidi" w:cstheme="majorBidi"/>
        </w:rPr>
        <w:t xml:space="preserve">communication </w:t>
      </w:r>
      <w:r w:rsidR="00F328D1">
        <w:rPr>
          <w:rFonts w:asciiTheme="majorBidi" w:hAnsiTheme="majorBidi" w:cstheme="majorBidi"/>
        </w:rPr>
        <w:t xml:space="preserve">barriers </w:t>
      </w:r>
      <w:r w:rsidR="008C200A" w:rsidRPr="00D2758E">
        <w:rPr>
          <w:rFonts w:asciiTheme="majorBidi" w:hAnsiTheme="majorBidi" w:cstheme="majorBidi"/>
        </w:rPr>
        <w:t>due to language</w:t>
      </w:r>
      <w:r w:rsidR="003F2DFB">
        <w:rPr>
          <w:rFonts w:asciiTheme="majorBidi" w:hAnsiTheme="majorBidi" w:cstheme="majorBidi"/>
        </w:rPr>
        <w:t>-related</w:t>
      </w:r>
      <w:r w:rsidR="008C200A" w:rsidRPr="00D2758E">
        <w:rPr>
          <w:rFonts w:asciiTheme="majorBidi" w:hAnsiTheme="majorBidi" w:cstheme="majorBidi"/>
        </w:rPr>
        <w:t xml:space="preserve"> and/or cultural issues.</w:t>
      </w:r>
    </w:p>
    <w:p w14:paraId="7F9CF0B8" w14:textId="77B9B646" w:rsidR="008E1ACB" w:rsidRPr="00D2758E" w:rsidRDefault="008C200A" w:rsidP="00CD2C50">
      <w:pPr>
        <w:pStyle w:val="CBDNormalNumber"/>
        <w:rPr>
          <w:rFonts w:asciiTheme="majorBidi" w:hAnsiTheme="majorBidi" w:cstheme="majorBidi"/>
        </w:rPr>
      </w:pPr>
      <w:r w:rsidRPr="00D2758E">
        <w:rPr>
          <w:rFonts w:asciiTheme="majorBidi" w:hAnsiTheme="majorBidi" w:cstheme="majorBidi"/>
        </w:rPr>
        <w:t xml:space="preserve">From </w:t>
      </w:r>
      <w:r w:rsidR="003F2DFB">
        <w:rPr>
          <w:rFonts w:asciiTheme="majorBidi" w:hAnsiTheme="majorBidi" w:cstheme="majorBidi"/>
        </w:rPr>
        <w:t xml:space="preserve">the </w:t>
      </w:r>
      <w:r w:rsidR="003F2DFB" w:rsidRPr="00D2758E">
        <w:rPr>
          <w:rFonts w:asciiTheme="majorBidi" w:hAnsiTheme="majorBidi" w:cstheme="majorBidi"/>
        </w:rPr>
        <w:t xml:space="preserve">perspective </w:t>
      </w:r>
      <w:r w:rsidR="003F2DFB">
        <w:rPr>
          <w:rFonts w:asciiTheme="majorBidi" w:hAnsiTheme="majorBidi" w:cstheme="majorBidi"/>
        </w:rPr>
        <w:t>of</w:t>
      </w:r>
      <w:r w:rsidRPr="00D2758E">
        <w:rPr>
          <w:rFonts w:asciiTheme="majorBidi" w:hAnsiTheme="majorBidi" w:cstheme="majorBidi"/>
        </w:rPr>
        <w:t xml:space="preserve"> </w:t>
      </w:r>
      <w:r w:rsidR="00913EE0" w:rsidRPr="00D2758E">
        <w:rPr>
          <w:rFonts w:asciiTheme="majorBidi" w:hAnsiTheme="majorBidi" w:cstheme="majorBidi"/>
        </w:rPr>
        <w:t>indigenous peoples and local communities</w:t>
      </w:r>
      <w:r w:rsidRPr="00D2758E">
        <w:rPr>
          <w:rFonts w:asciiTheme="majorBidi" w:hAnsiTheme="majorBidi" w:cstheme="majorBidi"/>
        </w:rPr>
        <w:t xml:space="preserve">, challenges related to national </w:t>
      </w:r>
      <w:r w:rsidR="005863A0" w:rsidRPr="00D2758E">
        <w:rPr>
          <w:rFonts w:asciiTheme="majorBidi" w:hAnsiTheme="majorBidi" w:cstheme="majorBidi"/>
        </w:rPr>
        <w:t xml:space="preserve">implementation </w:t>
      </w:r>
      <w:r w:rsidR="00D01C11">
        <w:rPr>
          <w:rFonts w:asciiTheme="majorBidi" w:hAnsiTheme="majorBidi" w:cstheme="majorBidi"/>
        </w:rPr>
        <w:t xml:space="preserve">of </w:t>
      </w:r>
      <w:r w:rsidR="00EF5148" w:rsidRPr="00EF5148">
        <w:rPr>
          <w:rFonts w:asciiTheme="majorBidi" w:hAnsiTheme="majorBidi" w:cstheme="majorBidi"/>
        </w:rPr>
        <w:t xml:space="preserve">access and benefit-sharing </w:t>
      </w:r>
      <w:r w:rsidRPr="00D2758E">
        <w:rPr>
          <w:rFonts w:asciiTheme="majorBidi" w:hAnsiTheme="majorBidi" w:cstheme="majorBidi"/>
        </w:rPr>
        <w:t>include</w:t>
      </w:r>
      <w:r w:rsidR="00EF5148">
        <w:rPr>
          <w:rFonts w:asciiTheme="majorBidi" w:hAnsiTheme="majorBidi" w:cstheme="majorBidi"/>
        </w:rPr>
        <w:t>d</w:t>
      </w:r>
      <w:r w:rsidRPr="00D2758E">
        <w:rPr>
          <w:rFonts w:asciiTheme="majorBidi" w:hAnsiTheme="majorBidi" w:cstheme="majorBidi"/>
        </w:rPr>
        <w:t xml:space="preserve">: lack of </w:t>
      </w:r>
      <w:r w:rsidR="00D01C11" w:rsidRPr="00D2758E">
        <w:rPr>
          <w:rFonts w:asciiTheme="majorBidi" w:hAnsiTheme="majorBidi" w:cstheme="majorBidi"/>
        </w:rPr>
        <w:t>national authorities</w:t>
      </w:r>
      <w:r w:rsidR="00D01C11">
        <w:rPr>
          <w:rFonts w:asciiTheme="majorBidi" w:hAnsiTheme="majorBidi" w:cstheme="majorBidi"/>
        </w:rPr>
        <w:t>’</w:t>
      </w:r>
      <w:r w:rsidR="00D01C11" w:rsidRPr="00D2758E">
        <w:rPr>
          <w:rFonts w:asciiTheme="majorBidi" w:hAnsiTheme="majorBidi" w:cstheme="majorBidi"/>
        </w:rPr>
        <w:t xml:space="preserve"> </w:t>
      </w:r>
      <w:r w:rsidRPr="00D2758E">
        <w:rPr>
          <w:rFonts w:asciiTheme="majorBidi" w:hAnsiTheme="majorBidi" w:cstheme="majorBidi"/>
        </w:rPr>
        <w:t xml:space="preserve">political will to address issues related to access to </w:t>
      </w:r>
      <w:r w:rsidR="00913EE0" w:rsidRPr="00D2758E">
        <w:rPr>
          <w:rFonts w:asciiTheme="majorBidi" w:hAnsiTheme="majorBidi" w:cstheme="majorBidi"/>
        </w:rPr>
        <w:t>associated traditional knowledge</w:t>
      </w:r>
      <w:r w:rsidRPr="00D2758E">
        <w:rPr>
          <w:rFonts w:asciiTheme="majorBidi" w:hAnsiTheme="majorBidi" w:cstheme="majorBidi"/>
        </w:rPr>
        <w:t xml:space="preserve"> and</w:t>
      </w:r>
      <w:r w:rsidR="00913EE0" w:rsidRPr="00D2758E">
        <w:rPr>
          <w:rFonts w:asciiTheme="majorBidi" w:hAnsiTheme="majorBidi" w:cstheme="majorBidi"/>
        </w:rPr>
        <w:t xml:space="preserve"> genetic resources</w:t>
      </w:r>
      <w:r w:rsidRPr="00D2758E">
        <w:rPr>
          <w:rFonts w:asciiTheme="majorBidi" w:hAnsiTheme="majorBidi" w:cstheme="majorBidi"/>
        </w:rPr>
        <w:t xml:space="preserve"> found on their territories</w:t>
      </w:r>
      <w:r w:rsidR="00C54155">
        <w:rPr>
          <w:rFonts w:asciiTheme="majorBidi" w:hAnsiTheme="majorBidi" w:cstheme="majorBidi"/>
        </w:rPr>
        <w:t>,</w:t>
      </w:r>
      <w:r w:rsidRPr="00D2758E">
        <w:rPr>
          <w:rFonts w:asciiTheme="majorBidi" w:hAnsiTheme="majorBidi" w:cstheme="majorBidi"/>
        </w:rPr>
        <w:t xml:space="preserve"> as they often relate</w:t>
      </w:r>
      <w:r w:rsidR="00C54155">
        <w:rPr>
          <w:rFonts w:asciiTheme="majorBidi" w:hAnsiTheme="majorBidi" w:cstheme="majorBidi"/>
        </w:rPr>
        <w:t>d</w:t>
      </w:r>
      <w:r w:rsidRPr="00D2758E">
        <w:rPr>
          <w:rFonts w:asciiTheme="majorBidi" w:hAnsiTheme="majorBidi" w:cstheme="majorBidi"/>
        </w:rPr>
        <w:t xml:space="preserve"> to broader unresolved issues </w:t>
      </w:r>
      <w:r w:rsidR="00C54155">
        <w:rPr>
          <w:rFonts w:asciiTheme="majorBidi" w:hAnsiTheme="majorBidi" w:cstheme="majorBidi"/>
        </w:rPr>
        <w:t>associated with</w:t>
      </w:r>
      <w:r w:rsidRPr="00D2758E">
        <w:rPr>
          <w:rFonts w:asciiTheme="majorBidi" w:hAnsiTheme="majorBidi" w:cstheme="majorBidi"/>
        </w:rPr>
        <w:t xml:space="preserve"> land rights; limited technical and financial capacity which</w:t>
      </w:r>
      <w:r w:rsidR="00CA2213">
        <w:rPr>
          <w:rFonts w:asciiTheme="majorBidi" w:hAnsiTheme="majorBidi" w:cstheme="majorBidi"/>
        </w:rPr>
        <w:t xml:space="preserve"> </w:t>
      </w:r>
      <w:r w:rsidRPr="00D2758E">
        <w:rPr>
          <w:rFonts w:asciiTheme="majorBidi" w:hAnsiTheme="majorBidi" w:cstheme="majorBidi"/>
        </w:rPr>
        <w:t>impacted the</w:t>
      </w:r>
      <w:r w:rsidR="00913EE0" w:rsidRPr="00D2758E">
        <w:rPr>
          <w:rFonts w:asciiTheme="majorBidi" w:hAnsiTheme="majorBidi" w:cstheme="majorBidi"/>
        </w:rPr>
        <w:t>ir</w:t>
      </w:r>
      <w:r w:rsidRPr="00D2758E">
        <w:rPr>
          <w:rFonts w:asciiTheme="majorBidi" w:hAnsiTheme="majorBidi" w:cstheme="majorBidi"/>
        </w:rPr>
        <w:t xml:space="preserve"> engagement  as well as the development and use of community protocols; and limited recognition of customary governance systems by national </w:t>
      </w:r>
      <w:r w:rsidR="00CA2213">
        <w:rPr>
          <w:rFonts w:asciiTheme="majorBidi" w:hAnsiTheme="majorBidi" w:cstheme="majorBidi"/>
        </w:rPr>
        <w:t>G</w:t>
      </w:r>
      <w:r w:rsidRPr="00D2758E">
        <w:rPr>
          <w:rFonts w:asciiTheme="majorBidi" w:hAnsiTheme="majorBidi" w:cstheme="majorBidi"/>
        </w:rPr>
        <w:t>overnments.</w:t>
      </w:r>
    </w:p>
    <w:p w14:paraId="05120363" w14:textId="2A92938B" w:rsidR="00E96B75" w:rsidRPr="00D2758E" w:rsidRDefault="00D03C48" w:rsidP="00D03C48">
      <w:pPr>
        <w:pStyle w:val="CBDH4"/>
      </w:pPr>
      <w:r>
        <w:t>(</w:t>
      </w:r>
      <w:r w:rsidR="00B75BF8">
        <w:t>c</w:t>
      </w:r>
      <w:r>
        <w:t>)</w:t>
      </w:r>
      <w:r>
        <w:tab/>
      </w:r>
      <w:r w:rsidR="00CF7E3A" w:rsidRPr="00D2758E">
        <w:t>P</w:t>
      </w:r>
      <w:r w:rsidR="00E96B75" w:rsidRPr="00D2758E">
        <w:t>ossible ways to enhance measures related to indigenous peoples and local communities</w:t>
      </w:r>
    </w:p>
    <w:p w14:paraId="261DAA8F" w14:textId="1D3B69C2" w:rsidR="00CF7E3A" w:rsidRPr="00D2758E" w:rsidRDefault="00CF7E3A" w:rsidP="00CD2C50">
      <w:pPr>
        <w:pStyle w:val="CBDNormalNumber"/>
        <w:rPr>
          <w:rFonts w:asciiTheme="majorBidi" w:hAnsiTheme="majorBidi" w:cstheme="majorBidi"/>
        </w:rPr>
      </w:pPr>
      <w:r w:rsidRPr="00D2758E">
        <w:rPr>
          <w:rFonts w:asciiTheme="majorBidi" w:hAnsiTheme="majorBidi" w:cstheme="majorBidi"/>
        </w:rPr>
        <w:t>The development of community protocols,</w:t>
      </w:r>
      <w:r w:rsidR="00EA337B" w:rsidRPr="00D2758E">
        <w:rPr>
          <w:rStyle w:val="FootnoteReference"/>
          <w:rFonts w:asciiTheme="majorBidi" w:hAnsiTheme="majorBidi" w:cstheme="majorBidi"/>
        </w:rPr>
        <w:footnoteReference w:id="44"/>
      </w:r>
      <w:r w:rsidRPr="00D2758E">
        <w:rPr>
          <w:rFonts w:asciiTheme="majorBidi" w:hAnsiTheme="majorBidi" w:cstheme="majorBidi"/>
        </w:rPr>
        <w:t xml:space="preserve"> including their official recognition by national authorities, as well as awareness-raising and capacity-building activities</w:t>
      </w:r>
      <w:r w:rsidR="00CA2213">
        <w:rPr>
          <w:rFonts w:asciiTheme="majorBidi" w:hAnsiTheme="majorBidi" w:cstheme="majorBidi"/>
        </w:rPr>
        <w:t>,</w:t>
      </w:r>
      <w:r w:rsidRPr="00D2758E">
        <w:rPr>
          <w:rFonts w:asciiTheme="majorBidi" w:hAnsiTheme="majorBidi" w:cstheme="majorBidi"/>
        </w:rPr>
        <w:t xml:space="preserve"> w</w:t>
      </w:r>
      <w:r w:rsidR="00E31FCD">
        <w:rPr>
          <w:rFonts w:asciiTheme="majorBidi" w:hAnsiTheme="majorBidi" w:cstheme="majorBidi"/>
        </w:rPr>
        <w:t>as</w:t>
      </w:r>
      <w:r w:rsidRPr="00D2758E">
        <w:rPr>
          <w:rFonts w:asciiTheme="majorBidi" w:hAnsiTheme="majorBidi" w:cstheme="majorBidi"/>
        </w:rPr>
        <w:t xml:space="preserve"> recogni</w:t>
      </w:r>
      <w:r w:rsidR="00805109">
        <w:rPr>
          <w:rFonts w:asciiTheme="majorBidi" w:hAnsiTheme="majorBidi" w:cstheme="majorBidi"/>
        </w:rPr>
        <w:t>z</w:t>
      </w:r>
      <w:r w:rsidRPr="00D2758E">
        <w:rPr>
          <w:rFonts w:asciiTheme="majorBidi" w:hAnsiTheme="majorBidi" w:cstheme="majorBidi"/>
        </w:rPr>
        <w:t xml:space="preserve">ed as having a key role to play in further supporting the involvement of </w:t>
      </w:r>
      <w:r w:rsidR="00611291" w:rsidRPr="00D2758E">
        <w:rPr>
          <w:rFonts w:asciiTheme="majorBidi" w:hAnsiTheme="majorBidi" w:cstheme="majorBidi"/>
        </w:rPr>
        <w:t>i</w:t>
      </w:r>
      <w:r w:rsidR="00614EA4" w:rsidRPr="00D2758E">
        <w:rPr>
          <w:rFonts w:asciiTheme="majorBidi" w:hAnsiTheme="majorBidi" w:cstheme="majorBidi"/>
        </w:rPr>
        <w:t>ndigenous peoples and local communities</w:t>
      </w:r>
      <w:r w:rsidRPr="00D2758E">
        <w:rPr>
          <w:rFonts w:asciiTheme="majorBidi" w:hAnsiTheme="majorBidi" w:cstheme="majorBidi"/>
        </w:rPr>
        <w:t xml:space="preserve"> in implementation</w:t>
      </w:r>
      <w:r w:rsidR="00E31FCD">
        <w:rPr>
          <w:rFonts w:asciiTheme="majorBidi" w:hAnsiTheme="majorBidi" w:cstheme="majorBidi"/>
        </w:rPr>
        <w:t xml:space="preserve"> of </w:t>
      </w:r>
      <w:r w:rsidR="00E31FCD" w:rsidRPr="00E31FCD">
        <w:rPr>
          <w:rFonts w:asciiTheme="majorBidi" w:hAnsiTheme="majorBidi" w:cstheme="majorBidi"/>
        </w:rPr>
        <w:t>access and benefit</w:t>
      </w:r>
      <w:r w:rsidR="00E92A50">
        <w:rPr>
          <w:rFonts w:asciiTheme="majorBidi" w:hAnsiTheme="majorBidi" w:cstheme="majorBidi"/>
        </w:rPr>
        <w:t xml:space="preserve"> </w:t>
      </w:r>
      <w:r w:rsidR="00E31FCD" w:rsidRPr="00E31FCD">
        <w:rPr>
          <w:rFonts w:asciiTheme="majorBidi" w:hAnsiTheme="majorBidi" w:cstheme="majorBidi"/>
        </w:rPr>
        <w:t>sharing</w:t>
      </w:r>
      <w:r w:rsidRPr="00D2758E">
        <w:rPr>
          <w:rFonts w:asciiTheme="majorBidi" w:hAnsiTheme="majorBidi" w:cstheme="majorBidi"/>
        </w:rPr>
        <w:t xml:space="preserve">.  </w:t>
      </w:r>
    </w:p>
    <w:p w14:paraId="3C61E4DF" w14:textId="4CE22618" w:rsidR="00807AA7" w:rsidRPr="00D2758E" w:rsidRDefault="00807AA7" w:rsidP="00CD2C50">
      <w:pPr>
        <w:pStyle w:val="CBDNormalNumber"/>
        <w:rPr>
          <w:rFonts w:asciiTheme="majorBidi" w:hAnsiTheme="majorBidi" w:cstheme="majorBidi"/>
        </w:rPr>
      </w:pPr>
      <w:r w:rsidRPr="00D2758E">
        <w:rPr>
          <w:rFonts w:asciiTheme="majorBidi" w:hAnsiTheme="majorBidi" w:cstheme="majorBidi"/>
        </w:rPr>
        <w:t xml:space="preserve">Much of the work </w:t>
      </w:r>
      <w:r w:rsidR="009A6C91">
        <w:rPr>
          <w:rFonts w:asciiTheme="majorBidi" w:hAnsiTheme="majorBidi" w:cstheme="majorBidi"/>
        </w:rPr>
        <w:t xml:space="preserve">undertaken </w:t>
      </w:r>
      <w:r w:rsidRPr="00D2758E">
        <w:rPr>
          <w:rFonts w:asciiTheme="majorBidi" w:hAnsiTheme="majorBidi" w:cstheme="majorBidi"/>
        </w:rPr>
        <w:t>to support the development and implementation of community protocols seem</w:t>
      </w:r>
      <w:r w:rsidR="009A6C91">
        <w:rPr>
          <w:rFonts w:asciiTheme="majorBidi" w:hAnsiTheme="majorBidi" w:cstheme="majorBidi"/>
        </w:rPr>
        <w:t>ed</w:t>
      </w:r>
      <w:r w:rsidRPr="00D2758E">
        <w:rPr>
          <w:rFonts w:asciiTheme="majorBidi" w:hAnsiTheme="majorBidi" w:cstheme="majorBidi"/>
        </w:rPr>
        <w:t xml:space="preserve"> to have been </w:t>
      </w:r>
      <w:r w:rsidR="00812B80">
        <w:rPr>
          <w:rFonts w:asciiTheme="majorBidi" w:hAnsiTheme="majorBidi" w:cstheme="majorBidi"/>
        </w:rPr>
        <w:t xml:space="preserve">carried out </w:t>
      </w:r>
      <w:r w:rsidRPr="00D2758E">
        <w:rPr>
          <w:rFonts w:asciiTheme="majorBidi" w:hAnsiTheme="majorBidi" w:cstheme="majorBidi"/>
        </w:rPr>
        <w:t xml:space="preserve">through capacity-building projects and initiatives, as </w:t>
      </w:r>
      <w:r w:rsidR="00812B80">
        <w:rPr>
          <w:rFonts w:asciiTheme="majorBidi" w:hAnsiTheme="majorBidi" w:cstheme="majorBidi"/>
        </w:rPr>
        <w:t>that</w:t>
      </w:r>
      <w:r w:rsidRPr="00D2758E">
        <w:rPr>
          <w:rFonts w:asciiTheme="majorBidi" w:hAnsiTheme="majorBidi" w:cstheme="majorBidi"/>
        </w:rPr>
        <w:t xml:space="preserve"> </w:t>
      </w:r>
      <w:r w:rsidR="007A1162">
        <w:rPr>
          <w:rFonts w:asciiTheme="majorBidi" w:hAnsiTheme="majorBidi" w:cstheme="majorBidi"/>
        </w:rPr>
        <w:t xml:space="preserve">work </w:t>
      </w:r>
      <w:r w:rsidRPr="00D2758E">
        <w:rPr>
          <w:rFonts w:asciiTheme="majorBidi" w:hAnsiTheme="majorBidi" w:cstheme="majorBidi"/>
        </w:rPr>
        <w:t>require</w:t>
      </w:r>
      <w:r w:rsidR="007A1162">
        <w:rPr>
          <w:rFonts w:asciiTheme="majorBidi" w:hAnsiTheme="majorBidi" w:cstheme="majorBidi"/>
        </w:rPr>
        <w:t xml:space="preserve">d </w:t>
      </w:r>
      <w:r w:rsidRPr="00D2758E">
        <w:rPr>
          <w:rFonts w:asciiTheme="majorBidi" w:hAnsiTheme="majorBidi" w:cstheme="majorBidi"/>
        </w:rPr>
        <w:t xml:space="preserve">additional financial and technical </w:t>
      </w:r>
      <w:r w:rsidRPr="00D2758E">
        <w:t>capacities</w:t>
      </w:r>
      <w:r w:rsidRPr="00D2758E">
        <w:rPr>
          <w:rFonts w:asciiTheme="majorBidi" w:hAnsiTheme="majorBidi" w:cstheme="majorBidi"/>
        </w:rPr>
        <w:t>. Without those additional resources, advancement on th</w:t>
      </w:r>
      <w:r w:rsidR="007A1162">
        <w:rPr>
          <w:rFonts w:asciiTheme="majorBidi" w:hAnsiTheme="majorBidi" w:cstheme="majorBidi"/>
        </w:rPr>
        <w:t>at</w:t>
      </w:r>
      <w:r w:rsidRPr="00D2758E">
        <w:rPr>
          <w:rFonts w:asciiTheme="majorBidi" w:hAnsiTheme="majorBidi" w:cstheme="majorBidi"/>
        </w:rPr>
        <w:t xml:space="preserve"> issue </w:t>
      </w:r>
      <w:r w:rsidR="00812B80">
        <w:rPr>
          <w:rFonts w:asciiTheme="majorBidi" w:hAnsiTheme="majorBidi" w:cstheme="majorBidi"/>
        </w:rPr>
        <w:t>wa</w:t>
      </w:r>
      <w:r w:rsidRPr="00D2758E">
        <w:rPr>
          <w:rFonts w:asciiTheme="majorBidi" w:hAnsiTheme="majorBidi" w:cstheme="majorBidi"/>
        </w:rPr>
        <w:t>s very difficult for many Parties</w:t>
      </w:r>
      <w:r w:rsidR="00812B80">
        <w:rPr>
          <w:rFonts w:asciiTheme="majorBidi" w:hAnsiTheme="majorBidi" w:cstheme="majorBidi"/>
        </w:rPr>
        <w:t>.</w:t>
      </w:r>
    </w:p>
    <w:p w14:paraId="2EA60F2E" w14:textId="0DD16518" w:rsidR="00BC2A22" w:rsidRPr="00D2758E" w:rsidRDefault="00BC2A22" w:rsidP="00CD2C50">
      <w:pPr>
        <w:pStyle w:val="CBDNormalNumber"/>
        <w:rPr>
          <w:rFonts w:asciiTheme="majorBidi" w:hAnsiTheme="majorBidi" w:cstheme="majorBidi"/>
        </w:rPr>
      </w:pPr>
      <w:r w:rsidRPr="00D2758E">
        <w:rPr>
          <w:rFonts w:asciiTheme="majorBidi" w:hAnsiTheme="majorBidi" w:cstheme="majorBidi"/>
        </w:rPr>
        <w:t xml:space="preserve">Awareness-raising and capacity-building activities </w:t>
      </w:r>
      <w:r w:rsidR="003F4853" w:rsidRPr="00D2758E">
        <w:rPr>
          <w:rFonts w:asciiTheme="majorBidi" w:hAnsiTheme="majorBidi" w:cstheme="majorBidi"/>
        </w:rPr>
        <w:t>contribute</w:t>
      </w:r>
      <w:r w:rsidR="00EB70E5">
        <w:rPr>
          <w:rFonts w:asciiTheme="majorBidi" w:hAnsiTheme="majorBidi" w:cstheme="majorBidi"/>
        </w:rPr>
        <w:t>d</w:t>
      </w:r>
      <w:r w:rsidR="003F4853" w:rsidRPr="00D2758E">
        <w:rPr>
          <w:rFonts w:asciiTheme="majorBidi" w:hAnsiTheme="majorBidi" w:cstheme="majorBidi"/>
        </w:rPr>
        <w:t xml:space="preserve"> </w:t>
      </w:r>
      <w:r w:rsidRPr="00D2758E">
        <w:rPr>
          <w:rFonts w:asciiTheme="majorBidi" w:hAnsiTheme="majorBidi" w:cstheme="majorBidi"/>
        </w:rPr>
        <w:t xml:space="preserve">to the involvement of </w:t>
      </w:r>
      <w:r w:rsidR="00807AA7" w:rsidRPr="00D2758E">
        <w:rPr>
          <w:rFonts w:asciiTheme="majorBidi" w:hAnsiTheme="majorBidi" w:cstheme="majorBidi"/>
        </w:rPr>
        <w:t>i</w:t>
      </w:r>
      <w:r w:rsidR="00614EA4" w:rsidRPr="00D2758E">
        <w:rPr>
          <w:rFonts w:asciiTheme="majorBidi" w:hAnsiTheme="majorBidi" w:cstheme="majorBidi"/>
        </w:rPr>
        <w:t>ndigenous peoples and local communities</w:t>
      </w:r>
      <w:r w:rsidRPr="00D2758E">
        <w:rPr>
          <w:rFonts w:asciiTheme="majorBidi" w:hAnsiTheme="majorBidi" w:cstheme="majorBidi"/>
        </w:rPr>
        <w:t xml:space="preserve"> in the development and implementation of </w:t>
      </w:r>
      <w:r w:rsidR="00EB70E5">
        <w:rPr>
          <w:rFonts w:asciiTheme="majorBidi" w:hAnsiTheme="majorBidi" w:cstheme="majorBidi"/>
        </w:rPr>
        <w:t>access and benefit sharing</w:t>
      </w:r>
      <w:r w:rsidRPr="00D2758E">
        <w:rPr>
          <w:rFonts w:asciiTheme="majorBidi" w:hAnsiTheme="majorBidi" w:cstheme="majorBidi"/>
        </w:rPr>
        <w:t>, including by enhancing communit</w:t>
      </w:r>
      <w:r w:rsidR="00213197">
        <w:rPr>
          <w:rFonts w:asciiTheme="majorBidi" w:hAnsiTheme="majorBidi" w:cstheme="majorBidi"/>
        </w:rPr>
        <w:t>ies’</w:t>
      </w:r>
      <w:r w:rsidRPr="00D2758E">
        <w:rPr>
          <w:rFonts w:asciiTheme="majorBidi" w:hAnsiTheme="majorBidi" w:cstheme="majorBidi"/>
        </w:rPr>
        <w:t xml:space="preserve"> understanding of their rights, empowering communities to actively participate in </w:t>
      </w:r>
      <w:r w:rsidR="00FE40C4">
        <w:rPr>
          <w:rFonts w:asciiTheme="majorBidi" w:hAnsiTheme="majorBidi" w:cstheme="majorBidi"/>
        </w:rPr>
        <w:t>access and benefit-sharing</w:t>
      </w:r>
      <w:r w:rsidRPr="00D2758E">
        <w:rPr>
          <w:rFonts w:asciiTheme="majorBidi" w:hAnsiTheme="majorBidi" w:cstheme="majorBidi"/>
        </w:rPr>
        <w:t xml:space="preserve"> negotiations and building trust </w:t>
      </w:r>
      <w:r w:rsidR="00B96892" w:rsidRPr="00D2758E">
        <w:rPr>
          <w:rFonts w:asciiTheme="majorBidi" w:hAnsiTheme="majorBidi" w:cstheme="majorBidi"/>
        </w:rPr>
        <w:t xml:space="preserve">among </w:t>
      </w:r>
      <w:r w:rsidRPr="00D2758E">
        <w:rPr>
          <w:rFonts w:asciiTheme="majorBidi" w:hAnsiTheme="majorBidi" w:cstheme="majorBidi"/>
        </w:rPr>
        <w:t>government authorities, local authorities and other stakeholders</w:t>
      </w:r>
      <w:r w:rsidR="00AF5505" w:rsidRPr="00D2758E">
        <w:rPr>
          <w:rFonts w:asciiTheme="majorBidi" w:hAnsiTheme="majorBidi" w:cstheme="majorBidi"/>
        </w:rPr>
        <w:t>.</w:t>
      </w:r>
      <w:r w:rsidRPr="00D2758E">
        <w:rPr>
          <w:rFonts w:asciiTheme="majorBidi" w:hAnsiTheme="majorBidi" w:cstheme="majorBidi"/>
        </w:rPr>
        <w:t xml:space="preserve"> </w:t>
      </w:r>
    </w:p>
    <w:p w14:paraId="30E62B31" w14:textId="5074620D" w:rsidR="00FD43E6" w:rsidRPr="00D2758E" w:rsidRDefault="00502E56" w:rsidP="00CD2C50">
      <w:pPr>
        <w:pStyle w:val="CBDNormalNumber"/>
        <w:rPr>
          <w:rFonts w:asciiTheme="majorBidi" w:hAnsiTheme="majorBidi" w:cstheme="majorBidi"/>
        </w:rPr>
      </w:pPr>
      <w:r w:rsidRPr="00D2758E">
        <w:rPr>
          <w:rFonts w:asciiTheme="majorBidi" w:hAnsiTheme="majorBidi" w:cstheme="majorBidi"/>
        </w:rPr>
        <w:t xml:space="preserve">In the targeted </w:t>
      </w:r>
      <w:r w:rsidRPr="00D2758E">
        <w:t>surveys</w:t>
      </w:r>
      <w:r w:rsidRPr="00D2758E">
        <w:rPr>
          <w:rFonts w:asciiTheme="majorBidi" w:hAnsiTheme="majorBidi" w:cstheme="majorBidi"/>
        </w:rPr>
        <w:t xml:space="preserve"> conducted in the context of the scoping study, </w:t>
      </w:r>
      <w:r w:rsidR="00FD43E6" w:rsidRPr="00D2758E">
        <w:rPr>
          <w:rFonts w:asciiTheme="majorBidi" w:hAnsiTheme="majorBidi" w:cstheme="majorBidi"/>
        </w:rPr>
        <w:t>possible ways to enhance measures related to indigenous peoples and local communities were identified</w:t>
      </w:r>
      <w:r w:rsidR="000146D4">
        <w:rPr>
          <w:rFonts w:asciiTheme="majorBidi" w:hAnsiTheme="majorBidi" w:cstheme="majorBidi"/>
        </w:rPr>
        <w:t>. In particular</w:t>
      </w:r>
      <w:r w:rsidR="00FD43E6" w:rsidRPr="00D2758E">
        <w:rPr>
          <w:rFonts w:asciiTheme="majorBidi" w:hAnsiTheme="majorBidi" w:cstheme="majorBidi"/>
        </w:rPr>
        <w:t>:</w:t>
      </w:r>
    </w:p>
    <w:p w14:paraId="4599C539" w14:textId="160E0EC6" w:rsidR="00DF3DA9" w:rsidRPr="00D2758E" w:rsidRDefault="00DF3DA9" w:rsidP="00A558F3">
      <w:pPr>
        <w:pStyle w:val="CBDNormalNumber"/>
        <w:numPr>
          <w:ilvl w:val="1"/>
          <w:numId w:val="7"/>
        </w:numPr>
        <w:rPr>
          <w:rFonts w:asciiTheme="majorBidi" w:hAnsiTheme="majorBidi" w:cstheme="majorBidi"/>
        </w:rPr>
      </w:pPr>
      <w:r w:rsidRPr="00D2758E">
        <w:rPr>
          <w:rFonts w:asciiTheme="majorBidi" w:hAnsiTheme="majorBidi" w:cstheme="majorBidi"/>
        </w:rPr>
        <w:t xml:space="preserve">From a </w:t>
      </w:r>
      <w:r w:rsidRPr="00D2758E">
        <w:t>government</w:t>
      </w:r>
      <w:r w:rsidRPr="00D2758E">
        <w:rPr>
          <w:rFonts w:asciiTheme="majorBidi" w:hAnsiTheme="majorBidi" w:cstheme="majorBidi"/>
        </w:rPr>
        <w:t xml:space="preserve"> perspective</w:t>
      </w:r>
      <w:r w:rsidR="00831066" w:rsidRPr="00D2758E">
        <w:rPr>
          <w:rFonts w:asciiTheme="majorBidi" w:hAnsiTheme="majorBidi" w:cstheme="majorBidi"/>
        </w:rPr>
        <w:t>,</w:t>
      </w:r>
      <w:r w:rsidR="00FD43E6" w:rsidRPr="00D2758E">
        <w:rPr>
          <w:rFonts w:asciiTheme="majorBidi" w:hAnsiTheme="majorBidi" w:cstheme="majorBidi"/>
        </w:rPr>
        <w:t xml:space="preserve"> </w:t>
      </w:r>
      <w:r w:rsidR="002C6A12" w:rsidRPr="00D2758E">
        <w:rPr>
          <w:rFonts w:asciiTheme="majorBidi" w:hAnsiTheme="majorBidi" w:cstheme="majorBidi"/>
        </w:rPr>
        <w:t xml:space="preserve">the establishment of a national </w:t>
      </w:r>
      <w:r w:rsidR="000146D4">
        <w:rPr>
          <w:rFonts w:asciiTheme="majorBidi" w:hAnsiTheme="majorBidi" w:cstheme="majorBidi"/>
        </w:rPr>
        <w:t xml:space="preserve">access and benefit-sharing </w:t>
      </w:r>
      <w:r w:rsidR="002C6A12" w:rsidRPr="00D2758E">
        <w:rPr>
          <w:rFonts w:asciiTheme="majorBidi" w:hAnsiTheme="majorBidi" w:cstheme="majorBidi"/>
        </w:rPr>
        <w:t xml:space="preserve">committee including government ministries </w:t>
      </w:r>
      <w:r w:rsidR="00F5348F">
        <w:rPr>
          <w:rFonts w:asciiTheme="majorBidi" w:hAnsiTheme="majorBidi" w:cstheme="majorBidi"/>
        </w:rPr>
        <w:t xml:space="preserve">and </w:t>
      </w:r>
      <w:r w:rsidR="000E0124" w:rsidRPr="00D2758E">
        <w:rPr>
          <w:rFonts w:asciiTheme="majorBidi" w:hAnsiTheme="majorBidi" w:cstheme="majorBidi"/>
        </w:rPr>
        <w:t>i</w:t>
      </w:r>
      <w:r w:rsidR="00614EA4" w:rsidRPr="00D2758E">
        <w:rPr>
          <w:rFonts w:asciiTheme="majorBidi" w:hAnsiTheme="majorBidi" w:cstheme="majorBidi"/>
        </w:rPr>
        <w:t>ndigenous peoples and local communities</w:t>
      </w:r>
      <w:r w:rsidR="002C6A12" w:rsidRPr="00D2758E">
        <w:rPr>
          <w:rFonts w:asciiTheme="majorBidi" w:hAnsiTheme="majorBidi" w:cstheme="majorBidi"/>
        </w:rPr>
        <w:t>, as well as representatives of the scientific and business communities</w:t>
      </w:r>
      <w:r w:rsidR="00F5348F">
        <w:rPr>
          <w:rFonts w:asciiTheme="majorBidi" w:hAnsiTheme="majorBidi" w:cstheme="majorBidi"/>
        </w:rPr>
        <w:t>,</w:t>
      </w:r>
      <w:r w:rsidRPr="00D2758E">
        <w:rPr>
          <w:rFonts w:asciiTheme="majorBidi" w:hAnsiTheme="majorBidi" w:cstheme="majorBidi"/>
        </w:rPr>
        <w:t xml:space="preserve"> was described</w:t>
      </w:r>
      <w:r w:rsidR="002C6A12" w:rsidRPr="00D2758E">
        <w:rPr>
          <w:rFonts w:asciiTheme="majorBidi" w:hAnsiTheme="majorBidi" w:cstheme="majorBidi"/>
        </w:rPr>
        <w:t xml:space="preserve"> as one of the most significant approaches to the involvement of </w:t>
      </w:r>
      <w:r w:rsidR="000E0124" w:rsidRPr="00D2758E">
        <w:rPr>
          <w:rFonts w:asciiTheme="majorBidi" w:hAnsiTheme="majorBidi" w:cstheme="majorBidi"/>
        </w:rPr>
        <w:t>i</w:t>
      </w:r>
      <w:r w:rsidR="00614EA4" w:rsidRPr="00D2758E">
        <w:rPr>
          <w:rFonts w:asciiTheme="majorBidi" w:hAnsiTheme="majorBidi" w:cstheme="majorBidi"/>
        </w:rPr>
        <w:t>ndigenous peoples and local communities</w:t>
      </w:r>
      <w:r w:rsidR="00C26769">
        <w:rPr>
          <w:rFonts w:asciiTheme="majorBidi" w:hAnsiTheme="majorBidi" w:cstheme="majorBidi"/>
        </w:rPr>
        <w:t>;</w:t>
      </w:r>
      <w:r w:rsidR="002C6A12" w:rsidRPr="00D2758E">
        <w:rPr>
          <w:rFonts w:asciiTheme="majorBidi" w:hAnsiTheme="majorBidi" w:cstheme="majorBidi"/>
        </w:rPr>
        <w:t xml:space="preserve">  </w:t>
      </w:r>
    </w:p>
    <w:p w14:paraId="6241C6EB" w14:textId="7BBBB9E6" w:rsidR="008843AA" w:rsidRPr="00D2758E" w:rsidRDefault="008843AA" w:rsidP="00A558F3">
      <w:pPr>
        <w:pStyle w:val="CBDNormalNumber"/>
        <w:numPr>
          <w:ilvl w:val="1"/>
          <w:numId w:val="7"/>
        </w:numPr>
        <w:rPr>
          <w:rFonts w:asciiTheme="majorBidi" w:hAnsiTheme="majorBidi" w:cstheme="majorBidi"/>
        </w:rPr>
      </w:pPr>
      <w:r w:rsidRPr="00D2758E">
        <w:rPr>
          <w:rFonts w:asciiTheme="majorBidi" w:hAnsiTheme="majorBidi" w:cstheme="majorBidi"/>
        </w:rPr>
        <w:t xml:space="preserve">From the perspective of some users, </w:t>
      </w:r>
      <w:r w:rsidR="000E0124" w:rsidRPr="00D2758E">
        <w:rPr>
          <w:rFonts w:asciiTheme="majorBidi" w:hAnsiTheme="majorBidi" w:cstheme="majorBidi"/>
        </w:rPr>
        <w:t>c</w:t>
      </w:r>
      <w:r w:rsidR="00A32EA1" w:rsidRPr="00D2758E">
        <w:rPr>
          <w:rFonts w:asciiTheme="majorBidi" w:hAnsiTheme="majorBidi" w:cstheme="majorBidi"/>
        </w:rPr>
        <w:t>ompetent national authorities</w:t>
      </w:r>
      <w:r w:rsidRPr="00D2758E">
        <w:rPr>
          <w:rFonts w:asciiTheme="majorBidi" w:hAnsiTheme="majorBidi" w:cstheme="majorBidi"/>
        </w:rPr>
        <w:t xml:space="preserve"> c</w:t>
      </w:r>
      <w:r w:rsidR="001E5052">
        <w:rPr>
          <w:rFonts w:asciiTheme="majorBidi" w:hAnsiTheme="majorBidi" w:cstheme="majorBidi"/>
        </w:rPr>
        <w:t>ould</w:t>
      </w:r>
      <w:r w:rsidRPr="00D2758E">
        <w:rPr>
          <w:rFonts w:asciiTheme="majorBidi" w:hAnsiTheme="majorBidi" w:cstheme="majorBidi"/>
        </w:rPr>
        <w:t xml:space="preserve"> play a useful role in identifying which </w:t>
      </w:r>
      <w:r w:rsidR="000E0124" w:rsidRPr="00D2758E">
        <w:rPr>
          <w:rFonts w:asciiTheme="majorBidi" w:hAnsiTheme="majorBidi" w:cstheme="majorBidi"/>
        </w:rPr>
        <w:t>i</w:t>
      </w:r>
      <w:r w:rsidR="00614EA4" w:rsidRPr="00D2758E">
        <w:rPr>
          <w:rFonts w:asciiTheme="majorBidi" w:hAnsiTheme="majorBidi" w:cstheme="majorBidi"/>
        </w:rPr>
        <w:t>ndigenous peoples and local communities</w:t>
      </w:r>
      <w:r w:rsidRPr="00D2758E">
        <w:rPr>
          <w:rFonts w:asciiTheme="majorBidi" w:hAnsiTheme="majorBidi" w:cstheme="majorBidi"/>
        </w:rPr>
        <w:t xml:space="preserve"> should be involved in specific research projects and facilitat</w:t>
      </w:r>
      <w:r w:rsidR="00A72DE7" w:rsidRPr="00D2758E">
        <w:rPr>
          <w:rFonts w:asciiTheme="majorBidi" w:hAnsiTheme="majorBidi" w:cstheme="majorBidi"/>
        </w:rPr>
        <w:t>ing</w:t>
      </w:r>
      <w:r w:rsidRPr="00D2758E">
        <w:rPr>
          <w:rFonts w:asciiTheme="majorBidi" w:hAnsiTheme="majorBidi" w:cstheme="majorBidi"/>
        </w:rPr>
        <w:t xml:space="preserve"> communication between users</w:t>
      </w:r>
      <w:r w:rsidR="006A7BE1" w:rsidRPr="00D2758E">
        <w:rPr>
          <w:rFonts w:asciiTheme="majorBidi" w:hAnsiTheme="majorBidi" w:cstheme="majorBidi"/>
        </w:rPr>
        <w:t xml:space="preserve"> and</w:t>
      </w:r>
      <w:r w:rsidRPr="00D2758E">
        <w:rPr>
          <w:rFonts w:asciiTheme="majorBidi" w:hAnsiTheme="majorBidi" w:cstheme="majorBidi"/>
        </w:rPr>
        <w:t xml:space="preserve"> </w:t>
      </w:r>
      <w:r w:rsidR="008E4F95" w:rsidRPr="00D2758E">
        <w:rPr>
          <w:rFonts w:asciiTheme="majorBidi" w:hAnsiTheme="majorBidi" w:cstheme="majorBidi"/>
        </w:rPr>
        <w:t xml:space="preserve">representatives of </w:t>
      </w:r>
      <w:r w:rsidR="000E0124" w:rsidRPr="00D2758E">
        <w:rPr>
          <w:rFonts w:asciiTheme="majorBidi" w:hAnsiTheme="majorBidi" w:cstheme="majorBidi"/>
        </w:rPr>
        <w:t>indigenous peoples and local communities</w:t>
      </w:r>
      <w:r w:rsidR="00F67C40" w:rsidRPr="00D2758E">
        <w:rPr>
          <w:rFonts w:asciiTheme="majorBidi" w:hAnsiTheme="majorBidi" w:cstheme="majorBidi"/>
        </w:rPr>
        <w:t>.</w:t>
      </w:r>
      <w:r w:rsidR="008E4F95" w:rsidRPr="00D2758E">
        <w:rPr>
          <w:rFonts w:asciiTheme="majorBidi" w:hAnsiTheme="majorBidi" w:cstheme="majorBidi"/>
        </w:rPr>
        <w:t xml:space="preserve"> </w:t>
      </w:r>
      <w:r w:rsidR="00D82D44" w:rsidRPr="00D2758E">
        <w:rPr>
          <w:rFonts w:asciiTheme="majorBidi" w:hAnsiTheme="majorBidi" w:cstheme="majorBidi"/>
        </w:rPr>
        <w:t>In s</w:t>
      </w:r>
      <w:r w:rsidRPr="00D2758E">
        <w:rPr>
          <w:rFonts w:asciiTheme="majorBidi" w:hAnsiTheme="majorBidi" w:cstheme="majorBidi"/>
        </w:rPr>
        <w:t>ome countries</w:t>
      </w:r>
      <w:r w:rsidR="00D82D44" w:rsidRPr="00D2758E">
        <w:rPr>
          <w:rFonts w:asciiTheme="majorBidi" w:hAnsiTheme="majorBidi" w:cstheme="majorBidi"/>
        </w:rPr>
        <w:t xml:space="preserve">, </w:t>
      </w:r>
      <w:r w:rsidR="004E12A8" w:rsidRPr="00D2758E">
        <w:rPr>
          <w:rFonts w:asciiTheme="majorBidi" w:hAnsiTheme="majorBidi" w:cstheme="majorBidi"/>
        </w:rPr>
        <w:t xml:space="preserve">the competent national </w:t>
      </w:r>
      <w:r w:rsidR="0002389F" w:rsidRPr="00D2758E">
        <w:rPr>
          <w:rFonts w:asciiTheme="majorBidi" w:hAnsiTheme="majorBidi" w:cstheme="majorBidi"/>
        </w:rPr>
        <w:t>authorities ha</w:t>
      </w:r>
      <w:r w:rsidR="001E71FC">
        <w:rPr>
          <w:rFonts w:asciiTheme="majorBidi" w:hAnsiTheme="majorBidi" w:cstheme="majorBidi"/>
        </w:rPr>
        <w:t>d</w:t>
      </w:r>
      <w:r w:rsidRPr="00D2758E">
        <w:rPr>
          <w:rFonts w:asciiTheme="majorBidi" w:hAnsiTheme="majorBidi" w:cstheme="majorBidi"/>
        </w:rPr>
        <w:t xml:space="preserve"> </w:t>
      </w:r>
      <w:r w:rsidR="00CB7437" w:rsidRPr="00C26769">
        <w:rPr>
          <w:rFonts w:asciiTheme="majorBidi" w:hAnsiTheme="majorBidi" w:cstheme="majorBidi"/>
        </w:rPr>
        <w:t>effectively</w:t>
      </w:r>
      <w:r w:rsidR="00CB7437" w:rsidRPr="00D2758E">
        <w:rPr>
          <w:rFonts w:asciiTheme="majorBidi" w:hAnsiTheme="majorBidi" w:cstheme="majorBidi"/>
        </w:rPr>
        <w:t xml:space="preserve"> acted</w:t>
      </w:r>
      <w:r w:rsidRPr="00D2758E">
        <w:rPr>
          <w:rFonts w:asciiTheme="majorBidi" w:hAnsiTheme="majorBidi" w:cstheme="majorBidi"/>
        </w:rPr>
        <w:t xml:space="preserve"> as intermediaries </w:t>
      </w:r>
      <w:r w:rsidR="006C19D7" w:rsidRPr="00D2758E">
        <w:rPr>
          <w:rFonts w:asciiTheme="majorBidi" w:hAnsiTheme="majorBidi" w:cstheme="majorBidi"/>
        </w:rPr>
        <w:t>in th</w:t>
      </w:r>
      <w:r w:rsidR="001E71FC">
        <w:rPr>
          <w:rFonts w:asciiTheme="majorBidi" w:hAnsiTheme="majorBidi" w:cstheme="majorBidi"/>
        </w:rPr>
        <w:t>at</w:t>
      </w:r>
      <w:r w:rsidR="006C19D7" w:rsidRPr="00D2758E">
        <w:rPr>
          <w:rFonts w:asciiTheme="majorBidi" w:hAnsiTheme="majorBidi" w:cstheme="majorBidi"/>
        </w:rPr>
        <w:t xml:space="preserve"> regard</w:t>
      </w:r>
      <w:r w:rsidR="00C26769">
        <w:rPr>
          <w:rFonts w:asciiTheme="majorBidi" w:hAnsiTheme="majorBidi" w:cstheme="majorBidi"/>
        </w:rPr>
        <w:t>;</w:t>
      </w:r>
      <w:r w:rsidR="006C19D7" w:rsidRPr="00D2758E">
        <w:rPr>
          <w:rFonts w:asciiTheme="majorBidi" w:hAnsiTheme="majorBidi" w:cstheme="majorBidi"/>
        </w:rPr>
        <w:t xml:space="preserve"> </w:t>
      </w:r>
    </w:p>
    <w:p w14:paraId="46D782ED" w14:textId="6DA8F051" w:rsidR="00DF3DA9" w:rsidRPr="00D2758E" w:rsidRDefault="00650632" w:rsidP="00A558F3">
      <w:pPr>
        <w:pStyle w:val="CBDNormalNumber"/>
        <w:numPr>
          <w:ilvl w:val="1"/>
          <w:numId w:val="7"/>
        </w:numPr>
        <w:rPr>
          <w:rFonts w:asciiTheme="majorBidi" w:hAnsiTheme="majorBidi" w:cstheme="majorBidi"/>
        </w:rPr>
      </w:pPr>
      <w:proofErr w:type="gramStart"/>
      <w:r w:rsidRPr="00D2758E">
        <w:rPr>
          <w:rFonts w:asciiTheme="majorBidi" w:hAnsiTheme="majorBidi" w:cstheme="majorBidi"/>
        </w:rPr>
        <w:lastRenderedPageBreak/>
        <w:t>A number of</w:t>
      </w:r>
      <w:proofErr w:type="gramEnd"/>
      <w:r w:rsidRPr="00D2758E">
        <w:rPr>
          <w:rFonts w:asciiTheme="majorBidi" w:hAnsiTheme="majorBidi" w:cstheme="majorBidi"/>
        </w:rPr>
        <w:t xml:space="preserve"> suggestions were made </w:t>
      </w:r>
      <w:r w:rsidR="00EB2D6D">
        <w:rPr>
          <w:rFonts w:asciiTheme="majorBidi" w:hAnsiTheme="majorBidi" w:cstheme="majorBidi"/>
        </w:rPr>
        <w:t>related to</w:t>
      </w:r>
      <w:r w:rsidRPr="00D2758E">
        <w:rPr>
          <w:rFonts w:asciiTheme="majorBidi" w:hAnsiTheme="majorBidi" w:cstheme="majorBidi"/>
        </w:rPr>
        <w:t xml:space="preserve"> increas</w:t>
      </w:r>
      <w:r w:rsidR="00EB2D6D">
        <w:rPr>
          <w:rFonts w:asciiTheme="majorBidi" w:hAnsiTheme="majorBidi" w:cstheme="majorBidi"/>
        </w:rPr>
        <w:t>ing</w:t>
      </w:r>
      <w:r w:rsidRPr="00D2758E">
        <w:rPr>
          <w:rFonts w:asciiTheme="majorBidi" w:hAnsiTheme="majorBidi" w:cstheme="majorBidi"/>
        </w:rPr>
        <w:t xml:space="preserve"> the recognition of the value of genetic resources and </w:t>
      </w:r>
      <w:r w:rsidR="00CD4FA8" w:rsidRPr="00D2758E">
        <w:t>associated</w:t>
      </w:r>
      <w:r w:rsidR="00CD4FA8" w:rsidRPr="00D2758E">
        <w:rPr>
          <w:rFonts w:asciiTheme="majorBidi" w:hAnsiTheme="majorBidi" w:cstheme="majorBidi"/>
        </w:rPr>
        <w:t xml:space="preserve"> traditional knowledge </w:t>
      </w:r>
      <w:r w:rsidRPr="00D2758E">
        <w:rPr>
          <w:rFonts w:asciiTheme="majorBidi" w:hAnsiTheme="majorBidi" w:cstheme="majorBidi"/>
        </w:rPr>
        <w:t xml:space="preserve">held by </w:t>
      </w:r>
      <w:r w:rsidR="004E1335" w:rsidRPr="00D2758E">
        <w:rPr>
          <w:rFonts w:asciiTheme="majorBidi" w:hAnsiTheme="majorBidi" w:cstheme="majorBidi"/>
        </w:rPr>
        <w:t>i</w:t>
      </w:r>
      <w:r w:rsidR="00614EA4" w:rsidRPr="00D2758E">
        <w:rPr>
          <w:rFonts w:asciiTheme="majorBidi" w:hAnsiTheme="majorBidi" w:cstheme="majorBidi"/>
        </w:rPr>
        <w:t>ndigenous peoples and local communities</w:t>
      </w:r>
      <w:r w:rsidRPr="00D2758E">
        <w:rPr>
          <w:rFonts w:asciiTheme="majorBidi" w:hAnsiTheme="majorBidi" w:cstheme="majorBidi"/>
        </w:rPr>
        <w:t xml:space="preserve"> when they </w:t>
      </w:r>
      <w:r w:rsidR="00D07ECC">
        <w:rPr>
          <w:rFonts w:asciiTheme="majorBidi" w:hAnsiTheme="majorBidi" w:cstheme="majorBidi"/>
        </w:rPr>
        <w:t>we</w:t>
      </w:r>
      <w:r w:rsidRPr="00D2758E">
        <w:rPr>
          <w:rFonts w:asciiTheme="majorBidi" w:hAnsiTheme="majorBidi" w:cstheme="majorBidi"/>
        </w:rPr>
        <w:t>re used as part of a value chain</w:t>
      </w:r>
      <w:r w:rsidR="00C26769">
        <w:rPr>
          <w:rFonts w:asciiTheme="majorBidi" w:hAnsiTheme="majorBidi" w:cstheme="majorBidi"/>
        </w:rPr>
        <w:t>;</w:t>
      </w:r>
    </w:p>
    <w:p w14:paraId="08646A3B" w14:textId="6935DF93" w:rsidR="00113038" w:rsidRPr="00D2758E" w:rsidRDefault="00AB5A24" w:rsidP="00A558F3">
      <w:pPr>
        <w:pStyle w:val="CBDNormalNumber"/>
        <w:numPr>
          <w:ilvl w:val="1"/>
          <w:numId w:val="7"/>
        </w:numPr>
        <w:rPr>
          <w:rFonts w:asciiTheme="majorBidi" w:hAnsiTheme="majorBidi" w:cstheme="majorBidi"/>
        </w:rPr>
      </w:pPr>
      <w:r w:rsidRPr="00D2758E">
        <w:rPr>
          <w:rFonts w:asciiTheme="majorBidi" w:hAnsiTheme="majorBidi" w:cstheme="majorBidi"/>
        </w:rPr>
        <w:t xml:space="preserve">From the perspective of </w:t>
      </w:r>
      <w:r w:rsidR="00D60384" w:rsidRPr="00D2758E">
        <w:rPr>
          <w:rFonts w:asciiTheme="majorBidi" w:hAnsiTheme="majorBidi" w:cstheme="majorBidi"/>
        </w:rPr>
        <w:t xml:space="preserve">representatives </w:t>
      </w:r>
      <w:r w:rsidR="00D60384">
        <w:rPr>
          <w:rFonts w:asciiTheme="majorBidi" w:hAnsiTheme="majorBidi" w:cstheme="majorBidi"/>
        </w:rPr>
        <w:t xml:space="preserve">of </w:t>
      </w:r>
      <w:r w:rsidR="004E1335" w:rsidRPr="00D2758E">
        <w:rPr>
          <w:rFonts w:asciiTheme="majorBidi" w:hAnsiTheme="majorBidi" w:cstheme="majorBidi"/>
        </w:rPr>
        <w:t>indigenous peoples and local communities</w:t>
      </w:r>
      <w:r w:rsidRPr="00D2758E">
        <w:rPr>
          <w:rFonts w:asciiTheme="majorBidi" w:hAnsiTheme="majorBidi" w:cstheme="majorBidi"/>
        </w:rPr>
        <w:t>,</w:t>
      </w:r>
      <w:r w:rsidR="00F735EF" w:rsidRPr="00D2758E">
        <w:rPr>
          <w:rFonts w:asciiTheme="majorBidi" w:hAnsiTheme="majorBidi" w:cstheme="majorBidi"/>
        </w:rPr>
        <w:t xml:space="preserve"> it </w:t>
      </w:r>
      <w:r w:rsidR="00D60384">
        <w:rPr>
          <w:rFonts w:asciiTheme="majorBidi" w:hAnsiTheme="majorBidi" w:cstheme="majorBidi"/>
        </w:rPr>
        <w:t>wa</w:t>
      </w:r>
      <w:r w:rsidR="00F735EF" w:rsidRPr="00D2758E">
        <w:rPr>
          <w:rFonts w:asciiTheme="majorBidi" w:hAnsiTheme="majorBidi" w:cstheme="majorBidi"/>
        </w:rPr>
        <w:t>s key to f</w:t>
      </w:r>
      <w:r w:rsidRPr="00D2758E">
        <w:rPr>
          <w:rFonts w:asciiTheme="majorBidi" w:hAnsiTheme="majorBidi" w:cstheme="majorBidi"/>
        </w:rPr>
        <w:t>acilitat</w:t>
      </w:r>
      <w:r w:rsidR="00F735EF" w:rsidRPr="00D2758E">
        <w:rPr>
          <w:rFonts w:asciiTheme="majorBidi" w:hAnsiTheme="majorBidi" w:cstheme="majorBidi"/>
        </w:rPr>
        <w:t>e</w:t>
      </w:r>
      <w:r w:rsidRPr="00D2758E">
        <w:rPr>
          <w:rFonts w:asciiTheme="majorBidi" w:hAnsiTheme="majorBidi" w:cstheme="majorBidi"/>
        </w:rPr>
        <w:t xml:space="preserve"> the </w:t>
      </w:r>
      <w:r w:rsidRPr="00D2758E">
        <w:t>inclusive</w:t>
      </w:r>
      <w:r w:rsidRPr="00D2758E">
        <w:rPr>
          <w:rFonts w:asciiTheme="majorBidi" w:hAnsiTheme="majorBidi" w:cstheme="majorBidi"/>
        </w:rPr>
        <w:t xml:space="preserve"> participation of </w:t>
      </w:r>
      <w:r w:rsidR="0073650A" w:rsidRPr="00D2758E">
        <w:rPr>
          <w:rFonts w:asciiTheme="majorBidi" w:hAnsiTheme="majorBidi" w:cstheme="majorBidi"/>
        </w:rPr>
        <w:t>i</w:t>
      </w:r>
      <w:r w:rsidR="00614EA4" w:rsidRPr="00D2758E">
        <w:rPr>
          <w:rFonts w:asciiTheme="majorBidi" w:hAnsiTheme="majorBidi" w:cstheme="majorBidi"/>
        </w:rPr>
        <w:t>ndigenous peoples and local communities</w:t>
      </w:r>
      <w:r w:rsidRPr="00D2758E">
        <w:rPr>
          <w:rFonts w:asciiTheme="majorBidi" w:hAnsiTheme="majorBidi" w:cstheme="majorBidi"/>
        </w:rPr>
        <w:t xml:space="preserve"> in decision-making related to </w:t>
      </w:r>
      <w:r w:rsidR="00D60384" w:rsidRPr="00D60384">
        <w:rPr>
          <w:rFonts w:asciiTheme="majorBidi" w:hAnsiTheme="majorBidi" w:cstheme="majorBidi"/>
        </w:rPr>
        <w:t>access and benefit-sharing</w:t>
      </w:r>
      <w:r w:rsidR="00F735EF" w:rsidRPr="00D2758E">
        <w:rPr>
          <w:rFonts w:asciiTheme="majorBidi" w:hAnsiTheme="majorBidi" w:cstheme="majorBidi"/>
        </w:rPr>
        <w:t>,</w:t>
      </w:r>
      <w:r w:rsidRPr="00D2758E">
        <w:rPr>
          <w:rFonts w:asciiTheme="majorBidi" w:hAnsiTheme="majorBidi" w:cstheme="majorBidi"/>
        </w:rPr>
        <w:t xml:space="preserve"> </w:t>
      </w:r>
      <w:r w:rsidR="00F735EF" w:rsidRPr="00D2758E">
        <w:rPr>
          <w:rFonts w:asciiTheme="majorBidi" w:hAnsiTheme="majorBidi" w:cstheme="majorBidi"/>
        </w:rPr>
        <w:t>t</w:t>
      </w:r>
      <w:r w:rsidRPr="00D2758E">
        <w:rPr>
          <w:rFonts w:asciiTheme="majorBidi" w:hAnsiTheme="majorBidi" w:cstheme="majorBidi"/>
        </w:rPr>
        <w:t>he establishment of community-controlled funds</w:t>
      </w:r>
      <w:r w:rsidR="00F735EF" w:rsidRPr="00D2758E">
        <w:rPr>
          <w:rFonts w:asciiTheme="majorBidi" w:hAnsiTheme="majorBidi" w:cstheme="majorBidi"/>
        </w:rPr>
        <w:t xml:space="preserve"> and </w:t>
      </w:r>
      <w:r w:rsidR="00850844">
        <w:rPr>
          <w:rFonts w:asciiTheme="majorBidi" w:hAnsiTheme="majorBidi" w:cstheme="majorBidi"/>
        </w:rPr>
        <w:t xml:space="preserve">the </w:t>
      </w:r>
      <w:r w:rsidR="00F735EF" w:rsidRPr="00D2758E">
        <w:rPr>
          <w:rFonts w:asciiTheme="majorBidi" w:hAnsiTheme="majorBidi" w:cstheme="majorBidi"/>
        </w:rPr>
        <w:t>sharing</w:t>
      </w:r>
      <w:r w:rsidRPr="00D2758E">
        <w:rPr>
          <w:rFonts w:asciiTheme="majorBidi" w:hAnsiTheme="majorBidi" w:cstheme="majorBidi"/>
        </w:rPr>
        <w:t xml:space="preserve"> </w:t>
      </w:r>
      <w:r w:rsidR="00850844">
        <w:rPr>
          <w:rFonts w:asciiTheme="majorBidi" w:hAnsiTheme="majorBidi" w:cstheme="majorBidi"/>
        </w:rPr>
        <w:t xml:space="preserve">of </w:t>
      </w:r>
      <w:r w:rsidRPr="00D2758E">
        <w:rPr>
          <w:rFonts w:asciiTheme="majorBidi" w:hAnsiTheme="majorBidi" w:cstheme="majorBidi"/>
        </w:rPr>
        <w:t xml:space="preserve">success stories illustrating positive case studies of </w:t>
      </w:r>
      <w:r w:rsidR="00E65C99">
        <w:rPr>
          <w:rFonts w:asciiTheme="majorBidi" w:hAnsiTheme="majorBidi" w:cstheme="majorBidi"/>
        </w:rPr>
        <w:t xml:space="preserve">access and benefit-sharing </w:t>
      </w:r>
      <w:r w:rsidRPr="00D2758E">
        <w:rPr>
          <w:rFonts w:asciiTheme="majorBidi" w:hAnsiTheme="majorBidi" w:cstheme="majorBidi"/>
        </w:rPr>
        <w:t xml:space="preserve">implementation to </w:t>
      </w:r>
      <w:r w:rsidR="00E65C99">
        <w:rPr>
          <w:rFonts w:asciiTheme="majorBidi" w:hAnsiTheme="majorBidi" w:cstheme="majorBidi"/>
        </w:rPr>
        <w:t xml:space="preserve">motivate </w:t>
      </w:r>
      <w:r w:rsidRPr="00D2758E">
        <w:rPr>
          <w:rFonts w:asciiTheme="majorBidi" w:hAnsiTheme="majorBidi" w:cstheme="majorBidi"/>
        </w:rPr>
        <w:t>emulat</w:t>
      </w:r>
      <w:r w:rsidR="003D3FAD">
        <w:rPr>
          <w:rFonts w:asciiTheme="majorBidi" w:hAnsiTheme="majorBidi" w:cstheme="majorBidi"/>
        </w:rPr>
        <w:t>ion of</w:t>
      </w:r>
      <w:r w:rsidRPr="00D2758E">
        <w:rPr>
          <w:rFonts w:asciiTheme="majorBidi" w:hAnsiTheme="majorBidi" w:cstheme="majorBidi"/>
        </w:rPr>
        <w:t xml:space="preserve"> others.</w:t>
      </w:r>
    </w:p>
    <w:p w14:paraId="6D10D6C9" w14:textId="6FFDB4D6" w:rsidR="00455F03" w:rsidRPr="00D2758E" w:rsidRDefault="00D03C48" w:rsidP="00D03C48">
      <w:pPr>
        <w:pStyle w:val="CBDH3"/>
      </w:pPr>
      <w:r>
        <w:t>8.</w:t>
      </w:r>
      <w:r>
        <w:tab/>
      </w:r>
      <w:r w:rsidR="00455F03" w:rsidRPr="00D2758E">
        <w:t>Transboundary cooperation (Article 11)</w:t>
      </w:r>
      <w:r w:rsidR="000C2A03" w:rsidRPr="00D2758E">
        <w:rPr>
          <w:rStyle w:val="FootnoteReference"/>
        </w:rPr>
        <w:footnoteReference w:id="45"/>
      </w:r>
    </w:p>
    <w:p w14:paraId="28A4602D" w14:textId="1A9A7269" w:rsidR="004A5572" w:rsidRPr="00D2758E" w:rsidRDefault="00D03C48" w:rsidP="00D03C48">
      <w:pPr>
        <w:pStyle w:val="CBDH4"/>
      </w:pPr>
      <w:r>
        <w:t>(a)</w:t>
      </w:r>
      <w:r>
        <w:tab/>
      </w:r>
      <w:r w:rsidR="004A5572" w:rsidRPr="00D2758E">
        <w:t xml:space="preserve">Progress made in implementation </w:t>
      </w:r>
    </w:p>
    <w:p w14:paraId="506274B1" w14:textId="6EE8C649" w:rsidR="00224578" w:rsidRPr="00D2758E" w:rsidRDefault="00224578" w:rsidP="00CD2C50">
      <w:pPr>
        <w:pStyle w:val="CBDNormalNumber"/>
        <w:rPr>
          <w:rFonts w:asciiTheme="majorBidi" w:hAnsiTheme="majorBidi" w:cstheme="majorBidi"/>
        </w:rPr>
      </w:pPr>
      <w:r w:rsidRPr="00D2758E">
        <w:rPr>
          <w:rFonts w:asciiTheme="majorBidi" w:hAnsiTheme="majorBidi" w:cstheme="majorBidi"/>
        </w:rPr>
        <w:t>Ninety-six Parties (68</w:t>
      </w:r>
      <w:r w:rsidR="006860C1">
        <w:rPr>
          <w:rFonts w:asciiTheme="majorBidi" w:hAnsiTheme="majorBidi" w:cstheme="majorBidi"/>
        </w:rPr>
        <w:t xml:space="preserve"> per cent</w:t>
      </w:r>
      <w:r w:rsidRPr="00D2758E">
        <w:rPr>
          <w:rFonts w:asciiTheme="majorBidi" w:hAnsiTheme="majorBidi" w:cstheme="majorBidi"/>
        </w:rPr>
        <w:t xml:space="preserve">) responded that they </w:t>
      </w:r>
      <w:r w:rsidR="006860C1">
        <w:rPr>
          <w:rFonts w:asciiTheme="majorBidi" w:hAnsiTheme="majorBidi" w:cstheme="majorBidi"/>
        </w:rPr>
        <w:t xml:space="preserve">had </w:t>
      </w:r>
      <w:r w:rsidRPr="00D2758E">
        <w:rPr>
          <w:rFonts w:asciiTheme="majorBidi" w:hAnsiTheme="majorBidi" w:cstheme="majorBidi"/>
        </w:rPr>
        <w:t>endeavour</w:t>
      </w:r>
      <w:r w:rsidR="006860C1">
        <w:rPr>
          <w:rFonts w:asciiTheme="majorBidi" w:hAnsiTheme="majorBidi" w:cstheme="majorBidi"/>
        </w:rPr>
        <w:t>ed</w:t>
      </w:r>
      <w:r w:rsidRPr="00D2758E">
        <w:rPr>
          <w:rFonts w:asciiTheme="majorBidi" w:hAnsiTheme="majorBidi" w:cstheme="majorBidi"/>
        </w:rPr>
        <w:t xml:space="preserve"> to cooperate, with the involvement of</w:t>
      </w:r>
      <w:r w:rsidR="00F609A6">
        <w:rPr>
          <w:rFonts w:asciiTheme="majorBidi" w:hAnsiTheme="majorBidi" w:cstheme="majorBidi"/>
        </w:rPr>
        <w:t xml:space="preserve"> the</w:t>
      </w:r>
      <w:r w:rsidRPr="00D2758E">
        <w:rPr>
          <w:rFonts w:asciiTheme="majorBidi" w:hAnsiTheme="majorBidi" w:cstheme="majorBidi"/>
        </w:rPr>
        <w:t xml:space="preserve"> indigenous peoples and local communities concerned</w:t>
      </w:r>
      <w:r w:rsidR="00F609A6">
        <w:rPr>
          <w:rFonts w:asciiTheme="majorBidi" w:hAnsiTheme="majorBidi" w:cstheme="majorBidi"/>
        </w:rPr>
        <w:t>,</w:t>
      </w:r>
      <w:r w:rsidRPr="00D2758E">
        <w:rPr>
          <w:rFonts w:asciiTheme="majorBidi" w:hAnsiTheme="majorBidi" w:cstheme="majorBidi"/>
        </w:rPr>
        <w:t xml:space="preserve"> where applicable, in instances where the same genetic resources </w:t>
      </w:r>
      <w:r w:rsidR="00F609A6">
        <w:rPr>
          <w:rFonts w:asciiTheme="majorBidi" w:hAnsiTheme="majorBidi" w:cstheme="majorBidi"/>
        </w:rPr>
        <w:t>we</w:t>
      </w:r>
      <w:r w:rsidRPr="00D2758E">
        <w:rPr>
          <w:rFonts w:asciiTheme="majorBidi" w:hAnsiTheme="majorBidi" w:cstheme="majorBidi"/>
        </w:rPr>
        <w:t xml:space="preserve">re found in </w:t>
      </w:r>
      <w:r w:rsidRPr="00D2758E">
        <w:t>situ</w:t>
      </w:r>
      <w:r w:rsidRPr="00D2758E">
        <w:rPr>
          <w:rFonts w:asciiTheme="majorBidi" w:hAnsiTheme="majorBidi" w:cstheme="majorBidi"/>
        </w:rPr>
        <w:t xml:space="preserve"> within the territory of more than one </w:t>
      </w:r>
      <w:r w:rsidR="00695449" w:rsidRPr="00D2758E">
        <w:rPr>
          <w:rFonts w:asciiTheme="majorBidi" w:hAnsiTheme="majorBidi" w:cstheme="majorBidi"/>
        </w:rPr>
        <w:t xml:space="preserve">and where the same traditional knowledge associated with genetic resources </w:t>
      </w:r>
      <w:r w:rsidR="006860C1">
        <w:rPr>
          <w:rFonts w:asciiTheme="majorBidi" w:hAnsiTheme="majorBidi" w:cstheme="majorBidi"/>
        </w:rPr>
        <w:t>wa</w:t>
      </w:r>
      <w:r w:rsidR="00695449" w:rsidRPr="00D2758E">
        <w:rPr>
          <w:rFonts w:asciiTheme="majorBidi" w:hAnsiTheme="majorBidi" w:cstheme="majorBidi"/>
        </w:rPr>
        <w:t>s shared by one or more indigenous peoples and local communities in several Parties.</w:t>
      </w:r>
    </w:p>
    <w:p w14:paraId="4BD38862" w14:textId="27EDE23B" w:rsidR="00651CD9" w:rsidRPr="00D2758E" w:rsidRDefault="00651CD9" w:rsidP="00CD2C50">
      <w:pPr>
        <w:pStyle w:val="CBDNormalNumber"/>
        <w:rPr>
          <w:rFonts w:asciiTheme="majorBidi" w:hAnsiTheme="majorBidi" w:cstheme="majorBidi"/>
        </w:rPr>
      </w:pPr>
      <w:r w:rsidRPr="00D2758E">
        <w:rPr>
          <w:rFonts w:asciiTheme="majorBidi" w:hAnsiTheme="majorBidi" w:cstheme="majorBidi"/>
        </w:rPr>
        <w:t>Transboundary cooperation under Article 11 of the Nagoya Protocol remain</w:t>
      </w:r>
      <w:r w:rsidR="0030321B">
        <w:rPr>
          <w:rFonts w:asciiTheme="majorBidi" w:hAnsiTheme="majorBidi" w:cstheme="majorBidi"/>
        </w:rPr>
        <w:t>ed</w:t>
      </w:r>
      <w:r w:rsidRPr="00D2758E">
        <w:rPr>
          <w:rFonts w:asciiTheme="majorBidi" w:hAnsiTheme="majorBidi" w:cstheme="majorBidi"/>
        </w:rPr>
        <w:t xml:space="preserve"> limited in practice despite broad </w:t>
      </w:r>
      <w:r w:rsidRPr="00D2758E">
        <w:t>recognition</w:t>
      </w:r>
      <w:r w:rsidRPr="00D2758E">
        <w:rPr>
          <w:rFonts w:asciiTheme="majorBidi" w:hAnsiTheme="majorBidi" w:cstheme="majorBidi"/>
        </w:rPr>
        <w:t xml:space="preserve"> of its relevance, willingness to cooperate among Parties and the existence of enabling legal and policy frameworks.</w:t>
      </w:r>
    </w:p>
    <w:p w14:paraId="35DE5A24" w14:textId="17F15467" w:rsidR="00651CD9" w:rsidRPr="00D2758E" w:rsidRDefault="00651CD9" w:rsidP="00CD2C50">
      <w:pPr>
        <w:pStyle w:val="CBDNormalNumber"/>
        <w:rPr>
          <w:rFonts w:asciiTheme="majorBidi" w:hAnsiTheme="majorBidi" w:cstheme="majorBidi"/>
        </w:rPr>
      </w:pPr>
      <w:r w:rsidRPr="00D2758E">
        <w:rPr>
          <w:rFonts w:asciiTheme="majorBidi" w:hAnsiTheme="majorBidi" w:cstheme="majorBidi"/>
        </w:rPr>
        <w:t>Where cooperation d</w:t>
      </w:r>
      <w:r w:rsidR="00AA7FB3">
        <w:rPr>
          <w:rFonts w:asciiTheme="majorBidi" w:hAnsiTheme="majorBidi" w:cstheme="majorBidi"/>
        </w:rPr>
        <w:t>id</w:t>
      </w:r>
      <w:r w:rsidRPr="00D2758E">
        <w:rPr>
          <w:rFonts w:asciiTheme="majorBidi" w:hAnsiTheme="majorBidi" w:cstheme="majorBidi"/>
        </w:rPr>
        <w:t xml:space="preserve"> occur, it tend</w:t>
      </w:r>
      <w:r w:rsidR="00AA7FB3">
        <w:rPr>
          <w:rFonts w:asciiTheme="majorBidi" w:hAnsiTheme="majorBidi" w:cstheme="majorBidi"/>
        </w:rPr>
        <w:t>ed</w:t>
      </w:r>
      <w:r w:rsidRPr="00D2758E">
        <w:rPr>
          <w:rFonts w:asciiTheme="majorBidi" w:hAnsiTheme="majorBidi" w:cstheme="majorBidi"/>
        </w:rPr>
        <w:t xml:space="preserve"> to rely on informal, regional or </w:t>
      </w:r>
      <w:r w:rsidR="007A5267" w:rsidRPr="00D2758E">
        <w:rPr>
          <w:rFonts w:asciiTheme="majorBidi" w:hAnsiTheme="majorBidi" w:cstheme="majorBidi"/>
        </w:rPr>
        <w:t>ecosystem-based</w:t>
      </w:r>
      <w:r w:rsidRPr="00D2758E">
        <w:rPr>
          <w:rFonts w:asciiTheme="majorBidi" w:hAnsiTheme="majorBidi" w:cstheme="majorBidi"/>
        </w:rPr>
        <w:t xml:space="preserve"> arrangements, with existing conservation and community frameworks serving as the primary vehicles in the absence of concrete </w:t>
      </w:r>
      <w:r w:rsidR="00D34F01" w:rsidRPr="00D2758E">
        <w:rPr>
          <w:rFonts w:asciiTheme="majorBidi" w:hAnsiTheme="majorBidi" w:cstheme="majorBidi"/>
        </w:rPr>
        <w:t>cases</w:t>
      </w:r>
      <w:r w:rsidR="00D34F01">
        <w:rPr>
          <w:rFonts w:asciiTheme="majorBidi" w:hAnsiTheme="majorBidi" w:cstheme="majorBidi"/>
        </w:rPr>
        <w:t xml:space="preserve"> </w:t>
      </w:r>
      <w:r w:rsidR="00D34F01" w:rsidRPr="00D2758E">
        <w:rPr>
          <w:rFonts w:asciiTheme="majorBidi" w:hAnsiTheme="majorBidi" w:cstheme="majorBidi"/>
        </w:rPr>
        <w:t>specific</w:t>
      </w:r>
      <w:r w:rsidR="00D34F01">
        <w:rPr>
          <w:rFonts w:asciiTheme="majorBidi" w:hAnsiTheme="majorBidi" w:cstheme="majorBidi"/>
        </w:rPr>
        <w:t xml:space="preserve"> to </w:t>
      </w:r>
      <w:r w:rsidR="00A22342">
        <w:rPr>
          <w:rFonts w:asciiTheme="majorBidi" w:hAnsiTheme="majorBidi" w:cstheme="majorBidi"/>
        </w:rPr>
        <w:t>access and benefit</w:t>
      </w:r>
      <w:r w:rsidR="007845B8">
        <w:rPr>
          <w:rFonts w:asciiTheme="majorBidi" w:hAnsiTheme="majorBidi" w:cstheme="majorBidi"/>
        </w:rPr>
        <w:t xml:space="preserve"> </w:t>
      </w:r>
      <w:r w:rsidR="00A22342">
        <w:rPr>
          <w:rFonts w:asciiTheme="majorBidi" w:hAnsiTheme="majorBidi" w:cstheme="majorBidi"/>
        </w:rPr>
        <w:t>sharing</w:t>
      </w:r>
      <w:r w:rsidR="007845B8">
        <w:rPr>
          <w:rFonts w:asciiTheme="majorBidi" w:hAnsiTheme="majorBidi" w:cstheme="majorBidi"/>
        </w:rPr>
        <w:t>-</w:t>
      </w:r>
      <w:r w:rsidRPr="00D2758E">
        <w:rPr>
          <w:rFonts w:asciiTheme="majorBidi" w:hAnsiTheme="majorBidi" w:cstheme="majorBidi"/>
        </w:rPr>
        <w:t>.</w:t>
      </w:r>
    </w:p>
    <w:p w14:paraId="4E530AFA" w14:textId="5A0E8658" w:rsidR="007A5267" w:rsidRPr="00D2758E" w:rsidRDefault="00D03C48" w:rsidP="00D03C48">
      <w:pPr>
        <w:pStyle w:val="CBDH4"/>
      </w:pPr>
      <w:r>
        <w:t>(b)</w:t>
      </w:r>
      <w:r>
        <w:tab/>
      </w:r>
      <w:r w:rsidR="00222002" w:rsidRPr="00D2758E">
        <w:t xml:space="preserve">Challenges, root causes and possible ways to enhance measures related to </w:t>
      </w:r>
      <w:r w:rsidR="007A5267" w:rsidRPr="00D2758E">
        <w:t>transboundary cooperation</w:t>
      </w:r>
    </w:p>
    <w:p w14:paraId="2EB5EC06" w14:textId="06D92D0C" w:rsidR="005D7A0B" w:rsidRPr="00D2758E" w:rsidRDefault="005D7A0B" w:rsidP="00CD2C50">
      <w:pPr>
        <w:pStyle w:val="CBDNormalNumber"/>
        <w:rPr>
          <w:rFonts w:asciiTheme="majorBidi" w:hAnsiTheme="majorBidi" w:cstheme="majorBidi"/>
        </w:rPr>
      </w:pPr>
      <w:r w:rsidRPr="00D2758E">
        <w:rPr>
          <w:rFonts w:asciiTheme="majorBidi" w:hAnsiTheme="majorBidi" w:cstheme="majorBidi"/>
        </w:rPr>
        <w:t xml:space="preserve">Limited implementation </w:t>
      </w:r>
      <w:r w:rsidR="00376DB2">
        <w:rPr>
          <w:rFonts w:asciiTheme="majorBidi" w:hAnsiTheme="majorBidi" w:cstheme="majorBidi"/>
        </w:rPr>
        <w:t>wa</w:t>
      </w:r>
      <w:r w:rsidRPr="00D2758E">
        <w:rPr>
          <w:rFonts w:asciiTheme="majorBidi" w:hAnsiTheme="majorBidi" w:cstheme="majorBidi"/>
        </w:rPr>
        <w:t xml:space="preserve">s driven </w:t>
      </w:r>
      <w:r w:rsidR="00E051EE" w:rsidRPr="00D2758E">
        <w:rPr>
          <w:rFonts w:asciiTheme="majorBidi" w:hAnsiTheme="majorBidi" w:cstheme="majorBidi"/>
        </w:rPr>
        <w:t xml:space="preserve">largely </w:t>
      </w:r>
      <w:r w:rsidRPr="00D2758E">
        <w:rPr>
          <w:rFonts w:asciiTheme="majorBidi" w:hAnsiTheme="majorBidi" w:cstheme="majorBidi"/>
        </w:rPr>
        <w:t>by contextual and structural factors, including the absence of triggering cases, geographic</w:t>
      </w:r>
      <w:r w:rsidR="00E051EE">
        <w:rPr>
          <w:rFonts w:asciiTheme="majorBidi" w:hAnsiTheme="majorBidi" w:cstheme="majorBidi"/>
        </w:rPr>
        <w:t>al</w:t>
      </w:r>
      <w:r w:rsidRPr="00D2758E">
        <w:rPr>
          <w:rFonts w:asciiTheme="majorBidi" w:hAnsiTheme="majorBidi" w:cstheme="majorBidi"/>
        </w:rPr>
        <w:t xml:space="preserve"> and ecological realities and, in some jurisdictions, the absence or non-recognition of </w:t>
      </w:r>
      <w:r w:rsidR="00E06EDB" w:rsidRPr="00D2758E">
        <w:rPr>
          <w:rFonts w:asciiTheme="majorBidi" w:hAnsiTheme="majorBidi" w:cstheme="majorBidi"/>
        </w:rPr>
        <w:t>i</w:t>
      </w:r>
      <w:r w:rsidR="00614EA4" w:rsidRPr="00D2758E">
        <w:rPr>
          <w:rFonts w:asciiTheme="majorBidi" w:hAnsiTheme="majorBidi" w:cstheme="majorBidi"/>
        </w:rPr>
        <w:t>ndigenous peoples and local communities</w:t>
      </w:r>
      <w:r w:rsidR="00712B10" w:rsidRPr="00D2758E">
        <w:rPr>
          <w:rFonts w:asciiTheme="majorBidi" w:hAnsiTheme="majorBidi" w:cstheme="majorBidi"/>
        </w:rPr>
        <w:t xml:space="preserve"> </w:t>
      </w:r>
      <w:r w:rsidR="001A59DB">
        <w:rPr>
          <w:rFonts w:asciiTheme="majorBidi" w:hAnsiTheme="majorBidi" w:cstheme="majorBidi"/>
        </w:rPr>
        <w:t xml:space="preserve">in the context of </w:t>
      </w:r>
      <w:r w:rsidR="00712B10" w:rsidRPr="00D2758E">
        <w:rPr>
          <w:rFonts w:asciiTheme="majorBidi" w:hAnsiTheme="majorBidi" w:cstheme="majorBidi"/>
        </w:rPr>
        <w:t xml:space="preserve">issues related to </w:t>
      </w:r>
      <w:r w:rsidR="00E667D3" w:rsidRPr="00D2758E">
        <w:rPr>
          <w:rFonts w:asciiTheme="majorBidi" w:hAnsiTheme="majorBidi" w:cstheme="majorBidi"/>
        </w:rPr>
        <w:t xml:space="preserve">associated traditional </w:t>
      </w:r>
      <w:r w:rsidR="00E667D3" w:rsidRPr="00D2758E">
        <w:t>knowledge</w:t>
      </w:r>
      <w:r w:rsidR="00E667D3" w:rsidRPr="00D2758E">
        <w:rPr>
          <w:rFonts w:asciiTheme="majorBidi" w:hAnsiTheme="majorBidi" w:cstheme="majorBidi"/>
        </w:rPr>
        <w:t xml:space="preserve"> or genetic resources held by </w:t>
      </w:r>
      <w:r w:rsidR="00E06EDB" w:rsidRPr="00D2758E">
        <w:rPr>
          <w:rFonts w:asciiTheme="majorBidi" w:hAnsiTheme="majorBidi" w:cstheme="majorBidi"/>
        </w:rPr>
        <w:t>indigenous peoples and local communities</w:t>
      </w:r>
      <w:r w:rsidR="00A0698F">
        <w:rPr>
          <w:rFonts w:asciiTheme="majorBidi" w:hAnsiTheme="majorBidi" w:cstheme="majorBidi"/>
        </w:rPr>
        <w:t>,</w:t>
      </w:r>
      <w:r w:rsidR="00E06EDB" w:rsidRPr="00D2758E">
        <w:rPr>
          <w:rFonts w:asciiTheme="majorBidi" w:hAnsiTheme="majorBidi" w:cstheme="majorBidi"/>
        </w:rPr>
        <w:t xml:space="preserve"> </w:t>
      </w:r>
      <w:r w:rsidR="00E667D3" w:rsidRPr="00D2758E">
        <w:rPr>
          <w:rFonts w:asciiTheme="majorBidi" w:hAnsiTheme="majorBidi" w:cstheme="majorBidi"/>
        </w:rPr>
        <w:t>when applicable.</w:t>
      </w:r>
    </w:p>
    <w:p w14:paraId="775B15BB" w14:textId="5D95B79B" w:rsidR="007E5503" w:rsidRPr="00D2758E" w:rsidRDefault="00D81DEB" w:rsidP="00CD2C50">
      <w:pPr>
        <w:pStyle w:val="CBDNormalNumber"/>
        <w:rPr>
          <w:rFonts w:asciiTheme="majorBidi" w:hAnsiTheme="majorBidi" w:cstheme="majorBidi"/>
        </w:rPr>
      </w:pPr>
      <w:r w:rsidRPr="00D2758E">
        <w:rPr>
          <w:rFonts w:asciiTheme="majorBidi" w:hAnsiTheme="majorBidi" w:cstheme="majorBidi"/>
        </w:rPr>
        <w:t>Regional</w:t>
      </w:r>
      <w:r w:rsidR="00BF3796" w:rsidRPr="00D2758E">
        <w:rPr>
          <w:rFonts w:asciiTheme="majorBidi" w:hAnsiTheme="majorBidi" w:cstheme="majorBidi"/>
        </w:rPr>
        <w:t xml:space="preserve"> or subregional</w:t>
      </w:r>
      <w:r w:rsidRPr="00D2758E">
        <w:rPr>
          <w:rFonts w:asciiTheme="majorBidi" w:hAnsiTheme="majorBidi" w:cstheme="majorBidi"/>
        </w:rPr>
        <w:t xml:space="preserve"> </w:t>
      </w:r>
      <w:r w:rsidR="000810F6" w:rsidRPr="00D2758E">
        <w:rPr>
          <w:rFonts w:asciiTheme="majorBidi" w:hAnsiTheme="majorBidi" w:cstheme="majorBidi"/>
        </w:rPr>
        <w:t xml:space="preserve">capacity-building projects </w:t>
      </w:r>
      <w:r w:rsidR="007718DB" w:rsidRPr="00D2758E">
        <w:rPr>
          <w:rFonts w:asciiTheme="majorBidi" w:hAnsiTheme="majorBidi" w:cstheme="majorBidi"/>
        </w:rPr>
        <w:t>and enhanc</w:t>
      </w:r>
      <w:r w:rsidR="00A6561F">
        <w:rPr>
          <w:rFonts w:asciiTheme="majorBidi" w:hAnsiTheme="majorBidi" w:cstheme="majorBidi"/>
        </w:rPr>
        <w:t xml:space="preserve">ement of </w:t>
      </w:r>
      <w:r w:rsidR="007718DB" w:rsidRPr="00D2758E">
        <w:rPr>
          <w:rFonts w:asciiTheme="majorBidi" w:hAnsiTheme="majorBidi" w:cstheme="majorBidi"/>
        </w:rPr>
        <w:t xml:space="preserve">regional or subregional </w:t>
      </w:r>
      <w:r w:rsidR="002136F4" w:rsidRPr="00D2758E">
        <w:rPr>
          <w:rFonts w:asciiTheme="majorBidi" w:hAnsiTheme="majorBidi" w:cstheme="majorBidi"/>
        </w:rPr>
        <w:t xml:space="preserve">relevant </w:t>
      </w:r>
      <w:r w:rsidR="007718DB" w:rsidRPr="00D2758E">
        <w:rPr>
          <w:rFonts w:asciiTheme="majorBidi" w:hAnsiTheme="majorBidi" w:cstheme="majorBidi"/>
        </w:rPr>
        <w:t xml:space="preserve">institutions </w:t>
      </w:r>
      <w:r w:rsidR="00147511" w:rsidRPr="00D2758E">
        <w:rPr>
          <w:rFonts w:asciiTheme="majorBidi" w:hAnsiTheme="majorBidi" w:cstheme="majorBidi"/>
        </w:rPr>
        <w:t xml:space="preserve">could </w:t>
      </w:r>
      <w:r w:rsidR="005B4671" w:rsidRPr="00D2758E">
        <w:rPr>
          <w:rFonts w:asciiTheme="majorBidi" w:hAnsiTheme="majorBidi" w:cstheme="majorBidi"/>
        </w:rPr>
        <w:t xml:space="preserve">assist </w:t>
      </w:r>
      <w:r w:rsidR="00F00C4E" w:rsidRPr="00D2758E">
        <w:t>in</w:t>
      </w:r>
      <w:r w:rsidR="00F00C4E" w:rsidRPr="00D2758E">
        <w:rPr>
          <w:rFonts w:asciiTheme="majorBidi" w:hAnsiTheme="majorBidi" w:cstheme="majorBidi"/>
        </w:rPr>
        <w:t xml:space="preserve"> </w:t>
      </w:r>
      <w:r w:rsidR="00071C5C">
        <w:rPr>
          <w:rFonts w:asciiTheme="majorBidi" w:hAnsiTheme="majorBidi" w:cstheme="majorBidi"/>
        </w:rPr>
        <w:t xml:space="preserve">fostering </w:t>
      </w:r>
      <w:r w:rsidR="00435647" w:rsidRPr="00D2758E">
        <w:rPr>
          <w:rFonts w:asciiTheme="majorBidi" w:hAnsiTheme="majorBidi" w:cstheme="majorBidi"/>
        </w:rPr>
        <w:t xml:space="preserve">more coordinated approaches to </w:t>
      </w:r>
      <w:r w:rsidR="00227911" w:rsidRPr="00D2758E">
        <w:rPr>
          <w:rFonts w:asciiTheme="majorBidi" w:hAnsiTheme="majorBidi" w:cstheme="majorBidi"/>
        </w:rPr>
        <w:t>implementation and</w:t>
      </w:r>
      <w:r w:rsidR="007E56BA" w:rsidRPr="00D2758E">
        <w:rPr>
          <w:rFonts w:asciiTheme="majorBidi" w:hAnsiTheme="majorBidi" w:cstheme="majorBidi"/>
        </w:rPr>
        <w:t xml:space="preserve"> addressing transboundary issues</w:t>
      </w:r>
      <w:r w:rsidR="00BB10A4" w:rsidRPr="00D2758E">
        <w:rPr>
          <w:rFonts w:asciiTheme="majorBidi" w:hAnsiTheme="majorBidi" w:cstheme="majorBidi"/>
        </w:rPr>
        <w:t>.</w:t>
      </w:r>
    </w:p>
    <w:p w14:paraId="12064C6A" w14:textId="5475D3AD" w:rsidR="00455F03" w:rsidRPr="00D2758E" w:rsidRDefault="00036E1C" w:rsidP="00036E1C">
      <w:pPr>
        <w:pStyle w:val="CBDH3"/>
      </w:pPr>
      <w:r>
        <w:t>9.</w:t>
      </w:r>
      <w:r>
        <w:tab/>
      </w:r>
      <w:r w:rsidR="00455F03" w:rsidRPr="00D2758E">
        <w:t>Awareness-raising (Article 21)</w:t>
      </w:r>
      <w:r w:rsidR="000C2A03" w:rsidRPr="00D2758E">
        <w:rPr>
          <w:rStyle w:val="FootnoteReference"/>
        </w:rPr>
        <w:footnoteReference w:id="46"/>
      </w:r>
    </w:p>
    <w:p w14:paraId="7A1CDEA2" w14:textId="40389CF5" w:rsidR="004A5572" w:rsidRPr="00D2758E" w:rsidRDefault="00036E1C" w:rsidP="00036E1C">
      <w:pPr>
        <w:pStyle w:val="CBDH4"/>
      </w:pPr>
      <w:r>
        <w:t>(a)</w:t>
      </w:r>
      <w:r>
        <w:tab/>
      </w:r>
      <w:r w:rsidR="004A5572" w:rsidRPr="00D2758E">
        <w:t xml:space="preserve">Progress made in implementation </w:t>
      </w:r>
    </w:p>
    <w:p w14:paraId="233B9E3C" w14:textId="41C83616" w:rsidR="003B40FC" w:rsidRPr="00D2758E" w:rsidRDefault="00071C5C" w:rsidP="00CD2C50">
      <w:pPr>
        <w:pStyle w:val="CBDNormalNumber"/>
        <w:rPr>
          <w:rFonts w:asciiTheme="majorBidi" w:hAnsiTheme="majorBidi" w:cstheme="majorBidi"/>
        </w:rPr>
      </w:pPr>
      <w:r>
        <w:rPr>
          <w:rFonts w:asciiTheme="majorBidi" w:hAnsiTheme="majorBidi" w:cstheme="majorBidi"/>
        </w:rPr>
        <w:t>The i</w:t>
      </w:r>
      <w:r w:rsidR="0013089C" w:rsidRPr="00D2758E">
        <w:rPr>
          <w:rFonts w:asciiTheme="majorBidi" w:hAnsiTheme="majorBidi" w:cstheme="majorBidi"/>
        </w:rPr>
        <w:t>nformation provided demonstrate</w:t>
      </w:r>
      <w:r>
        <w:rPr>
          <w:rFonts w:asciiTheme="majorBidi" w:hAnsiTheme="majorBidi" w:cstheme="majorBidi"/>
        </w:rPr>
        <w:t>d</w:t>
      </w:r>
      <w:r w:rsidR="0013089C" w:rsidRPr="00D2758E">
        <w:rPr>
          <w:rFonts w:asciiTheme="majorBidi" w:hAnsiTheme="majorBidi" w:cstheme="majorBidi"/>
        </w:rPr>
        <w:t xml:space="preserve"> that most of the Parties (94) ha</w:t>
      </w:r>
      <w:r w:rsidR="00EB0C6F">
        <w:rPr>
          <w:rFonts w:asciiTheme="majorBidi" w:hAnsiTheme="majorBidi" w:cstheme="majorBidi"/>
        </w:rPr>
        <w:t>d</w:t>
      </w:r>
      <w:r w:rsidR="0013089C" w:rsidRPr="00D2758E">
        <w:rPr>
          <w:rFonts w:asciiTheme="majorBidi" w:hAnsiTheme="majorBidi" w:cstheme="majorBidi"/>
        </w:rPr>
        <w:t xml:space="preserve"> taken measures to raise awareness of the importance of genetic resources and traditional knowledge associated with genetic resources and </w:t>
      </w:r>
      <w:r w:rsidR="0013089C" w:rsidRPr="00D2758E">
        <w:t>related</w:t>
      </w:r>
      <w:r w:rsidR="0013089C" w:rsidRPr="00D2758E">
        <w:rPr>
          <w:rFonts w:asciiTheme="majorBidi" w:hAnsiTheme="majorBidi" w:cstheme="majorBidi"/>
        </w:rPr>
        <w:t xml:space="preserve"> </w:t>
      </w:r>
      <w:r w:rsidR="00EB0C6F">
        <w:rPr>
          <w:rFonts w:asciiTheme="majorBidi" w:hAnsiTheme="majorBidi" w:cstheme="majorBidi"/>
        </w:rPr>
        <w:t xml:space="preserve">access and benefit-sharing </w:t>
      </w:r>
      <w:r w:rsidR="0013089C" w:rsidRPr="00D2758E">
        <w:rPr>
          <w:rFonts w:asciiTheme="majorBidi" w:hAnsiTheme="majorBidi" w:cstheme="majorBidi"/>
        </w:rPr>
        <w:t>issues.</w:t>
      </w:r>
      <w:r w:rsidR="003B40FC" w:rsidRPr="00D2758E">
        <w:rPr>
          <w:rStyle w:val="FootnoteReference"/>
          <w:rFonts w:asciiTheme="majorBidi" w:hAnsiTheme="majorBidi" w:cstheme="majorBidi"/>
        </w:rPr>
        <w:footnoteReference w:id="47"/>
      </w:r>
      <w:r w:rsidR="0013089C" w:rsidRPr="00D2758E">
        <w:rPr>
          <w:rFonts w:asciiTheme="majorBidi" w:hAnsiTheme="majorBidi" w:cstheme="majorBidi"/>
        </w:rPr>
        <w:t xml:space="preserve"> Th</w:t>
      </w:r>
      <w:r w:rsidR="00231496">
        <w:rPr>
          <w:rFonts w:asciiTheme="majorBidi" w:hAnsiTheme="majorBidi" w:cstheme="majorBidi"/>
        </w:rPr>
        <w:t>o</w:t>
      </w:r>
      <w:r w:rsidR="0013089C" w:rsidRPr="00D2758E">
        <w:rPr>
          <w:rFonts w:asciiTheme="majorBidi" w:hAnsiTheme="majorBidi" w:cstheme="majorBidi"/>
        </w:rPr>
        <w:t xml:space="preserve">se efforts </w:t>
      </w:r>
      <w:r w:rsidR="00231496">
        <w:rPr>
          <w:rFonts w:asciiTheme="majorBidi" w:hAnsiTheme="majorBidi" w:cstheme="majorBidi"/>
        </w:rPr>
        <w:t>we</w:t>
      </w:r>
      <w:r w:rsidR="0013089C" w:rsidRPr="00D2758E">
        <w:rPr>
          <w:rFonts w:asciiTheme="majorBidi" w:hAnsiTheme="majorBidi" w:cstheme="majorBidi"/>
        </w:rPr>
        <w:t xml:space="preserve">re largely activity-based, with </w:t>
      </w:r>
      <w:r w:rsidR="00386A87">
        <w:rPr>
          <w:rFonts w:asciiTheme="majorBidi" w:hAnsiTheme="majorBidi" w:cstheme="majorBidi"/>
        </w:rPr>
        <w:t>40</w:t>
      </w:r>
      <w:r w:rsidR="00F547EE" w:rsidRPr="00D2758E">
        <w:rPr>
          <w:rFonts w:asciiTheme="majorBidi" w:hAnsiTheme="majorBidi" w:cstheme="majorBidi"/>
        </w:rPr>
        <w:t xml:space="preserve"> </w:t>
      </w:r>
      <w:r w:rsidR="0013089C" w:rsidRPr="00D2758E">
        <w:rPr>
          <w:rFonts w:asciiTheme="majorBidi" w:hAnsiTheme="majorBidi" w:cstheme="majorBidi"/>
        </w:rPr>
        <w:t>of th</w:t>
      </w:r>
      <w:r w:rsidR="00386A87">
        <w:rPr>
          <w:rFonts w:asciiTheme="majorBidi" w:hAnsiTheme="majorBidi" w:cstheme="majorBidi"/>
        </w:rPr>
        <w:t>o</w:t>
      </w:r>
      <w:r w:rsidR="0013089C" w:rsidRPr="00D2758E">
        <w:rPr>
          <w:rFonts w:asciiTheme="majorBidi" w:hAnsiTheme="majorBidi" w:cstheme="majorBidi"/>
        </w:rPr>
        <w:t xml:space="preserve">se Parties reported having adopted some form of awareness-raising strategy for </w:t>
      </w:r>
      <w:r w:rsidR="00386A87" w:rsidRPr="00386A87">
        <w:rPr>
          <w:rFonts w:asciiTheme="majorBidi" w:hAnsiTheme="majorBidi" w:cstheme="majorBidi"/>
        </w:rPr>
        <w:t>access and benefit-sharing</w:t>
      </w:r>
      <w:r w:rsidR="0013089C" w:rsidRPr="00D2758E">
        <w:rPr>
          <w:rFonts w:asciiTheme="majorBidi" w:hAnsiTheme="majorBidi" w:cstheme="majorBidi"/>
        </w:rPr>
        <w:t xml:space="preserve">. The extent and consistency of implementation of awareness-raising activities and strategies </w:t>
      </w:r>
      <w:r w:rsidR="00D5303D">
        <w:rPr>
          <w:rFonts w:asciiTheme="majorBidi" w:hAnsiTheme="majorBidi" w:cstheme="majorBidi"/>
        </w:rPr>
        <w:t xml:space="preserve">were </w:t>
      </w:r>
      <w:r w:rsidR="0013089C" w:rsidRPr="00D2758E">
        <w:rPr>
          <w:rFonts w:asciiTheme="majorBidi" w:hAnsiTheme="majorBidi" w:cstheme="majorBidi"/>
        </w:rPr>
        <w:t xml:space="preserve">uncertain and uneven among Parties, as </w:t>
      </w:r>
      <w:r w:rsidR="00F41275">
        <w:rPr>
          <w:rFonts w:asciiTheme="majorBidi" w:hAnsiTheme="majorBidi" w:cstheme="majorBidi"/>
        </w:rPr>
        <w:t>implementation was</w:t>
      </w:r>
      <w:r w:rsidR="0013089C" w:rsidRPr="00D2758E">
        <w:rPr>
          <w:rFonts w:asciiTheme="majorBidi" w:hAnsiTheme="majorBidi" w:cstheme="majorBidi"/>
        </w:rPr>
        <w:t xml:space="preserve"> closely linked to available resources and capacities.</w:t>
      </w:r>
    </w:p>
    <w:p w14:paraId="00F0AFB5" w14:textId="241FA6E2" w:rsidR="007E5503" w:rsidRPr="00D2758E" w:rsidRDefault="00036E1C" w:rsidP="00036E1C">
      <w:pPr>
        <w:pStyle w:val="CBDH4"/>
      </w:pPr>
      <w:r>
        <w:lastRenderedPageBreak/>
        <w:t>(b)</w:t>
      </w:r>
      <w:r>
        <w:tab/>
      </w:r>
      <w:r w:rsidR="006A0B7A" w:rsidRPr="00D2758E">
        <w:t xml:space="preserve">Challenges, root causes and possible ways to enhance measures related to </w:t>
      </w:r>
      <w:r w:rsidR="0050726D" w:rsidRPr="00D2758E">
        <w:t>awareness-raising</w:t>
      </w:r>
    </w:p>
    <w:p w14:paraId="32D9A3FC" w14:textId="530AAC1A" w:rsidR="003B40FC" w:rsidRPr="00D2758E" w:rsidRDefault="003B40FC" w:rsidP="00CD2C50">
      <w:pPr>
        <w:pStyle w:val="CBDNormalNumber"/>
        <w:rPr>
          <w:rFonts w:asciiTheme="majorBidi" w:hAnsiTheme="majorBidi" w:cstheme="majorBidi"/>
        </w:rPr>
      </w:pPr>
      <w:r w:rsidRPr="00D2758E">
        <w:rPr>
          <w:rFonts w:asciiTheme="majorBidi" w:hAnsiTheme="majorBidi" w:cstheme="majorBidi"/>
        </w:rPr>
        <w:t>Some Parties</w:t>
      </w:r>
      <w:r w:rsidR="00191FEA">
        <w:rPr>
          <w:rFonts w:asciiTheme="majorBidi" w:hAnsiTheme="majorBidi" w:cstheme="majorBidi"/>
        </w:rPr>
        <w:t xml:space="preserve"> stressed</w:t>
      </w:r>
      <w:r w:rsidRPr="00D2758E">
        <w:rPr>
          <w:rFonts w:asciiTheme="majorBidi" w:hAnsiTheme="majorBidi" w:cstheme="majorBidi"/>
        </w:rPr>
        <w:t xml:space="preserve"> that activities were sporadic, insufficiently systematic or concentrated around specific moments such as the ratification of the Protocol or the preparation of national reports. Other</w:t>
      </w:r>
      <w:r w:rsidR="00191FEA">
        <w:rPr>
          <w:rFonts w:asciiTheme="majorBidi" w:hAnsiTheme="majorBidi" w:cstheme="majorBidi"/>
        </w:rPr>
        <w:t xml:space="preserve"> Parties</w:t>
      </w:r>
      <w:r w:rsidRPr="00D2758E">
        <w:rPr>
          <w:rFonts w:asciiTheme="majorBidi" w:hAnsiTheme="majorBidi" w:cstheme="majorBidi"/>
        </w:rPr>
        <w:t xml:space="preserve"> cited inadequate financial and technical resources as a constraint. </w:t>
      </w:r>
    </w:p>
    <w:p w14:paraId="18B01ECA" w14:textId="444655A1" w:rsidR="00A549B7" w:rsidRPr="00D2758E" w:rsidRDefault="00FA4E4A" w:rsidP="00CD2C50">
      <w:pPr>
        <w:pStyle w:val="CBDNormalNumber"/>
        <w:rPr>
          <w:rFonts w:asciiTheme="majorBidi" w:hAnsiTheme="majorBidi" w:cstheme="majorBidi"/>
        </w:rPr>
      </w:pPr>
      <w:r>
        <w:rPr>
          <w:rFonts w:asciiTheme="majorBidi" w:hAnsiTheme="majorBidi" w:cstheme="majorBidi"/>
        </w:rPr>
        <w:t>C</w:t>
      </w:r>
      <w:r w:rsidR="009A1098" w:rsidRPr="00D2758E">
        <w:rPr>
          <w:rFonts w:asciiTheme="majorBidi" w:hAnsiTheme="majorBidi" w:cstheme="majorBidi"/>
        </w:rPr>
        <w:t>onclusions</w:t>
      </w:r>
      <w:r w:rsidR="00CC3E2B" w:rsidRPr="00D2758E">
        <w:rPr>
          <w:rFonts w:asciiTheme="majorBidi" w:hAnsiTheme="majorBidi" w:cstheme="majorBidi"/>
        </w:rPr>
        <w:t xml:space="preserve"> and recommendations </w:t>
      </w:r>
      <w:r w:rsidR="0051622C">
        <w:rPr>
          <w:rFonts w:asciiTheme="majorBidi" w:hAnsiTheme="majorBidi" w:cstheme="majorBidi"/>
        </w:rPr>
        <w:t xml:space="preserve">derived </w:t>
      </w:r>
      <w:r w:rsidR="00CC3E2B" w:rsidRPr="00D2758E">
        <w:rPr>
          <w:rFonts w:asciiTheme="majorBidi" w:hAnsiTheme="majorBidi" w:cstheme="majorBidi"/>
        </w:rPr>
        <w:t xml:space="preserve">from the scoping study </w:t>
      </w:r>
      <w:r>
        <w:rPr>
          <w:rFonts w:asciiTheme="majorBidi" w:hAnsiTheme="majorBidi" w:cstheme="majorBidi"/>
        </w:rPr>
        <w:t>included</w:t>
      </w:r>
      <w:r w:rsidR="00CC3E2B" w:rsidRPr="00D2758E">
        <w:rPr>
          <w:rFonts w:asciiTheme="majorBidi" w:hAnsiTheme="majorBidi" w:cstheme="majorBidi"/>
        </w:rPr>
        <w:t xml:space="preserve"> th</w:t>
      </w:r>
      <w:r w:rsidR="00A549B7" w:rsidRPr="00D2758E">
        <w:rPr>
          <w:rFonts w:asciiTheme="majorBidi" w:hAnsiTheme="majorBidi" w:cstheme="majorBidi"/>
        </w:rPr>
        <w:t xml:space="preserve">e need to change the narrative and mainstream </w:t>
      </w:r>
      <w:r>
        <w:rPr>
          <w:rFonts w:asciiTheme="majorBidi" w:hAnsiTheme="majorBidi" w:cstheme="majorBidi"/>
        </w:rPr>
        <w:t>access and benefit sharing</w:t>
      </w:r>
      <w:r w:rsidR="00A549B7" w:rsidRPr="00D2758E">
        <w:rPr>
          <w:rFonts w:asciiTheme="majorBidi" w:hAnsiTheme="majorBidi" w:cstheme="majorBidi"/>
        </w:rPr>
        <w:t>.</w:t>
      </w:r>
      <w:r w:rsidR="00A549B7" w:rsidRPr="00D2758E">
        <w:rPr>
          <w:rStyle w:val="FootnoteReference"/>
          <w:rFonts w:asciiTheme="majorBidi" w:hAnsiTheme="majorBidi" w:cstheme="majorBidi"/>
        </w:rPr>
        <w:footnoteReference w:id="48"/>
      </w:r>
      <w:r w:rsidR="00A549B7" w:rsidRPr="00D2758E">
        <w:rPr>
          <w:rFonts w:asciiTheme="majorBidi" w:hAnsiTheme="majorBidi" w:cstheme="majorBidi"/>
        </w:rPr>
        <w:t xml:space="preserve"> The topic of </w:t>
      </w:r>
      <w:r>
        <w:rPr>
          <w:rFonts w:asciiTheme="majorBidi" w:hAnsiTheme="majorBidi" w:cstheme="majorBidi"/>
        </w:rPr>
        <w:t xml:space="preserve">access and benefit sharing </w:t>
      </w:r>
      <w:r w:rsidR="006B6B2E">
        <w:rPr>
          <w:rFonts w:asciiTheme="majorBidi" w:hAnsiTheme="majorBidi" w:cstheme="majorBidi"/>
        </w:rPr>
        <w:t>was</w:t>
      </w:r>
      <w:r w:rsidR="00A549B7" w:rsidRPr="00D2758E">
        <w:rPr>
          <w:rFonts w:asciiTheme="majorBidi" w:hAnsiTheme="majorBidi" w:cstheme="majorBidi"/>
        </w:rPr>
        <w:t xml:space="preserve"> still often considered a stand-alone issue.  There </w:t>
      </w:r>
      <w:r w:rsidR="008F62B3">
        <w:rPr>
          <w:rFonts w:asciiTheme="majorBidi" w:hAnsiTheme="majorBidi" w:cstheme="majorBidi"/>
        </w:rPr>
        <w:t>wa</w:t>
      </w:r>
      <w:r w:rsidR="00A549B7" w:rsidRPr="00D2758E">
        <w:rPr>
          <w:rFonts w:asciiTheme="majorBidi" w:hAnsiTheme="majorBidi" w:cstheme="majorBidi"/>
        </w:rPr>
        <w:t xml:space="preserve">s a need to </w:t>
      </w:r>
      <w:r w:rsidR="00A549B7" w:rsidRPr="00D2758E">
        <w:t>change</w:t>
      </w:r>
      <w:r w:rsidR="00A549B7" w:rsidRPr="00D2758E">
        <w:rPr>
          <w:rFonts w:asciiTheme="majorBidi" w:hAnsiTheme="majorBidi" w:cstheme="majorBidi"/>
        </w:rPr>
        <w:t xml:space="preserve"> the narrative so that it </w:t>
      </w:r>
      <w:r w:rsidR="008F62B3">
        <w:rPr>
          <w:rFonts w:asciiTheme="majorBidi" w:hAnsiTheme="majorBidi" w:cstheme="majorBidi"/>
        </w:rPr>
        <w:t>wa</w:t>
      </w:r>
      <w:r w:rsidR="00A549B7" w:rsidRPr="00D2758E">
        <w:rPr>
          <w:rFonts w:asciiTheme="majorBidi" w:hAnsiTheme="majorBidi" w:cstheme="majorBidi"/>
        </w:rPr>
        <w:t xml:space="preserve">s perceived </w:t>
      </w:r>
      <w:r w:rsidR="00502CDB" w:rsidRPr="00D2758E">
        <w:rPr>
          <w:rFonts w:asciiTheme="majorBidi" w:hAnsiTheme="majorBidi" w:cstheme="majorBidi"/>
        </w:rPr>
        <w:t xml:space="preserve">no longer </w:t>
      </w:r>
      <w:r w:rsidR="00A549B7" w:rsidRPr="00D2758E">
        <w:rPr>
          <w:rFonts w:asciiTheme="majorBidi" w:hAnsiTheme="majorBidi" w:cstheme="majorBidi"/>
        </w:rPr>
        <w:t xml:space="preserve">as a regulatory burden but rather as a strategic mechanism </w:t>
      </w:r>
      <w:r w:rsidR="005B0B6C">
        <w:rPr>
          <w:rFonts w:asciiTheme="majorBidi" w:hAnsiTheme="majorBidi" w:cstheme="majorBidi"/>
        </w:rPr>
        <w:t>for</w:t>
      </w:r>
      <w:r w:rsidR="00A549B7" w:rsidRPr="00D2758E">
        <w:rPr>
          <w:rFonts w:asciiTheme="majorBidi" w:hAnsiTheme="majorBidi" w:cstheme="majorBidi"/>
        </w:rPr>
        <w:t xml:space="preserve"> </w:t>
      </w:r>
      <w:proofErr w:type="spellStart"/>
      <w:r w:rsidR="00A549B7" w:rsidRPr="00D2758E">
        <w:rPr>
          <w:rFonts w:asciiTheme="majorBidi" w:hAnsiTheme="majorBidi" w:cstheme="majorBidi"/>
        </w:rPr>
        <w:t>valori</w:t>
      </w:r>
      <w:r w:rsidR="00805109">
        <w:rPr>
          <w:rFonts w:asciiTheme="majorBidi" w:hAnsiTheme="majorBidi" w:cstheme="majorBidi"/>
        </w:rPr>
        <w:t>z</w:t>
      </w:r>
      <w:r w:rsidR="005B0B6C">
        <w:rPr>
          <w:rFonts w:asciiTheme="majorBidi" w:hAnsiTheme="majorBidi" w:cstheme="majorBidi"/>
        </w:rPr>
        <w:t>ing</w:t>
      </w:r>
      <w:proofErr w:type="spellEnd"/>
      <w:r w:rsidR="00A549B7" w:rsidRPr="00D2758E">
        <w:rPr>
          <w:rFonts w:asciiTheme="majorBidi" w:hAnsiTheme="majorBidi" w:cstheme="majorBidi"/>
        </w:rPr>
        <w:t xml:space="preserve"> biodiversity, support</w:t>
      </w:r>
      <w:r w:rsidR="005B0B6C">
        <w:rPr>
          <w:rFonts w:asciiTheme="majorBidi" w:hAnsiTheme="majorBidi" w:cstheme="majorBidi"/>
        </w:rPr>
        <w:t>ing</w:t>
      </w:r>
      <w:r w:rsidR="00A549B7" w:rsidRPr="00D2758E">
        <w:rPr>
          <w:rFonts w:asciiTheme="majorBidi" w:hAnsiTheme="majorBidi" w:cstheme="majorBidi"/>
        </w:rPr>
        <w:t xml:space="preserve"> its conservation and sustainable use and generat</w:t>
      </w:r>
      <w:r w:rsidR="005B0B6C">
        <w:rPr>
          <w:rFonts w:asciiTheme="majorBidi" w:hAnsiTheme="majorBidi" w:cstheme="majorBidi"/>
        </w:rPr>
        <w:t>ing</w:t>
      </w:r>
      <w:r w:rsidR="00A549B7" w:rsidRPr="00D2758E">
        <w:rPr>
          <w:rFonts w:asciiTheme="majorBidi" w:hAnsiTheme="majorBidi" w:cstheme="majorBidi"/>
        </w:rPr>
        <w:t xml:space="preserve"> opportunities for sustainable development.  </w:t>
      </w:r>
    </w:p>
    <w:p w14:paraId="0084BBCA" w14:textId="3E652C67" w:rsidR="00F762E6" w:rsidRPr="00D2758E" w:rsidRDefault="00502CDB" w:rsidP="00CD2C50">
      <w:pPr>
        <w:pStyle w:val="CBDNormalNumber"/>
        <w:rPr>
          <w:rFonts w:asciiTheme="majorBidi" w:hAnsiTheme="majorBidi" w:cstheme="majorBidi"/>
        </w:rPr>
      </w:pPr>
      <w:r>
        <w:rPr>
          <w:rFonts w:asciiTheme="majorBidi" w:hAnsiTheme="majorBidi" w:cstheme="majorBidi"/>
        </w:rPr>
        <w:t>A</w:t>
      </w:r>
      <w:r w:rsidRPr="00D2758E">
        <w:rPr>
          <w:rFonts w:asciiTheme="majorBidi" w:hAnsiTheme="majorBidi" w:cstheme="majorBidi"/>
        </w:rPr>
        <w:t>s suggested by the scoping study</w:t>
      </w:r>
      <w:r>
        <w:rPr>
          <w:rFonts w:asciiTheme="majorBidi" w:hAnsiTheme="majorBidi" w:cstheme="majorBidi"/>
        </w:rPr>
        <w:t>, v</w:t>
      </w:r>
      <w:r w:rsidR="00A549B7" w:rsidRPr="00D2758E">
        <w:rPr>
          <w:rFonts w:asciiTheme="majorBidi" w:hAnsiTheme="majorBidi" w:cstheme="majorBidi"/>
        </w:rPr>
        <w:t>arious approaches could be developed for th</w:t>
      </w:r>
      <w:r>
        <w:rPr>
          <w:rFonts w:asciiTheme="majorBidi" w:hAnsiTheme="majorBidi" w:cstheme="majorBidi"/>
        </w:rPr>
        <w:t>at</w:t>
      </w:r>
      <w:r w:rsidR="00A549B7" w:rsidRPr="00D2758E">
        <w:rPr>
          <w:rFonts w:asciiTheme="majorBidi" w:hAnsiTheme="majorBidi" w:cstheme="majorBidi"/>
        </w:rPr>
        <w:t xml:space="preserve"> purpose</w:t>
      </w:r>
      <w:r w:rsidR="0058454B" w:rsidRPr="00D2758E">
        <w:rPr>
          <w:rFonts w:asciiTheme="majorBidi" w:hAnsiTheme="majorBidi" w:cstheme="majorBidi"/>
        </w:rPr>
        <w:t xml:space="preserve">, </w:t>
      </w:r>
      <w:r w:rsidR="00A549B7" w:rsidRPr="00D2758E">
        <w:rPr>
          <w:rFonts w:asciiTheme="majorBidi" w:hAnsiTheme="majorBidi" w:cstheme="majorBidi"/>
        </w:rPr>
        <w:t>including:  showcasing success stories of countries that ha</w:t>
      </w:r>
      <w:r>
        <w:rPr>
          <w:rFonts w:asciiTheme="majorBidi" w:hAnsiTheme="majorBidi" w:cstheme="majorBidi"/>
        </w:rPr>
        <w:t>d</w:t>
      </w:r>
      <w:r w:rsidR="00A549B7" w:rsidRPr="00D2758E">
        <w:rPr>
          <w:rFonts w:asciiTheme="majorBidi" w:hAnsiTheme="majorBidi" w:cstheme="majorBidi"/>
        </w:rPr>
        <w:t xml:space="preserve"> mainstreamed </w:t>
      </w:r>
      <w:r>
        <w:rPr>
          <w:rFonts w:asciiTheme="majorBidi" w:hAnsiTheme="majorBidi" w:cstheme="majorBidi"/>
        </w:rPr>
        <w:t>access and benefit</w:t>
      </w:r>
      <w:r w:rsidR="00055F38">
        <w:rPr>
          <w:rFonts w:asciiTheme="majorBidi" w:hAnsiTheme="majorBidi" w:cstheme="majorBidi"/>
        </w:rPr>
        <w:t xml:space="preserve"> </w:t>
      </w:r>
      <w:r>
        <w:rPr>
          <w:rFonts w:asciiTheme="majorBidi" w:hAnsiTheme="majorBidi" w:cstheme="majorBidi"/>
        </w:rPr>
        <w:t xml:space="preserve">sharing </w:t>
      </w:r>
      <w:r w:rsidR="00A549B7" w:rsidRPr="00D2758E">
        <w:rPr>
          <w:rFonts w:asciiTheme="majorBidi" w:hAnsiTheme="majorBidi" w:cstheme="majorBidi"/>
        </w:rPr>
        <w:t>into broader policy goals</w:t>
      </w:r>
      <w:r w:rsidR="000B5213" w:rsidRPr="00D2758E">
        <w:rPr>
          <w:rFonts w:asciiTheme="majorBidi" w:hAnsiTheme="majorBidi" w:cstheme="majorBidi"/>
        </w:rPr>
        <w:t xml:space="preserve">, </w:t>
      </w:r>
      <w:r w:rsidR="00895D7C" w:rsidRPr="00D2758E">
        <w:t>promote</w:t>
      </w:r>
      <w:r w:rsidR="004D6ED0" w:rsidRPr="00D2758E">
        <w:t>d</w:t>
      </w:r>
      <w:r w:rsidR="00895D7C" w:rsidRPr="00D2758E">
        <w:rPr>
          <w:rFonts w:asciiTheme="majorBidi" w:hAnsiTheme="majorBidi" w:cstheme="majorBidi"/>
        </w:rPr>
        <w:t xml:space="preserve"> the development of research capacity</w:t>
      </w:r>
      <w:r w:rsidR="000B5213" w:rsidRPr="00D2758E">
        <w:rPr>
          <w:rFonts w:asciiTheme="majorBidi" w:hAnsiTheme="majorBidi" w:cstheme="majorBidi"/>
        </w:rPr>
        <w:t xml:space="preserve"> and</w:t>
      </w:r>
      <w:r w:rsidR="004D6ED0" w:rsidRPr="00D2758E">
        <w:rPr>
          <w:rFonts w:asciiTheme="majorBidi" w:hAnsiTheme="majorBidi" w:cstheme="majorBidi"/>
        </w:rPr>
        <w:t xml:space="preserve"> </w:t>
      </w:r>
      <w:r w:rsidR="000B5213" w:rsidRPr="00D2758E">
        <w:rPr>
          <w:rFonts w:asciiTheme="majorBidi" w:hAnsiTheme="majorBidi" w:cstheme="majorBidi"/>
        </w:rPr>
        <w:t>demonstrate</w:t>
      </w:r>
      <w:r w:rsidR="00393A8A">
        <w:rPr>
          <w:rFonts w:asciiTheme="majorBidi" w:hAnsiTheme="majorBidi" w:cstheme="majorBidi"/>
        </w:rPr>
        <w:t>d</w:t>
      </w:r>
      <w:r w:rsidR="000B5213" w:rsidRPr="00D2758E">
        <w:rPr>
          <w:rFonts w:asciiTheme="majorBidi" w:hAnsiTheme="majorBidi" w:cstheme="majorBidi"/>
        </w:rPr>
        <w:t xml:space="preserve"> the economic potential of fair and transparent benefit</w:t>
      </w:r>
      <w:r w:rsidR="00393A8A">
        <w:rPr>
          <w:rFonts w:asciiTheme="majorBidi" w:hAnsiTheme="majorBidi" w:cstheme="majorBidi"/>
        </w:rPr>
        <w:t xml:space="preserve"> </w:t>
      </w:r>
      <w:r w:rsidR="000B5213" w:rsidRPr="00D2758E">
        <w:rPr>
          <w:rFonts w:asciiTheme="majorBidi" w:hAnsiTheme="majorBidi" w:cstheme="majorBidi"/>
        </w:rPr>
        <w:t>sharing</w:t>
      </w:r>
      <w:r w:rsidR="00A549B7" w:rsidRPr="00D2758E">
        <w:rPr>
          <w:rFonts w:asciiTheme="majorBidi" w:hAnsiTheme="majorBidi" w:cstheme="majorBidi"/>
        </w:rPr>
        <w:t xml:space="preserve">; </w:t>
      </w:r>
      <w:r w:rsidR="00740872">
        <w:rPr>
          <w:rFonts w:asciiTheme="majorBidi" w:hAnsiTheme="majorBidi" w:cstheme="majorBidi"/>
        </w:rPr>
        <w:t xml:space="preserve">access and benefit-sharing </w:t>
      </w:r>
      <w:r w:rsidR="00A549B7" w:rsidRPr="00D2758E">
        <w:rPr>
          <w:rFonts w:asciiTheme="majorBidi" w:hAnsiTheme="majorBidi" w:cstheme="majorBidi"/>
        </w:rPr>
        <w:t xml:space="preserve">communication campaigns targeted towards users; </w:t>
      </w:r>
      <w:r w:rsidR="00EA3BB9">
        <w:rPr>
          <w:rFonts w:asciiTheme="majorBidi" w:hAnsiTheme="majorBidi" w:cstheme="majorBidi"/>
        </w:rPr>
        <w:t xml:space="preserve">and presentation of </w:t>
      </w:r>
      <w:r w:rsidR="00A549B7" w:rsidRPr="00D2758E">
        <w:rPr>
          <w:rFonts w:asciiTheme="majorBidi" w:hAnsiTheme="majorBidi" w:cstheme="majorBidi"/>
        </w:rPr>
        <w:t>awards underlining achievements by countries, communities or stakeholders</w:t>
      </w:r>
      <w:r w:rsidR="004D6ED0" w:rsidRPr="00D2758E">
        <w:rPr>
          <w:rFonts w:asciiTheme="majorBidi" w:hAnsiTheme="majorBidi" w:cstheme="majorBidi"/>
        </w:rPr>
        <w:t>.</w:t>
      </w:r>
      <w:r w:rsidR="00F762E6" w:rsidRPr="00D2758E">
        <w:rPr>
          <w:rFonts w:asciiTheme="majorBidi" w:hAnsiTheme="majorBidi" w:cstheme="majorBidi"/>
        </w:rPr>
        <w:t xml:space="preserve"> </w:t>
      </w:r>
    </w:p>
    <w:p w14:paraId="5303884E" w14:textId="3045900D" w:rsidR="00A66258" w:rsidRPr="00D2758E" w:rsidRDefault="00A66258" w:rsidP="00CD2C50">
      <w:pPr>
        <w:pStyle w:val="CBDNormalNumber"/>
        <w:rPr>
          <w:rFonts w:asciiTheme="majorBidi" w:hAnsiTheme="majorBidi" w:cstheme="majorBidi"/>
        </w:rPr>
      </w:pPr>
      <w:r w:rsidRPr="00D2758E">
        <w:rPr>
          <w:rFonts w:asciiTheme="majorBidi" w:hAnsiTheme="majorBidi" w:cstheme="majorBidi"/>
        </w:rPr>
        <w:t xml:space="preserve">Many Parties emphasized that raising awareness of the Nagoya Protocol and </w:t>
      </w:r>
      <w:r w:rsidR="00F31231">
        <w:rPr>
          <w:rFonts w:asciiTheme="majorBidi" w:hAnsiTheme="majorBidi" w:cstheme="majorBidi"/>
        </w:rPr>
        <w:t xml:space="preserve">access and benefit sharing </w:t>
      </w:r>
      <w:r w:rsidRPr="00D2758E">
        <w:rPr>
          <w:rFonts w:asciiTheme="majorBidi" w:hAnsiTheme="majorBidi" w:cstheme="majorBidi"/>
        </w:rPr>
        <w:t xml:space="preserve">across different stakeholder groups, </w:t>
      </w:r>
      <w:r w:rsidRPr="00D2758E">
        <w:t>including</w:t>
      </w:r>
      <w:r w:rsidRPr="00D2758E">
        <w:rPr>
          <w:rFonts w:asciiTheme="majorBidi" w:hAnsiTheme="majorBidi" w:cstheme="majorBidi"/>
        </w:rPr>
        <w:t xml:space="preserve"> indigenous peoples and local communities and users of genetic resources, and governance levels </w:t>
      </w:r>
      <w:r w:rsidR="00760D7F">
        <w:rPr>
          <w:rFonts w:asciiTheme="majorBidi" w:hAnsiTheme="majorBidi" w:cstheme="majorBidi"/>
        </w:rPr>
        <w:t>was</w:t>
      </w:r>
      <w:r w:rsidRPr="00D2758E">
        <w:rPr>
          <w:rFonts w:asciiTheme="majorBidi" w:hAnsiTheme="majorBidi" w:cstheme="majorBidi"/>
        </w:rPr>
        <w:t xml:space="preserve"> a necessary precondition for effective implementation of the Protocol. Further progress in implementing the Protocol m</w:t>
      </w:r>
      <w:r w:rsidR="00760D7F">
        <w:rPr>
          <w:rFonts w:asciiTheme="majorBidi" w:hAnsiTheme="majorBidi" w:cstheme="majorBidi"/>
        </w:rPr>
        <w:t>ight</w:t>
      </w:r>
      <w:r w:rsidRPr="00D2758E">
        <w:rPr>
          <w:rFonts w:asciiTheme="majorBidi" w:hAnsiTheme="majorBidi" w:cstheme="majorBidi"/>
        </w:rPr>
        <w:t xml:space="preserve"> require a renewed emphasis on more systematic, sustained and strategically anchored awareness</w:t>
      </w:r>
      <w:r w:rsidR="00760D7F">
        <w:rPr>
          <w:rFonts w:asciiTheme="majorBidi" w:hAnsiTheme="majorBidi" w:cstheme="majorBidi"/>
        </w:rPr>
        <w:t>-</w:t>
      </w:r>
      <w:r w:rsidRPr="00D2758E">
        <w:rPr>
          <w:rFonts w:asciiTheme="majorBidi" w:hAnsiTheme="majorBidi" w:cstheme="majorBidi"/>
        </w:rPr>
        <w:t xml:space="preserve">raising efforts, </w:t>
      </w:r>
      <w:r w:rsidR="00660B7A">
        <w:rPr>
          <w:rFonts w:asciiTheme="majorBidi" w:hAnsiTheme="majorBidi" w:cstheme="majorBidi"/>
        </w:rPr>
        <w:t xml:space="preserve">extending </w:t>
      </w:r>
      <w:r w:rsidRPr="00D2758E">
        <w:rPr>
          <w:rFonts w:asciiTheme="majorBidi" w:hAnsiTheme="majorBidi" w:cstheme="majorBidi"/>
        </w:rPr>
        <w:t>beyond one</w:t>
      </w:r>
      <w:r w:rsidR="00660B7A">
        <w:rPr>
          <w:rFonts w:asciiTheme="majorBidi" w:hAnsiTheme="majorBidi" w:cstheme="majorBidi"/>
        </w:rPr>
        <w:t>-</w:t>
      </w:r>
      <w:r w:rsidRPr="00D2758E">
        <w:rPr>
          <w:rFonts w:asciiTheme="majorBidi" w:hAnsiTheme="majorBidi" w:cstheme="majorBidi"/>
        </w:rPr>
        <w:t xml:space="preserve">off activities.  </w:t>
      </w:r>
    </w:p>
    <w:p w14:paraId="50DD752E" w14:textId="054CCE3A" w:rsidR="00F94137" w:rsidRPr="00D2758E" w:rsidRDefault="00F94137" w:rsidP="00CD2C50">
      <w:pPr>
        <w:pStyle w:val="CBDNormalNumber"/>
        <w:rPr>
          <w:rFonts w:asciiTheme="majorBidi" w:hAnsiTheme="majorBidi" w:cstheme="majorBidi"/>
        </w:rPr>
      </w:pPr>
      <w:r w:rsidRPr="00D2758E">
        <w:rPr>
          <w:rFonts w:asciiTheme="majorBidi" w:hAnsiTheme="majorBidi" w:cstheme="majorBidi"/>
        </w:rPr>
        <w:t xml:space="preserve">Strengthening awareness-raising </w:t>
      </w:r>
      <w:r w:rsidR="008D78EA" w:rsidRPr="00D2758E">
        <w:rPr>
          <w:rFonts w:asciiTheme="majorBidi" w:hAnsiTheme="majorBidi" w:cstheme="majorBidi"/>
        </w:rPr>
        <w:t xml:space="preserve">efforts at </w:t>
      </w:r>
      <w:r w:rsidR="00BF3CA6" w:rsidRPr="00D2758E">
        <w:rPr>
          <w:rFonts w:asciiTheme="majorBidi" w:hAnsiTheme="majorBidi" w:cstheme="majorBidi"/>
        </w:rPr>
        <w:t xml:space="preserve">international, regional </w:t>
      </w:r>
      <w:r w:rsidR="005959A6" w:rsidRPr="00D2758E">
        <w:rPr>
          <w:rFonts w:asciiTheme="majorBidi" w:hAnsiTheme="majorBidi" w:cstheme="majorBidi"/>
        </w:rPr>
        <w:t>and national</w:t>
      </w:r>
      <w:r w:rsidR="00E1346F" w:rsidRPr="00D2758E">
        <w:rPr>
          <w:rFonts w:asciiTheme="majorBidi" w:hAnsiTheme="majorBidi" w:cstheme="majorBidi"/>
        </w:rPr>
        <w:t xml:space="preserve"> </w:t>
      </w:r>
      <w:r w:rsidR="001972D6">
        <w:rPr>
          <w:rFonts w:asciiTheme="majorBidi" w:hAnsiTheme="majorBidi" w:cstheme="majorBidi"/>
        </w:rPr>
        <w:t xml:space="preserve">levels could </w:t>
      </w:r>
      <w:r w:rsidR="001D104C" w:rsidRPr="00D2758E">
        <w:rPr>
          <w:rFonts w:asciiTheme="majorBidi" w:hAnsiTheme="majorBidi" w:cstheme="majorBidi"/>
        </w:rPr>
        <w:t>he</w:t>
      </w:r>
      <w:r w:rsidR="005959A6" w:rsidRPr="00D2758E">
        <w:rPr>
          <w:rFonts w:asciiTheme="majorBidi" w:hAnsiTheme="majorBidi" w:cstheme="majorBidi"/>
        </w:rPr>
        <w:t xml:space="preserve">lp address </w:t>
      </w:r>
      <w:r w:rsidR="00467599" w:rsidRPr="00D2758E">
        <w:rPr>
          <w:rFonts w:asciiTheme="majorBidi" w:hAnsiTheme="majorBidi" w:cstheme="majorBidi"/>
        </w:rPr>
        <w:t xml:space="preserve">some of the root causes of </w:t>
      </w:r>
      <w:r w:rsidR="001972D6">
        <w:rPr>
          <w:rFonts w:asciiTheme="majorBidi" w:hAnsiTheme="majorBidi" w:cstheme="majorBidi"/>
        </w:rPr>
        <w:t xml:space="preserve">the </w:t>
      </w:r>
      <w:r w:rsidR="00937AA4" w:rsidRPr="00D2758E">
        <w:rPr>
          <w:rFonts w:asciiTheme="majorBidi" w:hAnsiTheme="majorBidi" w:cstheme="majorBidi"/>
        </w:rPr>
        <w:t xml:space="preserve">challenges </w:t>
      </w:r>
      <w:r w:rsidR="001972D6">
        <w:rPr>
          <w:rFonts w:asciiTheme="majorBidi" w:hAnsiTheme="majorBidi" w:cstheme="majorBidi"/>
        </w:rPr>
        <w:t>to</w:t>
      </w:r>
      <w:r w:rsidR="00937AA4" w:rsidRPr="00D2758E">
        <w:rPr>
          <w:rFonts w:asciiTheme="majorBidi" w:hAnsiTheme="majorBidi" w:cstheme="majorBidi"/>
        </w:rPr>
        <w:t xml:space="preserve"> effective implementation </w:t>
      </w:r>
      <w:r w:rsidR="001972D6">
        <w:rPr>
          <w:rFonts w:asciiTheme="majorBidi" w:hAnsiTheme="majorBidi" w:cstheme="majorBidi"/>
        </w:rPr>
        <w:t xml:space="preserve">that had been </w:t>
      </w:r>
      <w:r w:rsidR="00937AA4" w:rsidRPr="00D2758E">
        <w:rPr>
          <w:rFonts w:asciiTheme="majorBidi" w:hAnsiTheme="majorBidi" w:cstheme="majorBidi"/>
        </w:rPr>
        <w:t>identified</w:t>
      </w:r>
      <w:r w:rsidR="00901DBD" w:rsidRPr="00D2758E">
        <w:rPr>
          <w:rFonts w:asciiTheme="majorBidi" w:hAnsiTheme="majorBidi" w:cstheme="majorBidi"/>
        </w:rPr>
        <w:t xml:space="preserve">. </w:t>
      </w:r>
      <w:r w:rsidR="00D92227" w:rsidRPr="00D2758E">
        <w:rPr>
          <w:rFonts w:asciiTheme="majorBidi" w:hAnsiTheme="majorBidi" w:cstheme="majorBidi"/>
        </w:rPr>
        <w:t>In th</w:t>
      </w:r>
      <w:r w:rsidR="00D50207">
        <w:rPr>
          <w:rFonts w:asciiTheme="majorBidi" w:hAnsiTheme="majorBidi" w:cstheme="majorBidi"/>
        </w:rPr>
        <w:t>at</w:t>
      </w:r>
      <w:r w:rsidR="00D92227" w:rsidRPr="00D2758E">
        <w:rPr>
          <w:rFonts w:asciiTheme="majorBidi" w:hAnsiTheme="majorBidi" w:cstheme="majorBidi"/>
        </w:rPr>
        <w:t xml:space="preserve"> regard</w:t>
      </w:r>
      <w:r w:rsidR="00563F88" w:rsidRPr="00D2758E">
        <w:rPr>
          <w:rFonts w:asciiTheme="majorBidi" w:hAnsiTheme="majorBidi" w:cstheme="majorBidi"/>
        </w:rPr>
        <w:t>, t</w:t>
      </w:r>
      <w:r w:rsidR="00896A79" w:rsidRPr="00D2758E">
        <w:rPr>
          <w:rFonts w:asciiTheme="majorBidi" w:hAnsiTheme="majorBidi" w:cstheme="majorBidi"/>
        </w:rPr>
        <w:t xml:space="preserve">he awareness-raising strategy </w:t>
      </w:r>
      <w:r w:rsidR="002E5F86" w:rsidRPr="00D2758E">
        <w:rPr>
          <w:rFonts w:asciiTheme="majorBidi" w:hAnsiTheme="majorBidi" w:cstheme="majorBidi"/>
        </w:rPr>
        <w:t xml:space="preserve">for the </w:t>
      </w:r>
      <w:r w:rsidR="002E5F86" w:rsidRPr="00D2758E">
        <w:t>Nagoya</w:t>
      </w:r>
      <w:r w:rsidR="002E5F86" w:rsidRPr="00D2758E">
        <w:rPr>
          <w:rFonts w:asciiTheme="majorBidi" w:hAnsiTheme="majorBidi" w:cstheme="majorBidi"/>
        </w:rPr>
        <w:t xml:space="preserve"> Protocol </w:t>
      </w:r>
      <w:r w:rsidR="00AC2724" w:rsidRPr="00D2758E">
        <w:rPr>
          <w:rFonts w:asciiTheme="majorBidi" w:hAnsiTheme="majorBidi" w:cstheme="majorBidi"/>
        </w:rPr>
        <w:t>(</w:t>
      </w:r>
      <w:r w:rsidR="002E5F86" w:rsidRPr="00D2758E">
        <w:rPr>
          <w:rFonts w:asciiTheme="majorBidi" w:hAnsiTheme="majorBidi" w:cstheme="majorBidi"/>
        </w:rPr>
        <w:t>decision</w:t>
      </w:r>
      <w:r w:rsidR="00E96318" w:rsidRPr="00D2758E">
        <w:rPr>
          <w:rFonts w:asciiTheme="majorBidi" w:hAnsiTheme="majorBidi" w:cstheme="majorBidi"/>
        </w:rPr>
        <w:t xml:space="preserve"> </w:t>
      </w:r>
      <w:hyperlink r:id="rId27" w:history="1">
        <w:r w:rsidR="00E96318" w:rsidRPr="00D2758E">
          <w:rPr>
            <w:rStyle w:val="Hyperlink"/>
            <w:rFonts w:asciiTheme="majorBidi" w:hAnsiTheme="majorBidi" w:cstheme="majorBidi"/>
          </w:rPr>
          <w:t>NP-1/9</w:t>
        </w:r>
      </w:hyperlink>
      <w:r w:rsidR="00E87F1D">
        <w:t>, annex</w:t>
      </w:r>
      <w:r w:rsidR="00AC2724" w:rsidRPr="00D2758E">
        <w:t>)</w:t>
      </w:r>
      <w:r w:rsidR="00E87F1D">
        <w:t>;</w:t>
      </w:r>
      <w:r w:rsidR="00563F88" w:rsidRPr="00D2758E">
        <w:t xml:space="preserve"> the </w:t>
      </w:r>
      <w:r w:rsidR="00A71EC1" w:rsidRPr="00D2758E">
        <w:t>Capacity-</w:t>
      </w:r>
      <w:r w:rsidR="00846B5A">
        <w:t>b</w:t>
      </w:r>
      <w:r w:rsidR="00A71EC1" w:rsidRPr="00D2758E">
        <w:t>uilding and Development</w:t>
      </w:r>
      <w:r w:rsidR="0062077C" w:rsidRPr="00D2758E">
        <w:t xml:space="preserve"> Action Plan for the Nagoya Protocol </w:t>
      </w:r>
      <w:r w:rsidR="00A8249F" w:rsidRPr="00A8249F">
        <w:t xml:space="preserve">on Access to Genetic Resources and the Fair and Equitable Sharing of Benefits Arising from Their Utilization </w:t>
      </w:r>
      <w:r w:rsidR="0062077C" w:rsidRPr="00D2758E">
        <w:t xml:space="preserve">(decision </w:t>
      </w:r>
      <w:hyperlink r:id="rId28" w:history="1">
        <w:r w:rsidR="0062077C" w:rsidRPr="00D2758E">
          <w:rPr>
            <w:rStyle w:val="Hyperlink"/>
          </w:rPr>
          <w:t>NP-5/3</w:t>
        </w:r>
      </w:hyperlink>
      <w:r w:rsidR="0062077C" w:rsidRPr="00D2758E">
        <w:t>)</w:t>
      </w:r>
      <w:r w:rsidR="00A8249F">
        <w:t>;</w:t>
      </w:r>
      <w:r w:rsidR="00E05D93" w:rsidRPr="00D2758E">
        <w:rPr>
          <w:rFonts w:asciiTheme="majorBidi" w:hAnsiTheme="majorBidi" w:cstheme="majorBidi"/>
        </w:rPr>
        <w:t xml:space="preserve"> and the </w:t>
      </w:r>
      <w:r w:rsidR="004A11E9">
        <w:rPr>
          <w:rFonts w:asciiTheme="majorBidi" w:hAnsiTheme="majorBidi" w:cstheme="majorBidi"/>
        </w:rPr>
        <w:t xml:space="preserve">communication, education and public awareness </w:t>
      </w:r>
      <w:r w:rsidR="00FF465C">
        <w:rPr>
          <w:rFonts w:asciiTheme="majorBidi" w:hAnsiTheme="majorBidi" w:cstheme="majorBidi"/>
        </w:rPr>
        <w:t>t</w:t>
      </w:r>
      <w:r w:rsidR="00795706" w:rsidRPr="00D2758E">
        <w:rPr>
          <w:rFonts w:asciiTheme="majorBidi" w:hAnsiTheme="majorBidi" w:cstheme="majorBidi"/>
        </w:rPr>
        <w:t>ool</w:t>
      </w:r>
      <w:r w:rsidR="00FF465C">
        <w:rPr>
          <w:rFonts w:asciiTheme="majorBidi" w:hAnsiTheme="majorBidi" w:cstheme="majorBidi"/>
        </w:rPr>
        <w:t xml:space="preserve"> </w:t>
      </w:r>
      <w:r w:rsidR="00795706" w:rsidRPr="00D2758E">
        <w:rPr>
          <w:rFonts w:asciiTheme="majorBidi" w:hAnsiTheme="majorBidi" w:cstheme="majorBidi"/>
        </w:rPr>
        <w:t>kit,</w:t>
      </w:r>
      <w:r w:rsidR="00AC22DC" w:rsidRPr="00D2758E">
        <w:rPr>
          <w:rFonts w:asciiTheme="majorBidi" w:hAnsiTheme="majorBidi" w:cstheme="majorBidi"/>
        </w:rPr>
        <w:t xml:space="preserve"> including considerations for access and benefit</w:t>
      </w:r>
      <w:r w:rsidR="004504F3">
        <w:rPr>
          <w:rFonts w:asciiTheme="majorBidi" w:hAnsiTheme="majorBidi" w:cstheme="majorBidi"/>
        </w:rPr>
        <w:t>-</w:t>
      </w:r>
      <w:r w:rsidR="00AC22DC" w:rsidRPr="00D2758E">
        <w:rPr>
          <w:rFonts w:asciiTheme="majorBidi" w:hAnsiTheme="majorBidi" w:cstheme="majorBidi"/>
        </w:rPr>
        <w:t>sharing</w:t>
      </w:r>
      <w:r w:rsidR="006B6B2E" w:rsidRPr="00D2758E">
        <w:rPr>
          <w:rFonts w:asciiTheme="majorBidi" w:hAnsiTheme="majorBidi" w:cstheme="majorBidi"/>
        </w:rPr>
        <w:t>,</w:t>
      </w:r>
      <w:r w:rsidR="007805C8" w:rsidRPr="00D2758E">
        <w:rPr>
          <w:rStyle w:val="FootnoteReference"/>
          <w:rFonts w:asciiTheme="majorBidi" w:hAnsiTheme="majorBidi" w:cstheme="majorBidi"/>
        </w:rPr>
        <w:footnoteReference w:id="49"/>
      </w:r>
      <w:r w:rsidR="00322C3A" w:rsidRPr="00D2758E">
        <w:rPr>
          <w:rFonts w:asciiTheme="majorBidi" w:hAnsiTheme="majorBidi" w:cstheme="majorBidi"/>
        </w:rPr>
        <w:t xml:space="preserve"> c</w:t>
      </w:r>
      <w:r w:rsidR="000C4748">
        <w:rPr>
          <w:rFonts w:asciiTheme="majorBidi" w:hAnsiTheme="majorBidi" w:cstheme="majorBidi"/>
        </w:rPr>
        <w:t>ould</w:t>
      </w:r>
      <w:r w:rsidR="00322C3A" w:rsidRPr="00D2758E">
        <w:rPr>
          <w:rFonts w:asciiTheme="majorBidi" w:hAnsiTheme="majorBidi" w:cstheme="majorBidi"/>
        </w:rPr>
        <w:t xml:space="preserve"> assist Parties and relevant actors and organi</w:t>
      </w:r>
      <w:r w:rsidR="00553548">
        <w:rPr>
          <w:rFonts w:asciiTheme="majorBidi" w:hAnsiTheme="majorBidi" w:cstheme="majorBidi"/>
        </w:rPr>
        <w:t>z</w:t>
      </w:r>
      <w:r w:rsidR="00322C3A" w:rsidRPr="00D2758E">
        <w:rPr>
          <w:rFonts w:asciiTheme="majorBidi" w:hAnsiTheme="majorBidi" w:cstheme="majorBidi"/>
        </w:rPr>
        <w:t xml:space="preserve">ations </w:t>
      </w:r>
      <w:r w:rsidR="00341524" w:rsidRPr="00D2758E">
        <w:rPr>
          <w:rFonts w:asciiTheme="majorBidi" w:hAnsiTheme="majorBidi" w:cstheme="majorBidi"/>
        </w:rPr>
        <w:t>in advancing</w:t>
      </w:r>
      <w:r w:rsidR="007805C8" w:rsidRPr="00D2758E">
        <w:rPr>
          <w:rFonts w:asciiTheme="majorBidi" w:hAnsiTheme="majorBidi" w:cstheme="majorBidi"/>
        </w:rPr>
        <w:t xml:space="preserve"> the</w:t>
      </w:r>
      <w:r w:rsidR="000919FE">
        <w:rPr>
          <w:rFonts w:asciiTheme="majorBidi" w:hAnsiTheme="majorBidi" w:cstheme="majorBidi"/>
        </w:rPr>
        <w:t>ir</w:t>
      </w:r>
      <w:r w:rsidR="00710A04">
        <w:rPr>
          <w:rFonts w:asciiTheme="majorBidi" w:hAnsiTheme="majorBidi" w:cstheme="majorBidi"/>
        </w:rPr>
        <w:t xml:space="preserve"> </w:t>
      </w:r>
      <w:r w:rsidR="007805C8" w:rsidRPr="00D2758E">
        <w:rPr>
          <w:rFonts w:asciiTheme="majorBidi" w:hAnsiTheme="majorBidi" w:cstheme="majorBidi"/>
        </w:rPr>
        <w:t>efforts.</w:t>
      </w:r>
    </w:p>
    <w:p w14:paraId="6061E7F6" w14:textId="28E5C1F4" w:rsidR="00455F03" w:rsidRPr="00D2758E" w:rsidRDefault="00036E1C" w:rsidP="00036E1C">
      <w:pPr>
        <w:pStyle w:val="CBDH3"/>
      </w:pPr>
      <w:r>
        <w:t>10.</w:t>
      </w:r>
      <w:r>
        <w:tab/>
      </w:r>
      <w:r w:rsidR="00455F03" w:rsidRPr="00D2758E">
        <w:t>Measures related to other international instruments (Article 4)</w:t>
      </w:r>
      <w:r w:rsidR="00632E75" w:rsidRPr="00D2758E">
        <w:rPr>
          <w:rStyle w:val="FootnoteReference"/>
        </w:rPr>
        <w:footnoteReference w:id="50"/>
      </w:r>
    </w:p>
    <w:p w14:paraId="332A84AB" w14:textId="7C7E20D1" w:rsidR="004A5572" w:rsidRPr="00D2758E" w:rsidRDefault="00036E1C" w:rsidP="00036E1C">
      <w:pPr>
        <w:pStyle w:val="CBDH4"/>
      </w:pPr>
      <w:r>
        <w:t>(a)</w:t>
      </w:r>
      <w:r>
        <w:tab/>
      </w:r>
      <w:r w:rsidR="004A5572" w:rsidRPr="00D2758E">
        <w:t xml:space="preserve">Progress made in implementation </w:t>
      </w:r>
    </w:p>
    <w:p w14:paraId="61B98C6B" w14:textId="15AFB6BB" w:rsidR="005209FF" w:rsidRPr="00D2758E" w:rsidRDefault="005209FF" w:rsidP="00CD2C50">
      <w:pPr>
        <w:pStyle w:val="CBDNormalNumber"/>
        <w:rPr>
          <w:rFonts w:asciiTheme="majorBidi" w:hAnsiTheme="majorBidi" w:cstheme="majorBidi"/>
        </w:rPr>
      </w:pPr>
      <w:r w:rsidRPr="00D2758E">
        <w:rPr>
          <w:rFonts w:asciiTheme="majorBidi" w:hAnsiTheme="majorBidi" w:cstheme="majorBidi"/>
        </w:rPr>
        <w:t>A total of 71 Parties (54</w:t>
      </w:r>
      <w:r w:rsidR="00F30DD8">
        <w:rPr>
          <w:rFonts w:asciiTheme="majorBidi" w:hAnsiTheme="majorBidi" w:cstheme="majorBidi"/>
        </w:rPr>
        <w:t xml:space="preserve"> per cent</w:t>
      </w:r>
      <w:r w:rsidRPr="00D2758E">
        <w:rPr>
          <w:rFonts w:asciiTheme="majorBidi" w:hAnsiTheme="majorBidi" w:cstheme="majorBidi"/>
        </w:rPr>
        <w:t xml:space="preserve">) responded that they </w:t>
      </w:r>
      <w:r w:rsidR="00F30DD8">
        <w:rPr>
          <w:rFonts w:asciiTheme="majorBidi" w:hAnsiTheme="majorBidi" w:cstheme="majorBidi"/>
        </w:rPr>
        <w:t>were</w:t>
      </w:r>
      <w:r w:rsidRPr="00D2758E">
        <w:rPr>
          <w:rFonts w:asciiTheme="majorBidi" w:hAnsiTheme="majorBidi" w:cstheme="majorBidi"/>
        </w:rPr>
        <w:t xml:space="preserve"> a Party to a specialized international access and benefit-sharing </w:t>
      </w:r>
      <w:r w:rsidR="009401A1" w:rsidRPr="00D2758E">
        <w:rPr>
          <w:rFonts w:asciiTheme="majorBidi" w:hAnsiTheme="majorBidi" w:cstheme="majorBidi"/>
        </w:rPr>
        <w:t>instrument and 66 responded that they ha</w:t>
      </w:r>
      <w:r w:rsidR="00F30DD8">
        <w:rPr>
          <w:rFonts w:asciiTheme="majorBidi" w:hAnsiTheme="majorBidi" w:cstheme="majorBidi"/>
        </w:rPr>
        <w:t>d</w:t>
      </w:r>
      <w:r w:rsidR="009401A1" w:rsidRPr="00D2758E">
        <w:rPr>
          <w:rFonts w:asciiTheme="majorBidi" w:hAnsiTheme="majorBidi" w:cstheme="majorBidi"/>
        </w:rPr>
        <w:t xml:space="preserve"> adopted measures to implement the specialized international instrument. Th</w:t>
      </w:r>
      <w:r w:rsidR="00D17031">
        <w:rPr>
          <w:rFonts w:asciiTheme="majorBidi" w:hAnsiTheme="majorBidi" w:cstheme="majorBidi"/>
        </w:rPr>
        <w:t>ose instruments</w:t>
      </w:r>
      <w:r w:rsidR="009401A1" w:rsidRPr="00D2758E">
        <w:rPr>
          <w:rFonts w:asciiTheme="majorBidi" w:hAnsiTheme="majorBidi" w:cstheme="majorBidi"/>
        </w:rPr>
        <w:t xml:space="preserve"> include</w:t>
      </w:r>
      <w:r w:rsidR="00D17031">
        <w:rPr>
          <w:rFonts w:asciiTheme="majorBidi" w:hAnsiTheme="majorBidi" w:cstheme="majorBidi"/>
        </w:rPr>
        <w:t>d</w:t>
      </w:r>
      <w:r w:rsidR="009401A1" w:rsidRPr="00D2758E">
        <w:rPr>
          <w:rFonts w:asciiTheme="majorBidi" w:hAnsiTheme="majorBidi" w:cstheme="majorBidi"/>
        </w:rPr>
        <w:t xml:space="preserve"> </w:t>
      </w:r>
      <w:r w:rsidRPr="00D2758E">
        <w:rPr>
          <w:rFonts w:asciiTheme="majorBidi" w:hAnsiTheme="majorBidi" w:cstheme="majorBidi"/>
        </w:rPr>
        <w:t xml:space="preserve">the International Treaty </w:t>
      </w:r>
      <w:r w:rsidR="00C736B5">
        <w:rPr>
          <w:rFonts w:asciiTheme="majorBidi" w:hAnsiTheme="majorBidi" w:cstheme="majorBidi"/>
        </w:rPr>
        <w:t>on</w:t>
      </w:r>
      <w:r w:rsidRPr="00D2758E">
        <w:rPr>
          <w:rFonts w:asciiTheme="majorBidi" w:hAnsiTheme="majorBidi" w:cstheme="majorBidi"/>
        </w:rPr>
        <w:t xml:space="preserve"> Plant Genetic Resources for Food and </w:t>
      </w:r>
      <w:r w:rsidRPr="00D2758E">
        <w:t>Agriculture</w:t>
      </w:r>
      <w:r w:rsidRPr="00D2758E">
        <w:rPr>
          <w:rFonts w:asciiTheme="majorBidi" w:hAnsiTheme="majorBidi" w:cstheme="majorBidi"/>
        </w:rPr>
        <w:t xml:space="preserve">, the World Health Organization </w:t>
      </w:r>
      <w:r w:rsidR="00262D3B">
        <w:rPr>
          <w:rFonts w:asciiTheme="majorBidi" w:hAnsiTheme="majorBidi" w:cstheme="majorBidi"/>
        </w:rPr>
        <w:t xml:space="preserve">(WHO) </w:t>
      </w:r>
      <w:r w:rsidRPr="00D2758E">
        <w:rPr>
          <w:rFonts w:asciiTheme="majorBidi" w:hAnsiTheme="majorBidi" w:cstheme="majorBidi"/>
        </w:rPr>
        <w:t xml:space="preserve">Pandemic Influenza Preparedness Framework </w:t>
      </w:r>
      <w:r w:rsidR="005D3EE3" w:rsidRPr="006B066D">
        <w:rPr>
          <w:rFonts w:asciiTheme="majorBidi" w:hAnsiTheme="majorBidi" w:cstheme="majorBidi"/>
        </w:rPr>
        <w:t>for the sharing of influenza viruses and access to vaccines and other benefits</w:t>
      </w:r>
      <w:r w:rsidR="005D3EE3" w:rsidRPr="005D3EE3">
        <w:rPr>
          <w:rFonts w:asciiTheme="majorBidi" w:hAnsiTheme="majorBidi" w:cstheme="majorBidi"/>
          <w:b/>
          <w:bCs/>
        </w:rPr>
        <w:t> </w:t>
      </w:r>
      <w:r w:rsidR="005D3EE3" w:rsidRPr="005D3EE3" w:rsidDel="0068445B">
        <w:rPr>
          <w:rFonts w:asciiTheme="majorBidi" w:hAnsiTheme="majorBidi" w:cstheme="majorBidi"/>
        </w:rPr>
        <w:t xml:space="preserve"> </w:t>
      </w:r>
      <w:r w:rsidRPr="00D2758E">
        <w:rPr>
          <w:rFonts w:asciiTheme="majorBidi" w:hAnsiTheme="majorBidi" w:cstheme="majorBidi"/>
        </w:rPr>
        <w:t xml:space="preserve"> and th</w:t>
      </w:r>
      <w:r w:rsidR="00A85B17" w:rsidRPr="00D2758E">
        <w:rPr>
          <w:rFonts w:asciiTheme="majorBidi" w:hAnsiTheme="majorBidi" w:cstheme="majorBidi"/>
        </w:rPr>
        <w:t>e</w:t>
      </w:r>
      <w:r w:rsidR="004A0842" w:rsidRPr="00D2758E">
        <w:rPr>
          <w:rFonts w:asciiTheme="majorBidi" w:hAnsiTheme="majorBidi" w:cstheme="majorBidi"/>
        </w:rPr>
        <w:t xml:space="preserve"> </w:t>
      </w:r>
      <w:r w:rsidR="00A85B17" w:rsidRPr="00D2758E">
        <w:rPr>
          <w:rFonts w:asciiTheme="majorBidi" w:hAnsiTheme="majorBidi" w:cstheme="majorBidi"/>
        </w:rPr>
        <w:t>A</w:t>
      </w:r>
      <w:r w:rsidRPr="00D2758E">
        <w:rPr>
          <w:rFonts w:asciiTheme="majorBidi" w:hAnsiTheme="majorBidi" w:cstheme="majorBidi"/>
        </w:rPr>
        <w:t>greement under the United Nations Convention on the Law of the Sea on the Conservation and Sustainable Use of Marine Biological Diversity of Areas beyond National Jurisdiction.</w:t>
      </w:r>
    </w:p>
    <w:p w14:paraId="264CDC3C" w14:textId="68057288" w:rsidR="005209FF" w:rsidRPr="00D2758E" w:rsidRDefault="005209FF" w:rsidP="00CD2C50">
      <w:pPr>
        <w:pStyle w:val="CBDNormalNumber"/>
        <w:rPr>
          <w:rFonts w:asciiTheme="majorBidi" w:hAnsiTheme="majorBidi" w:cstheme="majorBidi"/>
        </w:rPr>
      </w:pPr>
      <w:r w:rsidRPr="00D2758E">
        <w:rPr>
          <w:rFonts w:asciiTheme="majorBidi" w:hAnsiTheme="majorBidi" w:cstheme="majorBidi"/>
        </w:rPr>
        <w:t xml:space="preserve">Parties reported </w:t>
      </w:r>
      <w:r w:rsidRPr="00D2758E">
        <w:t>on</w:t>
      </w:r>
      <w:r w:rsidRPr="00D2758E">
        <w:rPr>
          <w:rFonts w:asciiTheme="majorBidi" w:hAnsiTheme="majorBidi" w:cstheme="majorBidi"/>
        </w:rPr>
        <w:t xml:space="preserve"> ongoing work </w:t>
      </w:r>
      <w:r w:rsidR="00A96E0A">
        <w:rPr>
          <w:rFonts w:asciiTheme="majorBidi" w:hAnsiTheme="majorBidi" w:cstheme="majorBidi"/>
        </w:rPr>
        <w:t xml:space="preserve">related to </w:t>
      </w:r>
      <w:r w:rsidRPr="00D2758E">
        <w:rPr>
          <w:rFonts w:asciiTheme="majorBidi" w:hAnsiTheme="majorBidi" w:cstheme="majorBidi"/>
        </w:rPr>
        <w:t xml:space="preserve">the </w:t>
      </w:r>
      <w:r w:rsidR="0010706D">
        <w:rPr>
          <w:rFonts w:asciiTheme="majorBidi" w:hAnsiTheme="majorBidi" w:cstheme="majorBidi"/>
        </w:rPr>
        <w:t>p</w:t>
      </w:r>
      <w:r w:rsidR="0010706D" w:rsidRPr="00D2758E">
        <w:rPr>
          <w:rFonts w:asciiTheme="majorBidi" w:hAnsiTheme="majorBidi" w:cstheme="majorBidi"/>
        </w:rPr>
        <w:t xml:space="preserve">athogen </w:t>
      </w:r>
      <w:r w:rsidR="0010706D">
        <w:rPr>
          <w:rFonts w:asciiTheme="majorBidi" w:hAnsiTheme="majorBidi" w:cstheme="majorBidi"/>
        </w:rPr>
        <w:t>a</w:t>
      </w:r>
      <w:r w:rsidR="0010706D" w:rsidRPr="00D2758E">
        <w:rPr>
          <w:rFonts w:asciiTheme="majorBidi" w:hAnsiTheme="majorBidi" w:cstheme="majorBidi"/>
        </w:rPr>
        <w:t xml:space="preserve">ccess and </w:t>
      </w:r>
      <w:r w:rsidR="0010706D">
        <w:rPr>
          <w:rFonts w:asciiTheme="majorBidi" w:hAnsiTheme="majorBidi" w:cstheme="majorBidi"/>
        </w:rPr>
        <w:t>b</w:t>
      </w:r>
      <w:r w:rsidR="0010706D" w:rsidRPr="00D2758E">
        <w:rPr>
          <w:rFonts w:asciiTheme="majorBidi" w:hAnsiTheme="majorBidi" w:cstheme="majorBidi"/>
        </w:rPr>
        <w:t xml:space="preserve">enefit-sharing </w:t>
      </w:r>
      <w:r w:rsidR="0010706D">
        <w:rPr>
          <w:rFonts w:asciiTheme="majorBidi" w:hAnsiTheme="majorBidi" w:cstheme="majorBidi"/>
        </w:rPr>
        <w:t>s</w:t>
      </w:r>
      <w:r w:rsidR="0010706D" w:rsidRPr="00D2758E">
        <w:rPr>
          <w:rFonts w:asciiTheme="majorBidi" w:hAnsiTheme="majorBidi" w:cstheme="majorBidi"/>
        </w:rPr>
        <w:t xml:space="preserve">ystem </w:t>
      </w:r>
      <w:r w:rsidR="0010706D">
        <w:rPr>
          <w:rFonts w:asciiTheme="majorBidi" w:hAnsiTheme="majorBidi" w:cstheme="majorBidi"/>
        </w:rPr>
        <w:t xml:space="preserve">under the </w:t>
      </w:r>
      <w:r w:rsidRPr="00D2758E">
        <w:rPr>
          <w:rFonts w:asciiTheme="majorBidi" w:hAnsiTheme="majorBidi" w:cstheme="majorBidi"/>
        </w:rPr>
        <w:t xml:space="preserve">WHO </w:t>
      </w:r>
      <w:r w:rsidR="00397C2B">
        <w:rPr>
          <w:rFonts w:asciiTheme="majorBidi" w:hAnsiTheme="majorBidi" w:cstheme="majorBidi"/>
        </w:rPr>
        <w:t>P</w:t>
      </w:r>
      <w:r w:rsidRPr="00D2758E">
        <w:rPr>
          <w:rFonts w:asciiTheme="majorBidi" w:hAnsiTheme="majorBidi" w:cstheme="majorBidi"/>
        </w:rPr>
        <w:t>andemic Agreement</w:t>
      </w:r>
      <w:r w:rsidR="0010706D">
        <w:rPr>
          <w:rFonts w:asciiTheme="majorBidi" w:hAnsiTheme="majorBidi" w:cstheme="majorBidi"/>
        </w:rPr>
        <w:t>.</w:t>
      </w:r>
    </w:p>
    <w:p w14:paraId="210BA0B2" w14:textId="5B4BDBDE" w:rsidR="005209FF" w:rsidRPr="00D2758E" w:rsidRDefault="005209FF" w:rsidP="00CD2C50">
      <w:pPr>
        <w:pStyle w:val="CBDNormalNumber"/>
        <w:rPr>
          <w:rFonts w:asciiTheme="majorBidi" w:hAnsiTheme="majorBidi" w:cstheme="majorBidi"/>
        </w:rPr>
      </w:pPr>
      <w:r w:rsidRPr="00D2758E">
        <w:rPr>
          <w:rFonts w:asciiTheme="majorBidi" w:hAnsiTheme="majorBidi" w:cstheme="majorBidi"/>
        </w:rPr>
        <w:lastRenderedPageBreak/>
        <w:t xml:space="preserve">The </w:t>
      </w:r>
      <w:r w:rsidR="00632E75" w:rsidRPr="00D2758E">
        <w:rPr>
          <w:rFonts w:asciiTheme="majorBidi" w:hAnsiTheme="majorBidi" w:cstheme="majorBidi"/>
        </w:rPr>
        <w:t xml:space="preserve">analysis </w:t>
      </w:r>
      <w:r w:rsidRPr="00D2758E">
        <w:rPr>
          <w:rFonts w:asciiTheme="majorBidi" w:hAnsiTheme="majorBidi" w:cstheme="majorBidi"/>
        </w:rPr>
        <w:t>indicate</w:t>
      </w:r>
      <w:r w:rsidR="00677050">
        <w:rPr>
          <w:rFonts w:asciiTheme="majorBidi" w:hAnsiTheme="majorBidi" w:cstheme="majorBidi"/>
        </w:rPr>
        <w:t>d</w:t>
      </w:r>
      <w:r w:rsidRPr="00D2758E">
        <w:rPr>
          <w:rFonts w:asciiTheme="majorBidi" w:hAnsiTheme="majorBidi" w:cstheme="majorBidi"/>
        </w:rPr>
        <w:t xml:space="preserve"> that Parties generally underst</w:t>
      </w:r>
      <w:r w:rsidR="00677050">
        <w:rPr>
          <w:rFonts w:asciiTheme="majorBidi" w:hAnsiTheme="majorBidi" w:cstheme="majorBidi"/>
        </w:rPr>
        <w:t>oo</w:t>
      </w:r>
      <w:r w:rsidRPr="00D2758E">
        <w:rPr>
          <w:rFonts w:asciiTheme="majorBidi" w:hAnsiTheme="majorBidi" w:cstheme="majorBidi"/>
        </w:rPr>
        <w:t>d the relationship between the Nagoya Protocol and speciali</w:t>
      </w:r>
      <w:r w:rsidR="00805109">
        <w:rPr>
          <w:rFonts w:asciiTheme="majorBidi" w:hAnsiTheme="majorBidi" w:cstheme="majorBidi"/>
        </w:rPr>
        <w:t>z</w:t>
      </w:r>
      <w:r w:rsidRPr="00D2758E">
        <w:rPr>
          <w:rFonts w:asciiTheme="majorBidi" w:hAnsiTheme="majorBidi" w:cstheme="majorBidi"/>
        </w:rPr>
        <w:t xml:space="preserve">ed international instruments as one based on a division of scope and complementarity </w:t>
      </w:r>
      <w:r w:rsidRPr="00D2758E">
        <w:t>rather</w:t>
      </w:r>
      <w:r w:rsidRPr="00D2758E">
        <w:rPr>
          <w:rFonts w:asciiTheme="majorBidi" w:hAnsiTheme="majorBidi" w:cstheme="majorBidi"/>
        </w:rPr>
        <w:t xml:space="preserve"> than overlap or substitution. Specialized instruments </w:t>
      </w:r>
      <w:r w:rsidR="009E567F">
        <w:rPr>
          <w:rFonts w:asciiTheme="majorBidi" w:hAnsiTheme="majorBidi" w:cstheme="majorBidi"/>
        </w:rPr>
        <w:t>we</w:t>
      </w:r>
      <w:r w:rsidRPr="00D2758E">
        <w:rPr>
          <w:rFonts w:asciiTheme="majorBidi" w:hAnsiTheme="majorBidi" w:cstheme="majorBidi"/>
        </w:rPr>
        <w:t>re typically viewed as governing clearly defined categories of gene</w:t>
      </w:r>
      <w:r w:rsidR="00FB33AB" w:rsidRPr="00D2758E">
        <w:rPr>
          <w:rFonts w:asciiTheme="majorBidi" w:hAnsiTheme="majorBidi" w:cstheme="majorBidi"/>
        </w:rPr>
        <w:t>t</w:t>
      </w:r>
      <w:r w:rsidRPr="00D2758E">
        <w:rPr>
          <w:rFonts w:asciiTheme="majorBidi" w:hAnsiTheme="majorBidi" w:cstheme="majorBidi"/>
        </w:rPr>
        <w:t>ic resources or specific contexts, while the Nagoya Protocol continue</w:t>
      </w:r>
      <w:r w:rsidR="009E567F">
        <w:rPr>
          <w:rFonts w:asciiTheme="majorBidi" w:hAnsiTheme="majorBidi" w:cstheme="majorBidi"/>
        </w:rPr>
        <w:t>d</w:t>
      </w:r>
      <w:r w:rsidRPr="00D2758E">
        <w:rPr>
          <w:rFonts w:asciiTheme="majorBidi" w:hAnsiTheme="majorBidi" w:cstheme="majorBidi"/>
        </w:rPr>
        <w:t xml:space="preserve"> to provide the overarching framework for access and benefit</w:t>
      </w:r>
      <w:r w:rsidR="009E567F">
        <w:rPr>
          <w:rFonts w:asciiTheme="majorBidi" w:hAnsiTheme="majorBidi" w:cstheme="majorBidi"/>
        </w:rPr>
        <w:t xml:space="preserve"> </w:t>
      </w:r>
      <w:r w:rsidRPr="00D2758E">
        <w:rPr>
          <w:rFonts w:asciiTheme="majorBidi" w:hAnsiTheme="majorBidi" w:cstheme="majorBidi"/>
        </w:rPr>
        <w:t>sharing in all other cases within national jurisdiction. Th</w:t>
      </w:r>
      <w:r w:rsidR="009E567F">
        <w:rPr>
          <w:rFonts w:asciiTheme="majorBidi" w:hAnsiTheme="majorBidi" w:cstheme="majorBidi"/>
        </w:rPr>
        <w:t>at</w:t>
      </w:r>
      <w:r w:rsidRPr="00D2758E">
        <w:rPr>
          <w:rFonts w:asciiTheme="majorBidi" w:hAnsiTheme="majorBidi" w:cstheme="majorBidi"/>
        </w:rPr>
        <w:t xml:space="preserve"> functional understanding supported implementation in many Parties, particularly where the scope of instruments </w:t>
      </w:r>
      <w:r w:rsidR="009E567F">
        <w:rPr>
          <w:rFonts w:asciiTheme="majorBidi" w:hAnsiTheme="majorBidi" w:cstheme="majorBidi"/>
        </w:rPr>
        <w:t>wa</w:t>
      </w:r>
      <w:r w:rsidRPr="00D2758E">
        <w:rPr>
          <w:rFonts w:asciiTheme="majorBidi" w:hAnsiTheme="majorBidi" w:cstheme="majorBidi"/>
        </w:rPr>
        <w:t>s clearly articulated in national legal and institutional arrangements.</w:t>
      </w:r>
    </w:p>
    <w:p w14:paraId="7DFF1E90" w14:textId="43017054" w:rsidR="00A54D46" w:rsidRPr="00D2758E" w:rsidRDefault="00036E1C" w:rsidP="00036E1C">
      <w:pPr>
        <w:pStyle w:val="CBDH4"/>
      </w:pPr>
      <w:r>
        <w:t>(b)</w:t>
      </w:r>
      <w:r>
        <w:tab/>
      </w:r>
      <w:r w:rsidR="00A54D46" w:rsidRPr="00D2758E">
        <w:t>Challenges, root causes and possible ways to enhance measures related to other international instruments</w:t>
      </w:r>
    </w:p>
    <w:p w14:paraId="3AF256F7" w14:textId="525B03DE" w:rsidR="00A54D46" w:rsidRPr="00D2758E" w:rsidRDefault="00A54D46" w:rsidP="00CD2C50">
      <w:pPr>
        <w:pStyle w:val="CBDNormalNumber"/>
        <w:rPr>
          <w:rFonts w:asciiTheme="majorBidi" w:hAnsiTheme="majorBidi" w:cstheme="majorBidi"/>
        </w:rPr>
      </w:pPr>
      <w:r w:rsidRPr="00D2758E">
        <w:rPr>
          <w:rFonts w:asciiTheme="majorBidi" w:hAnsiTheme="majorBidi" w:cstheme="majorBidi"/>
        </w:rPr>
        <w:t>The analysis highlight</w:t>
      </w:r>
      <w:r w:rsidR="009E567F">
        <w:rPr>
          <w:rFonts w:asciiTheme="majorBidi" w:hAnsiTheme="majorBidi" w:cstheme="majorBidi"/>
        </w:rPr>
        <w:t>ed</w:t>
      </w:r>
      <w:r w:rsidRPr="00D2758E">
        <w:rPr>
          <w:rFonts w:asciiTheme="majorBidi" w:hAnsiTheme="majorBidi" w:cstheme="majorBidi"/>
        </w:rPr>
        <w:t xml:space="preserve"> that effective and mutual</w:t>
      </w:r>
      <w:r w:rsidR="00EF159E">
        <w:rPr>
          <w:rFonts w:asciiTheme="majorBidi" w:hAnsiTheme="majorBidi" w:cstheme="majorBidi"/>
        </w:rPr>
        <w:t>ly</w:t>
      </w:r>
      <w:r w:rsidRPr="00D2758E">
        <w:rPr>
          <w:rFonts w:asciiTheme="majorBidi" w:hAnsiTheme="majorBidi" w:cstheme="majorBidi"/>
        </w:rPr>
        <w:t xml:space="preserve"> supportive implementation depend</w:t>
      </w:r>
      <w:r w:rsidR="00EF159E">
        <w:rPr>
          <w:rFonts w:asciiTheme="majorBidi" w:hAnsiTheme="majorBidi" w:cstheme="majorBidi"/>
        </w:rPr>
        <w:t>ed</w:t>
      </w:r>
      <w:r w:rsidRPr="00D2758E">
        <w:rPr>
          <w:rFonts w:asciiTheme="majorBidi" w:hAnsiTheme="majorBidi" w:cstheme="majorBidi"/>
        </w:rPr>
        <w:t xml:space="preserve"> not only on formal </w:t>
      </w:r>
      <w:r w:rsidRPr="00D2758E">
        <w:t>participation</w:t>
      </w:r>
      <w:r w:rsidRPr="00D2758E">
        <w:rPr>
          <w:rFonts w:asciiTheme="majorBidi" w:hAnsiTheme="majorBidi" w:cstheme="majorBidi"/>
        </w:rPr>
        <w:t xml:space="preserve"> in speciali</w:t>
      </w:r>
      <w:r w:rsidR="00805109">
        <w:rPr>
          <w:rFonts w:asciiTheme="majorBidi" w:hAnsiTheme="majorBidi" w:cstheme="majorBidi"/>
        </w:rPr>
        <w:t>z</w:t>
      </w:r>
      <w:r w:rsidRPr="00D2758E">
        <w:rPr>
          <w:rFonts w:asciiTheme="majorBidi" w:hAnsiTheme="majorBidi" w:cstheme="majorBidi"/>
        </w:rPr>
        <w:t xml:space="preserve">ed instruments but also on the existence of strong enabling conditions at the national, regional and international levels. Mutually supportive implementation among </w:t>
      </w:r>
      <w:r w:rsidR="0014464E">
        <w:rPr>
          <w:rFonts w:asciiTheme="majorBidi" w:hAnsiTheme="majorBidi" w:cstheme="majorBidi"/>
        </w:rPr>
        <w:t xml:space="preserve">access and benefit-sharing </w:t>
      </w:r>
      <w:r w:rsidRPr="00D2758E">
        <w:rPr>
          <w:rFonts w:asciiTheme="majorBidi" w:hAnsiTheme="majorBidi" w:cstheme="majorBidi"/>
        </w:rPr>
        <w:t>instruments could be further reinforced</w:t>
      </w:r>
      <w:r w:rsidR="00986D04">
        <w:rPr>
          <w:rFonts w:asciiTheme="majorBidi" w:hAnsiTheme="majorBidi" w:cstheme="majorBidi"/>
        </w:rPr>
        <w:t>,</w:t>
      </w:r>
      <w:r w:rsidRPr="00D2758E">
        <w:rPr>
          <w:rFonts w:asciiTheme="majorBidi" w:hAnsiTheme="majorBidi" w:cstheme="majorBidi"/>
        </w:rPr>
        <w:t xml:space="preserve"> as insufficient institutional coordination and fragmented mandates or lack of awareness and legal clarity </w:t>
      </w:r>
      <w:r w:rsidR="0014464E">
        <w:rPr>
          <w:rFonts w:asciiTheme="majorBidi" w:hAnsiTheme="majorBidi" w:cstheme="majorBidi"/>
        </w:rPr>
        <w:t>we</w:t>
      </w:r>
      <w:r w:rsidRPr="00D2758E">
        <w:rPr>
          <w:rFonts w:asciiTheme="majorBidi" w:hAnsiTheme="majorBidi" w:cstheme="majorBidi"/>
        </w:rPr>
        <w:t>re still important constraints for some Parties.</w:t>
      </w:r>
    </w:p>
    <w:p w14:paraId="0BE4F025" w14:textId="518A9ED5" w:rsidR="006A35C8" w:rsidRPr="00D2758E" w:rsidRDefault="00A54D46" w:rsidP="00CD2C50">
      <w:pPr>
        <w:pStyle w:val="CBDNormalNumber"/>
        <w:rPr>
          <w:rFonts w:asciiTheme="majorBidi" w:hAnsiTheme="majorBidi" w:cstheme="majorBidi"/>
        </w:rPr>
      </w:pPr>
      <w:r w:rsidRPr="00D2758E">
        <w:rPr>
          <w:rFonts w:asciiTheme="majorBidi" w:hAnsiTheme="majorBidi" w:cstheme="majorBidi"/>
        </w:rPr>
        <w:t>Where coordination mechanisms, clearly designate</w:t>
      </w:r>
      <w:r w:rsidR="00D3522A" w:rsidRPr="00D2758E">
        <w:rPr>
          <w:rFonts w:asciiTheme="majorBidi" w:hAnsiTheme="majorBidi" w:cstheme="majorBidi"/>
        </w:rPr>
        <w:t>d</w:t>
      </w:r>
      <w:r w:rsidRPr="00D2758E">
        <w:rPr>
          <w:rFonts w:asciiTheme="majorBidi" w:hAnsiTheme="majorBidi" w:cstheme="majorBidi"/>
        </w:rPr>
        <w:t xml:space="preserve"> focal points, harmonized policies and sustained capacity</w:t>
      </w:r>
      <w:r w:rsidR="00562138">
        <w:rPr>
          <w:rFonts w:asciiTheme="majorBidi" w:hAnsiTheme="majorBidi" w:cstheme="majorBidi"/>
        </w:rPr>
        <w:t>-</w:t>
      </w:r>
      <w:r w:rsidRPr="00D2758E">
        <w:rPr>
          <w:rFonts w:asciiTheme="majorBidi" w:hAnsiTheme="majorBidi" w:cstheme="majorBidi"/>
        </w:rPr>
        <w:t xml:space="preserve">building efforts </w:t>
      </w:r>
      <w:r w:rsidR="00B7149F">
        <w:rPr>
          <w:rFonts w:asciiTheme="majorBidi" w:hAnsiTheme="majorBidi" w:cstheme="majorBidi"/>
        </w:rPr>
        <w:t>we</w:t>
      </w:r>
      <w:r w:rsidRPr="00D2758E">
        <w:rPr>
          <w:rFonts w:asciiTheme="majorBidi" w:hAnsiTheme="majorBidi" w:cstheme="majorBidi"/>
        </w:rPr>
        <w:t xml:space="preserve">re in place, Parties </w:t>
      </w:r>
      <w:r w:rsidR="00B7149F">
        <w:rPr>
          <w:rFonts w:asciiTheme="majorBidi" w:hAnsiTheme="majorBidi" w:cstheme="majorBidi"/>
        </w:rPr>
        <w:t>we</w:t>
      </w:r>
      <w:r w:rsidRPr="00D2758E">
        <w:rPr>
          <w:rFonts w:asciiTheme="majorBidi" w:hAnsiTheme="majorBidi" w:cstheme="majorBidi"/>
        </w:rPr>
        <w:t>re better able to operationali</w:t>
      </w:r>
      <w:r w:rsidR="00805109">
        <w:rPr>
          <w:rFonts w:asciiTheme="majorBidi" w:hAnsiTheme="majorBidi" w:cstheme="majorBidi"/>
        </w:rPr>
        <w:t>z</w:t>
      </w:r>
      <w:r w:rsidRPr="00D2758E">
        <w:rPr>
          <w:rFonts w:asciiTheme="majorBidi" w:hAnsiTheme="majorBidi" w:cstheme="majorBidi"/>
        </w:rPr>
        <w:t>e coherence between speciali</w:t>
      </w:r>
      <w:r w:rsidR="00805109">
        <w:rPr>
          <w:rFonts w:asciiTheme="majorBidi" w:hAnsiTheme="majorBidi" w:cstheme="majorBidi"/>
        </w:rPr>
        <w:t>z</w:t>
      </w:r>
      <w:r w:rsidRPr="00D2758E">
        <w:rPr>
          <w:rFonts w:asciiTheme="majorBidi" w:hAnsiTheme="majorBidi" w:cstheme="majorBidi"/>
        </w:rPr>
        <w:t>ed instruments and the Nagoya Protocol.</w:t>
      </w:r>
    </w:p>
    <w:p w14:paraId="5DFA6997" w14:textId="5061FF8F" w:rsidR="0056552E" w:rsidRPr="00D2758E" w:rsidRDefault="00A91443" w:rsidP="00A91443">
      <w:pPr>
        <w:pStyle w:val="CBDH2"/>
      </w:pPr>
      <w:bookmarkStart w:id="8" w:name="_Toc228803305"/>
      <w:r>
        <w:t>B.</w:t>
      </w:r>
      <w:r>
        <w:tab/>
      </w:r>
      <w:r w:rsidR="0056552E" w:rsidRPr="00D2758E">
        <w:t>Assessment of effectiveness</w:t>
      </w:r>
      <w:r w:rsidR="000A4C3D" w:rsidRPr="00D2758E">
        <w:rPr>
          <w:rStyle w:val="FootnoteReference"/>
          <w:bCs/>
        </w:rPr>
        <w:footnoteReference w:id="51"/>
      </w:r>
      <w:bookmarkEnd w:id="8"/>
    </w:p>
    <w:p w14:paraId="3E9AE9C8" w14:textId="40941B16" w:rsidR="00452379" w:rsidRPr="00D2758E" w:rsidRDefault="00A91443" w:rsidP="00A91443">
      <w:pPr>
        <w:pStyle w:val="CBDH3"/>
      </w:pPr>
      <w:r>
        <w:t>1.</w:t>
      </w:r>
      <w:r>
        <w:tab/>
      </w:r>
      <w:r w:rsidR="00452379" w:rsidRPr="00D2758E">
        <w:t xml:space="preserve">Progress made and updated </w:t>
      </w:r>
      <w:r w:rsidR="00452379" w:rsidRPr="00D2758E">
        <w:rPr>
          <w:rFonts w:asciiTheme="majorBidi" w:hAnsiTheme="majorBidi" w:cstheme="majorBidi"/>
        </w:rPr>
        <w:t>indicator</w:t>
      </w:r>
      <w:r w:rsidR="00452379" w:rsidRPr="00D2758E">
        <w:t xml:space="preserve"> data</w:t>
      </w:r>
    </w:p>
    <w:p w14:paraId="58077A58" w14:textId="1D6CA158" w:rsidR="00452379" w:rsidRPr="00D2758E" w:rsidRDefault="00452379" w:rsidP="00CD2C50">
      <w:pPr>
        <w:pStyle w:val="CBDNormalNumber"/>
        <w:rPr>
          <w:lang w:eastAsia="zh-CN"/>
        </w:rPr>
      </w:pPr>
      <w:r w:rsidRPr="00D2758E">
        <w:rPr>
          <w:lang w:eastAsia="zh-CN"/>
        </w:rPr>
        <w:t xml:space="preserve">As </w:t>
      </w:r>
      <w:r w:rsidR="008E34D9" w:rsidRPr="00D2758E">
        <w:rPr>
          <w:lang w:eastAsia="zh-CN"/>
        </w:rPr>
        <w:t>demonstrate</w:t>
      </w:r>
      <w:r w:rsidR="008E34D9">
        <w:rPr>
          <w:lang w:eastAsia="zh-CN"/>
        </w:rPr>
        <w:t xml:space="preserve">d by </w:t>
      </w:r>
      <w:r w:rsidRPr="00D2758E">
        <w:rPr>
          <w:lang w:eastAsia="zh-CN"/>
        </w:rPr>
        <w:t xml:space="preserve">indicators in table 8, </w:t>
      </w:r>
      <w:r w:rsidR="00BC5006" w:rsidRPr="00D2758E">
        <w:rPr>
          <w:lang w:eastAsia="zh-CN"/>
        </w:rPr>
        <w:t xml:space="preserve">good </w:t>
      </w:r>
      <w:r w:rsidRPr="00D2758E">
        <w:rPr>
          <w:lang w:eastAsia="zh-CN"/>
        </w:rPr>
        <w:t>progress ha</w:t>
      </w:r>
      <w:r w:rsidR="00A108B1">
        <w:rPr>
          <w:lang w:eastAsia="zh-CN"/>
        </w:rPr>
        <w:t>d</w:t>
      </w:r>
      <w:r w:rsidRPr="00D2758E">
        <w:rPr>
          <w:lang w:eastAsia="zh-CN"/>
        </w:rPr>
        <w:t xml:space="preserve"> been made </w:t>
      </w:r>
      <w:r w:rsidR="00AA0A94" w:rsidRPr="00D2758E">
        <w:rPr>
          <w:lang w:eastAsia="zh-CN"/>
        </w:rPr>
        <w:t xml:space="preserve">since the reference point that established </w:t>
      </w:r>
      <w:r w:rsidR="00AA0A94" w:rsidRPr="00D2758E">
        <w:t>baselines</w:t>
      </w:r>
      <w:r w:rsidR="00AA0A94" w:rsidRPr="00D2758E">
        <w:rPr>
          <w:lang w:eastAsia="zh-CN"/>
        </w:rPr>
        <w:t xml:space="preserve"> in 2018</w:t>
      </w:r>
      <w:r w:rsidR="00A108B1">
        <w:rPr>
          <w:lang w:eastAsia="zh-CN"/>
        </w:rPr>
        <w:t xml:space="preserve"> </w:t>
      </w:r>
      <w:r w:rsidR="00FB2E56" w:rsidRPr="00D2758E">
        <w:rPr>
          <w:lang w:eastAsia="zh-CN"/>
        </w:rPr>
        <w:t>i</w:t>
      </w:r>
      <w:r w:rsidRPr="00D2758E">
        <w:rPr>
          <w:lang w:eastAsia="zh-CN"/>
        </w:rPr>
        <w:t>n establishing measures and creating some of the conditions for access necessary to operationali</w:t>
      </w:r>
      <w:r w:rsidR="003E6D0F">
        <w:rPr>
          <w:lang w:eastAsia="zh-CN"/>
        </w:rPr>
        <w:t>z</w:t>
      </w:r>
      <w:r w:rsidRPr="00D2758E">
        <w:rPr>
          <w:lang w:eastAsia="zh-CN"/>
        </w:rPr>
        <w:t>e the Protocol. Th</w:t>
      </w:r>
      <w:r w:rsidR="00A92FE3">
        <w:rPr>
          <w:lang w:eastAsia="zh-CN"/>
        </w:rPr>
        <w:t>at</w:t>
      </w:r>
      <w:r w:rsidRPr="00D2758E">
        <w:rPr>
          <w:lang w:eastAsia="zh-CN"/>
        </w:rPr>
        <w:t xml:space="preserve"> include</w:t>
      </w:r>
      <w:r w:rsidR="00A92FE3">
        <w:rPr>
          <w:lang w:eastAsia="zh-CN"/>
        </w:rPr>
        <w:t>d</w:t>
      </w:r>
      <w:r w:rsidRPr="00D2758E">
        <w:rPr>
          <w:lang w:eastAsia="zh-CN"/>
        </w:rPr>
        <w:t xml:space="preserve"> progress in providing for the issuance of permits or their equivalent, issuing internationally recognized certificate</w:t>
      </w:r>
      <w:r w:rsidR="00C31563" w:rsidRPr="00D2758E">
        <w:rPr>
          <w:lang w:eastAsia="zh-CN"/>
        </w:rPr>
        <w:t>s</w:t>
      </w:r>
      <w:r w:rsidRPr="00D2758E">
        <w:rPr>
          <w:lang w:eastAsia="zh-CN"/>
        </w:rPr>
        <w:t xml:space="preserve"> of compliance and implementing the special considerations included in Article 8 of the Protocol. </w:t>
      </w:r>
    </w:p>
    <w:p w14:paraId="31ED5B5C" w14:textId="38DFF5C2" w:rsidR="00452379" w:rsidRPr="00D2758E" w:rsidRDefault="002947E4" w:rsidP="00CD2C50">
      <w:pPr>
        <w:pStyle w:val="CBDNormalNumber"/>
        <w:rPr>
          <w:color w:val="000000" w:themeColor="text1"/>
          <w:lang w:eastAsia="zh-CN"/>
        </w:rPr>
      </w:pPr>
      <w:r w:rsidRPr="00D2758E">
        <w:rPr>
          <w:color w:val="000000" w:themeColor="text1"/>
          <w:lang w:eastAsia="zh-CN"/>
        </w:rPr>
        <w:t>Despite th</w:t>
      </w:r>
      <w:r w:rsidR="00D27F35">
        <w:rPr>
          <w:color w:val="000000" w:themeColor="text1"/>
          <w:lang w:eastAsia="zh-CN"/>
        </w:rPr>
        <w:t>at</w:t>
      </w:r>
      <w:r w:rsidRPr="00D2758E">
        <w:rPr>
          <w:color w:val="000000" w:themeColor="text1"/>
          <w:lang w:eastAsia="zh-CN"/>
        </w:rPr>
        <w:t xml:space="preserve"> </w:t>
      </w:r>
      <w:r w:rsidR="00066522" w:rsidRPr="00D2758E">
        <w:rPr>
          <w:color w:val="000000" w:themeColor="text1"/>
          <w:lang w:eastAsia="zh-CN"/>
        </w:rPr>
        <w:t xml:space="preserve">progress, </w:t>
      </w:r>
      <w:proofErr w:type="gramStart"/>
      <w:r w:rsidR="00066522" w:rsidRPr="00D2758E">
        <w:rPr>
          <w:color w:val="000000" w:themeColor="text1"/>
          <w:lang w:eastAsia="zh-CN"/>
        </w:rPr>
        <w:t>a</w:t>
      </w:r>
      <w:r w:rsidR="00452379" w:rsidRPr="00D2758E">
        <w:rPr>
          <w:color w:val="000000" w:themeColor="text1"/>
          <w:lang w:eastAsia="zh-CN"/>
        </w:rPr>
        <w:t xml:space="preserve"> </w:t>
      </w:r>
      <w:r w:rsidR="00E35F9D" w:rsidRPr="00D2758E">
        <w:rPr>
          <w:color w:val="000000" w:themeColor="text1"/>
          <w:lang w:eastAsia="zh-CN"/>
        </w:rPr>
        <w:t xml:space="preserve">number </w:t>
      </w:r>
      <w:r w:rsidR="00452379" w:rsidRPr="00D2758E">
        <w:rPr>
          <w:color w:val="000000" w:themeColor="text1"/>
          <w:lang w:eastAsia="zh-CN"/>
        </w:rPr>
        <w:t>of</w:t>
      </w:r>
      <w:proofErr w:type="gramEnd"/>
      <w:r w:rsidR="00452379" w:rsidRPr="00D2758E">
        <w:rPr>
          <w:color w:val="000000" w:themeColor="text1"/>
          <w:lang w:eastAsia="zh-CN"/>
        </w:rPr>
        <w:t xml:space="preserve"> conditions </w:t>
      </w:r>
      <w:r w:rsidR="00E35F9D" w:rsidRPr="00D2758E">
        <w:rPr>
          <w:color w:val="000000" w:themeColor="text1"/>
          <w:lang w:eastAsia="zh-CN"/>
        </w:rPr>
        <w:t>must</w:t>
      </w:r>
      <w:r w:rsidR="00452379" w:rsidRPr="00D2758E">
        <w:rPr>
          <w:color w:val="000000" w:themeColor="text1"/>
          <w:lang w:eastAsia="zh-CN"/>
        </w:rPr>
        <w:t xml:space="preserve"> be met</w:t>
      </w:r>
      <w:r w:rsidRPr="00D2758E">
        <w:rPr>
          <w:color w:val="000000" w:themeColor="text1"/>
          <w:lang w:eastAsia="zh-CN"/>
        </w:rPr>
        <w:t xml:space="preserve"> before Parties and indigenous </w:t>
      </w:r>
      <w:proofErr w:type="gramStart"/>
      <w:r w:rsidRPr="00D2758E">
        <w:rPr>
          <w:color w:val="000000" w:themeColor="text1"/>
          <w:lang w:eastAsia="zh-CN"/>
        </w:rPr>
        <w:t>peoples</w:t>
      </w:r>
      <w:proofErr w:type="gramEnd"/>
      <w:r w:rsidRPr="00D2758E">
        <w:rPr>
          <w:color w:val="000000" w:themeColor="text1"/>
          <w:lang w:eastAsia="zh-CN"/>
        </w:rPr>
        <w:t xml:space="preserve"> and local communities can receive benefits.</w:t>
      </w:r>
      <w:r w:rsidR="00066522" w:rsidRPr="00D2758E">
        <w:rPr>
          <w:color w:val="000000" w:themeColor="text1"/>
          <w:lang w:eastAsia="zh-CN"/>
        </w:rPr>
        <w:t xml:space="preserve"> </w:t>
      </w:r>
      <w:r w:rsidR="00452379" w:rsidRPr="00D2758E">
        <w:rPr>
          <w:color w:val="000000" w:themeColor="text1"/>
          <w:lang w:eastAsia="zh-CN"/>
        </w:rPr>
        <w:t xml:space="preserve">First, </w:t>
      </w:r>
      <w:r w:rsidR="00D27F35">
        <w:rPr>
          <w:color w:val="000000" w:themeColor="text1"/>
          <w:lang w:eastAsia="zh-CN"/>
        </w:rPr>
        <w:t>access and b</w:t>
      </w:r>
      <w:r w:rsidR="000F471E">
        <w:rPr>
          <w:color w:val="000000" w:themeColor="text1"/>
          <w:lang w:eastAsia="zh-CN"/>
        </w:rPr>
        <w:t>e</w:t>
      </w:r>
      <w:r w:rsidR="00D27F35">
        <w:rPr>
          <w:color w:val="000000" w:themeColor="text1"/>
          <w:lang w:eastAsia="zh-CN"/>
        </w:rPr>
        <w:t>nefi</w:t>
      </w:r>
      <w:r w:rsidR="000F471E">
        <w:rPr>
          <w:color w:val="000000" w:themeColor="text1"/>
          <w:lang w:eastAsia="zh-CN"/>
        </w:rPr>
        <w:t>t</w:t>
      </w:r>
      <w:r w:rsidR="00D27F35">
        <w:rPr>
          <w:color w:val="000000" w:themeColor="text1"/>
          <w:lang w:eastAsia="zh-CN"/>
        </w:rPr>
        <w:t xml:space="preserve">-sharing </w:t>
      </w:r>
      <w:r w:rsidR="00452379" w:rsidRPr="00D2758E">
        <w:rPr>
          <w:color w:val="000000" w:themeColor="text1"/>
          <w:lang w:eastAsia="zh-CN"/>
        </w:rPr>
        <w:t xml:space="preserve">measures and </w:t>
      </w:r>
      <w:r w:rsidR="005343FE" w:rsidRPr="00D2758E">
        <w:rPr>
          <w:color w:val="000000" w:themeColor="text1"/>
          <w:lang w:eastAsia="zh-CN"/>
        </w:rPr>
        <w:t xml:space="preserve">the associated </w:t>
      </w:r>
      <w:r w:rsidR="00452379" w:rsidRPr="00D2758E">
        <w:rPr>
          <w:color w:val="000000" w:themeColor="text1"/>
          <w:lang w:eastAsia="zh-CN"/>
        </w:rPr>
        <w:t xml:space="preserve">institutional structures need to be </w:t>
      </w:r>
      <w:r w:rsidR="009A4264" w:rsidRPr="00D2758E">
        <w:rPr>
          <w:color w:val="000000" w:themeColor="text1"/>
          <w:lang w:eastAsia="zh-CN"/>
        </w:rPr>
        <w:t xml:space="preserve">established </w:t>
      </w:r>
      <w:r w:rsidR="00452379" w:rsidRPr="00D2758E">
        <w:t>and</w:t>
      </w:r>
      <w:r w:rsidR="00452379" w:rsidRPr="00D2758E">
        <w:rPr>
          <w:color w:val="000000" w:themeColor="text1"/>
          <w:lang w:eastAsia="zh-CN"/>
        </w:rPr>
        <w:t xml:space="preserve"> fully operational. Users </w:t>
      </w:r>
      <w:r w:rsidR="009A4264" w:rsidRPr="00D2758E">
        <w:rPr>
          <w:color w:val="000000" w:themeColor="text1"/>
          <w:lang w:eastAsia="zh-CN"/>
        </w:rPr>
        <w:t>must</w:t>
      </w:r>
      <w:r w:rsidR="00452379" w:rsidRPr="00D2758E">
        <w:rPr>
          <w:color w:val="000000" w:themeColor="text1"/>
          <w:lang w:eastAsia="zh-CN"/>
        </w:rPr>
        <w:t xml:space="preserve"> apply for access and </w:t>
      </w:r>
      <w:r w:rsidR="009B7318" w:rsidRPr="00D2758E">
        <w:rPr>
          <w:color w:val="000000" w:themeColor="text1"/>
          <w:lang w:eastAsia="zh-CN"/>
        </w:rPr>
        <w:t>obtain</w:t>
      </w:r>
      <w:r w:rsidR="00452379" w:rsidRPr="00D2758E">
        <w:rPr>
          <w:color w:val="000000" w:themeColor="text1"/>
          <w:lang w:eastAsia="zh-CN"/>
        </w:rPr>
        <w:t xml:space="preserve"> </w:t>
      </w:r>
      <w:r w:rsidRPr="00D2758E">
        <w:rPr>
          <w:color w:val="000000" w:themeColor="text1"/>
          <w:lang w:eastAsia="zh-CN"/>
        </w:rPr>
        <w:t xml:space="preserve">prior informed </w:t>
      </w:r>
      <w:r w:rsidR="00066522" w:rsidRPr="00D2758E">
        <w:rPr>
          <w:color w:val="000000" w:themeColor="text1"/>
          <w:lang w:eastAsia="zh-CN"/>
        </w:rPr>
        <w:t>consent,</w:t>
      </w:r>
      <w:r w:rsidRPr="00D2758E">
        <w:rPr>
          <w:color w:val="000000" w:themeColor="text1"/>
          <w:lang w:eastAsia="zh-CN"/>
        </w:rPr>
        <w:t xml:space="preserve"> mutually agreed terms</w:t>
      </w:r>
      <w:r w:rsidR="00452379" w:rsidRPr="00D2758E">
        <w:rPr>
          <w:color w:val="000000" w:themeColor="text1"/>
          <w:lang w:eastAsia="zh-CN"/>
        </w:rPr>
        <w:t xml:space="preserve"> </w:t>
      </w:r>
      <w:r w:rsidR="008D4B79" w:rsidRPr="00D2758E">
        <w:rPr>
          <w:color w:val="000000" w:themeColor="text1"/>
          <w:lang w:eastAsia="zh-CN"/>
        </w:rPr>
        <w:t>must be concluded</w:t>
      </w:r>
      <w:r w:rsidR="00A76B50" w:rsidRPr="00D2758E">
        <w:rPr>
          <w:color w:val="000000" w:themeColor="text1"/>
          <w:lang w:eastAsia="zh-CN"/>
        </w:rPr>
        <w:t xml:space="preserve"> and </w:t>
      </w:r>
      <w:proofErr w:type="gramStart"/>
      <w:r w:rsidR="00452379" w:rsidRPr="00D2758E">
        <w:rPr>
          <w:color w:val="000000" w:themeColor="text1"/>
          <w:lang w:eastAsia="zh-CN"/>
        </w:rPr>
        <w:t>permits</w:t>
      </w:r>
      <w:proofErr w:type="gramEnd"/>
      <w:r w:rsidR="00452379" w:rsidRPr="00D2758E">
        <w:rPr>
          <w:color w:val="000000" w:themeColor="text1"/>
          <w:lang w:eastAsia="zh-CN"/>
        </w:rPr>
        <w:t xml:space="preserve"> or </w:t>
      </w:r>
      <w:r w:rsidR="00E17F06" w:rsidRPr="00D2758E">
        <w:rPr>
          <w:color w:val="000000" w:themeColor="text1"/>
          <w:lang w:eastAsia="zh-CN"/>
        </w:rPr>
        <w:t>their</w:t>
      </w:r>
      <w:r w:rsidR="00452379" w:rsidRPr="00D2758E">
        <w:rPr>
          <w:color w:val="000000" w:themeColor="text1"/>
          <w:lang w:eastAsia="zh-CN"/>
        </w:rPr>
        <w:t xml:space="preserve"> equivalent </w:t>
      </w:r>
      <w:r w:rsidR="00A72BA8">
        <w:rPr>
          <w:color w:val="000000" w:themeColor="text1"/>
          <w:lang w:eastAsia="zh-CN"/>
        </w:rPr>
        <w:t xml:space="preserve">must be </w:t>
      </w:r>
      <w:r w:rsidR="00452379" w:rsidRPr="00D2758E">
        <w:rPr>
          <w:color w:val="000000" w:themeColor="text1"/>
          <w:lang w:eastAsia="zh-CN"/>
        </w:rPr>
        <w:t>issued.</w:t>
      </w:r>
    </w:p>
    <w:p w14:paraId="79D6A6A5" w14:textId="3611A4C2" w:rsidR="00452379" w:rsidRPr="00D2758E" w:rsidRDefault="00452379" w:rsidP="00CD2C50">
      <w:pPr>
        <w:pStyle w:val="CBDNormalNumber"/>
        <w:rPr>
          <w:color w:val="000000" w:themeColor="text1"/>
          <w:lang w:eastAsia="zh-CN"/>
        </w:rPr>
      </w:pPr>
      <w:r w:rsidRPr="00D2758E">
        <w:rPr>
          <w:color w:val="000000" w:themeColor="text1"/>
          <w:lang w:eastAsia="zh-CN"/>
        </w:rPr>
        <w:t>Depend</w:t>
      </w:r>
      <w:r w:rsidR="00066522" w:rsidRPr="00D2758E">
        <w:rPr>
          <w:color w:val="000000" w:themeColor="text1"/>
          <w:lang w:eastAsia="zh-CN"/>
        </w:rPr>
        <w:t>ing</w:t>
      </w:r>
      <w:r w:rsidRPr="00D2758E">
        <w:rPr>
          <w:color w:val="000000" w:themeColor="text1"/>
          <w:lang w:eastAsia="zh-CN"/>
        </w:rPr>
        <w:t xml:space="preserve"> on the benefit-sharing terms agreed,</w:t>
      </w:r>
      <w:r w:rsidR="00AD08D5">
        <w:rPr>
          <w:color w:val="000000" w:themeColor="text1"/>
          <w:lang w:eastAsia="zh-CN"/>
        </w:rPr>
        <w:t xml:space="preserve"> completion of</w:t>
      </w:r>
      <w:r w:rsidRPr="00D2758E">
        <w:rPr>
          <w:color w:val="000000" w:themeColor="text1"/>
          <w:lang w:eastAsia="zh-CN"/>
        </w:rPr>
        <w:t xml:space="preserve"> the process </w:t>
      </w:r>
      <w:r w:rsidR="00AD08D5">
        <w:rPr>
          <w:color w:val="000000" w:themeColor="text1"/>
          <w:lang w:eastAsia="zh-CN"/>
        </w:rPr>
        <w:t xml:space="preserve">extending </w:t>
      </w:r>
      <w:r w:rsidR="00B1063C" w:rsidRPr="00D2758E">
        <w:rPr>
          <w:color w:val="000000" w:themeColor="text1"/>
          <w:lang w:eastAsia="zh-CN"/>
        </w:rPr>
        <w:t xml:space="preserve">from </w:t>
      </w:r>
      <w:r w:rsidRPr="00D2758E">
        <w:rPr>
          <w:color w:val="000000" w:themeColor="text1"/>
          <w:lang w:eastAsia="zh-CN"/>
        </w:rPr>
        <w:t>access to genetic resources</w:t>
      </w:r>
      <w:r w:rsidR="00A71DD0" w:rsidRPr="00D2758E">
        <w:rPr>
          <w:color w:val="000000" w:themeColor="text1"/>
          <w:lang w:eastAsia="zh-CN"/>
        </w:rPr>
        <w:t xml:space="preserve"> </w:t>
      </w:r>
      <w:r w:rsidR="00250230" w:rsidRPr="00D2758E">
        <w:rPr>
          <w:color w:val="000000" w:themeColor="text1"/>
          <w:lang w:eastAsia="zh-CN"/>
        </w:rPr>
        <w:t xml:space="preserve">to </w:t>
      </w:r>
      <w:r w:rsidRPr="00D2758E">
        <w:rPr>
          <w:color w:val="000000" w:themeColor="text1"/>
          <w:lang w:eastAsia="zh-CN"/>
        </w:rPr>
        <w:t>their utilization and potential benefit-</w:t>
      </w:r>
      <w:r w:rsidRPr="00D2758E">
        <w:t>sharing</w:t>
      </w:r>
      <w:r w:rsidRPr="00D2758E">
        <w:rPr>
          <w:color w:val="000000" w:themeColor="text1"/>
          <w:lang w:eastAsia="zh-CN"/>
        </w:rPr>
        <w:t xml:space="preserve"> may take </w:t>
      </w:r>
      <w:r w:rsidR="00A71DD0" w:rsidRPr="00D2758E">
        <w:rPr>
          <w:color w:val="000000" w:themeColor="text1"/>
          <w:lang w:eastAsia="zh-CN"/>
        </w:rPr>
        <w:t xml:space="preserve">many </w:t>
      </w:r>
      <w:r w:rsidRPr="00D2758E">
        <w:rPr>
          <w:color w:val="000000" w:themeColor="text1"/>
          <w:lang w:eastAsia="zh-CN"/>
        </w:rPr>
        <w:t xml:space="preserve">years or even decades, particularly </w:t>
      </w:r>
      <w:r w:rsidR="006B73D3">
        <w:rPr>
          <w:color w:val="000000" w:themeColor="text1"/>
          <w:lang w:eastAsia="zh-CN"/>
        </w:rPr>
        <w:t>with respect to</w:t>
      </w:r>
      <w:r w:rsidRPr="00D2758E">
        <w:rPr>
          <w:color w:val="000000" w:themeColor="text1"/>
          <w:lang w:eastAsia="zh-CN"/>
        </w:rPr>
        <w:t xml:space="preserve"> commercial use. Compliance provisions and systems to monitor </w:t>
      </w:r>
      <w:r w:rsidR="00A71DD0" w:rsidRPr="00D2758E">
        <w:rPr>
          <w:color w:val="000000" w:themeColor="text1"/>
          <w:lang w:eastAsia="zh-CN"/>
        </w:rPr>
        <w:t>the utilization</w:t>
      </w:r>
      <w:r w:rsidR="00D3262B" w:rsidRPr="00D2758E">
        <w:rPr>
          <w:color w:val="000000" w:themeColor="text1"/>
          <w:lang w:eastAsia="zh-CN"/>
        </w:rPr>
        <w:t xml:space="preserve"> of genetic resources and related</w:t>
      </w:r>
      <w:r w:rsidRPr="00D2758E">
        <w:rPr>
          <w:color w:val="000000" w:themeColor="text1"/>
          <w:lang w:eastAsia="zh-CN"/>
        </w:rPr>
        <w:t xml:space="preserve"> benefit</w:t>
      </w:r>
      <w:r w:rsidR="00B01BC0">
        <w:rPr>
          <w:color w:val="000000" w:themeColor="text1"/>
          <w:lang w:eastAsia="zh-CN"/>
        </w:rPr>
        <w:t xml:space="preserve"> </w:t>
      </w:r>
      <w:r w:rsidRPr="00D2758E">
        <w:rPr>
          <w:color w:val="000000" w:themeColor="text1"/>
          <w:lang w:eastAsia="zh-CN"/>
        </w:rPr>
        <w:t xml:space="preserve">sharing </w:t>
      </w:r>
      <w:r w:rsidR="00B01BC0">
        <w:rPr>
          <w:color w:val="000000" w:themeColor="text1"/>
          <w:lang w:eastAsia="zh-CN"/>
        </w:rPr>
        <w:t xml:space="preserve">would </w:t>
      </w:r>
      <w:r w:rsidRPr="00D2758E">
        <w:rPr>
          <w:color w:val="000000" w:themeColor="text1"/>
          <w:lang w:eastAsia="zh-CN"/>
        </w:rPr>
        <w:t xml:space="preserve">help ensure that benefits </w:t>
      </w:r>
      <w:r w:rsidR="008F7CF8">
        <w:rPr>
          <w:color w:val="000000" w:themeColor="text1"/>
          <w:lang w:eastAsia="zh-CN"/>
        </w:rPr>
        <w:t>we</w:t>
      </w:r>
      <w:r w:rsidRPr="00D2758E">
        <w:rPr>
          <w:color w:val="000000" w:themeColor="text1"/>
          <w:lang w:eastAsia="zh-CN"/>
        </w:rPr>
        <w:t>re shared once the genetic resource le</w:t>
      </w:r>
      <w:r w:rsidR="008F7CF8">
        <w:rPr>
          <w:color w:val="000000" w:themeColor="text1"/>
          <w:lang w:eastAsia="zh-CN"/>
        </w:rPr>
        <w:t>ft</w:t>
      </w:r>
      <w:r w:rsidRPr="00D2758E">
        <w:rPr>
          <w:color w:val="000000" w:themeColor="text1"/>
          <w:lang w:eastAsia="zh-CN"/>
        </w:rPr>
        <w:t xml:space="preserve"> the provider country.</w:t>
      </w:r>
    </w:p>
    <w:p w14:paraId="3AC3FA0F" w14:textId="07D0BA88" w:rsidR="00452379" w:rsidRPr="00D2758E" w:rsidRDefault="00452379" w:rsidP="00CD2C50">
      <w:pPr>
        <w:pStyle w:val="CBDNormalNumber"/>
        <w:rPr>
          <w:color w:val="000000" w:themeColor="text1"/>
          <w:lang w:eastAsia="zh-CN"/>
        </w:rPr>
      </w:pPr>
      <w:r w:rsidRPr="00D2758E">
        <w:rPr>
          <w:color w:val="000000" w:themeColor="text1"/>
          <w:lang w:eastAsia="zh-CN"/>
        </w:rPr>
        <w:t xml:space="preserve">While the impact of the </w:t>
      </w:r>
      <w:r w:rsidRPr="00D2758E">
        <w:t>Nagoya</w:t>
      </w:r>
      <w:r w:rsidRPr="00D2758E">
        <w:rPr>
          <w:color w:val="000000" w:themeColor="text1"/>
          <w:lang w:eastAsia="zh-CN"/>
        </w:rPr>
        <w:t xml:space="preserve"> Protocol depends in part on the stage of implementation reached by Parties,</w:t>
      </w:r>
      <w:r w:rsidRPr="00D2758E">
        <w:t xml:space="preserve"> </w:t>
      </w:r>
      <w:r w:rsidRPr="00D2758E">
        <w:rPr>
          <w:color w:val="000000" w:themeColor="text1"/>
          <w:lang w:eastAsia="zh-CN"/>
        </w:rPr>
        <w:t>effective fair and equitable benefit</w:t>
      </w:r>
      <w:r w:rsidR="008F7CF8">
        <w:rPr>
          <w:color w:val="000000" w:themeColor="text1"/>
          <w:lang w:eastAsia="zh-CN"/>
        </w:rPr>
        <w:t xml:space="preserve"> </w:t>
      </w:r>
      <w:r w:rsidRPr="00D2758E">
        <w:rPr>
          <w:color w:val="000000" w:themeColor="text1"/>
          <w:lang w:eastAsia="zh-CN"/>
        </w:rPr>
        <w:t xml:space="preserve">sharing requires all Parties, indigenous peoples and local communities, and business and scientific communities to fully engage in </w:t>
      </w:r>
      <w:r w:rsidR="003E311A">
        <w:rPr>
          <w:color w:val="000000" w:themeColor="text1"/>
          <w:lang w:eastAsia="zh-CN"/>
        </w:rPr>
        <w:t xml:space="preserve">access and benefit-sharing </w:t>
      </w:r>
      <w:r w:rsidRPr="00D2758E">
        <w:rPr>
          <w:color w:val="000000" w:themeColor="text1"/>
          <w:lang w:eastAsia="zh-CN"/>
        </w:rPr>
        <w:t xml:space="preserve">processes. </w:t>
      </w:r>
    </w:p>
    <w:p w14:paraId="0B5CDD81" w14:textId="434BF4C3" w:rsidR="00452379" w:rsidRPr="00D2758E" w:rsidRDefault="00976A0B" w:rsidP="00CD2C50">
      <w:pPr>
        <w:pStyle w:val="CBDNormalNumber"/>
        <w:rPr>
          <w:color w:val="000000" w:themeColor="text1"/>
          <w:lang w:eastAsia="zh-CN"/>
        </w:rPr>
      </w:pPr>
      <w:r>
        <w:rPr>
          <w:color w:val="000000" w:themeColor="text1"/>
          <w:lang w:eastAsia="zh-CN"/>
        </w:rPr>
        <w:t>While</w:t>
      </w:r>
      <w:r w:rsidR="00452379" w:rsidRPr="00D2758E">
        <w:rPr>
          <w:color w:val="000000" w:themeColor="text1"/>
          <w:lang w:eastAsia="zh-CN"/>
        </w:rPr>
        <w:t xml:space="preserve"> </w:t>
      </w:r>
      <w:r w:rsidR="00452379" w:rsidRPr="00D2758E">
        <w:t>many</w:t>
      </w:r>
      <w:r w:rsidR="00452379" w:rsidRPr="00D2758E">
        <w:rPr>
          <w:color w:val="000000" w:themeColor="text1"/>
          <w:lang w:eastAsia="zh-CN"/>
        </w:rPr>
        <w:t xml:space="preserve"> Parties have made progress in </w:t>
      </w:r>
      <w:r>
        <w:rPr>
          <w:color w:val="000000" w:themeColor="text1"/>
          <w:lang w:eastAsia="zh-CN"/>
        </w:rPr>
        <w:t xml:space="preserve">taking </w:t>
      </w:r>
      <w:r w:rsidR="00452379" w:rsidRPr="00D2758E">
        <w:rPr>
          <w:color w:val="000000" w:themeColor="text1"/>
          <w:lang w:eastAsia="zh-CN"/>
        </w:rPr>
        <w:t xml:space="preserve">some of those initial steps, </w:t>
      </w:r>
      <w:r w:rsidR="00694C84">
        <w:rPr>
          <w:color w:val="000000" w:themeColor="text1"/>
          <w:lang w:eastAsia="zh-CN"/>
        </w:rPr>
        <w:t xml:space="preserve">there are </w:t>
      </w:r>
      <w:r w:rsidR="00452379" w:rsidRPr="00D2758E">
        <w:rPr>
          <w:color w:val="000000" w:themeColor="text1"/>
          <w:lang w:eastAsia="zh-CN"/>
        </w:rPr>
        <w:t xml:space="preserve">Parties </w:t>
      </w:r>
      <w:r w:rsidR="001F45F8">
        <w:rPr>
          <w:color w:val="000000" w:themeColor="text1"/>
          <w:lang w:eastAsia="zh-CN"/>
        </w:rPr>
        <w:t xml:space="preserve">whose progress </w:t>
      </w:r>
      <w:r w:rsidR="00452379" w:rsidRPr="00D2758E">
        <w:rPr>
          <w:color w:val="000000" w:themeColor="text1"/>
          <w:lang w:eastAsia="zh-CN"/>
        </w:rPr>
        <w:t xml:space="preserve">has not yet </w:t>
      </w:r>
      <w:r w:rsidR="00BA4BEB">
        <w:rPr>
          <w:color w:val="000000" w:themeColor="text1"/>
          <w:lang w:eastAsia="zh-CN"/>
        </w:rPr>
        <w:t xml:space="preserve">been </w:t>
      </w:r>
      <w:r w:rsidR="00452379" w:rsidRPr="00D2758E">
        <w:rPr>
          <w:color w:val="000000" w:themeColor="text1"/>
          <w:lang w:eastAsia="zh-CN"/>
        </w:rPr>
        <w:t xml:space="preserve">translated into benefit-sharing outcomes. </w:t>
      </w:r>
    </w:p>
    <w:p w14:paraId="04AA5F5B" w14:textId="4DB39D52" w:rsidR="00452379" w:rsidRPr="00D2758E" w:rsidRDefault="00047186" w:rsidP="00CD2C50">
      <w:pPr>
        <w:pStyle w:val="CBDNormalNumber"/>
        <w:rPr>
          <w:color w:val="000000" w:themeColor="text1"/>
          <w:lang w:eastAsia="zh-CN"/>
        </w:rPr>
      </w:pPr>
      <w:r w:rsidRPr="00D2758E">
        <w:rPr>
          <w:color w:val="000000" w:themeColor="text1"/>
          <w:lang w:eastAsia="zh-CN"/>
        </w:rPr>
        <w:t>Permits or their equivalent and c</w:t>
      </w:r>
      <w:r w:rsidR="00780E72" w:rsidRPr="00D2758E">
        <w:rPr>
          <w:color w:val="000000" w:themeColor="text1"/>
          <w:lang w:eastAsia="zh-CN"/>
        </w:rPr>
        <w:t xml:space="preserve">ertificates </w:t>
      </w:r>
      <w:r w:rsidR="00452379" w:rsidRPr="00D2758E">
        <w:rPr>
          <w:color w:val="000000" w:themeColor="text1"/>
          <w:lang w:eastAsia="zh-CN"/>
        </w:rPr>
        <w:t>issued c</w:t>
      </w:r>
      <w:r w:rsidR="006A1AA4">
        <w:rPr>
          <w:color w:val="000000" w:themeColor="text1"/>
          <w:lang w:eastAsia="zh-CN"/>
        </w:rPr>
        <w:t>ould</w:t>
      </w:r>
      <w:r w:rsidR="00452379" w:rsidRPr="00D2758E">
        <w:rPr>
          <w:color w:val="000000" w:themeColor="text1"/>
          <w:lang w:eastAsia="zh-CN"/>
        </w:rPr>
        <w:t xml:space="preserve"> serve as an indication </w:t>
      </w:r>
      <w:r w:rsidR="00BA4BEB">
        <w:rPr>
          <w:color w:val="000000" w:themeColor="text1"/>
          <w:lang w:eastAsia="zh-CN"/>
        </w:rPr>
        <w:t xml:space="preserve">of </w:t>
      </w:r>
      <w:r w:rsidR="00452379" w:rsidRPr="00D2758E">
        <w:rPr>
          <w:color w:val="000000" w:themeColor="text1"/>
          <w:lang w:eastAsia="zh-CN"/>
        </w:rPr>
        <w:t xml:space="preserve">or proxy </w:t>
      </w:r>
      <w:proofErr w:type="gramStart"/>
      <w:r w:rsidR="00BA4BEB">
        <w:rPr>
          <w:color w:val="000000" w:themeColor="text1"/>
          <w:lang w:eastAsia="zh-CN"/>
        </w:rPr>
        <w:t xml:space="preserve">for </w:t>
      </w:r>
      <w:r w:rsidR="00452379" w:rsidRPr="00D2758E">
        <w:rPr>
          <w:color w:val="000000" w:themeColor="text1"/>
          <w:lang w:eastAsia="zh-CN"/>
        </w:rPr>
        <w:t xml:space="preserve"> impact</w:t>
      </w:r>
      <w:proofErr w:type="gramEnd"/>
      <w:r w:rsidR="00452379" w:rsidRPr="00D2758E">
        <w:rPr>
          <w:color w:val="000000" w:themeColor="text1"/>
          <w:lang w:eastAsia="zh-CN"/>
        </w:rPr>
        <w:t xml:space="preserve"> in terms of benefit-sharing </w:t>
      </w:r>
      <w:r w:rsidR="004E46A1">
        <w:rPr>
          <w:color w:val="000000" w:themeColor="text1"/>
          <w:lang w:eastAsia="zh-CN"/>
        </w:rPr>
        <w:t>under</w:t>
      </w:r>
      <w:r w:rsidR="00452379" w:rsidRPr="00D2758E">
        <w:rPr>
          <w:color w:val="000000" w:themeColor="text1"/>
          <w:lang w:eastAsia="zh-CN"/>
        </w:rPr>
        <w:t xml:space="preserve"> the Nagoya Protocol, as it </w:t>
      </w:r>
      <w:r w:rsidR="004E46A1">
        <w:rPr>
          <w:color w:val="000000" w:themeColor="text1"/>
          <w:lang w:eastAsia="zh-CN"/>
        </w:rPr>
        <w:t>might</w:t>
      </w:r>
      <w:r w:rsidR="00452379" w:rsidRPr="00D2758E">
        <w:rPr>
          <w:color w:val="000000" w:themeColor="text1"/>
          <w:lang w:eastAsia="zh-CN"/>
        </w:rPr>
        <w:t xml:space="preserve"> be understood that </w:t>
      </w:r>
      <w:r w:rsidR="00197678">
        <w:rPr>
          <w:color w:val="000000" w:themeColor="text1"/>
          <w:lang w:eastAsia="zh-CN"/>
        </w:rPr>
        <w:t xml:space="preserve">issuance of </w:t>
      </w:r>
      <w:r w:rsidR="00452379" w:rsidRPr="00D2758E">
        <w:rPr>
          <w:color w:val="000000" w:themeColor="text1"/>
          <w:lang w:eastAsia="zh-CN"/>
        </w:rPr>
        <w:t xml:space="preserve">all </w:t>
      </w:r>
      <w:r w:rsidRPr="00D2758E">
        <w:rPr>
          <w:color w:val="000000" w:themeColor="text1"/>
          <w:lang w:eastAsia="zh-CN"/>
        </w:rPr>
        <w:t xml:space="preserve">permits and </w:t>
      </w:r>
      <w:r w:rsidR="00780E72" w:rsidRPr="00D2758E">
        <w:rPr>
          <w:color w:val="000000" w:themeColor="text1"/>
          <w:lang w:eastAsia="zh-CN"/>
        </w:rPr>
        <w:t xml:space="preserve">certificates </w:t>
      </w:r>
      <w:r w:rsidR="00452379" w:rsidRPr="00D2758E">
        <w:rPr>
          <w:color w:val="000000" w:themeColor="text1"/>
          <w:lang w:eastAsia="zh-CN"/>
        </w:rPr>
        <w:t xml:space="preserve">could eventually result </w:t>
      </w:r>
      <w:r w:rsidR="00452379" w:rsidRPr="00D2758E">
        <w:t>in</w:t>
      </w:r>
      <w:r w:rsidR="00452379" w:rsidRPr="00D2758E">
        <w:rPr>
          <w:color w:val="000000" w:themeColor="text1"/>
          <w:lang w:eastAsia="zh-CN"/>
        </w:rPr>
        <w:t xml:space="preserve"> the sharing of monetary or non-monetary benefits.</w:t>
      </w:r>
      <w:r w:rsidR="003871D5" w:rsidRPr="00D2758E">
        <w:rPr>
          <w:lang w:eastAsia="zh-CN"/>
        </w:rPr>
        <w:t xml:space="preserve"> </w:t>
      </w:r>
      <w:r w:rsidR="001D46AD" w:rsidRPr="00D2758E">
        <w:rPr>
          <w:lang w:eastAsia="zh-CN"/>
        </w:rPr>
        <w:t>Sixty-four</w:t>
      </w:r>
      <w:r w:rsidR="0089747E" w:rsidRPr="00D2758E">
        <w:rPr>
          <w:lang w:eastAsia="zh-CN"/>
        </w:rPr>
        <w:t xml:space="preserve"> Parties </w:t>
      </w:r>
      <w:r w:rsidR="00BF2DB3" w:rsidRPr="00D2758E">
        <w:rPr>
          <w:lang w:eastAsia="zh-CN"/>
        </w:rPr>
        <w:t>(45</w:t>
      </w:r>
      <w:r w:rsidR="004E46A1">
        <w:rPr>
          <w:lang w:eastAsia="zh-CN"/>
        </w:rPr>
        <w:t xml:space="preserve"> per cent</w:t>
      </w:r>
      <w:r w:rsidR="00BF2DB3" w:rsidRPr="00D2758E">
        <w:rPr>
          <w:lang w:eastAsia="zh-CN"/>
        </w:rPr>
        <w:t>)</w:t>
      </w:r>
      <w:r w:rsidR="007550DA" w:rsidRPr="00D2758E">
        <w:rPr>
          <w:lang w:eastAsia="zh-CN"/>
        </w:rPr>
        <w:t xml:space="preserve"> </w:t>
      </w:r>
      <w:r w:rsidR="0089747E" w:rsidRPr="00D2758E">
        <w:rPr>
          <w:lang w:eastAsia="zh-CN"/>
        </w:rPr>
        <w:t xml:space="preserve">reported </w:t>
      </w:r>
      <w:r w:rsidR="00BF2DB3" w:rsidRPr="00D2758E">
        <w:rPr>
          <w:lang w:eastAsia="zh-CN"/>
        </w:rPr>
        <w:t>having issued permits or their equivalents. A</w:t>
      </w:r>
      <w:r w:rsidR="004E46A1">
        <w:rPr>
          <w:lang w:eastAsia="zh-CN"/>
        </w:rPr>
        <w:t>bout</w:t>
      </w:r>
      <w:r w:rsidR="00BF2DB3" w:rsidRPr="00D2758E">
        <w:rPr>
          <w:lang w:eastAsia="zh-CN"/>
        </w:rPr>
        <w:t xml:space="preserve"> </w:t>
      </w:r>
      <w:r w:rsidR="00BF2DB3" w:rsidRPr="00D2758E">
        <w:rPr>
          <w:lang w:eastAsia="zh-CN"/>
        </w:rPr>
        <w:lastRenderedPageBreak/>
        <w:t>half of those Parties ha</w:t>
      </w:r>
      <w:r w:rsidR="004E46A1">
        <w:rPr>
          <w:lang w:eastAsia="zh-CN"/>
        </w:rPr>
        <w:t>d</w:t>
      </w:r>
      <w:r w:rsidR="00BF2DB3" w:rsidRPr="00D2758E">
        <w:rPr>
          <w:lang w:eastAsia="zh-CN"/>
        </w:rPr>
        <w:t xml:space="preserve"> published information </w:t>
      </w:r>
      <w:r w:rsidR="00DF46A6" w:rsidRPr="00D2758E">
        <w:rPr>
          <w:lang w:eastAsia="zh-CN"/>
        </w:rPr>
        <w:t>on th</w:t>
      </w:r>
      <w:r w:rsidR="004E46A1">
        <w:rPr>
          <w:lang w:eastAsia="zh-CN"/>
        </w:rPr>
        <w:t>o</w:t>
      </w:r>
      <w:r w:rsidR="00DF46A6" w:rsidRPr="00D2758E">
        <w:rPr>
          <w:lang w:eastAsia="zh-CN"/>
        </w:rPr>
        <w:t>se permits</w:t>
      </w:r>
      <w:r w:rsidR="00BF2DB3" w:rsidRPr="00D2758E">
        <w:rPr>
          <w:lang w:eastAsia="zh-CN"/>
        </w:rPr>
        <w:t xml:space="preserve"> </w:t>
      </w:r>
      <w:r w:rsidR="004E46A1">
        <w:rPr>
          <w:lang w:eastAsia="zh-CN"/>
        </w:rPr>
        <w:t>o</w:t>
      </w:r>
      <w:r w:rsidR="00181A93" w:rsidRPr="00D2758E">
        <w:rPr>
          <w:lang w:eastAsia="zh-CN"/>
        </w:rPr>
        <w:t xml:space="preserve">n </w:t>
      </w:r>
      <w:r w:rsidR="00BC05D2" w:rsidRPr="00D2758E">
        <w:rPr>
          <w:lang w:eastAsia="zh-CN"/>
        </w:rPr>
        <w:t xml:space="preserve">the </w:t>
      </w:r>
      <w:r w:rsidR="004E46A1">
        <w:rPr>
          <w:lang w:eastAsia="zh-CN"/>
        </w:rPr>
        <w:t xml:space="preserve">Access and Benefit-sharing </w:t>
      </w:r>
      <w:r w:rsidR="00BC05D2" w:rsidRPr="00D2758E">
        <w:rPr>
          <w:lang w:eastAsia="zh-CN"/>
        </w:rPr>
        <w:t xml:space="preserve">Clearing-House </w:t>
      </w:r>
      <w:r w:rsidR="00B61010">
        <w:rPr>
          <w:lang w:eastAsia="zh-CN"/>
        </w:rPr>
        <w:t>and 34</w:t>
      </w:r>
      <w:r w:rsidR="003871D5" w:rsidRPr="00D2758E">
        <w:rPr>
          <w:lang w:eastAsia="zh-CN"/>
        </w:rPr>
        <w:t xml:space="preserve"> Parties ha</w:t>
      </w:r>
      <w:r w:rsidR="00B61010">
        <w:rPr>
          <w:lang w:eastAsia="zh-CN"/>
        </w:rPr>
        <w:t>d</w:t>
      </w:r>
      <w:r w:rsidR="003871D5" w:rsidRPr="00D2758E">
        <w:rPr>
          <w:lang w:eastAsia="zh-CN"/>
        </w:rPr>
        <w:t xml:space="preserve"> published a total of 6</w:t>
      </w:r>
      <w:r w:rsidR="00140BD1" w:rsidRPr="00D2758E">
        <w:rPr>
          <w:lang w:eastAsia="zh-CN"/>
        </w:rPr>
        <w:t>,</w:t>
      </w:r>
      <w:r w:rsidR="003871D5" w:rsidRPr="00D2758E">
        <w:rPr>
          <w:lang w:eastAsia="zh-CN"/>
        </w:rPr>
        <w:t>269 certificates</w:t>
      </w:r>
      <w:r w:rsidR="00116177" w:rsidRPr="00D2758E">
        <w:rPr>
          <w:lang w:eastAsia="zh-CN"/>
        </w:rPr>
        <w:t>. Most of the certificates (83</w:t>
      </w:r>
      <w:r w:rsidR="004E46A1">
        <w:rPr>
          <w:lang w:eastAsia="zh-CN"/>
        </w:rPr>
        <w:t xml:space="preserve"> per cent</w:t>
      </w:r>
      <w:r w:rsidR="00116177" w:rsidRPr="00D2758E">
        <w:rPr>
          <w:lang w:eastAsia="zh-CN"/>
        </w:rPr>
        <w:t xml:space="preserve">) </w:t>
      </w:r>
      <w:r w:rsidR="004E46A1">
        <w:rPr>
          <w:lang w:eastAsia="zh-CN"/>
        </w:rPr>
        <w:t>were</w:t>
      </w:r>
      <w:r w:rsidR="00116177" w:rsidRPr="00D2758E">
        <w:rPr>
          <w:lang w:eastAsia="zh-CN"/>
        </w:rPr>
        <w:t xml:space="preserve"> published by five </w:t>
      </w:r>
      <w:r w:rsidR="0089747E" w:rsidRPr="00D2758E">
        <w:rPr>
          <w:lang w:eastAsia="zh-CN"/>
        </w:rPr>
        <w:t>Parties</w:t>
      </w:r>
      <w:r w:rsidR="00090F20">
        <w:rPr>
          <w:lang w:eastAsia="zh-CN"/>
        </w:rPr>
        <w:t>.</w:t>
      </w:r>
      <w:r w:rsidR="0089747E" w:rsidRPr="00D2758E">
        <w:rPr>
          <w:rStyle w:val="FootnoteReference"/>
          <w:lang w:eastAsia="zh-CN"/>
        </w:rPr>
        <w:footnoteReference w:id="52"/>
      </w:r>
      <w:r w:rsidR="003871D5" w:rsidRPr="00D2758E">
        <w:rPr>
          <w:lang w:eastAsia="zh-CN"/>
        </w:rPr>
        <w:t xml:space="preserve"> </w:t>
      </w:r>
    </w:p>
    <w:p w14:paraId="76D065EE" w14:textId="1D8CD79F" w:rsidR="001C7E32" w:rsidRPr="00D2758E" w:rsidRDefault="00452379" w:rsidP="00CD2C50">
      <w:pPr>
        <w:pStyle w:val="CBDNormalNumber"/>
        <w:rPr>
          <w:lang w:eastAsia="zh-CN"/>
        </w:rPr>
      </w:pPr>
      <w:r w:rsidRPr="00D2758E">
        <w:rPr>
          <w:lang w:eastAsia="zh-CN"/>
        </w:rPr>
        <w:t xml:space="preserve">The indicator </w:t>
      </w:r>
      <w:r w:rsidR="00783884" w:rsidRPr="00D2758E">
        <w:rPr>
          <w:lang w:eastAsia="zh-CN"/>
        </w:rPr>
        <w:t>data</w:t>
      </w:r>
      <w:r w:rsidRPr="00D2758E">
        <w:rPr>
          <w:lang w:eastAsia="zh-CN"/>
        </w:rPr>
        <w:t xml:space="preserve"> </w:t>
      </w:r>
      <w:r w:rsidR="00F6177D">
        <w:rPr>
          <w:lang w:eastAsia="zh-CN"/>
        </w:rPr>
        <w:t xml:space="preserve">provided </w:t>
      </w:r>
      <w:r w:rsidRPr="00D2758E">
        <w:rPr>
          <w:color w:val="000000" w:themeColor="text1"/>
          <w:lang w:eastAsia="zh-CN"/>
        </w:rPr>
        <w:t>in</w:t>
      </w:r>
      <w:r w:rsidRPr="00D2758E">
        <w:rPr>
          <w:lang w:eastAsia="zh-CN"/>
        </w:rPr>
        <w:t xml:space="preserve"> table 8 show that monetary benefits arising from access to genetic resources for their utilization are reported </w:t>
      </w:r>
      <w:r w:rsidR="00F6177D">
        <w:rPr>
          <w:lang w:eastAsia="zh-CN"/>
        </w:rPr>
        <w:t>as</w:t>
      </w:r>
      <w:r w:rsidRPr="00D2758E">
        <w:rPr>
          <w:lang w:eastAsia="zh-CN"/>
        </w:rPr>
        <w:t xml:space="preserve"> accru</w:t>
      </w:r>
      <w:r w:rsidR="00F6177D">
        <w:rPr>
          <w:lang w:eastAsia="zh-CN"/>
        </w:rPr>
        <w:t>ing</w:t>
      </w:r>
      <w:r w:rsidRPr="00D2758E">
        <w:rPr>
          <w:lang w:eastAsia="zh-CN"/>
        </w:rPr>
        <w:t xml:space="preserve"> in substantial amounts to a relatively limited number of Parties. </w:t>
      </w:r>
      <w:r w:rsidR="001C7E32" w:rsidRPr="00D2758E">
        <w:rPr>
          <w:lang w:eastAsia="zh-CN"/>
        </w:rPr>
        <w:t xml:space="preserve">Benefits generated from access to traditional knowledge </w:t>
      </w:r>
      <w:r w:rsidR="00FD22C8">
        <w:rPr>
          <w:lang w:eastAsia="zh-CN"/>
        </w:rPr>
        <w:t>constitute</w:t>
      </w:r>
      <w:r w:rsidR="001C7E32" w:rsidRPr="00D2758E">
        <w:rPr>
          <w:lang w:eastAsia="zh-CN"/>
        </w:rPr>
        <w:t xml:space="preserve"> a comparatively small share of the total benefits, in terms of </w:t>
      </w:r>
      <w:r w:rsidR="00FD22C8" w:rsidRPr="00D2758E">
        <w:rPr>
          <w:lang w:eastAsia="zh-CN"/>
        </w:rPr>
        <w:t xml:space="preserve">both </w:t>
      </w:r>
      <w:r w:rsidR="001C7E32" w:rsidRPr="00D2758E">
        <w:rPr>
          <w:lang w:eastAsia="zh-CN"/>
        </w:rPr>
        <w:t>the amounts reported and the number of Parties receiving them.</w:t>
      </w:r>
    </w:p>
    <w:p w14:paraId="04806038" w14:textId="7D38B2DC" w:rsidR="00116177" w:rsidRPr="00D2758E" w:rsidRDefault="001C7E32" w:rsidP="00CD2C50">
      <w:pPr>
        <w:pStyle w:val="CBDNormalNumber"/>
        <w:rPr>
          <w:lang w:eastAsia="zh-CN"/>
        </w:rPr>
      </w:pPr>
      <w:r w:rsidRPr="00D2758E">
        <w:rPr>
          <w:lang w:eastAsia="zh-CN"/>
        </w:rPr>
        <w:t xml:space="preserve"> </w:t>
      </w:r>
      <w:r w:rsidR="00116177" w:rsidRPr="00D2758E">
        <w:rPr>
          <w:lang w:eastAsia="zh-CN"/>
        </w:rPr>
        <w:t xml:space="preserve">It is estimated that approximately $53 million </w:t>
      </w:r>
      <w:r w:rsidR="00FD22C8">
        <w:rPr>
          <w:lang w:eastAsia="zh-CN"/>
        </w:rPr>
        <w:t xml:space="preserve">had been </w:t>
      </w:r>
      <w:r w:rsidR="00116177" w:rsidRPr="00D2758E">
        <w:rPr>
          <w:lang w:eastAsia="zh-CN"/>
        </w:rPr>
        <w:t xml:space="preserve">received as benefits from access to genetic resources and associated </w:t>
      </w:r>
      <w:r w:rsidR="00116177" w:rsidRPr="00D2758E">
        <w:t>traditional</w:t>
      </w:r>
      <w:r w:rsidR="00116177" w:rsidRPr="00D2758E">
        <w:rPr>
          <w:lang w:eastAsia="zh-CN"/>
        </w:rPr>
        <w:t xml:space="preserve"> knowledge since the entry into force of the Protocol.</w:t>
      </w:r>
      <w:r w:rsidR="00116177" w:rsidRPr="00D2758E">
        <w:rPr>
          <w:rStyle w:val="FootnoteReference"/>
          <w:lang w:eastAsia="zh-CN"/>
        </w:rPr>
        <w:footnoteReference w:id="53"/>
      </w:r>
      <w:r w:rsidR="00116177" w:rsidRPr="00D2758E">
        <w:rPr>
          <w:lang w:eastAsia="zh-CN"/>
        </w:rPr>
        <w:t xml:space="preserve"> It can be inferred that benefits from </w:t>
      </w:r>
      <w:r w:rsidR="008044F8">
        <w:rPr>
          <w:lang w:eastAsia="zh-CN"/>
        </w:rPr>
        <w:t xml:space="preserve">access to </w:t>
      </w:r>
      <w:r w:rsidR="00116177" w:rsidRPr="00D2758E">
        <w:rPr>
          <w:lang w:eastAsia="zh-CN"/>
        </w:rPr>
        <w:t>traditional knowledge account</w:t>
      </w:r>
      <w:r w:rsidR="00FC4E60">
        <w:rPr>
          <w:lang w:eastAsia="zh-CN"/>
        </w:rPr>
        <w:t>ed</w:t>
      </w:r>
      <w:r w:rsidR="00116177" w:rsidRPr="00D2758E">
        <w:rPr>
          <w:lang w:eastAsia="zh-CN"/>
        </w:rPr>
        <w:t xml:space="preserve"> for a small percentage of the total amount.</w:t>
      </w:r>
      <w:r w:rsidR="00116177" w:rsidRPr="00D2758E">
        <w:rPr>
          <w:rStyle w:val="FootnoteReference"/>
          <w:lang w:eastAsia="zh-CN"/>
        </w:rPr>
        <w:footnoteReference w:id="54"/>
      </w:r>
      <w:r w:rsidR="00116177" w:rsidRPr="00D2758E">
        <w:rPr>
          <w:lang w:eastAsia="zh-CN"/>
        </w:rPr>
        <w:t xml:space="preserve"> </w:t>
      </w:r>
    </w:p>
    <w:p w14:paraId="4BF809BA" w14:textId="508409F3" w:rsidR="00452379" w:rsidRPr="00D2758E" w:rsidRDefault="00452379" w:rsidP="00CD2C50">
      <w:pPr>
        <w:pStyle w:val="CBDNormalNumber"/>
        <w:rPr>
          <w:lang w:eastAsia="zh-CN"/>
        </w:rPr>
      </w:pPr>
      <w:r w:rsidRPr="00D2758E">
        <w:rPr>
          <w:lang w:eastAsia="zh-CN"/>
        </w:rPr>
        <w:t>Of the reported benefits received ($53 million), 82</w:t>
      </w:r>
      <w:r w:rsidR="00FC4E60">
        <w:rPr>
          <w:lang w:eastAsia="zh-CN"/>
        </w:rPr>
        <w:t xml:space="preserve"> per cent</w:t>
      </w:r>
      <w:r w:rsidRPr="00D2758E">
        <w:rPr>
          <w:lang w:eastAsia="zh-CN"/>
        </w:rPr>
        <w:t xml:space="preserve"> went to three Parties reporting the highest values</w:t>
      </w:r>
      <w:r w:rsidR="006268E1">
        <w:rPr>
          <w:lang w:eastAsia="zh-CN"/>
        </w:rPr>
        <w:t>, namely,</w:t>
      </w:r>
      <w:r w:rsidRPr="00D2758E">
        <w:rPr>
          <w:lang w:eastAsia="zh-CN"/>
        </w:rPr>
        <w:t xml:space="preserve"> India ($34,600,000), Costa Rica ($5,322,750) and South Africa ($4,621,072)</w:t>
      </w:r>
      <w:r w:rsidR="00C87AA8">
        <w:rPr>
          <w:lang w:eastAsia="zh-CN"/>
        </w:rPr>
        <w:t>,</w:t>
      </w:r>
      <w:r w:rsidRPr="00D2758E">
        <w:rPr>
          <w:lang w:eastAsia="zh-CN"/>
        </w:rPr>
        <w:t xml:space="preserve"> while </w:t>
      </w:r>
      <w:r w:rsidR="006B5F62">
        <w:rPr>
          <w:lang w:eastAsia="zh-CN"/>
        </w:rPr>
        <w:t>10</w:t>
      </w:r>
      <w:r w:rsidR="00A12A62" w:rsidRPr="00D2758E">
        <w:rPr>
          <w:lang w:eastAsia="zh-CN"/>
        </w:rPr>
        <w:t xml:space="preserve"> </w:t>
      </w:r>
      <w:r w:rsidRPr="00D2758E">
        <w:rPr>
          <w:lang w:eastAsia="zh-CN"/>
        </w:rPr>
        <w:t xml:space="preserve">Parties reported comparatively small </w:t>
      </w:r>
      <w:r w:rsidRPr="00D2758E">
        <w:t>amounts</w:t>
      </w:r>
      <w:r w:rsidR="00977FD8">
        <w:t xml:space="preserve"> received</w:t>
      </w:r>
      <w:r w:rsidRPr="00D2758E">
        <w:rPr>
          <w:lang w:eastAsia="zh-CN"/>
        </w:rPr>
        <w:t xml:space="preserve">, </w:t>
      </w:r>
      <w:r w:rsidR="007B6800">
        <w:rPr>
          <w:lang w:eastAsia="zh-CN"/>
        </w:rPr>
        <w:t xml:space="preserve">with </w:t>
      </w:r>
      <w:r w:rsidRPr="00D2758E">
        <w:rPr>
          <w:lang w:eastAsia="zh-CN"/>
        </w:rPr>
        <w:t xml:space="preserve">each </w:t>
      </w:r>
      <w:r w:rsidR="007B6800">
        <w:rPr>
          <w:lang w:eastAsia="zh-CN"/>
        </w:rPr>
        <w:t xml:space="preserve">amount </w:t>
      </w:r>
      <w:r w:rsidRPr="00D2758E">
        <w:rPr>
          <w:lang w:eastAsia="zh-CN"/>
        </w:rPr>
        <w:t xml:space="preserve">below $100,000. </w:t>
      </w:r>
      <w:r w:rsidR="0071137B" w:rsidRPr="00D2758E">
        <w:rPr>
          <w:lang w:eastAsia="zh-CN"/>
        </w:rPr>
        <w:t xml:space="preserve">This illustrates </w:t>
      </w:r>
      <w:r w:rsidR="00573120" w:rsidRPr="00D2758E">
        <w:rPr>
          <w:lang w:eastAsia="zh-CN"/>
        </w:rPr>
        <w:t>tha</w:t>
      </w:r>
      <w:r w:rsidR="008177DF" w:rsidRPr="00D2758E">
        <w:rPr>
          <w:lang w:eastAsia="zh-CN"/>
        </w:rPr>
        <w:t xml:space="preserve">t </w:t>
      </w:r>
      <w:r w:rsidR="00225DD3">
        <w:rPr>
          <w:lang w:eastAsia="zh-CN"/>
        </w:rPr>
        <w:t xml:space="preserve">access and benefit sharing </w:t>
      </w:r>
      <w:r w:rsidR="008177DF" w:rsidRPr="00D2758E">
        <w:rPr>
          <w:lang w:eastAsia="zh-CN"/>
        </w:rPr>
        <w:t xml:space="preserve">has </w:t>
      </w:r>
      <w:r w:rsidR="0071137B" w:rsidRPr="00D2758E">
        <w:rPr>
          <w:lang w:eastAsia="zh-CN"/>
        </w:rPr>
        <w:t xml:space="preserve">potential </w:t>
      </w:r>
      <w:r w:rsidR="00B32D2C" w:rsidRPr="00D2758E">
        <w:rPr>
          <w:lang w:eastAsia="zh-CN"/>
        </w:rPr>
        <w:t xml:space="preserve">when </w:t>
      </w:r>
      <w:r w:rsidR="000A138D" w:rsidRPr="00D2758E">
        <w:rPr>
          <w:lang w:eastAsia="zh-CN"/>
        </w:rPr>
        <w:t xml:space="preserve">fully </w:t>
      </w:r>
      <w:r w:rsidR="00B32D2C" w:rsidRPr="00D2758E">
        <w:rPr>
          <w:lang w:eastAsia="zh-CN"/>
        </w:rPr>
        <w:t>operationalize</w:t>
      </w:r>
      <w:r w:rsidR="009A7111" w:rsidRPr="00D2758E">
        <w:rPr>
          <w:lang w:eastAsia="zh-CN"/>
        </w:rPr>
        <w:t>d</w:t>
      </w:r>
      <w:r w:rsidR="007D227C" w:rsidRPr="00D2758E">
        <w:rPr>
          <w:lang w:eastAsia="zh-CN"/>
        </w:rPr>
        <w:t xml:space="preserve"> and </w:t>
      </w:r>
      <w:r w:rsidR="000A138D" w:rsidRPr="00D2758E">
        <w:rPr>
          <w:lang w:eastAsia="zh-CN"/>
        </w:rPr>
        <w:t xml:space="preserve">experience </w:t>
      </w:r>
      <w:r w:rsidR="003B54F3">
        <w:rPr>
          <w:lang w:eastAsia="zh-CN"/>
        </w:rPr>
        <w:t>has been</w:t>
      </w:r>
      <w:r w:rsidR="000A138D" w:rsidRPr="00D2758E">
        <w:rPr>
          <w:lang w:eastAsia="zh-CN"/>
        </w:rPr>
        <w:t xml:space="preserve"> gained in implementation</w:t>
      </w:r>
      <w:r w:rsidR="00777626" w:rsidRPr="00D2758E">
        <w:rPr>
          <w:lang w:eastAsia="zh-CN"/>
        </w:rPr>
        <w:t>.</w:t>
      </w:r>
      <w:r w:rsidR="009E6492" w:rsidRPr="00D2758E">
        <w:rPr>
          <w:lang w:eastAsia="zh-CN"/>
        </w:rPr>
        <w:t xml:space="preserve"> </w:t>
      </w:r>
      <w:r w:rsidR="00777626" w:rsidRPr="00D2758E">
        <w:rPr>
          <w:lang w:eastAsia="zh-CN"/>
        </w:rPr>
        <w:t>As</w:t>
      </w:r>
      <w:r w:rsidR="00EB6538" w:rsidRPr="00D2758E">
        <w:rPr>
          <w:lang w:eastAsia="zh-CN"/>
        </w:rPr>
        <w:t xml:space="preserve"> </w:t>
      </w:r>
      <w:r w:rsidR="00777626" w:rsidRPr="00D2758E">
        <w:rPr>
          <w:lang w:eastAsia="zh-CN"/>
        </w:rPr>
        <w:t>Parties</w:t>
      </w:r>
      <w:r w:rsidR="00EB6538" w:rsidRPr="00D2758E">
        <w:rPr>
          <w:lang w:eastAsia="zh-CN"/>
        </w:rPr>
        <w:t xml:space="preserve"> </w:t>
      </w:r>
      <w:r w:rsidR="00904820" w:rsidRPr="00D2758E">
        <w:rPr>
          <w:lang w:eastAsia="zh-CN"/>
        </w:rPr>
        <w:t xml:space="preserve">advance in implementation, </w:t>
      </w:r>
      <w:r w:rsidR="00A1355A" w:rsidRPr="00D2758E">
        <w:rPr>
          <w:lang w:eastAsia="zh-CN"/>
        </w:rPr>
        <w:t>benefit</w:t>
      </w:r>
      <w:r w:rsidR="003C0C96">
        <w:rPr>
          <w:lang w:eastAsia="zh-CN"/>
        </w:rPr>
        <w:t xml:space="preserve"> </w:t>
      </w:r>
      <w:r w:rsidR="00A1355A" w:rsidRPr="00D2758E">
        <w:rPr>
          <w:lang w:eastAsia="zh-CN"/>
        </w:rPr>
        <w:t>s</w:t>
      </w:r>
      <w:r w:rsidR="00F41663" w:rsidRPr="00D2758E">
        <w:rPr>
          <w:lang w:eastAsia="zh-CN"/>
        </w:rPr>
        <w:t>haring w</w:t>
      </w:r>
      <w:r w:rsidR="00D33E28">
        <w:rPr>
          <w:lang w:eastAsia="zh-CN"/>
        </w:rPr>
        <w:t>ill</w:t>
      </w:r>
      <w:r w:rsidR="00F41663" w:rsidRPr="00D2758E">
        <w:rPr>
          <w:lang w:eastAsia="zh-CN"/>
        </w:rPr>
        <w:t xml:space="preserve"> be more widespread</w:t>
      </w:r>
      <w:r w:rsidR="00BD4A92" w:rsidRPr="00D2758E">
        <w:rPr>
          <w:lang w:eastAsia="zh-CN"/>
        </w:rPr>
        <w:t xml:space="preserve"> and </w:t>
      </w:r>
      <w:r w:rsidR="00F8231B" w:rsidRPr="00D2758E">
        <w:rPr>
          <w:lang w:eastAsia="zh-CN"/>
        </w:rPr>
        <w:t xml:space="preserve">contribute to </w:t>
      </w:r>
      <w:r w:rsidR="00B27457" w:rsidRPr="00D2758E">
        <w:rPr>
          <w:lang w:eastAsia="zh-CN"/>
        </w:rPr>
        <w:t xml:space="preserve">the </w:t>
      </w:r>
      <w:r w:rsidR="00F8231B" w:rsidRPr="00D2758E">
        <w:rPr>
          <w:lang w:eastAsia="zh-CN"/>
        </w:rPr>
        <w:t>conservation and sustainable use of biological diversity</w:t>
      </w:r>
      <w:r w:rsidR="000A138D" w:rsidRPr="00D2758E">
        <w:rPr>
          <w:lang w:eastAsia="zh-CN"/>
        </w:rPr>
        <w:t xml:space="preserve">. </w:t>
      </w:r>
    </w:p>
    <w:p w14:paraId="059A060E" w14:textId="63D578E2" w:rsidR="00452379" w:rsidRPr="00D2758E" w:rsidRDefault="00665600" w:rsidP="00CD2C50">
      <w:pPr>
        <w:pStyle w:val="CBDNormalNumber"/>
        <w:rPr>
          <w:lang w:eastAsia="zh-CN"/>
        </w:rPr>
      </w:pPr>
      <w:r>
        <w:rPr>
          <w:lang w:eastAsia="zh-CN"/>
        </w:rPr>
        <w:t>Based on examination</w:t>
      </w:r>
      <w:r w:rsidR="00630765">
        <w:rPr>
          <w:lang w:eastAsia="zh-CN"/>
        </w:rPr>
        <w:t xml:space="preserve"> of</w:t>
      </w:r>
      <w:r w:rsidR="00452379" w:rsidRPr="00D2758E">
        <w:rPr>
          <w:lang w:eastAsia="zh-CN"/>
        </w:rPr>
        <w:t xml:space="preserve"> the certificates published </w:t>
      </w:r>
      <w:r w:rsidR="00061C3F">
        <w:rPr>
          <w:lang w:eastAsia="zh-CN"/>
        </w:rPr>
        <w:t>o</w:t>
      </w:r>
      <w:r w:rsidR="00452379" w:rsidRPr="00D2758E">
        <w:rPr>
          <w:lang w:eastAsia="zh-CN"/>
        </w:rPr>
        <w:t>n the Clearing-House, it can be noted that</w:t>
      </w:r>
      <w:r w:rsidR="00630765">
        <w:rPr>
          <w:lang w:eastAsia="zh-CN"/>
        </w:rPr>
        <w:t>, while</w:t>
      </w:r>
      <w:r w:rsidR="00452379" w:rsidRPr="00D2758E">
        <w:rPr>
          <w:lang w:eastAsia="zh-CN"/>
        </w:rPr>
        <w:t xml:space="preserve"> 23 Parties ha</w:t>
      </w:r>
      <w:r w:rsidR="00630765">
        <w:rPr>
          <w:lang w:eastAsia="zh-CN"/>
        </w:rPr>
        <w:t>d</w:t>
      </w:r>
      <w:r w:rsidR="00452379" w:rsidRPr="00D2758E">
        <w:rPr>
          <w:lang w:eastAsia="zh-CN"/>
        </w:rPr>
        <w:t xml:space="preserve"> published certificates for commercial purposes</w:t>
      </w:r>
      <w:r w:rsidR="006910AD" w:rsidRPr="00D2758E">
        <w:rPr>
          <w:lang w:eastAsia="zh-CN"/>
        </w:rPr>
        <w:t>,</w:t>
      </w:r>
      <w:r w:rsidR="003451F0" w:rsidRPr="00D2758E">
        <w:rPr>
          <w:lang w:eastAsia="zh-CN"/>
        </w:rPr>
        <w:t xml:space="preserve"> most of the certificates ha</w:t>
      </w:r>
      <w:r w:rsidR="00630765">
        <w:rPr>
          <w:lang w:eastAsia="zh-CN"/>
        </w:rPr>
        <w:t>d</w:t>
      </w:r>
      <w:r w:rsidR="003451F0" w:rsidRPr="00D2758E">
        <w:rPr>
          <w:lang w:eastAsia="zh-CN"/>
        </w:rPr>
        <w:t xml:space="preserve"> been published by a </w:t>
      </w:r>
      <w:r w:rsidR="006910AD" w:rsidRPr="00D2758E">
        <w:rPr>
          <w:lang w:eastAsia="zh-CN"/>
        </w:rPr>
        <w:t>small number of countries.</w:t>
      </w:r>
      <w:r w:rsidR="006910AD" w:rsidRPr="00D2758E">
        <w:rPr>
          <w:rStyle w:val="FootnoteReference"/>
          <w:lang w:eastAsia="zh-CN"/>
        </w:rPr>
        <w:footnoteReference w:id="55"/>
      </w:r>
      <w:r w:rsidR="00452379" w:rsidRPr="00D2758E">
        <w:rPr>
          <w:lang w:eastAsia="zh-CN"/>
        </w:rPr>
        <w:t xml:space="preserve"> </w:t>
      </w:r>
      <w:r w:rsidR="00630765">
        <w:rPr>
          <w:lang w:eastAsia="zh-CN"/>
        </w:rPr>
        <w:t>A</w:t>
      </w:r>
      <w:r w:rsidR="00525C8C" w:rsidRPr="00D2758E">
        <w:rPr>
          <w:lang w:eastAsia="zh-CN"/>
        </w:rPr>
        <w:t xml:space="preserve">nalysis of </w:t>
      </w:r>
      <w:r w:rsidR="008C5A6E" w:rsidRPr="00D2758E">
        <w:rPr>
          <w:lang w:eastAsia="zh-CN"/>
        </w:rPr>
        <w:t xml:space="preserve">the information provided </w:t>
      </w:r>
      <w:r w:rsidR="00556437">
        <w:rPr>
          <w:lang w:eastAsia="zh-CN"/>
        </w:rPr>
        <w:t>o</w:t>
      </w:r>
      <w:r w:rsidR="008C5A6E" w:rsidRPr="00D2758E">
        <w:rPr>
          <w:lang w:eastAsia="zh-CN"/>
        </w:rPr>
        <w:t xml:space="preserve">n the commercial </w:t>
      </w:r>
      <w:r w:rsidR="00525C8C" w:rsidRPr="00D2758E">
        <w:rPr>
          <w:lang w:eastAsia="zh-CN"/>
        </w:rPr>
        <w:t xml:space="preserve">certificates </w:t>
      </w:r>
      <w:r w:rsidR="00F82964" w:rsidRPr="00D2758E">
        <w:rPr>
          <w:lang w:eastAsia="zh-CN"/>
        </w:rPr>
        <w:t>involv</w:t>
      </w:r>
      <w:r w:rsidR="00F82964">
        <w:rPr>
          <w:lang w:eastAsia="zh-CN"/>
        </w:rPr>
        <w:t>ing</w:t>
      </w:r>
      <w:r w:rsidR="00B46A31" w:rsidRPr="00D2758E">
        <w:rPr>
          <w:lang w:eastAsia="zh-CN"/>
        </w:rPr>
        <w:t xml:space="preserve"> a foreign user  show</w:t>
      </w:r>
      <w:r w:rsidR="001B35DC">
        <w:rPr>
          <w:lang w:eastAsia="zh-CN"/>
        </w:rPr>
        <w:t>ed</w:t>
      </w:r>
      <w:r w:rsidR="00B46A31" w:rsidRPr="00D2758E">
        <w:rPr>
          <w:lang w:eastAsia="zh-CN"/>
        </w:rPr>
        <w:t xml:space="preserve"> that </w:t>
      </w:r>
      <w:r w:rsidR="00525C8C" w:rsidRPr="00D2758E">
        <w:rPr>
          <w:lang w:eastAsia="zh-CN"/>
        </w:rPr>
        <w:t>75</w:t>
      </w:r>
      <w:r w:rsidR="00076873">
        <w:rPr>
          <w:lang w:eastAsia="zh-CN"/>
        </w:rPr>
        <w:t xml:space="preserve"> per cent</w:t>
      </w:r>
      <w:r w:rsidR="00525C8C" w:rsidRPr="00D2758E">
        <w:rPr>
          <w:lang w:eastAsia="zh-CN"/>
        </w:rPr>
        <w:t xml:space="preserve"> of users c</w:t>
      </w:r>
      <w:r w:rsidR="00FA2A09">
        <w:rPr>
          <w:lang w:eastAsia="zh-CN"/>
        </w:rPr>
        <w:t>a</w:t>
      </w:r>
      <w:r w:rsidR="00525C8C" w:rsidRPr="00D2758E">
        <w:rPr>
          <w:lang w:eastAsia="zh-CN"/>
        </w:rPr>
        <w:t xml:space="preserve">me from </w:t>
      </w:r>
      <w:r w:rsidR="005D2174" w:rsidRPr="00D2758E">
        <w:rPr>
          <w:lang w:eastAsia="zh-CN"/>
        </w:rPr>
        <w:t xml:space="preserve">the </w:t>
      </w:r>
      <w:r w:rsidR="00525C8C" w:rsidRPr="00D2758E">
        <w:rPr>
          <w:lang w:eastAsia="zh-CN"/>
        </w:rPr>
        <w:t>Western Europe</w:t>
      </w:r>
      <w:r w:rsidR="00AF3EAF">
        <w:rPr>
          <w:lang w:eastAsia="zh-CN"/>
        </w:rPr>
        <w:t>an</w:t>
      </w:r>
      <w:r w:rsidR="00525C8C" w:rsidRPr="00D2758E">
        <w:rPr>
          <w:lang w:eastAsia="zh-CN"/>
        </w:rPr>
        <w:t xml:space="preserve"> and other States</w:t>
      </w:r>
      <w:r w:rsidR="00AF3EAF" w:rsidRPr="00AF3EAF">
        <w:rPr>
          <w:lang w:eastAsia="zh-CN"/>
        </w:rPr>
        <w:t xml:space="preserve"> </w:t>
      </w:r>
      <w:r w:rsidR="00AF3EAF" w:rsidRPr="00D2758E">
        <w:rPr>
          <w:lang w:eastAsia="zh-CN"/>
        </w:rPr>
        <w:t>region</w:t>
      </w:r>
      <w:r w:rsidR="00AF3EAF">
        <w:rPr>
          <w:lang w:eastAsia="zh-CN"/>
        </w:rPr>
        <w:t>al group</w:t>
      </w:r>
      <w:r w:rsidR="00BC04D0" w:rsidRPr="00D2758E">
        <w:rPr>
          <w:lang w:eastAsia="zh-CN"/>
        </w:rPr>
        <w:t>.</w:t>
      </w:r>
      <w:r w:rsidR="00B46A31" w:rsidRPr="00D2758E">
        <w:rPr>
          <w:rStyle w:val="FootnoteReference"/>
          <w:lang w:eastAsia="zh-CN"/>
        </w:rPr>
        <w:footnoteReference w:id="56"/>
      </w:r>
    </w:p>
    <w:p w14:paraId="1D437B28" w14:textId="6F5598E9" w:rsidR="00B236A2" w:rsidRPr="00D2758E" w:rsidRDefault="006E1208" w:rsidP="00CD2C50">
      <w:pPr>
        <w:pStyle w:val="CBDNormalNumber"/>
        <w:rPr>
          <w:lang w:eastAsia="zh-CN"/>
        </w:rPr>
      </w:pPr>
      <w:r w:rsidRPr="00D2758E">
        <w:rPr>
          <w:lang w:eastAsia="zh-CN"/>
        </w:rPr>
        <w:t xml:space="preserve">Given that most of the </w:t>
      </w:r>
      <w:r w:rsidR="00D0536A">
        <w:rPr>
          <w:lang w:eastAsia="zh-CN"/>
        </w:rPr>
        <w:t xml:space="preserve">access and benefit-sharing </w:t>
      </w:r>
      <w:r w:rsidRPr="00D2758E">
        <w:rPr>
          <w:lang w:eastAsia="zh-CN"/>
        </w:rPr>
        <w:t>permits are granted for non-commercial research, non-monetary benefits are more commonly reported by Parties.</w:t>
      </w:r>
      <w:r w:rsidRPr="00D2758E">
        <w:rPr>
          <w:rStyle w:val="FootnoteReference"/>
          <w:lang w:eastAsia="zh-CN"/>
        </w:rPr>
        <w:footnoteReference w:id="57"/>
      </w:r>
      <w:r w:rsidRPr="00D2758E">
        <w:rPr>
          <w:lang w:eastAsia="zh-CN"/>
        </w:rPr>
        <w:t xml:space="preserve"> Non-monetary benefits are valued </w:t>
      </w:r>
      <w:r w:rsidR="00BC41DD">
        <w:rPr>
          <w:lang w:eastAsia="zh-CN"/>
        </w:rPr>
        <w:t>based on</w:t>
      </w:r>
      <w:r w:rsidRPr="00D2758E">
        <w:rPr>
          <w:lang w:eastAsia="zh-CN"/>
        </w:rPr>
        <w:t xml:space="preserve"> their contribution to local capacities and conservation and sustainable use. </w:t>
      </w:r>
    </w:p>
    <w:p w14:paraId="39F6032A" w14:textId="52929502" w:rsidR="00452379" w:rsidRPr="00D2758E" w:rsidRDefault="00452379" w:rsidP="00CD2C50">
      <w:pPr>
        <w:pStyle w:val="CBDNormalNumber"/>
        <w:rPr>
          <w:lang w:eastAsia="zh-CN"/>
        </w:rPr>
      </w:pPr>
      <w:r w:rsidRPr="00D2758E">
        <w:rPr>
          <w:lang w:eastAsia="zh-CN"/>
        </w:rPr>
        <w:t xml:space="preserve"> Africa was the </w:t>
      </w:r>
      <w:r w:rsidRPr="00D2758E">
        <w:t>leading</w:t>
      </w:r>
      <w:r w:rsidRPr="00D2758E">
        <w:rPr>
          <w:lang w:eastAsia="zh-CN"/>
        </w:rPr>
        <w:t xml:space="preserve"> region </w:t>
      </w:r>
      <w:r w:rsidR="000035D8">
        <w:rPr>
          <w:lang w:eastAsia="zh-CN"/>
        </w:rPr>
        <w:t xml:space="preserve">respect to </w:t>
      </w:r>
      <w:r w:rsidR="000035D8" w:rsidRPr="00D2758E">
        <w:rPr>
          <w:lang w:eastAsia="zh-CN"/>
        </w:rPr>
        <w:t>the number of countries reporting the receipt of benefits (either monetary or non-monetary)</w:t>
      </w:r>
      <w:r w:rsidR="00A03B5D">
        <w:rPr>
          <w:lang w:eastAsia="zh-CN"/>
        </w:rPr>
        <w:t xml:space="preserve">, </w:t>
      </w:r>
      <w:r w:rsidRPr="00D2758E">
        <w:rPr>
          <w:lang w:eastAsia="zh-CN"/>
        </w:rPr>
        <w:t xml:space="preserve">followed by the Asia-Pacific </w:t>
      </w:r>
      <w:r w:rsidR="00526ED1">
        <w:rPr>
          <w:lang w:eastAsia="zh-CN"/>
        </w:rPr>
        <w:t xml:space="preserve">States </w:t>
      </w:r>
      <w:r w:rsidRPr="00D2758E">
        <w:rPr>
          <w:lang w:eastAsia="zh-CN"/>
        </w:rPr>
        <w:t>region</w:t>
      </w:r>
      <w:r w:rsidR="00526ED1">
        <w:rPr>
          <w:lang w:eastAsia="zh-CN"/>
        </w:rPr>
        <w:t>al group</w:t>
      </w:r>
      <w:r w:rsidRPr="00D2758E">
        <w:rPr>
          <w:lang w:eastAsia="zh-CN"/>
        </w:rPr>
        <w:t xml:space="preserve">. Access fees and upfront payments </w:t>
      </w:r>
      <w:r w:rsidR="00BC41DD">
        <w:rPr>
          <w:lang w:eastAsia="zh-CN"/>
        </w:rPr>
        <w:t>we</w:t>
      </w:r>
      <w:r w:rsidRPr="00D2758E">
        <w:rPr>
          <w:lang w:eastAsia="zh-CN"/>
        </w:rPr>
        <w:t>re the most common forms of monetary benefit</w:t>
      </w:r>
      <w:r w:rsidR="002F660B" w:rsidRPr="00D2758E">
        <w:rPr>
          <w:lang w:eastAsia="zh-CN"/>
        </w:rPr>
        <w:t xml:space="preserve">s </w:t>
      </w:r>
      <w:r w:rsidRPr="00D2758E">
        <w:rPr>
          <w:lang w:eastAsia="zh-CN"/>
        </w:rPr>
        <w:t>shar</w:t>
      </w:r>
      <w:r w:rsidR="002F660B" w:rsidRPr="00D2758E">
        <w:rPr>
          <w:lang w:eastAsia="zh-CN"/>
        </w:rPr>
        <w:t>ed</w:t>
      </w:r>
      <w:r w:rsidRPr="00D2758E">
        <w:rPr>
          <w:lang w:eastAsia="zh-CN"/>
        </w:rPr>
        <w:t xml:space="preserve">, while the sharing of information and research results </w:t>
      </w:r>
      <w:r w:rsidR="00CD6A72">
        <w:rPr>
          <w:lang w:eastAsia="zh-CN"/>
        </w:rPr>
        <w:t>wa</w:t>
      </w:r>
      <w:r w:rsidRPr="00D2758E">
        <w:rPr>
          <w:lang w:eastAsia="zh-CN"/>
        </w:rPr>
        <w:t>s the most common type of non-monetary benefit</w:t>
      </w:r>
      <w:r w:rsidR="00CD6A72">
        <w:rPr>
          <w:lang w:eastAsia="zh-CN"/>
        </w:rPr>
        <w:t xml:space="preserve"> </w:t>
      </w:r>
      <w:r w:rsidRPr="00D2758E">
        <w:rPr>
          <w:lang w:eastAsia="zh-CN"/>
        </w:rPr>
        <w:t>sharing.</w:t>
      </w:r>
    </w:p>
    <w:p w14:paraId="7D2E43D1" w14:textId="4FB114A9" w:rsidR="00225317" w:rsidRPr="00D2758E" w:rsidRDefault="005E4AC8" w:rsidP="00CD2C50">
      <w:pPr>
        <w:pStyle w:val="CBDNormalNumber"/>
        <w:rPr>
          <w:lang w:eastAsia="zh-CN"/>
        </w:rPr>
      </w:pPr>
      <w:r w:rsidRPr="00D2758E">
        <w:rPr>
          <w:lang w:eastAsia="zh-CN"/>
        </w:rPr>
        <w:t>Further analysis of the information indicate</w:t>
      </w:r>
      <w:r w:rsidR="00D93501">
        <w:rPr>
          <w:lang w:eastAsia="zh-CN"/>
        </w:rPr>
        <w:t>d</w:t>
      </w:r>
      <w:r w:rsidRPr="00D2758E">
        <w:rPr>
          <w:lang w:eastAsia="zh-CN"/>
        </w:rPr>
        <w:t xml:space="preserve"> that approximately 58</w:t>
      </w:r>
      <w:r w:rsidR="00D93501">
        <w:rPr>
          <w:lang w:eastAsia="zh-CN"/>
        </w:rPr>
        <w:t xml:space="preserve"> per cent </w:t>
      </w:r>
      <w:r w:rsidRPr="00D2758E">
        <w:rPr>
          <w:lang w:eastAsia="zh-CN"/>
        </w:rPr>
        <w:t>of all published certificates ha</w:t>
      </w:r>
      <w:r w:rsidR="00C379B9">
        <w:rPr>
          <w:lang w:eastAsia="zh-CN"/>
        </w:rPr>
        <w:t>d</w:t>
      </w:r>
      <w:r w:rsidRPr="00D2758E">
        <w:rPr>
          <w:lang w:eastAsia="zh-CN"/>
        </w:rPr>
        <w:t xml:space="preserve"> been granted to </w:t>
      </w:r>
      <w:r w:rsidRPr="00D2758E">
        <w:t>domestic</w:t>
      </w:r>
      <w:r w:rsidRPr="00D2758E">
        <w:rPr>
          <w:lang w:eastAsia="zh-CN"/>
        </w:rPr>
        <w:t xml:space="preserve"> users</w:t>
      </w:r>
      <w:r w:rsidR="00CF0B36" w:rsidRPr="00D2758E">
        <w:rPr>
          <w:rStyle w:val="FootnoteReference"/>
          <w:lang w:eastAsia="zh-CN"/>
        </w:rPr>
        <w:footnoteReference w:id="58"/>
      </w:r>
      <w:r w:rsidR="002062F4" w:rsidRPr="00D2758E">
        <w:rPr>
          <w:lang w:eastAsia="zh-CN"/>
        </w:rPr>
        <w:t xml:space="preserve"> by two Parties</w:t>
      </w:r>
      <w:r w:rsidRPr="00D2758E">
        <w:rPr>
          <w:lang w:eastAsia="zh-CN"/>
        </w:rPr>
        <w:t xml:space="preserve"> (internal certificates</w:t>
      </w:r>
      <w:r w:rsidR="00566136" w:rsidRPr="00D2758E">
        <w:rPr>
          <w:sz w:val="18"/>
          <w:szCs w:val="18"/>
        </w:rPr>
        <w:t>)</w:t>
      </w:r>
      <w:r w:rsidR="002062F4" w:rsidRPr="00D2758E">
        <w:rPr>
          <w:sz w:val="18"/>
          <w:szCs w:val="18"/>
        </w:rPr>
        <w:t xml:space="preserve">. </w:t>
      </w:r>
      <w:r w:rsidRPr="00D2758E">
        <w:rPr>
          <w:lang w:eastAsia="zh-CN"/>
        </w:rPr>
        <w:t xml:space="preserve">In </w:t>
      </w:r>
      <w:r w:rsidR="00C379B9">
        <w:rPr>
          <w:lang w:eastAsia="zh-CN"/>
        </w:rPr>
        <w:t>about</w:t>
      </w:r>
      <w:r w:rsidRPr="00D2758E">
        <w:rPr>
          <w:lang w:eastAsia="zh-CN"/>
        </w:rPr>
        <w:t xml:space="preserve"> 28</w:t>
      </w:r>
      <w:r w:rsidR="00C379B9">
        <w:rPr>
          <w:lang w:eastAsia="zh-CN"/>
        </w:rPr>
        <w:t xml:space="preserve"> per cent</w:t>
      </w:r>
      <w:r w:rsidRPr="00D2758E">
        <w:rPr>
          <w:lang w:eastAsia="zh-CN"/>
        </w:rPr>
        <w:t xml:space="preserve"> of cases, the entity granted </w:t>
      </w:r>
      <w:r w:rsidR="00397845" w:rsidRPr="00D2758E">
        <w:rPr>
          <w:lang w:eastAsia="zh-CN"/>
        </w:rPr>
        <w:t>prior informed consent</w:t>
      </w:r>
      <w:r w:rsidRPr="00D2758E">
        <w:rPr>
          <w:lang w:eastAsia="zh-CN"/>
        </w:rPr>
        <w:t xml:space="preserve"> </w:t>
      </w:r>
      <w:r w:rsidR="00833969">
        <w:rPr>
          <w:lang w:eastAsia="zh-CN"/>
        </w:rPr>
        <w:t>wa</w:t>
      </w:r>
      <w:r w:rsidR="000215D1" w:rsidRPr="00D2758E">
        <w:rPr>
          <w:lang w:eastAsia="zh-CN"/>
        </w:rPr>
        <w:t xml:space="preserve">s from a country that </w:t>
      </w:r>
      <w:r w:rsidRPr="00D2758E">
        <w:rPr>
          <w:lang w:eastAsia="zh-CN"/>
        </w:rPr>
        <w:t>differ</w:t>
      </w:r>
      <w:r w:rsidR="00833969">
        <w:rPr>
          <w:lang w:eastAsia="zh-CN"/>
        </w:rPr>
        <w:t>ed</w:t>
      </w:r>
      <w:r w:rsidRPr="00D2758E">
        <w:rPr>
          <w:lang w:eastAsia="zh-CN"/>
        </w:rPr>
        <w:t xml:space="preserve"> from the </w:t>
      </w:r>
      <w:r w:rsidRPr="00D2758E">
        <w:rPr>
          <w:lang w:eastAsia="zh-CN"/>
        </w:rPr>
        <w:lastRenderedPageBreak/>
        <w:t xml:space="preserve">country issuing the permit or </w:t>
      </w:r>
      <w:r w:rsidR="00833969">
        <w:rPr>
          <w:lang w:eastAsia="zh-CN"/>
        </w:rPr>
        <w:t xml:space="preserve">the </w:t>
      </w:r>
      <w:r w:rsidRPr="00D2758E">
        <w:rPr>
          <w:lang w:eastAsia="zh-CN"/>
        </w:rPr>
        <w:t>equivalent (external certificates). Th</w:t>
      </w:r>
      <w:r w:rsidR="00032573">
        <w:rPr>
          <w:lang w:eastAsia="zh-CN"/>
        </w:rPr>
        <w:t>at</w:t>
      </w:r>
      <w:r w:rsidRPr="00D2758E">
        <w:rPr>
          <w:lang w:eastAsia="zh-CN"/>
        </w:rPr>
        <w:t xml:space="preserve"> provide</w:t>
      </w:r>
      <w:r w:rsidR="00032573">
        <w:rPr>
          <w:lang w:eastAsia="zh-CN"/>
        </w:rPr>
        <w:t>d</w:t>
      </w:r>
      <w:r w:rsidRPr="00D2758E">
        <w:rPr>
          <w:lang w:eastAsia="zh-CN"/>
        </w:rPr>
        <w:t xml:space="preserve"> an indication </w:t>
      </w:r>
      <w:r w:rsidR="00AC5720" w:rsidRPr="00D2758E">
        <w:rPr>
          <w:lang w:eastAsia="zh-CN"/>
        </w:rPr>
        <w:t>of the types of users sharing those benefits</w:t>
      </w:r>
      <w:r w:rsidRPr="00D2758E">
        <w:rPr>
          <w:lang w:eastAsia="zh-CN"/>
        </w:rPr>
        <w:t>.</w:t>
      </w:r>
      <w:r w:rsidR="0001324F" w:rsidRPr="00D2758E">
        <w:rPr>
          <w:rStyle w:val="FootnoteReference"/>
          <w:lang w:eastAsia="zh-CN"/>
        </w:rPr>
        <w:footnoteReference w:id="59"/>
      </w:r>
      <w:r w:rsidR="00225317" w:rsidRPr="00D2758E">
        <w:t xml:space="preserve"> </w:t>
      </w:r>
    </w:p>
    <w:p w14:paraId="2DE43056" w14:textId="1312FF83" w:rsidR="00452379" w:rsidRPr="00D2758E" w:rsidRDefault="00452379" w:rsidP="00CD2C50">
      <w:pPr>
        <w:pStyle w:val="CBDNormalNumber"/>
        <w:rPr>
          <w:lang w:eastAsia="zh-CN"/>
        </w:rPr>
      </w:pPr>
      <w:r w:rsidRPr="00D2758E">
        <w:rPr>
          <w:lang w:eastAsia="zh-CN"/>
        </w:rPr>
        <w:t xml:space="preserve">Parties provided specific examples of </w:t>
      </w:r>
      <w:r w:rsidRPr="00D2758E">
        <w:t>how</w:t>
      </w:r>
      <w:r w:rsidRPr="00D2758E">
        <w:rPr>
          <w:lang w:eastAsia="zh-CN"/>
        </w:rPr>
        <w:t xml:space="preserve"> benefit sharing and implementation of the Protocol ha</w:t>
      </w:r>
      <w:r w:rsidR="004E5EBE">
        <w:rPr>
          <w:lang w:eastAsia="zh-CN"/>
        </w:rPr>
        <w:t>d</w:t>
      </w:r>
      <w:r w:rsidRPr="00D2758E">
        <w:rPr>
          <w:lang w:eastAsia="zh-CN"/>
        </w:rPr>
        <w:t xml:space="preserve"> contributed to local economies and conservation and sustainable use of biodiversity. Some of th</w:t>
      </w:r>
      <w:r w:rsidR="004E5EBE">
        <w:rPr>
          <w:lang w:eastAsia="zh-CN"/>
        </w:rPr>
        <w:t>o</w:t>
      </w:r>
      <w:r w:rsidRPr="00D2758E">
        <w:rPr>
          <w:lang w:eastAsia="zh-CN"/>
        </w:rPr>
        <w:t xml:space="preserve">se benefits </w:t>
      </w:r>
      <w:r w:rsidR="00A929AA">
        <w:rPr>
          <w:lang w:eastAsia="zh-CN"/>
        </w:rPr>
        <w:t>were</w:t>
      </w:r>
      <w:r w:rsidRPr="00D2758E">
        <w:rPr>
          <w:lang w:eastAsia="zh-CN"/>
        </w:rPr>
        <w:t xml:space="preserve"> reported by Parties that </w:t>
      </w:r>
      <w:r w:rsidR="00A929AA">
        <w:rPr>
          <w:lang w:eastAsia="zh-CN"/>
        </w:rPr>
        <w:t>we</w:t>
      </w:r>
      <w:r w:rsidRPr="00D2758E">
        <w:rPr>
          <w:lang w:eastAsia="zh-CN"/>
        </w:rPr>
        <w:t>re still in the process of developing measures operationali</w:t>
      </w:r>
      <w:r w:rsidR="00F01C9E">
        <w:rPr>
          <w:lang w:eastAsia="zh-CN"/>
        </w:rPr>
        <w:t>z</w:t>
      </w:r>
      <w:r w:rsidRPr="00D2758E">
        <w:rPr>
          <w:lang w:eastAsia="zh-CN"/>
        </w:rPr>
        <w:t xml:space="preserve">ing their legal and institutional frameworks. Parties indicated that </w:t>
      </w:r>
      <w:r w:rsidR="00583ED5">
        <w:rPr>
          <w:lang w:eastAsia="zh-CN"/>
        </w:rPr>
        <w:t xml:space="preserve">implementation of </w:t>
      </w:r>
      <w:r w:rsidRPr="00D2758E">
        <w:rPr>
          <w:lang w:eastAsia="zh-CN"/>
        </w:rPr>
        <w:t>the Protocol ha</w:t>
      </w:r>
      <w:r w:rsidR="00F70271">
        <w:rPr>
          <w:lang w:eastAsia="zh-CN"/>
        </w:rPr>
        <w:t>d</w:t>
      </w:r>
      <w:r w:rsidRPr="00D2758E">
        <w:rPr>
          <w:lang w:eastAsia="zh-CN"/>
        </w:rPr>
        <w:t xml:space="preserve"> led</w:t>
      </w:r>
      <w:r w:rsidR="00F70271">
        <w:rPr>
          <w:lang w:eastAsia="zh-CN"/>
        </w:rPr>
        <w:t>, for example,</w:t>
      </w:r>
      <w:r w:rsidRPr="00D2758E">
        <w:rPr>
          <w:lang w:eastAsia="zh-CN"/>
        </w:rPr>
        <w:t xml:space="preserve"> to:</w:t>
      </w:r>
    </w:p>
    <w:p w14:paraId="261F1C86" w14:textId="5AE10EEB" w:rsidR="00452379" w:rsidRPr="00D2758E" w:rsidRDefault="00452379" w:rsidP="00A558F3">
      <w:pPr>
        <w:pStyle w:val="CBDNormalNumber"/>
        <w:numPr>
          <w:ilvl w:val="1"/>
          <w:numId w:val="7"/>
        </w:numPr>
        <w:rPr>
          <w:rFonts w:asciiTheme="majorBidi" w:hAnsiTheme="majorBidi" w:cstheme="majorBidi"/>
        </w:rPr>
      </w:pPr>
      <w:r w:rsidRPr="00D2758E">
        <w:t>Raising</w:t>
      </w:r>
      <w:r w:rsidRPr="00D2758E">
        <w:rPr>
          <w:rFonts w:asciiTheme="majorBidi" w:hAnsiTheme="majorBidi" w:cstheme="majorBidi"/>
        </w:rPr>
        <w:t xml:space="preserve"> awareness of the value of genetic resources and associated traditional knowledge</w:t>
      </w:r>
      <w:r w:rsidR="000E5A05">
        <w:rPr>
          <w:rFonts w:asciiTheme="majorBidi" w:hAnsiTheme="majorBidi" w:cstheme="majorBidi"/>
        </w:rPr>
        <w:t>;</w:t>
      </w:r>
    </w:p>
    <w:p w14:paraId="12960CE3" w14:textId="132F07E0" w:rsidR="00452379" w:rsidRPr="00D2758E" w:rsidRDefault="00452379" w:rsidP="00A558F3">
      <w:pPr>
        <w:pStyle w:val="CBDNormalNumber"/>
        <w:numPr>
          <w:ilvl w:val="1"/>
          <w:numId w:val="7"/>
        </w:numPr>
        <w:rPr>
          <w:rFonts w:asciiTheme="majorBidi" w:hAnsiTheme="majorBidi" w:cstheme="majorBidi"/>
        </w:rPr>
      </w:pPr>
      <w:r w:rsidRPr="00D2758E">
        <w:t>Sustainable</w:t>
      </w:r>
      <w:r w:rsidRPr="00D2758E">
        <w:rPr>
          <w:rFonts w:asciiTheme="majorBidi" w:hAnsiTheme="majorBidi" w:cstheme="majorBidi"/>
        </w:rPr>
        <w:t xml:space="preserve"> management of resources relevant for </w:t>
      </w:r>
      <w:r w:rsidR="00583ED5">
        <w:rPr>
          <w:rFonts w:asciiTheme="majorBidi" w:hAnsiTheme="majorBidi" w:cstheme="majorBidi"/>
        </w:rPr>
        <w:t xml:space="preserve">access and benefit-sharing </w:t>
      </w:r>
      <w:r w:rsidRPr="00D2758E">
        <w:rPr>
          <w:rFonts w:asciiTheme="majorBidi" w:hAnsiTheme="majorBidi" w:cstheme="majorBidi"/>
        </w:rPr>
        <w:t>value chains and development of products, including through the development of nurseries, sustainable harvesting and post-harvest processing</w:t>
      </w:r>
      <w:r w:rsidR="000E5A05">
        <w:rPr>
          <w:rFonts w:asciiTheme="majorBidi" w:hAnsiTheme="majorBidi" w:cstheme="majorBidi"/>
        </w:rPr>
        <w:t>;</w:t>
      </w:r>
    </w:p>
    <w:p w14:paraId="21790987" w14:textId="0E4DE9C7" w:rsidR="00452379" w:rsidRPr="00D2758E" w:rsidRDefault="00452379" w:rsidP="00A558F3">
      <w:pPr>
        <w:pStyle w:val="CBDNormalNumber"/>
        <w:numPr>
          <w:ilvl w:val="1"/>
          <w:numId w:val="7"/>
        </w:numPr>
        <w:rPr>
          <w:rFonts w:asciiTheme="majorBidi" w:hAnsiTheme="majorBidi" w:cstheme="majorBidi"/>
        </w:rPr>
      </w:pPr>
      <w:r w:rsidRPr="00D2758E">
        <w:rPr>
          <w:rFonts w:asciiTheme="majorBidi" w:hAnsiTheme="majorBidi" w:cstheme="majorBidi"/>
        </w:rPr>
        <w:t xml:space="preserve">Local </w:t>
      </w:r>
      <w:r w:rsidRPr="00D2758E">
        <w:t>employment</w:t>
      </w:r>
      <w:r w:rsidR="000E5A05">
        <w:t>;</w:t>
      </w:r>
    </w:p>
    <w:p w14:paraId="3B6F4833" w14:textId="6431CF35" w:rsidR="00452379" w:rsidRPr="00D2758E" w:rsidRDefault="00452379" w:rsidP="00A558F3">
      <w:pPr>
        <w:pStyle w:val="CBDNormalNumber"/>
        <w:numPr>
          <w:ilvl w:val="1"/>
          <w:numId w:val="7"/>
        </w:numPr>
        <w:rPr>
          <w:rFonts w:asciiTheme="majorBidi" w:hAnsiTheme="majorBidi" w:cstheme="majorBidi"/>
        </w:rPr>
      </w:pPr>
      <w:r w:rsidRPr="00D2758E">
        <w:rPr>
          <w:rFonts w:asciiTheme="majorBidi" w:hAnsiTheme="majorBidi" w:cstheme="majorBidi"/>
        </w:rPr>
        <w:t xml:space="preserve">More systematic documentation of genetic diversity and best practices in collection and utilization </w:t>
      </w:r>
      <w:r w:rsidRPr="00D2758E">
        <w:t>of</w:t>
      </w:r>
      <w:r w:rsidRPr="00D2758E">
        <w:rPr>
          <w:rFonts w:asciiTheme="majorBidi" w:hAnsiTheme="majorBidi" w:cstheme="majorBidi"/>
        </w:rPr>
        <w:t xml:space="preserve"> genetic resources</w:t>
      </w:r>
      <w:r w:rsidR="000E5A05">
        <w:rPr>
          <w:rFonts w:asciiTheme="majorBidi" w:hAnsiTheme="majorBidi" w:cstheme="majorBidi"/>
        </w:rPr>
        <w:t>;</w:t>
      </w:r>
    </w:p>
    <w:p w14:paraId="3731A34C" w14:textId="51AFC560" w:rsidR="00452379" w:rsidRPr="00D2758E" w:rsidRDefault="00B43C64" w:rsidP="00A558F3">
      <w:pPr>
        <w:pStyle w:val="CBDNormalNumber"/>
        <w:numPr>
          <w:ilvl w:val="1"/>
          <w:numId w:val="7"/>
        </w:numPr>
        <w:rPr>
          <w:rFonts w:asciiTheme="majorBidi" w:hAnsiTheme="majorBidi" w:cstheme="majorBidi"/>
        </w:rPr>
      </w:pPr>
      <w:r>
        <w:rPr>
          <w:rFonts w:asciiTheme="majorBidi" w:hAnsiTheme="majorBidi" w:cstheme="majorBidi"/>
        </w:rPr>
        <w:t xml:space="preserve">Greater </w:t>
      </w:r>
      <w:r w:rsidRPr="00D2758E">
        <w:rPr>
          <w:rFonts w:asciiTheme="majorBidi" w:hAnsiTheme="majorBidi" w:cstheme="majorBidi"/>
        </w:rPr>
        <w:t>open</w:t>
      </w:r>
      <w:r>
        <w:rPr>
          <w:rFonts w:asciiTheme="majorBidi" w:hAnsiTheme="majorBidi" w:cstheme="majorBidi"/>
        </w:rPr>
        <w:t>ness</w:t>
      </w:r>
      <w:r w:rsidRPr="00D2758E">
        <w:rPr>
          <w:rFonts w:asciiTheme="majorBidi" w:hAnsiTheme="majorBidi" w:cstheme="majorBidi"/>
        </w:rPr>
        <w:t xml:space="preserve"> and cooperative</w:t>
      </w:r>
      <w:r>
        <w:rPr>
          <w:rFonts w:asciiTheme="majorBidi" w:hAnsiTheme="majorBidi" w:cstheme="majorBidi"/>
        </w:rPr>
        <w:t>ness of r</w:t>
      </w:r>
      <w:r w:rsidR="00452379" w:rsidRPr="00D2758E">
        <w:rPr>
          <w:rFonts w:asciiTheme="majorBidi" w:hAnsiTheme="majorBidi" w:cstheme="majorBidi"/>
        </w:rPr>
        <w:t xml:space="preserve">esearchers in sharing the results of their studies and </w:t>
      </w:r>
      <w:r w:rsidR="00151E3B">
        <w:rPr>
          <w:rFonts w:asciiTheme="majorBidi" w:hAnsiTheme="majorBidi" w:cstheme="majorBidi"/>
        </w:rPr>
        <w:t xml:space="preserve">a </w:t>
      </w:r>
      <w:r w:rsidR="006B1BA6">
        <w:rPr>
          <w:rFonts w:asciiTheme="majorBidi" w:hAnsiTheme="majorBidi" w:cstheme="majorBidi"/>
        </w:rPr>
        <w:t xml:space="preserve">greater </w:t>
      </w:r>
      <w:r w:rsidR="00324195">
        <w:rPr>
          <w:rFonts w:asciiTheme="majorBidi" w:hAnsiTheme="majorBidi" w:cstheme="majorBidi"/>
        </w:rPr>
        <w:t xml:space="preserve">degree of </w:t>
      </w:r>
      <w:r w:rsidR="00452379" w:rsidRPr="00D2758E">
        <w:t>encourage</w:t>
      </w:r>
      <w:r w:rsidR="006A624C">
        <w:t xml:space="preserve">ment </w:t>
      </w:r>
      <w:r w:rsidR="00324195">
        <w:t xml:space="preserve">with respect to </w:t>
      </w:r>
      <w:r w:rsidR="00452379" w:rsidRPr="00D2758E">
        <w:rPr>
          <w:rFonts w:asciiTheme="majorBidi" w:hAnsiTheme="majorBidi" w:cstheme="majorBidi"/>
        </w:rPr>
        <w:t>align</w:t>
      </w:r>
      <w:r w:rsidR="00324195">
        <w:rPr>
          <w:rFonts w:asciiTheme="majorBidi" w:hAnsiTheme="majorBidi" w:cstheme="majorBidi"/>
        </w:rPr>
        <w:t>ing</w:t>
      </w:r>
      <w:r w:rsidR="00452379" w:rsidRPr="00D2758E">
        <w:rPr>
          <w:rFonts w:asciiTheme="majorBidi" w:hAnsiTheme="majorBidi" w:cstheme="majorBidi"/>
        </w:rPr>
        <w:t xml:space="preserve"> their activities with conservation</w:t>
      </w:r>
      <w:r w:rsidR="005744B1">
        <w:rPr>
          <w:rFonts w:asciiTheme="majorBidi" w:hAnsiTheme="majorBidi" w:cstheme="majorBidi"/>
        </w:rPr>
        <w:t>-related</w:t>
      </w:r>
      <w:r w:rsidR="00452379" w:rsidRPr="00D2758E">
        <w:rPr>
          <w:rFonts w:asciiTheme="majorBidi" w:hAnsiTheme="majorBidi" w:cstheme="majorBidi"/>
        </w:rPr>
        <w:t xml:space="preserve"> objectives</w:t>
      </w:r>
      <w:r w:rsidR="000E5A05">
        <w:rPr>
          <w:rFonts w:asciiTheme="majorBidi" w:hAnsiTheme="majorBidi" w:cstheme="majorBidi"/>
        </w:rPr>
        <w:t>;</w:t>
      </w:r>
      <w:r w:rsidR="00452379" w:rsidRPr="00D2758E">
        <w:rPr>
          <w:rFonts w:asciiTheme="majorBidi" w:hAnsiTheme="majorBidi" w:cstheme="majorBidi"/>
        </w:rPr>
        <w:t xml:space="preserve"> </w:t>
      </w:r>
    </w:p>
    <w:p w14:paraId="06525B20" w14:textId="624ACCEF" w:rsidR="00452379" w:rsidRPr="00D2758E" w:rsidRDefault="00452379" w:rsidP="00A558F3">
      <w:pPr>
        <w:pStyle w:val="CBDNormalNumber"/>
        <w:numPr>
          <w:ilvl w:val="1"/>
          <w:numId w:val="7"/>
        </w:numPr>
        <w:rPr>
          <w:rFonts w:asciiTheme="majorBidi" w:hAnsiTheme="majorBidi" w:cstheme="majorBidi"/>
        </w:rPr>
      </w:pPr>
      <w:r w:rsidRPr="00D2758E">
        <w:rPr>
          <w:rFonts w:asciiTheme="majorBidi" w:hAnsiTheme="majorBidi" w:cstheme="majorBidi"/>
        </w:rPr>
        <w:t>Enhanced capacity</w:t>
      </w:r>
      <w:r w:rsidR="005351E3">
        <w:rPr>
          <w:rFonts w:asciiTheme="majorBidi" w:hAnsiTheme="majorBidi" w:cstheme="majorBidi"/>
        </w:rPr>
        <w:t>-</w:t>
      </w:r>
      <w:r w:rsidRPr="00D2758E">
        <w:rPr>
          <w:rFonts w:asciiTheme="majorBidi" w:hAnsiTheme="majorBidi" w:cstheme="majorBidi"/>
        </w:rPr>
        <w:t>building, information exchange, technology transfer and co-authorship arrangements, which significantly enhance</w:t>
      </w:r>
      <w:r w:rsidR="000F3F76">
        <w:rPr>
          <w:rFonts w:asciiTheme="majorBidi" w:hAnsiTheme="majorBidi" w:cstheme="majorBidi"/>
        </w:rPr>
        <w:t>d</w:t>
      </w:r>
      <w:r w:rsidRPr="00D2758E">
        <w:rPr>
          <w:rFonts w:asciiTheme="majorBidi" w:hAnsiTheme="majorBidi" w:cstheme="majorBidi"/>
        </w:rPr>
        <w:t xml:space="preserve"> national research capacity</w:t>
      </w:r>
      <w:r w:rsidR="000E5A05">
        <w:rPr>
          <w:rFonts w:asciiTheme="majorBidi" w:hAnsiTheme="majorBidi" w:cstheme="majorBidi"/>
        </w:rPr>
        <w:t>;</w:t>
      </w:r>
    </w:p>
    <w:p w14:paraId="207E9D2A" w14:textId="6AA4D9EB" w:rsidR="00452379" w:rsidRPr="00D2758E" w:rsidRDefault="00452379" w:rsidP="00A558F3">
      <w:pPr>
        <w:pStyle w:val="CBDNormalNumber"/>
        <w:numPr>
          <w:ilvl w:val="1"/>
          <w:numId w:val="7"/>
        </w:numPr>
        <w:rPr>
          <w:rFonts w:asciiTheme="majorBidi" w:hAnsiTheme="majorBidi" w:cstheme="majorBidi"/>
        </w:rPr>
      </w:pPr>
      <w:r w:rsidRPr="00D2758E">
        <w:rPr>
          <w:rFonts w:asciiTheme="majorBidi" w:hAnsiTheme="majorBidi" w:cstheme="majorBidi"/>
        </w:rPr>
        <w:t xml:space="preserve">Enhanced participation </w:t>
      </w:r>
      <w:r w:rsidR="00D13396" w:rsidRPr="00D2758E">
        <w:rPr>
          <w:rFonts w:asciiTheme="majorBidi" w:hAnsiTheme="majorBidi" w:cstheme="majorBidi"/>
        </w:rPr>
        <w:t xml:space="preserve">of indigenous peoples and local communities </w:t>
      </w:r>
      <w:r w:rsidRPr="00D2758E">
        <w:rPr>
          <w:rFonts w:asciiTheme="majorBidi" w:hAnsiTheme="majorBidi" w:cstheme="majorBidi"/>
        </w:rPr>
        <w:t xml:space="preserve">in biodiversity governance </w:t>
      </w:r>
      <w:r w:rsidRPr="00D2758E">
        <w:t>and</w:t>
      </w:r>
      <w:r w:rsidRPr="00D2758E">
        <w:rPr>
          <w:rFonts w:asciiTheme="majorBidi" w:hAnsiTheme="majorBidi" w:cstheme="majorBidi"/>
        </w:rPr>
        <w:t xml:space="preserve"> strengthened ownership and sustainability of efforts</w:t>
      </w:r>
      <w:r w:rsidR="000E5A05">
        <w:rPr>
          <w:rFonts w:asciiTheme="majorBidi" w:hAnsiTheme="majorBidi" w:cstheme="majorBidi"/>
        </w:rPr>
        <w:t>;</w:t>
      </w:r>
    </w:p>
    <w:p w14:paraId="34601320" w14:textId="5FCBD8DD" w:rsidR="00452379" w:rsidRPr="00D2758E" w:rsidRDefault="006E27E5" w:rsidP="00A558F3">
      <w:pPr>
        <w:pStyle w:val="CBDNormalNumber"/>
        <w:numPr>
          <w:ilvl w:val="1"/>
          <w:numId w:val="7"/>
        </w:numPr>
        <w:rPr>
          <w:rFonts w:asciiTheme="majorBidi" w:hAnsiTheme="majorBidi" w:cstheme="majorBidi"/>
        </w:rPr>
      </w:pPr>
      <w:r>
        <w:rPr>
          <w:rFonts w:asciiTheme="majorBidi" w:hAnsiTheme="majorBidi" w:cstheme="majorBidi"/>
        </w:rPr>
        <w:t>Enjoyment of</w:t>
      </w:r>
      <w:r w:rsidR="003C3CD3" w:rsidRPr="00D2758E">
        <w:rPr>
          <w:rFonts w:asciiTheme="majorBidi" w:hAnsiTheme="majorBidi" w:cstheme="majorBidi"/>
        </w:rPr>
        <w:t xml:space="preserve"> non-monetary benefits </w:t>
      </w:r>
      <w:r>
        <w:rPr>
          <w:rFonts w:asciiTheme="majorBidi" w:hAnsiTheme="majorBidi" w:cstheme="majorBidi"/>
        </w:rPr>
        <w:t>by l</w:t>
      </w:r>
      <w:r w:rsidR="00E95394" w:rsidRPr="00D2758E">
        <w:rPr>
          <w:rFonts w:asciiTheme="majorBidi" w:hAnsiTheme="majorBidi" w:cstheme="majorBidi"/>
        </w:rPr>
        <w:t>ocal u</w:t>
      </w:r>
      <w:r w:rsidR="00452379" w:rsidRPr="00D2758E">
        <w:rPr>
          <w:rFonts w:asciiTheme="majorBidi" w:hAnsiTheme="majorBidi" w:cstheme="majorBidi"/>
        </w:rPr>
        <w:t>niversities, research centres, gene banks</w:t>
      </w:r>
      <w:r w:rsidR="00B3058C" w:rsidRPr="00D2758E">
        <w:rPr>
          <w:rFonts w:asciiTheme="majorBidi" w:hAnsiTheme="majorBidi" w:cstheme="majorBidi"/>
        </w:rPr>
        <w:t>,</w:t>
      </w:r>
      <w:r w:rsidR="00452379" w:rsidRPr="00D2758E">
        <w:rPr>
          <w:rFonts w:asciiTheme="majorBidi" w:hAnsiTheme="majorBidi" w:cstheme="majorBidi"/>
        </w:rPr>
        <w:t xml:space="preserve"> public institutions</w:t>
      </w:r>
      <w:r w:rsidR="00B3058C" w:rsidRPr="00D2758E">
        <w:rPr>
          <w:rFonts w:asciiTheme="majorBidi" w:hAnsiTheme="majorBidi" w:cstheme="majorBidi"/>
        </w:rPr>
        <w:t>,</w:t>
      </w:r>
      <w:r w:rsidR="00452379" w:rsidRPr="00D2758E">
        <w:rPr>
          <w:rFonts w:asciiTheme="majorBidi" w:hAnsiTheme="majorBidi" w:cstheme="majorBidi"/>
        </w:rPr>
        <w:t xml:space="preserve"> students </w:t>
      </w:r>
      <w:r w:rsidR="00440C6E">
        <w:rPr>
          <w:rFonts w:asciiTheme="majorBidi" w:hAnsiTheme="majorBidi" w:cstheme="majorBidi"/>
        </w:rPr>
        <w:t>and</w:t>
      </w:r>
      <w:r w:rsidR="00452379" w:rsidRPr="00D2758E">
        <w:rPr>
          <w:rFonts w:asciiTheme="majorBidi" w:hAnsiTheme="majorBidi" w:cstheme="majorBidi"/>
        </w:rPr>
        <w:t xml:space="preserve"> local laboratories.</w:t>
      </w:r>
    </w:p>
    <w:p w14:paraId="64CA754F" w14:textId="2A4B8E9F" w:rsidR="00452379" w:rsidRPr="00D2758E" w:rsidRDefault="00452379" w:rsidP="00F01C9E">
      <w:pPr>
        <w:pStyle w:val="CBDTableTitle"/>
      </w:pPr>
      <w:r w:rsidRPr="00F01C9E">
        <w:rPr>
          <w:b w:val="0"/>
          <w:bCs/>
        </w:rPr>
        <w:t>Table 8</w:t>
      </w:r>
      <w:r w:rsidRPr="00D2758E">
        <w:t xml:space="preserve"> </w:t>
      </w:r>
      <w:r w:rsidR="00F01C9E">
        <w:br/>
      </w:r>
      <w:r w:rsidRPr="00D2758E">
        <w:t>Indicators to measures progress on effectiveness of implementation of the Nagoya Protocol</w:t>
      </w:r>
    </w:p>
    <w:tbl>
      <w:tblPr>
        <w:tblW w:w="9144" w:type="dxa"/>
        <w:tblInd w:w="56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803"/>
        <w:gridCol w:w="1829"/>
        <w:gridCol w:w="1512"/>
      </w:tblGrid>
      <w:tr w:rsidR="00452379" w:rsidRPr="000E5A05" w14:paraId="5A70E7D4" w14:textId="77777777" w:rsidTr="006B066D">
        <w:trPr>
          <w:cantSplit/>
        </w:trPr>
        <w:tc>
          <w:tcPr>
            <w:tcW w:w="5803" w:type="dxa"/>
            <w:tcBorders>
              <w:top w:val="single" w:sz="4" w:space="0" w:color="auto"/>
              <w:left w:val="single" w:sz="4" w:space="0" w:color="auto"/>
              <w:bottom w:val="single" w:sz="4" w:space="0" w:color="auto"/>
              <w:right w:val="single" w:sz="4" w:space="0" w:color="auto"/>
            </w:tcBorders>
            <w:tcMar>
              <w:top w:w="29" w:type="dxa"/>
              <w:left w:w="115" w:type="dxa"/>
              <w:bottom w:w="29" w:type="dxa"/>
              <w:right w:w="115" w:type="dxa"/>
            </w:tcMar>
            <w:vAlign w:val="bottom"/>
            <w:hideMark/>
          </w:tcPr>
          <w:p w14:paraId="46034ADD" w14:textId="77777777" w:rsidR="00452379" w:rsidRPr="006B066D" w:rsidRDefault="00452379" w:rsidP="006B066D">
            <w:pPr>
              <w:keepNext/>
              <w:suppressLineNumbers/>
              <w:suppressAutoHyphens/>
              <w:kinsoku w:val="0"/>
              <w:overflowPunct w:val="0"/>
              <w:autoSpaceDE w:val="0"/>
              <w:autoSpaceDN w:val="0"/>
              <w:adjustRightInd w:val="0"/>
              <w:snapToGrid w:val="0"/>
              <w:ind w:left="314" w:hanging="360"/>
              <w:jc w:val="left"/>
              <w:rPr>
                <w:rFonts w:asciiTheme="majorBidi" w:hAnsiTheme="majorBidi" w:cstheme="majorBidi"/>
                <w:i/>
                <w:iCs/>
                <w:kern w:val="22"/>
                <w:sz w:val="20"/>
                <w:szCs w:val="20"/>
              </w:rPr>
            </w:pPr>
            <w:bookmarkStart w:id="9" w:name="_Hlk215227679"/>
            <w:r w:rsidRPr="006B066D">
              <w:rPr>
                <w:rFonts w:asciiTheme="majorBidi" w:hAnsiTheme="majorBidi" w:cstheme="majorBidi"/>
                <w:i/>
                <w:iCs/>
                <w:kern w:val="22"/>
                <w:sz w:val="20"/>
                <w:szCs w:val="20"/>
              </w:rPr>
              <w:t>Framework of indicators</w:t>
            </w:r>
          </w:p>
        </w:tc>
        <w:tc>
          <w:tcPr>
            <w:tcW w:w="1829" w:type="dxa"/>
            <w:tcBorders>
              <w:top w:val="single" w:sz="4" w:space="0" w:color="auto"/>
              <w:left w:val="single" w:sz="4" w:space="0" w:color="auto"/>
              <w:bottom w:val="single" w:sz="4" w:space="0" w:color="auto"/>
              <w:right w:val="single" w:sz="4" w:space="0" w:color="auto"/>
            </w:tcBorders>
            <w:tcMar>
              <w:top w:w="29" w:type="dxa"/>
              <w:left w:w="115" w:type="dxa"/>
              <w:bottom w:w="29" w:type="dxa"/>
              <w:right w:w="115" w:type="dxa"/>
            </w:tcMar>
            <w:vAlign w:val="bottom"/>
            <w:hideMark/>
          </w:tcPr>
          <w:p w14:paraId="075BE119" w14:textId="2FAB38AA" w:rsidR="00452379" w:rsidRPr="006B066D" w:rsidRDefault="00452379" w:rsidP="006B066D">
            <w:pPr>
              <w:keepNext/>
              <w:suppressLineNumbers/>
              <w:suppressAutoHyphens/>
              <w:kinsoku w:val="0"/>
              <w:overflowPunct w:val="0"/>
              <w:autoSpaceDE w:val="0"/>
              <w:autoSpaceDN w:val="0"/>
              <w:adjustRightInd w:val="0"/>
              <w:snapToGrid w:val="0"/>
              <w:jc w:val="right"/>
              <w:rPr>
                <w:rFonts w:asciiTheme="majorBidi" w:hAnsiTheme="majorBidi" w:cstheme="majorBidi"/>
                <w:i/>
                <w:iCs/>
                <w:kern w:val="22"/>
                <w:sz w:val="20"/>
                <w:szCs w:val="20"/>
              </w:rPr>
            </w:pPr>
            <w:r w:rsidRPr="006B066D">
              <w:rPr>
                <w:rFonts w:asciiTheme="majorBidi" w:hAnsiTheme="majorBidi" w:cstheme="majorBidi"/>
                <w:i/>
                <w:iCs/>
                <w:kern w:val="22"/>
                <w:sz w:val="20"/>
                <w:szCs w:val="20"/>
              </w:rPr>
              <w:t xml:space="preserve">Reference point </w:t>
            </w:r>
            <w:r w:rsidR="005351E3">
              <w:rPr>
                <w:rFonts w:asciiTheme="majorBidi" w:hAnsiTheme="majorBidi" w:cstheme="majorBidi"/>
                <w:i/>
                <w:iCs/>
                <w:kern w:val="22"/>
                <w:sz w:val="20"/>
                <w:szCs w:val="20"/>
              </w:rPr>
              <w:br/>
            </w:r>
            <w:r w:rsidRPr="006B066D">
              <w:rPr>
                <w:rFonts w:asciiTheme="majorBidi" w:hAnsiTheme="majorBidi" w:cstheme="majorBidi"/>
                <w:i/>
                <w:iCs/>
                <w:kern w:val="22"/>
                <w:sz w:val="20"/>
                <w:szCs w:val="20"/>
              </w:rPr>
              <w:t xml:space="preserve">(as </w:t>
            </w:r>
            <w:r w:rsidR="000E5A05">
              <w:rPr>
                <w:rFonts w:asciiTheme="majorBidi" w:hAnsiTheme="majorBidi" w:cstheme="majorBidi"/>
                <w:i/>
                <w:iCs/>
                <w:kern w:val="22"/>
                <w:sz w:val="20"/>
                <w:szCs w:val="20"/>
              </w:rPr>
              <w:t>at</w:t>
            </w:r>
            <w:r w:rsidR="000E5A05" w:rsidRPr="006B066D">
              <w:rPr>
                <w:rFonts w:asciiTheme="majorBidi" w:hAnsiTheme="majorBidi" w:cstheme="majorBidi"/>
                <w:i/>
                <w:iCs/>
                <w:kern w:val="22"/>
                <w:sz w:val="20"/>
                <w:szCs w:val="20"/>
              </w:rPr>
              <w:t xml:space="preserve"> </w:t>
            </w:r>
            <w:r w:rsidRPr="006B066D">
              <w:rPr>
                <w:rFonts w:asciiTheme="majorBidi" w:hAnsiTheme="majorBidi" w:cstheme="majorBidi"/>
                <w:i/>
                <w:iCs/>
                <w:kern w:val="22"/>
                <w:sz w:val="20"/>
                <w:szCs w:val="20"/>
              </w:rPr>
              <w:t>22 February 2018)</w:t>
            </w:r>
          </w:p>
        </w:tc>
        <w:tc>
          <w:tcPr>
            <w:tcW w:w="1512" w:type="dxa"/>
            <w:tcBorders>
              <w:top w:val="single" w:sz="4" w:space="0" w:color="auto"/>
              <w:left w:val="single" w:sz="4" w:space="0" w:color="auto"/>
              <w:bottom w:val="single" w:sz="4" w:space="0" w:color="auto"/>
              <w:right w:val="single" w:sz="4" w:space="0" w:color="auto"/>
            </w:tcBorders>
            <w:vAlign w:val="bottom"/>
          </w:tcPr>
          <w:p w14:paraId="6AD72344" w14:textId="0ECBFEA1" w:rsidR="00452379" w:rsidRPr="006B066D" w:rsidRDefault="002D6198" w:rsidP="006B066D">
            <w:pPr>
              <w:keepNext/>
              <w:suppressLineNumbers/>
              <w:suppressAutoHyphens/>
              <w:kinsoku w:val="0"/>
              <w:overflowPunct w:val="0"/>
              <w:autoSpaceDE w:val="0"/>
              <w:autoSpaceDN w:val="0"/>
              <w:adjustRightInd w:val="0"/>
              <w:snapToGrid w:val="0"/>
              <w:jc w:val="right"/>
              <w:rPr>
                <w:rFonts w:asciiTheme="majorBidi" w:hAnsiTheme="majorBidi" w:cstheme="majorBidi"/>
                <w:i/>
                <w:iCs/>
                <w:kern w:val="22"/>
                <w:sz w:val="20"/>
                <w:szCs w:val="20"/>
              </w:rPr>
            </w:pPr>
            <w:r>
              <w:rPr>
                <w:rFonts w:asciiTheme="majorBidi" w:hAnsiTheme="majorBidi" w:cstheme="majorBidi"/>
                <w:i/>
                <w:iCs/>
                <w:kern w:val="22"/>
                <w:sz w:val="20"/>
                <w:szCs w:val="20"/>
              </w:rPr>
              <w:t>Progress</w:t>
            </w:r>
            <w:r w:rsidR="00F320AB">
              <w:rPr>
                <w:rFonts w:asciiTheme="majorBidi" w:hAnsiTheme="majorBidi" w:cstheme="majorBidi"/>
                <w:i/>
                <w:iCs/>
                <w:kern w:val="22"/>
                <w:sz w:val="20"/>
                <w:szCs w:val="20"/>
              </w:rPr>
              <w:t xml:space="preserve"> </w:t>
            </w:r>
            <w:r w:rsidR="00671AA3">
              <w:rPr>
                <w:rFonts w:asciiTheme="majorBidi" w:hAnsiTheme="majorBidi" w:cstheme="majorBidi"/>
                <w:i/>
                <w:iCs/>
                <w:kern w:val="22"/>
                <w:sz w:val="20"/>
                <w:szCs w:val="20"/>
              </w:rPr>
              <w:t xml:space="preserve">as at </w:t>
            </w:r>
            <w:r w:rsidR="00452379" w:rsidRPr="006B066D">
              <w:rPr>
                <w:rFonts w:asciiTheme="majorBidi" w:hAnsiTheme="majorBidi" w:cstheme="majorBidi"/>
                <w:i/>
                <w:iCs/>
                <w:kern w:val="22"/>
                <w:sz w:val="20"/>
                <w:szCs w:val="20"/>
              </w:rPr>
              <w:t>9 March 2026</w:t>
            </w:r>
          </w:p>
        </w:tc>
      </w:tr>
      <w:tr w:rsidR="00452379" w:rsidRPr="00D2758E" w14:paraId="14C7C425" w14:textId="77777777" w:rsidTr="006B066D">
        <w:trPr>
          <w:cantSplit/>
        </w:trPr>
        <w:tc>
          <w:tcPr>
            <w:tcW w:w="5803" w:type="dxa"/>
            <w:tcBorders>
              <w:top w:val="single" w:sz="4" w:space="0" w:color="auto"/>
              <w:left w:val="single" w:sz="4" w:space="0" w:color="auto"/>
              <w:bottom w:val="single" w:sz="4" w:space="0" w:color="auto"/>
              <w:right w:val="single" w:sz="4" w:space="0" w:color="auto"/>
            </w:tcBorders>
            <w:tcMar>
              <w:top w:w="29" w:type="dxa"/>
              <w:left w:w="115" w:type="dxa"/>
              <w:bottom w:w="29" w:type="dxa"/>
              <w:right w:w="115" w:type="dxa"/>
            </w:tcMar>
          </w:tcPr>
          <w:p w14:paraId="387AA13C" w14:textId="5BDEA18D" w:rsidR="00452379" w:rsidRPr="00D2758E" w:rsidRDefault="00452379" w:rsidP="006B066D">
            <w:pPr>
              <w:suppressLineNumbers/>
              <w:suppressAutoHyphens/>
              <w:kinsoku w:val="0"/>
              <w:overflowPunct w:val="0"/>
              <w:autoSpaceDE w:val="0"/>
              <w:autoSpaceDN w:val="0"/>
              <w:adjustRightInd w:val="0"/>
              <w:snapToGrid w:val="0"/>
              <w:jc w:val="left"/>
              <w:rPr>
                <w:rFonts w:asciiTheme="majorBidi" w:hAnsiTheme="majorBidi" w:cstheme="majorBidi"/>
                <w:kern w:val="22"/>
                <w:sz w:val="20"/>
                <w:szCs w:val="20"/>
              </w:rPr>
            </w:pPr>
            <w:r w:rsidRPr="00D2758E">
              <w:rPr>
                <w:rFonts w:asciiTheme="majorBidi" w:hAnsiTheme="majorBidi" w:cstheme="majorBidi"/>
                <w:kern w:val="22"/>
                <w:sz w:val="20"/>
                <w:szCs w:val="20"/>
              </w:rPr>
              <w:t xml:space="preserve">Number and </w:t>
            </w:r>
            <w:proofErr w:type="spellStart"/>
            <w:r w:rsidRPr="00D2758E">
              <w:rPr>
                <w:rFonts w:asciiTheme="majorBidi" w:hAnsiTheme="majorBidi" w:cstheme="majorBidi"/>
                <w:kern w:val="22"/>
                <w:sz w:val="20"/>
                <w:szCs w:val="20"/>
              </w:rPr>
              <w:t>percentage</w:t>
            </w:r>
            <w:r w:rsidR="001445EA" w:rsidRPr="006B066D">
              <w:rPr>
                <w:rFonts w:asciiTheme="majorBidi" w:hAnsiTheme="majorBidi" w:cstheme="majorBidi"/>
                <w:i/>
                <w:iCs/>
                <w:kern w:val="22"/>
                <w:sz w:val="20"/>
                <w:szCs w:val="20"/>
                <w:vertAlign w:val="superscript"/>
              </w:rPr>
              <w:t>a</w:t>
            </w:r>
            <w:proofErr w:type="spellEnd"/>
            <w:r w:rsidRPr="00D2758E">
              <w:rPr>
                <w:rFonts w:asciiTheme="majorBidi" w:hAnsiTheme="majorBidi" w:cstheme="majorBidi"/>
                <w:kern w:val="22"/>
                <w:sz w:val="20"/>
                <w:szCs w:val="20"/>
              </w:rPr>
              <w:t xml:space="preserve"> of Parties requiring prior informed consent for access to genetic resources that provide information on how to apply for prior informed consent as provided in Article 6</w:t>
            </w:r>
            <w:r w:rsidR="002B131F">
              <w:rPr>
                <w:rFonts w:asciiTheme="majorBidi" w:hAnsiTheme="majorBidi" w:cstheme="majorBidi"/>
                <w:kern w:val="22"/>
                <w:sz w:val="20"/>
                <w:szCs w:val="20"/>
              </w:rPr>
              <w:t xml:space="preserve"> (</w:t>
            </w:r>
            <w:r w:rsidRPr="00D2758E">
              <w:rPr>
                <w:rFonts w:asciiTheme="majorBidi" w:hAnsiTheme="majorBidi" w:cstheme="majorBidi"/>
                <w:kern w:val="22"/>
                <w:sz w:val="20"/>
                <w:szCs w:val="20"/>
              </w:rPr>
              <w:t>3</w:t>
            </w:r>
            <w:r w:rsidR="002B131F">
              <w:rPr>
                <w:rFonts w:asciiTheme="majorBidi" w:hAnsiTheme="majorBidi" w:cstheme="majorBidi"/>
                <w:kern w:val="22"/>
                <w:sz w:val="20"/>
                <w:szCs w:val="20"/>
              </w:rPr>
              <w:t>)</w:t>
            </w:r>
            <w:r w:rsidRPr="00D2758E">
              <w:rPr>
                <w:rFonts w:asciiTheme="majorBidi" w:hAnsiTheme="majorBidi" w:cstheme="majorBidi"/>
                <w:kern w:val="22"/>
                <w:sz w:val="20"/>
                <w:szCs w:val="20"/>
              </w:rPr>
              <w:t xml:space="preserve"> (c)</w:t>
            </w:r>
          </w:p>
        </w:tc>
        <w:tc>
          <w:tcPr>
            <w:tcW w:w="1829" w:type="dxa"/>
            <w:tcBorders>
              <w:top w:val="single" w:sz="4" w:space="0" w:color="auto"/>
              <w:left w:val="single" w:sz="4" w:space="0" w:color="auto"/>
              <w:bottom w:val="single" w:sz="4" w:space="0" w:color="auto"/>
              <w:right w:val="single" w:sz="4" w:space="0" w:color="auto"/>
            </w:tcBorders>
            <w:tcMar>
              <w:top w:w="29" w:type="dxa"/>
              <w:left w:w="115" w:type="dxa"/>
              <w:bottom w:w="29" w:type="dxa"/>
              <w:right w:w="115" w:type="dxa"/>
            </w:tcMar>
            <w:vAlign w:val="bottom"/>
          </w:tcPr>
          <w:p w14:paraId="53883FE1" w14:textId="06E87A3D" w:rsidR="00452379" w:rsidRPr="00D2758E" w:rsidRDefault="00452379" w:rsidP="006B066D">
            <w:pPr>
              <w:suppressLineNumbers/>
              <w:suppressAutoHyphens/>
              <w:kinsoku w:val="0"/>
              <w:overflowPunct w:val="0"/>
              <w:autoSpaceDE w:val="0"/>
              <w:autoSpaceDN w:val="0"/>
              <w:adjustRightInd w:val="0"/>
              <w:snapToGrid w:val="0"/>
              <w:jc w:val="right"/>
              <w:rPr>
                <w:rFonts w:asciiTheme="majorBidi" w:hAnsiTheme="majorBidi" w:cstheme="majorBidi"/>
                <w:kern w:val="22"/>
                <w:sz w:val="20"/>
                <w:szCs w:val="20"/>
              </w:rPr>
            </w:pPr>
            <w:r w:rsidRPr="00D2758E">
              <w:rPr>
                <w:rFonts w:asciiTheme="majorBidi" w:hAnsiTheme="majorBidi" w:cstheme="majorBidi"/>
                <w:kern w:val="22"/>
                <w:sz w:val="20"/>
                <w:szCs w:val="20"/>
              </w:rPr>
              <w:t>27 (7</w:t>
            </w:r>
            <w:r w:rsidR="00FD4890">
              <w:rPr>
                <w:rFonts w:asciiTheme="majorBidi" w:hAnsiTheme="majorBidi" w:cstheme="majorBidi"/>
                <w:kern w:val="22"/>
                <w:sz w:val="20"/>
                <w:szCs w:val="20"/>
              </w:rPr>
              <w:t xml:space="preserve"> per cent</w:t>
            </w:r>
            <w:r w:rsidRPr="00D2758E">
              <w:rPr>
                <w:rFonts w:asciiTheme="majorBidi" w:hAnsiTheme="majorBidi" w:cstheme="majorBidi"/>
                <w:kern w:val="22"/>
                <w:sz w:val="20"/>
                <w:szCs w:val="20"/>
              </w:rPr>
              <w:t>)</w:t>
            </w:r>
          </w:p>
        </w:tc>
        <w:tc>
          <w:tcPr>
            <w:tcW w:w="1512" w:type="dxa"/>
            <w:vAlign w:val="bottom"/>
          </w:tcPr>
          <w:p w14:paraId="2D0786B6" w14:textId="1FA62BBC" w:rsidR="00452379" w:rsidRPr="00D2758E" w:rsidRDefault="00452379" w:rsidP="006B066D">
            <w:pPr>
              <w:suppressLineNumbers/>
              <w:suppressAutoHyphens/>
              <w:kinsoku w:val="0"/>
              <w:overflowPunct w:val="0"/>
              <w:autoSpaceDE w:val="0"/>
              <w:autoSpaceDN w:val="0"/>
              <w:adjustRightInd w:val="0"/>
              <w:snapToGrid w:val="0"/>
              <w:jc w:val="right"/>
              <w:rPr>
                <w:rFonts w:asciiTheme="majorBidi" w:hAnsiTheme="majorBidi" w:cstheme="majorBidi"/>
                <w:kern w:val="22"/>
                <w:sz w:val="20"/>
                <w:szCs w:val="20"/>
              </w:rPr>
            </w:pPr>
            <w:r w:rsidRPr="00D2758E">
              <w:rPr>
                <w:rFonts w:asciiTheme="majorBidi" w:hAnsiTheme="majorBidi" w:cstheme="majorBidi"/>
                <w:kern w:val="22"/>
                <w:sz w:val="20"/>
                <w:szCs w:val="20"/>
              </w:rPr>
              <w:t>68 (91</w:t>
            </w:r>
            <w:r w:rsidR="00FD4890">
              <w:rPr>
                <w:rFonts w:asciiTheme="majorBidi" w:hAnsiTheme="majorBidi" w:cstheme="majorBidi"/>
                <w:kern w:val="22"/>
                <w:sz w:val="20"/>
                <w:szCs w:val="20"/>
              </w:rPr>
              <w:t xml:space="preserve"> per cent</w:t>
            </w:r>
            <w:r w:rsidRPr="00D2758E">
              <w:rPr>
                <w:rFonts w:asciiTheme="majorBidi" w:hAnsiTheme="majorBidi" w:cstheme="majorBidi"/>
                <w:kern w:val="22"/>
                <w:sz w:val="20"/>
                <w:szCs w:val="20"/>
              </w:rPr>
              <w:t>)</w:t>
            </w:r>
          </w:p>
        </w:tc>
      </w:tr>
      <w:tr w:rsidR="00452379" w:rsidRPr="00D2758E" w14:paraId="4822D161" w14:textId="77777777" w:rsidTr="006B066D">
        <w:trPr>
          <w:cantSplit/>
        </w:trPr>
        <w:tc>
          <w:tcPr>
            <w:tcW w:w="5803" w:type="dxa"/>
            <w:tcBorders>
              <w:top w:val="single" w:sz="4" w:space="0" w:color="auto"/>
              <w:left w:val="single" w:sz="4" w:space="0" w:color="auto"/>
              <w:bottom w:val="single" w:sz="4" w:space="0" w:color="auto"/>
              <w:right w:val="single" w:sz="4" w:space="0" w:color="auto"/>
            </w:tcBorders>
            <w:tcMar>
              <w:top w:w="29" w:type="dxa"/>
              <w:left w:w="115" w:type="dxa"/>
              <w:bottom w:w="29" w:type="dxa"/>
              <w:right w:w="115" w:type="dxa"/>
            </w:tcMar>
          </w:tcPr>
          <w:p w14:paraId="4EBC729E" w14:textId="4BBD8649" w:rsidR="00452379" w:rsidRPr="00D2758E" w:rsidRDefault="00452379" w:rsidP="006B066D">
            <w:pPr>
              <w:suppressLineNumbers/>
              <w:suppressAutoHyphens/>
              <w:kinsoku w:val="0"/>
              <w:overflowPunct w:val="0"/>
              <w:autoSpaceDE w:val="0"/>
              <w:autoSpaceDN w:val="0"/>
              <w:adjustRightInd w:val="0"/>
              <w:snapToGrid w:val="0"/>
              <w:jc w:val="left"/>
              <w:rPr>
                <w:rFonts w:asciiTheme="majorBidi" w:hAnsiTheme="majorBidi" w:cstheme="majorBidi"/>
                <w:kern w:val="22"/>
                <w:sz w:val="20"/>
                <w:szCs w:val="20"/>
              </w:rPr>
            </w:pPr>
            <w:r w:rsidRPr="00D2758E">
              <w:rPr>
                <w:rFonts w:asciiTheme="majorBidi" w:hAnsiTheme="majorBidi" w:cstheme="majorBidi"/>
                <w:kern w:val="22"/>
                <w:sz w:val="20"/>
                <w:szCs w:val="20"/>
              </w:rPr>
              <w:t xml:space="preserve">Number and </w:t>
            </w:r>
            <w:proofErr w:type="spellStart"/>
            <w:r w:rsidRPr="00D2758E">
              <w:rPr>
                <w:rFonts w:asciiTheme="majorBidi" w:hAnsiTheme="majorBidi" w:cstheme="majorBidi"/>
                <w:kern w:val="22"/>
                <w:sz w:val="20"/>
                <w:szCs w:val="20"/>
              </w:rPr>
              <w:t>percentage</w:t>
            </w:r>
            <w:r w:rsidR="00294F3C">
              <w:rPr>
                <w:rFonts w:asciiTheme="majorBidi" w:hAnsiTheme="majorBidi" w:cstheme="majorBidi"/>
                <w:i/>
                <w:iCs/>
                <w:kern w:val="22"/>
                <w:sz w:val="20"/>
                <w:szCs w:val="20"/>
                <w:vertAlign w:val="superscript"/>
              </w:rPr>
              <w:t>a</w:t>
            </w:r>
            <w:proofErr w:type="spellEnd"/>
            <w:r w:rsidRPr="00D2758E">
              <w:rPr>
                <w:rFonts w:asciiTheme="majorBidi" w:hAnsiTheme="majorBidi" w:cstheme="majorBidi"/>
                <w:kern w:val="22"/>
                <w:sz w:val="20"/>
                <w:szCs w:val="20"/>
              </w:rPr>
              <w:t xml:space="preserve"> of Parties requiring prior informed consent providing for the issuance at the time of access of a permit or its equivalent as provided in Article 6</w:t>
            </w:r>
            <w:r w:rsidR="004442B7">
              <w:rPr>
                <w:rFonts w:asciiTheme="majorBidi" w:hAnsiTheme="majorBidi" w:cstheme="majorBidi"/>
                <w:kern w:val="22"/>
                <w:sz w:val="20"/>
                <w:szCs w:val="20"/>
              </w:rPr>
              <w:t xml:space="preserve"> (</w:t>
            </w:r>
            <w:r w:rsidRPr="00D2758E">
              <w:rPr>
                <w:rFonts w:asciiTheme="majorBidi" w:hAnsiTheme="majorBidi" w:cstheme="majorBidi"/>
                <w:kern w:val="22"/>
                <w:sz w:val="20"/>
                <w:szCs w:val="20"/>
              </w:rPr>
              <w:t>3</w:t>
            </w:r>
            <w:r w:rsidR="004442B7">
              <w:rPr>
                <w:rFonts w:asciiTheme="majorBidi" w:hAnsiTheme="majorBidi" w:cstheme="majorBidi"/>
                <w:kern w:val="22"/>
                <w:sz w:val="20"/>
                <w:szCs w:val="20"/>
              </w:rPr>
              <w:t>)</w:t>
            </w:r>
            <w:r w:rsidRPr="00D2758E">
              <w:rPr>
                <w:rFonts w:asciiTheme="majorBidi" w:hAnsiTheme="majorBidi" w:cstheme="majorBidi"/>
                <w:kern w:val="22"/>
                <w:sz w:val="20"/>
                <w:szCs w:val="20"/>
              </w:rPr>
              <w:t xml:space="preserve"> (e)</w:t>
            </w:r>
          </w:p>
        </w:tc>
        <w:tc>
          <w:tcPr>
            <w:tcW w:w="1829" w:type="dxa"/>
            <w:tcBorders>
              <w:top w:val="single" w:sz="4" w:space="0" w:color="auto"/>
              <w:left w:val="single" w:sz="4" w:space="0" w:color="auto"/>
              <w:bottom w:val="single" w:sz="4" w:space="0" w:color="auto"/>
              <w:right w:val="single" w:sz="4" w:space="0" w:color="auto"/>
            </w:tcBorders>
            <w:tcMar>
              <w:top w:w="29" w:type="dxa"/>
              <w:left w:w="115" w:type="dxa"/>
              <w:bottom w:w="29" w:type="dxa"/>
              <w:right w:w="115" w:type="dxa"/>
            </w:tcMar>
            <w:vAlign w:val="bottom"/>
          </w:tcPr>
          <w:p w14:paraId="2E85F390" w14:textId="40D58D7D" w:rsidR="00452379" w:rsidRPr="00D2758E" w:rsidRDefault="00452379" w:rsidP="006B066D">
            <w:pPr>
              <w:suppressLineNumbers/>
              <w:suppressAutoHyphens/>
              <w:kinsoku w:val="0"/>
              <w:overflowPunct w:val="0"/>
              <w:autoSpaceDE w:val="0"/>
              <w:autoSpaceDN w:val="0"/>
              <w:adjustRightInd w:val="0"/>
              <w:snapToGrid w:val="0"/>
              <w:jc w:val="right"/>
              <w:rPr>
                <w:rFonts w:asciiTheme="majorBidi" w:hAnsiTheme="majorBidi" w:cstheme="majorBidi"/>
                <w:kern w:val="22"/>
                <w:sz w:val="20"/>
                <w:szCs w:val="20"/>
              </w:rPr>
            </w:pPr>
            <w:r w:rsidRPr="00D2758E">
              <w:rPr>
                <w:rFonts w:asciiTheme="majorBidi" w:hAnsiTheme="majorBidi" w:cstheme="majorBidi"/>
                <w:kern w:val="22"/>
                <w:sz w:val="20"/>
                <w:szCs w:val="20"/>
              </w:rPr>
              <w:t>32 (86</w:t>
            </w:r>
            <w:r w:rsidR="00FD4890">
              <w:rPr>
                <w:rFonts w:asciiTheme="majorBidi" w:hAnsiTheme="majorBidi" w:cstheme="majorBidi"/>
                <w:kern w:val="22"/>
                <w:sz w:val="20"/>
                <w:szCs w:val="20"/>
              </w:rPr>
              <w:t xml:space="preserve"> per cent</w:t>
            </w:r>
            <w:r w:rsidRPr="00D2758E">
              <w:rPr>
                <w:rFonts w:asciiTheme="majorBidi" w:hAnsiTheme="majorBidi" w:cstheme="majorBidi"/>
                <w:kern w:val="22"/>
                <w:sz w:val="20"/>
                <w:szCs w:val="20"/>
              </w:rPr>
              <w:t>)</w:t>
            </w:r>
          </w:p>
        </w:tc>
        <w:tc>
          <w:tcPr>
            <w:tcW w:w="1512" w:type="dxa"/>
            <w:tcBorders>
              <w:top w:val="single" w:sz="4" w:space="0" w:color="auto"/>
              <w:left w:val="single" w:sz="4" w:space="0" w:color="auto"/>
              <w:bottom w:val="single" w:sz="4" w:space="0" w:color="auto"/>
              <w:right w:val="single" w:sz="4" w:space="0" w:color="auto"/>
            </w:tcBorders>
            <w:vAlign w:val="bottom"/>
          </w:tcPr>
          <w:p w14:paraId="63DD9ED2" w14:textId="5BA1CE9F" w:rsidR="00452379" w:rsidRPr="00D2758E" w:rsidRDefault="00452379" w:rsidP="006B066D">
            <w:pPr>
              <w:suppressLineNumbers/>
              <w:suppressAutoHyphens/>
              <w:kinsoku w:val="0"/>
              <w:overflowPunct w:val="0"/>
              <w:autoSpaceDE w:val="0"/>
              <w:autoSpaceDN w:val="0"/>
              <w:adjustRightInd w:val="0"/>
              <w:snapToGrid w:val="0"/>
              <w:jc w:val="right"/>
              <w:rPr>
                <w:rFonts w:asciiTheme="majorBidi" w:hAnsiTheme="majorBidi" w:cstheme="majorBidi"/>
                <w:kern w:val="22"/>
                <w:sz w:val="20"/>
                <w:szCs w:val="20"/>
              </w:rPr>
            </w:pPr>
            <w:r w:rsidRPr="00D2758E">
              <w:rPr>
                <w:rFonts w:asciiTheme="majorBidi" w:hAnsiTheme="majorBidi" w:cstheme="majorBidi"/>
                <w:kern w:val="22"/>
                <w:sz w:val="20"/>
                <w:szCs w:val="20"/>
              </w:rPr>
              <w:t>69 (93</w:t>
            </w:r>
            <w:r w:rsidR="00FD4890">
              <w:rPr>
                <w:rFonts w:asciiTheme="majorBidi" w:hAnsiTheme="majorBidi" w:cstheme="majorBidi"/>
                <w:kern w:val="22"/>
                <w:sz w:val="20"/>
                <w:szCs w:val="20"/>
              </w:rPr>
              <w:t xml:space="preserve"> per cent</w:t>
            </w:r>
            <w:r w:rsidRPr="00D2758E">
              <w:rPr>
                <w:rFonts w:asciiTheme="majorBidi" w:hAnsiTheme="majorBidi" w:cstheme="majorBidi"/>
                <w:kern w:val="22"/>
                <w:sz w:val="20"/>
                <w:szCs w:val="20"/>
              </w:rPr>
              <w:t>)</w:t>
            </w:r>
          </w:p>
        </w:tc>
      </w:tr>
      <w:tr w:rsidR="00452379" w:rsidRPr="00D2758E" w14:paraId="63232BBB" w14:textId="77777777" w:rsidTr="006B066D">
        <w:trPr>
          <w:cantSplit/>
        </w:trPr>
        <w:tc>
          <w:tcPr>
            <w:tcW w:w="5803" w:type="dxa"/>
            <w:tcBorders>
              <w:top w:val="single" w:sz="4" w:space="0" w:color="auto"/>
              <w:left w:val="single" w:sz="4" w:space="0" w:color="auto"/>
              <w:bottom w:val="single" w:sz="4" w:space="0" w:color="auto"/>
              <w:right w:val="single" w:sz="4" w:space="0" w:color="auto"/>
            </w:tcBorders>
            <w:tcMar>
              <w:top w:w="29" w:type="dxa"/>
              <w:left w:w="115" w:type="dxa"/>
              <w:bottom w:w="29" w:type="dxa"/>
              <w:right w:w="115" w:type="dxa"/>
            </w:tcMar>
          </w:tcPr>
          <w:p w14:paraId="7AC75013" w14:textId="0644CE95" w:rsidR="00452379" w:rsidRPr="00D2758E" w:rsidRDefault="00452379" w:rsidP="006B066D">
            <w:pPr>
              <w:suppressLineNumbers/>
              <w:suppressAutoHyphens/>
              <w:kinsoku w:val="0"/>
              <w:overflowPunct w:val="0"/>
              <w:autoSpaceDE w:val="0"/>
              <w:autoSpaceDN w:val="0"/>
              <w:adjustRightInd w:val="0"/>
              <w:snapToGrid w:val="0"/>
              <w:jc w:val="left"/>
              <w:rPr>
                <w:rFonts w:asciiTheme="majorBidi" w:hAnsiTheme="majorBidi" w:cstheme="majorBidi"/>
                <w:kern w:val="22"/>
                <w:sz w:val="20"/>
                <w:szCs w:val="20"/>
              </w:rPr>
            </w:pPr>
            <w:r w:rsidRPr="00D2758E">
              <w:rPr>
                <w:rFonts w:asciiTheme="majorBidi" w:hAnsiTheme="majorBidi" w:cstheme="majorBidi"/>
                <w:kern w:val="22"/>
                <w:sz w:val="20"/>
                <w:szCs w:val="20"/>
              </w:rPr>
              <w:t>Number and percentage of Parties that have published internationally recognized certificates of compliance in the A</w:t>
            </w:r>
            <w:r w:rsidR="008601BB">
              <w:rPr>
                <w:rFonts w:asciiTheme="majorBidi" w:hAnsiTheme="majorBidi" w:cstheme="majorBidi"/>
                <w:kern w:val="22"/>
                <w:sz w:val="20"/>
                <w:szCs w:val="20"/>
              </w:rPr>
              <w:t xml:space="preserve">ccess and Benefit-sharing </w:t>
            </w:r>
            <w:r w:rsidRPr="00D2758E">
              <w:rPr>
                <w:rFonts w:asciiTheme="majorBidi" w:hAnsiTheme="majorBidi" w:cstheme="majorBidi"/>
                <w:kern w:val="22"/>
                <w:sz w:val="20"/>
                <w:szCs w:val="20"/>
              </w:rPr>
              <w:t>Clearing-House</w:t>
            </w:r>
          </w:p>
        </w:tc>
        <w:tc>
          <w:tcPr>
            <w:tcW w:w="1829" w:type="dxa"/>
            <w:tcBorders>
              <w:top w:val="single" w:sz="4" w:space="0" w:color="auto"/>
              <w:left w:val="single" w:sz="4" w:space="0" w:color="auto"/>
              <w:bottom w:val="single" w:sz="4" w:space="0" w:color="auto"/>
              <w:right w:val="single" w:sz="4" w:space="0" w:color="auto"/>
            </w:tcBorders>
            <w:tcMar>
              <w:top w:w="29" w:type="dxa"/>
              <w:left w:w="115" w:type="dxa"/>
              <w:bottom w:w="29" w:type="dxa"/>
              <w:right w:w="115" w:type="dxa"/>
            </w:tcMar>
            <w:vAlign w:val="bottom"/>
          </w:tcPr>
          <w:p w14:paraId="4B57E0F0" w14:textId="18B5D3DE" w:rsidR="00452379" w:rsidRPr="00D2758E" w:rsidRDefault="00452379" w:rsidP="006B066D">
            <w:pPr>
              <w:suppressLineNumbers/>
              <w:suppressAutoHyphens/>
              <w:kinsoku w:val="0"/>
              <w:overflowPunct w:val="0"/>
              <w:autoSpaceDE w:val="0"/>
              <w:autoSpaceDN w:val="0"/>
              <w:adjustRightInd w:val="0"/>
              <w:snapToGrid w:val="0"/>
              <w:jc w:val="right"/>
              <w:rPr>
                <w:rFonts w:asciiTheme="majorBidi" w:hAnsiTheme="majorBidi" w:cstheme="majorBidi"/>
                <w:kern w:val="22"/>
                <w:sz w:val="20"/>
                <w:szCs w:val="20"/>
              </w:rPr>
            </w:pPr>
            <w:r w:rsidRPr="00D2758E">
              <w:rPr>
                <w:rFonts w:asciiTheme="majorBidi" w:eastAsia="Calibri" w:hAnsiTheme="majorBidi" w:cstheme="majorBidi"/>
                <w:kern w:val="22"/>
              </w:rPr>
              <w:t>12 (11</w:t>
            </w:r>
            <w:r w:rsidR="00FD4890">
              <w:rPr>
                <w:rFonts w:asciiTheme="majorBidi" w:eastAsia="Calibri" w:hAnsiTheme="majorBidi" w:cstheme="majorBidi"/>
                <w:kern w:val="22"/>
              </w:rPr>
              <w:t xml:space="preserve"> per cent</w:t>
            </w:r>
            <w:r w:rsidRPr="00D2758E">
              <w:rPr>
                <w:rFonts w:asciiTheme="majorBidi" w:eastAsia="Calibri" w:hAnsiTheme="majorBidi" w:cstheme="majorBidi"/>
                <w:kern w:val="22"/>
              </w:rPr>
              <w:t>)</w:t>
            </w:r>
          </w:p>
        </w:tc>
        <w:tc>
          <w:tcPr>
            <w:tcW w:w="1512" w:type="dxa"/>
            <w:tcBorders>
              <w:top w:val="single" w:sz="4" w:space="0" w:color="auto"/>
              <w:left w:val="single" w:sz="4" w:space="0" w:color="auto"/>
              <w:bottom w:val="single" w:sz="4" w:space="0" w:color="auto"/>
              <w:right w:val="single" w:sz="4" w:space="0" w:color="auto"/>
            </w:tcBorders>
            <w:vAlign w:val="bottom"/>
          </w:tcPr>
          <w:p w14:paraId="055D30BB" w14:textId="128DA5CC" w:rsidR="00452379" w:rsidRPr="00D2758E" w:rsidRDefault="00452379" w:rsidP="006B066D">
            <w:pPr>
              <w:suppressLineNumbers/>
              <w:suppressAutoHyphens/>
              <w:kinsoku w:val="0"/>
              <w:overflowPunct w:val="0"/>
              <w:autoSpaceDE w:val="0"/>
              <w:autoSpaceDN w:val="0"/>
              <w:adjustRightInd w:val="0"/>
              <w:snapToGrid w:val="0"/>
              <w:jc w:val="right"/>
              <w:rPr>
                <w:rFonts w:asciiTheme="majorBidi" w:hAnsiTheme="majorBidi" w:cstheme="majorBidi"/>
                <w:kern w:val="22"/>
                <w:sz w:val="20"/>
                <w:szCs w:val="20"/>
              </w:rPr>
            </w:pPr>
            <w:r w:rsidRPr="00D2758E">
              <w:rPr>
                <w:rFonts w:asciiTheme="majorBidi" w:hAnsiTheme="majorBidi" w:cstheme="majorBidi"/>
                <w:sz w:val="20"/>
                <w:szCs w:val="20"/>
              </w:rPr>
              <w:t>34 (24</w:t>
            </w:r>
            <w:r w:rsidR="00FD4890">
              <w:rPr>
                <w:rFonts w:asciiTheme="majorBidi" w:hAnsiTheme="majorBidi" w:cstheme="majorBidi"/>
                <w:sz w:val="20"/>
                <w:szCs w:val="20"/>
              </w:rPr>
              <w:t xml:space="preserve"> per cent</w:t>
            </w:r>
            <w:r w:rsidRPr="00D2758E">
              <w:rPr>
                <w:rFonts w:asciiTheme="majorBidi" w:hAnsiTheme="majorBidi" w:cstheme="majorBidi"/>
                <w:sz w:val="20"/>
                <w:szCs w:val="20"/>
              </w:rPr>
              <w:t>)</w:t>
            </w:r>
          </w:p>
        </w:tc>
      </w:tr>
      <w:bookmarkEnd w:id="9"/>
      <w:tr w:rsidR="00452379" w:rsidRPr="00D2758E" w14:paraId="3CCC70EF" w14:textId="77777777" w:rsidTr="006B066D">
        <w:trPr>
          <w:cantSplit/>
        </w:trPr>
        <w:tc>
          <w:tcPr>
            <w:tcW w:w="5803" w:type="dxa"/>
            <w:tcBorders>
              <w:top w:val="single" w:sz="4" w:space="0" w:color="auto"/>
              <w:left w:val="single" w:sz="4" w:space="0" w:color="auto"/>
              <w:bottom w:val="single" w:sz="4" w:space="0" w:color="auto"/>
              <w:right w:val="single" w:sz="4" w:space="0" w:color="auto"/>
            </w:tcBorders>
            <w:tcMar>
              <w:top w:w="29" w:type="dxa"/>
              <w:left w:w="115" w:type="dxa"/>
              <w:bottom w:w="29" w:type="dxa"/>
              <w:right w:w="115" w:type="dxa"/>
            </w:tcMar>
          </w:tcPr>
          <w:p w14:paraId="57518ECE" w14:textId="38FBE969" w:rsidR="00452379" w:rsidRPr="00D2758E" w:rsidRDefault="00452379" w:rsidP="006B066D">
            <w:pPr>
              <w:suppressLineNumbers/>
              <w:suppressAutoHyphens/>
              <w:kinsoku w:val="0"/>
              <w:overflowPunct w:val="0"/>
              <w:autoSpaceDE w:val="0"/>
              <w:autoSpaceDN w:val="0"/>
              <w:adjustRightInd w:val="0"/>
              <w:snapToGrid w:val="0"/>
              <w:jc w:val="left"/>
              <w:rPr>
                <w:rFonts w:asciiTheme="majorBidi" w:hAnsiTheme="majorBidi" w:cstheme="majorBidi"/>
                <w:kern w:val="22"/>
                <w:sz w:val="20"/>
                <w:szCs w:val="20"/>
              </w:rPr>
            </w:pPr>
            <w:r w:rsidRPr="00D2758E">
              <w:rPr>
                <w:rFonts w:asciiTheme="majorBidi" w:hAnsiTheme="majorBidi" w:cstheme="majorBidi"/>
                <w:kern w:val="22"/>
                <w:sz w:val="20"/>
                <w:szCs w:val="20"/>
              </w:rPr>
              <w:t>Number and percentage of Parties that created conditions to promote and encourage research which contributes to the conservation and sustainable use of biodiversity as provided in Article 8</w:t>
            </w:r>
            <w:r w:rsidR="008601BB">
              <w:rPr>
                <w:rFonts w:asciiTheme="majorBidi" w:hAnsiTheme="majorBidi" w:cstheme="majorBidi"/>
                <w:kern w:val="22"/>
                <w:sz w:val="20"/>
                <w:szCs w:val="20"/>
              </w:rPr>
              <w:t xml:space="preserve"> </w:t>
            </w:r>
            <w:r w:rsidRPr="00D2758E">
              <w:rPr>
                <w:rFonts w:asciiTheme="majorBidi" w:hAnsiTheme="majorBidi" w:cstheme="majorBidi"/>
                <w:kern w:val="22"/>
                <w:sz w:val="20"/>
                <w:szCs w:val="20"/>
              </w:rPr>
              <w:t>(a)</w:t>
            </w:r>
          </w:p>
        </w:tc>
        <w:tc>
          <w:tcPr>
            <w:tcW w:w="1829" w:type="dxa"/>
            <w:tcBorders>
              <w:top w:val="single" w:sz="4" w:space="0" w:color="auto"/>
              <w:left w:val="single" w:sz="4" w:space="0" w:color="auto"/>
              <w:bottom w:val="single" w:sz="4" w:space="0" w:color="auto"/>
              <w:right w:val="single" w:sz="4" w:space="0" w:color="auto"/>
            </w:tcBorders>
            <w:tcMar>
              <w:top w:w="29" w:type="dxa"/>
              <w:left w:w="115" w:type="dxa"/>
              <w:bottom w:w="29" w:type="dxa"/>
              <w:right w:w="115" w:type="dxa"/>
            </w:tcMar>
            <w:vAlign w:val="bottom"/>
          </w:tcPr>
          <w:p w14:paraId="6EE067EC" w14:textId="5F1E34C9" w:rsidR="00452379" w:rsidRPr="00D2758E" w:rsidRDefault="00452379" w:rsidP="006B066D">
            <w:pPr>
              <w:suppressLineNumbers/>
              <w:suppressAutoHyphens/>
              <w:kinsoku w:val="0"/>
              <w:overflowPunct w:val="0"/>
              <w:autoSpaceDE w:val="0"/>
              <w:autoSpaceDN w:val="0"/>
              <w:adjustRightInd w:val="0"/>
              <w:snapToGrid w:val="0"/>
              <w:jc w:val="right"/>
              <w:rPr>
                <w:rFonts w:asciiTheme="majorBidi" w:hAnsiTheme="majorBidi" w:cstheme="majorBidi"/>
                <w:kern w:val="22"/>
                <w:sz w:val="20"/>
                <w:szCs w:val="20"/>
              </w:rPr>
            </w:pPr>
            <w:r w:rsidRPr="00D2758E">
              <w:rPr>
                <w:rFonts w:asciiTheme="majorBidi" w:hAnsiTheme="majorBidi" w:cstheme="majorBidi"/>
                <w:kern w:val="22"/>
                <w:sz w:val="20"/>
                <w:szCs w:val="20"/>
              </w:rPr>
              <w:t>48 (46</w:t>
            </w:r>
            <w:r w:rsidR="00626CE3">
              <w:rPr>
                <w:rFonts w:asciiTheme="majorBidi" w:hAnsiTheme="majorBidi" w:cstheme="majorBidi"/>
                <w:kern w:val="22"/>
                <w:sz w:val="20"/>
                <w:szCs w:val="20"/>
              </w:rPr>
              <w:t xml:space="preserve"> per cent</w:t>
            </w:r>
            <w:r w:rsidRPr="00D2758E">
              <w:rPr>
                <w:rFonts w:asciiTheme="majorBidi" w:hAnsiTheme="majorBidi" w:cstheme="majorBidi"/>
                <w:kern w:val="22"/>
                <w:sz w:val="20"/>
                <w:szCs w:val="20"/>
              </w:rPr>
              <w:t>)</w:t>
            </w:r>
          </w:p>
        </w:tc>
        <w:tc>
          <w:tcPr>
            <w:tcW w:w="1512" w:type="dxa"/>
            <w:tcBorders>
              <w:top w:val="single" w:sz="4" w:space="0" w:color="auto"/>
              <w:left w:val="single" w:sz="4" w:space="0" w:color="auto"/>
              <w:bottom w:val="single" w:sz="4" w:space="0" w:color="auto"/>
              <w:right w:val="single" w:sz="4" w:space="0" w:color="auto"/>
            </w:tcBorders>
            <w:vAlign w:val="bottom"/>
          </w:tcPr>
          <w:p w14:paraId="31FFC8F0" w14:textId="24DBED45" w:rsidR="00452379" w:rsidRPr="00D2758E" w:rsidRDefault="00452379" w:rsidP="006B066D">
            <w:pPr>
              <w:suppressLineNumbers/>
              <w:suppressAutoHyphens/>
              <w:kinsoku w:val="0"/>
              <w:overflowPunct w:val="0"/>
              <w:autoSpaceDE w:val="0"/>
              <w:autoSpaceDN w:val="0"/>
              <w:adjustRightInd w:val="0"/>
              <w:snapToGrid w:val="0"/>
              <w:jc w:val="right"/>
              <w:rPr>
                <w:rFonts w:asciiTheme="majorBidi" w:hAnsiTheme="majorBidi" w:cstheme="majorBidi"/>
                <w:kern w:val="22"/>
                <w:sz w:val="20"/>
                <w:szCs w:val="20"/>
              </w:rPr>
            </w:pPr>
            <w:r w:rsidRPr="00D2758E">
              <w:rPr>
                <w:rFonts w:asciiTheme="majorBidi" w:hAnsiTheme="majorBidi" w:cstheme="majorBidi"/>
                <w:kern w:val="22"/>
                <w:sz w:val="20"/>
                <w:szCs w:val="20"/>
              </w:rPr>
              <w:t>81 (57</w:t>
            </w:r>
            <w:r w:rsidR="00626CE3">
              <w:rPr>
                <w:rFonts w:asciiTheme="majorBidi" w:hAnsiTheme="majorBidi" w:cstheme="majorBidi"/>
                <w:kern w:val="22"/>
                <w:sz w:val="20"/>
                <w:szCs w:val="20"/>
              </w:rPr>
              <w:t xml:space="preserve"> per cent\</w:t>
            </w:r>
            <w:r w:rsidRPr="00D2758E">
              <w:rPr>
                <w:rFonts w:asciiTheme="majorBidi" w:hAnsiTheme="majorBidi" w:cstheme="majorBidi"/>
                <w:kern w:val="22"/>
                <w:sz w:val="20"/>
                <w:szCs w:val="20"/>
              </w:rPr>
              <w:t>)</w:t>
            </w:r>
          </w:p>
        </w:tc>
      </w:tr>
      <w:tr w:rsidR="00452379" w:rsidRPr="00D2758E" w14:paraId="087A1291" w14:textId="77777777" w:rsidTr="006B066D">
        <w:trPr>
          <w:cantSplit/>
        </w:trPr>
        <w:tc>
          <w:tcPr>
            <w:tcW w:w="5803" w:type="dxa"/>
            <w:tcBorders>
              <w:top w:val="single" w:sz="4" w:space="0" w:color="auto"/>
              <w:left w:val="single" w:sz="4" w:space="0" w:color="auto"/>
              <w:bottom w:val="single" w:sz="4" w:space="0" w:color="auto"/>
              <w:right w:val="single" w:sz="4" w:space="0" w:color="auto"/>
            </w:tcBorders>
            <w:tcMar>
              <w:top w:w="29" w:type="dxa"/>
              <w:left w:w="115" w:type="dxa"/>
              <w:bottom w:w="29" w:type="dxa"/>
              <w:right w:w="115" w:type="dxa"/>
            </w:tcMar>
          </w:tcPr>
          <w:p w14:paraId="0A156130" w14:textId="2F42153A" w:rsidR="00452379" w:rsidRPr="00D2758E" w:rsidRDefault="00452379" w:rsidP="006B066D">
            <w:pPr>
              <w:suppressLineNumbers/>
              <w:suppressAutoHyphens/>
              <w:kinsoku w:val="0"/>
              <w:overflowPunct w:val="0"/>
              <w:autoSpaceDE w:val="0"/>
              <w:autoSpaceDN w:val="0"/>
              <w:adjustRightInd w:val="0"/>
              <w:snapToGrid w:val="0"/>
              <w:jc w:val="left"/>
              <w:rPr>
                <w:rFonts w:asciiTheme="majorBidi" w:hAnsiTheme="majorBidi" w:cstheme="majorBidi"/>
                <w:kern w:val="22"/>
                <w:sz w:val="20"/>
                <w:szCs w:val="20"/>
              </w:rPr>
            </w:pPr>
            <w:r w:rsidRPr="00D2758E">
              <w:rPr>
                <w:rFonts w:asciiTheme="majorBidi" w:hAnsiTheme="majorBidi" w:cstheme="majorBidi"/>
                <w:kern w:val="22"/>
                <w:sz w:val="20"/>
                <w:szCs w:val="20"/>
              </w:rPr>
              <w:t>Number and percentage of Parties that paid due regard to cases of present or imminent emergencies that threaten or damage human, animal or plant health as provided in Article 8</w:t>
            </w:r>
            <w:r w:rsidR="008601BB">
              <w:rPr>
                <w:rFonts w:asciiTheme="majorBidi" w:hAnsiTheme="majorBidi" w:cstheme="majorBidi"/>
                <w:kern w:val="22"/>
                <w:sz w:val="20"/>
                <w:szCs w:val="20"/>
              </w:rPr>
              <w:t xml:space="preserve"> </w:t>
            </w:r>
            <w:r w:rsidRPr="00D2758E">
              <w:rPr>
                <w:rFonts w:asciiTheme="majorBidi" w:hAnsiTheme="majorBidi" w:cstheme="majorBidi"/>
                <w:kern w:val="22"/>
                <w:sz w:val="20"/>
                <w:szCs w:val="20"/>
              </w:rPr>
              <w:t>(b)</w:t>
            </w:r>
          </w:p>
        </w:tc>
        <w:tc>
          <w:tcPr>
            <w:tcW w:w="1829" w:type="dxa"/>
            <w:tcBorders>
              <w:top w:val="single" w:sz="4" w:space="0" w:color="auto"/>
              <w:left w:val="single" w:sz="4" w:space="0" w:color="auto"/>
              <w:bottom w:val="single" w:sz="4" w:space="0" w:color="auto"/>
              <w:right w:val="single" w:sz="4" w:space="0" w:color="auto"/>
            </w:tcBorders>
            <w:tcMar>
              <w:top w:w="29" w:type="dxa"/>
              <w:left w:w="115" w:type="dxa"/>
              <w:bottom w:w="29" w:type="dxa"/>
              <w:right w:w="115" w:type="dxa"/>
            </w:tcMar>
            <w:vAlign w:val="bottom"/>
          </w:tcPr>
          <w:p w14:paraId="713E122D" w14:textId="242A3946" w:rsidR="00452379" w:rsidRPr="00D2758E" w:rsidRDefault="00452379" w:rsidP="006B066D">
            <w:pPr>
              <w:suppressLineNumbers/>
              <w:suppressAutoHyphens/>
              <w:kinsoku w:val="0"/>
              <w:overflowPunct w:val="0"/>
              <w:autoSpaceDE w:val="0"/>
              <w:autoSpaceDN w:val="0"/>
              <w:adjustRightInd w:val="0"/>
              <w:snapToGrid w:val="0"/>
              <w:jc w:val="right"/>
              <w:rPr>
                <w:rFonts w:asciiTheme="majorBidi" w:hAnsiTheme="majorBidi" w:cstheme="majorBidi"/>
                <w:kern w:val="22"/>
                <w:sz w:val="20"/>
                <w:szCs w:val="20"/>
              </w:rPr>
            </w:pPr>
            <w:r w:rsidRPr="00D2758E">
              <w:rPr>
                <w:rFonts w:asciiTheme="majorBidi" w:hAnsiTheme="majorBidi" w:cstheme="majorBidi"/>
                <w:kern w:val="22"/>
                <w:sz w:val="20"/>
                <w:szCs w:val="20"/>
              </w:rPr>
              <w:t>39 (37</w:t>
            </w:r>
            <w:r w:rsidR="00626CE3">
              <w:rPr>
                <w:rFonts w:asciiTheme="majorBidi" w:hAnsiTheme="majorBidi" w:cstheme="majorBidi"/>
                <w:kern w:val="22"/>
                <w:sz w:val="20"/>
                <w:szCs w:val="20"/>
              </w:rPr>
              <w:t xml:space="preserve"> per cent</w:t>
            </w:r>
            <w:r w:rsidRPr="00D2758E">
              <w:rPr>
                <w:rFonts w:asciiTheme="majorBidi" w:hAnsiTheme="majorBidi" w:cstheme="majorBidi"/>
                <w:kern w:val="22"/>
                <w:sz w:val="20"/>
                <w:szCs w:val="20"/>
              </w:rPr>
              <w:t>)</w:t>
            </w:r>
          </w:p>
        </w:tc>
        <w:tc>
          <w:tcPr>
            <w:tcW w:w="1512" w:type="dxa"/>
            <w:tcBorders>
              <w:top w:val="single" w:sz="4" w:space="0" w:color="auto"/>
              <w:left w:val="single" w:sz="4" w:space="0" w:color="auto"/>
              <w:bottom w:val="single" w:sz="4" w:space="0" w:color="auto"/>
              <w:right w:val="single" w:sz="4" w:space="0" w:color="auto"/>
            </w:tcBorders>
            <w:vAlign w:val="bottom"/>
          </w:tcPr>
          <w:p w14:paraId="754C3AD6" w14:textId="02E3F7AB" w:rsidR="00452379" w:rsidRPr="00D2758E" w:rsidRDefault="00452379" w:rsidP="006B066D">
            <w:pPr>
              <w:suppressLineNumbers/>
              <w:suppressAutoHyphens/>
              <w:kinsoku w:val="0"/>
              <w:overflowPunct w:val="0"/>
              <w:autoSpaceDE w:val="0"/>
              <w:autoSpaceDN w:val="0"/>
              <w:adjustRightInd w:val="0"/>
              <w:snapToGrid w:val="0"/>
              <w:jc w:val="right"/>
              <w:rPr>
                <w:rFonts w:asciiTheme="majorBidi" w:hAnsiTheme="majorBidi" w:cstheme="majorBidi"/>
                <w:kern w:val="22"/>
                <w:sz w:val="20"/>
                <w:szCs w:val="20"/>
              </w:rPr>
            </w:pPr>
            <w:r w:rsidRPr="00D2758E">
              <w:rPr>
                <w:rFonts w:asciiTheme="majorBidi" w:hAnsiTheme="majorBidi" w:cstheme="majorBidi"/>
                <w:kern w:val="22"/>
                <w:sz w:val="20"/>
                <w:szCs w:val="20"/>
              </w:rPr>
              <w:t>81 (57</w:t>
            </w:r>
            <w:r w:rsidR="00626CE3">
              <w:rPr>
                <w:rFonts w:asciiTheme="majorBidi" w:hAnsiTheme="majorBidi" w:cstheme="majorBidi"/>
                <w:kern w:val="22"/>
                <w:sz w:val="20"/>
                <w:szCs w:val="20"/>
              </w:rPr>
              <w:t xml:space="preserve"> per cent</w:t>
            </w:r>
            <w:r w:rsidRPr="00D2758E">
              <w:rPr>
                <w:rFonts w:asciiTheme="majorBidi" w:hAnsiTheme="majorBidi" w:cstheme="majorBidi"/>
                <w:kern w:val="22"/>
                <w:sz w:val="20"/>
                <w:szCs w:val="20"/>
              </w:rPr>
              <w:t>)</w:t>
            </w:r>
          </w:p>
        </w:tc>
      </w:tr>
      <w:tr w:rsidR="00452379" w:rsidRPr="00D2758E" w14:paraId="594B27DD" w14:textId="77777777" w:rsidTr="006B066D">
        <w:trPr>
          <w:cantSplit/>
        </w:trPr>
        <w:tc>
          <w:tcPr>
            <w:tcW w:w="5803" w:type="dxa"/>
            <w:tcBorders>
              <w:top w:val="single" w:sz="4" w:space="0" w:color="auto"/>
              <w:left w:val="single" w:sz="4" w:space="0" w:color="auto"/>
              <w:bottom w:val="single" w:sz="4" w:space="0" w:color="auto"/>
              <w:right w:val="single" w:sz="4" w:space="0" w:color="auto"/>
            </w:tcBorders>
            <w:tcMar>
              <w:top w:w="29" w:type="dxa"/>
              <w:left w:w="115" w:type="dxa"/>
              <w:bottom w:w="29" w:type="dxa"/>
              <w:right w:w="115" w:type="dxa"/>
            </w:tcMar>
          </w:tcPr>
          <w:p w14:paraId="4E26EAAA" w14:textId="2765A257" w:rsidR="00452379" w:rsidRPr="00D2758E" w:rsidRDefault="00452379" w:rsidP="006B066D">
            <w:pPr>
              <w:suppressLineNumbers/>
              <w:suppressAutoHyphens/>
              <w:kinsoku w:val="0"/>
              <w:overflowPunct w:val="0"/>
              <w:autoSpaceDE w:val="0"/>
              <w:autoSpaceDN w:val="0"/>
              <w:adjustRightInd w:val="0"/>
              <w:snapToGrid w:val="0"/>
              <w:jc w:val="left"/>
              <w:rPr>
                <w:rFonts w:asciiTheme="majorBidi" w:hAnsiTheme="majorBidi" w:cstheme="majorBidi"/>
                <w:kern w:val="22"/>
                <w:sz w:val="20"/>
                <w:szCs w:val="20"/>
              </w:rPr>
            </w:pPr>
            <w:r w:rsidRPr="00D2758E">
              <w:rPr>
                <w:rFonts w:asciiTheme="majorBidi" w:hAnsiTheme="majorBidi" w:cstheme="majorBidi"/>
                <w:kern w:val="22"/>
                <w:sz w:val="20"/>
                <w:szCs w:val="20"/>
              </w:rPr>
              <w:lastRenderedPageBreak/>
              <w:t>Number and percentage of Parties that have taken into consideration the need for expeditious access to genetic resources and expeditious fair and equitable sharing of benefits arising out of the use of such genetic resources as provided in Article 8</w:t>
            </w:r>
            <w:r w:rsidR="008601BB">
              <w:rPr>
                <w:rFonts w:asciiTheme="majorBidi" w:hAnsiTheme="majorBidi" w:cstheme="majorBidi"/>
                <w:kern w:val="22"/>
                <w:sz w:val="20"/>
                <w:szCs w:val="20"/>
              </w:rPr>
              <w:t xml:space="preserve"> </w:t>
            </w:r>
            <w:r w:rsidRPr="00D2758E">
              <w:rPr>
                <w:rFonts w:asciiTheme="majorBidi" w:hAnsiTheme="majorBidi" w:cstheme="majorBidi"/>
                <w:kern w:val="22"/>
                <w:sz w:val="20"/>
                <w:szCs w:val="20"/>
              </w:rPr>
              <w:t>(b)</w:t>
            </w:r>
          </w:p>
        </w:tc>
        <w:tc>
          <w:tcPr>
            <w:tcW w:w="1829" w:type="dxa"/>
            <w:tcBorders>
              <w:top w:val="single" w:sz="4" w:space="0" w:color="auto"/>
              <w:left w:val="single" w:sz="4" w:space="0" w:color="auto"/>
              <w:bottom w:val="single" w:sz="4" w:space="0" w:color="auto"/>
              <w:right w:val="single" w:sz="4" w:space="0" w:color="auto"/>
            </w:tcBorders>
            <w:tcMar>
              <w:top w:w="29" w:type="dxa"/>
              <w:left w:w="115" w:type="dxa"/>
              <w:bottom w:w="29" w:type="dxa"/>
              <w:right w:w="115" w:type="dxa"/>
            </w:tcMar>
            <w:vAlign w:val="bottom"/>
          </w:tcPr>
          <w:p w14:paraId="4605591E" w14:textId="7EA1084D" w:rsidR="00452379" w:rsidRPr="00D2758E" w:rsidRDefault="00452379" w:rsidP="006B066D">
            <w:pPr>
              <w:suppressLineNumbers/>
              <w:suppressAutoHyphens/>
              <w:kinsoku w:val="0"/>
              <w:overflowPunct w:val="0"/>
              <w:autoSpaceDE w:val="0"/>
              <w:autoSpaceDN w:val="0"/>
              <w:adjustRightInd w:val="0"/>
              <w:snapToGrid w:val="0"/>
              <w:jc w:val="right"/>
              <w:rPr>
                <w:rFonts w:asciiTheme="majorBidi" w:hAnsiTheme="majorBidi" w:cstheme="majorBidi"/>
                <w:kern w:val="22"/>
                <w:sz w:val="20"/>
                <w:szCs w:val="20"/>
              </w:rPr>
            </w:pPr>
            <w:r w:rsidRPr="00D2758E">
              <w:rPr>
                <w:rFonts w:asciiTheme="majorBidi" w:hAnsiTheme="majorBidi" w:cstheme="majorBidi"/>
                <w:kern w:val="22"/>
                <w:sz w:val="20"/>
                <w:szCs w:val="20"/>
              </w:rPr>
              <w:t>26 (25</w:t>
            </w:r>
            <w:r w:rsidR="00626CE3">
              <w:rPr>
                <w:rFonts w:asciiTheme="majorBidi" w:hAnsiTheme="majorBidi" w:cstheme="majorBidi"/>
                <w:kern w:val="22"/>
                <w:sz w:val="20"/>
                <w:szCs w:val="20"/>
              </w:rPr>
              <w:t xml:space="preserve"> per cent</w:t>
            </w:r>
            <w:r w:rsidRPr="00D2758E">
              <w:rPr>
                <w:rFonts w:asciiTheme="majorBidi" w:hAnsiTheme="majorBidi" w:cstheme="majorBidi"/>
                <w:kern w:val="22"/>
                <w:sz w:val="20"/>
                <w:szCs w:val="20"/>
              </w:rPr>
              <w:t>)</w:t>
            </w:r>
          </w:p>
        </w:tc>
        <w:tc>
          <w:tcPr>
            <w:tcW w:w="1512" w:type="dxa"/>
            <w:tcBorders>
              <w:top w:val="single" w:sz="4" w:space="0" w:color="auto"/>
              <w:left w:val="single" w:sz="4" w:space="0" w:color="auto"/>
              <w:bottom w:val="single" w:sz="4" w:space="0" w:color="auto"/>
              <w:right w:val="single" w:sz="4" w:space="0" w:color="auto"/>
            </w:tcBorders>
            <w:vAlign w:val="bottom"/>
          </w:tcPr>
          <w:p w14:paraId="5638BA2D" w14:textId="02C86020" w:rsidR="00452379" w:rsidRPr="00D2758E" w:rsidRDefault="00452379" w:rsidP="006B066D">
            <w:pPr>
              <w:suppressLineNumbers/>
              <w:suppressAutoHyphens/>
              <w:kinsoku w:val="0"/>
              <w:overflowPunct w:val="0"/>
              <w:autoSpaceDE w:val="0"/>
              <w:autoSpaceDN w:val="0"/>
              <w:adjustRightInd w:val="0"/>
              <w:snapToGrid w:val="0"/>
              <w:jc w:val="right"/>
              <w:rPr>
                <w:rFonts w:asciiTheme="majorBidi" w:hAnsiTheme="majorBidi" w:cstheme="majorBidi"/>
                <w:kern w:val="22"/>
                <w:sz w:val="20"/>
                <w:szCs w:val="20"/>
              </w:rPr>
            </w:pPr>
            <w:r w:rsidRPr="00D2758E">
              <w:rPr>
                <w:rFonts w:asciiTheme="majorBidi" w:hAnsiTheme="majorBidi" w:cstheme="majorBidi"/>
                <w:kern w:val="22"/>
                <w:sz w:val="20"/>
                <w:szCs w:val="20"/>
              </w:rPr>
              <w:t>42 (30</w:t>
            </w:r>
            <w:r w:rsidR="00792F3F">
              <w:rPr>
                <w:rFonts w:asciiTheme="majorBidi" w:hAnsiTheme="majorBidi" w:cstheme="majorBidi"/>
                <w:kern w:val="22"/>
                <w:sz w:val="20"/>
                <w:szCs w:val="20"/>
              </w:rPr>
              <w:t xml:space="preserve"> per cent</w:t>
            </w:r>
            <w:r w:rsidRPr="00D2758E">
              <w:rPr>
                <w:rFonts w:asciiTheme="majorBidi" w:hAnsiTheme="majorBidi" w:cstheme="majorBidi"/>
                <w:kern w:val="22"/>
                <w:sz w:val="20"/>
                <w:szCs w:val="20"/>
              </w:rPr>
              <w:t>)</w:t>
            </w:r>
          </w:p>
        </w:tc>
      </w:tr>
      <w:tr w:rsidR="00452379" w:rsidRPr="00D2758E" w14:paraId="5530FB85" w14:textId="77777777" w:rsidTr="006B066D">
        <w:trPr>
          <w:cantSplit/>
        </w:trPr>
        <w:tc>
          <w:tcPr>
            <w:tcW w:w="5803" w:type="dxa"/>
            <w:tcBorders>
              <w:top w:val="single" w:sz="4" w:space="0" w:color="auto"/>
              <w:left w:val="single" w:sz="4" w:space="0" w:color="auto"/>
              <w:bottom w:val="single" w:sz="4" w:space="0" w:color="auto"/>
              <w:right w:val="single" w:sz="4" w:space="0" w:color="auto"/>
            </w:tcBorders>
            <w:tcMar>
              <w:top w:w="29" w:type="dxa"/>
              <w:left w:w="115" w:type="dxa"/>
              <w:bottom w:w="29" w:type="dxa"/>
              <w:right w:w="115" w:type="dxa"/>
            </w:tcMar>
          </w:tcPr>
          <w:p w14:paraId="3345291F" w14:textId="3AFFD3CB" w:rsidR="00452379" w:rsidRPr="00D2758E" w:rsidRDefault="00452379" w:rsidP="006B066D">
            <w:pPr>
              <w:suppressLineNumbers/>
              <w:suppressAutoHyphens/>
              <w:kinsoku w:val="0"/>
              <w:overflowPunct w:val="0"/>
              <w:autoSpaceDE w:val="0"/>
              <w:autoSpaceDN w:val="0"/>
              <w:adjustRightInd w:val="0"/>
              <w:snapToGrid w:val="0"/>
              <w:jc w:val="left"/>
              <w:rPr>
                <w:rFonts w:asciiTheme="majorBidi" w:hAnsiTheme="majorBidi" w:cstheme="majorBidi"/>
                <w:kern w:val="22"/>
                <w:sz w:val="20"/>
                <w:szCs w:val="20"/>
              </w:rPr>
            </w:pPr>
            <w:r w:rsidRPr="00D2758E">
              <w:rPr>
                <w:rFonts w:asciiTheme="majorBidi" w:hAnsiTheme="majorBidi" w:cstheme="majorBidi"/>
                <w:kern w:val="22"/>
                <w:sz w:val="20"/>
                <w:szCs w:val="20"/>
              </w:rPr>
              <w:t>Number and percentage of Parties that have taken into consideration the importance of genetic resources for food and agriculture and their special role for food security as provided in Article 8</w:t>
            </w:r>
            <w:r w:rsidR="008601BB">
              <w:rPr>
                <w:rFonts w:asciiTheme="majorBidi" w:hAnsiTheme="majorBidi" w:cstheme="majorBidi"/>
                <w:kern w:val="22"/>
                <w:sz w:val="20"/>
                <w:szCs w:val="20"/>
              </w:rPr>
              <w:t xml:space="preserve"> </w:t>
            </w:r>
            <w:r w:rsidRPr="00D2758E">
              <w:rPr>
                <w:rFonts w:asciiTheme="majorBidi" w:hAnsiTheme="majorBidi" w:cstheme="majorBidi"/>
                <w:kern w:val="22"/>
                <w:sz w:val="20"/>
                <w:szCs w:val="20"/>
              </w:rPr>
              <w:t>(c)</w:t>
            </w:r>
          </w:p>
        </w:tc>
        <w:tc>
          <w:tcPr>
            <w:tcW w:w="1829" w:type="dxa"/>
            <w:tcBorders>
              <w:top w:val="single" w:sz="4" w:space="0" w:color="auto"/>
              <w:left w:val="single" w:sz="4" w:space="0" w:color="auto"/>
              <w:bottom w:val="single" w:sz="4" w:space="0" w:color="auto"/>
              <w:right w:val="single" w:sz="4" w:space="0" w:color="auto"/>
            </w:tcBorders>
            <w:tcMar>
              <w:top w:w="29" w:type="dxa"/>
              <w:left w:w="115" w:type="dxa"/>
              <w:bottom w:w="29" w:type="dxa"/>
              <w:right w:w="115" w:type="dxa"/>
            </w:tcMar>
            <w:vAlign w:val="bottom"/>
          </w:tcPr>
          <w:p w14:paraId="7F4749F2" w14:textId="5C1C5043" w:rsidR="00452379" w:rsidRPr="00D2758E" w:rsidRDefault="00452379" w:rsidP="006B066D">
            <w:pPr>
              <w:suppressLineNumbers/>
              <w:suppressAutoHyphens/>
              <w:kinsoku w:val="0"/>
              <w:overflowPunct w:val="0"/>
              <w:autoSpaceDE w:val="0"/>
              <w:autoSpaceDN w:val="0"/>
              <w:adjustRightInd w:val="0"/>
              <w:snapToGrid w:val="0"/>
              <w:jc w:val="right"/>
              <w:rPr>
                <w:rFonts w:asciiTheme="majorBidi" w:hAnsiTheme="majorBidi" w:cstheme="majorBidi"/>
                <w:kern w:val="22"/>
                <w:sz w:val="20"/>
                <w:szCs w:val="20"/>
              </w:rPr>
            </w:pPr>
            <w:r w:rsidRPr="00D2758E">
              <w:rPr>
                <w:rFonts w:asciiTheme="majorBidi" w:hAnsiTheme="majorBidi" w:cstheme="majorBidi"/>
                <w:kern w:val="22"/>
                <w:sz w:val="20"/>
                <w:szCs w:val="20"/>
              </w:rPr>
              <w:t>48 (46</w:t>
            </w:r>
            <w:r w:rsidR="00792F3F">
              <w:rPr>
                <w:rFonts w:asciiTheme="majorBidi" w:hAnsiTheme="majorBidi" w:cstheme="majorBidi"/>
                <w:kern w:val="22"/>
                <w:sz w:val="20"/>
                <w:szCs w:val="20"/>
              </w:rPr>
              <w:t xml:space="preserve"> per cent</w:t>
            </w:r>
            <w:r w:rsidRPr="00D2758E">
              <w:rPr>
                <w:rFonts w:asciiTheme="majorBidi" w:hAnsiTheme="majorBidi" w:cstheme="majorBidi"/>
                <w:kern w:val="22"/>
                <w:sz w:val="20"/>
                <w:szCs w:val="20"/>
              </w:rPr>
              <w:t>)</w:t>
            </w:r>
          </w:p>
        </w:tc>
        <w:tc>
          <w:tcPr>
            <w:tcW w:w="1512" w:type="dxa"/>
            <w:tcBorders>
              <w:top w:val="single" w:sz="4" w:space="0" w:color="auto"/>
              <w:left w:val="single" w:sz="4" w:space="0" w:color="auto"/>
              <w:bottom w:val="single" w:sz="4" w:space="0" w:color="auto"/>
              <w:right w:val="single" w:sz="4" w:space="0" w:color="auto"/>
            </w:tcBorders>
            <w:vAlign w:val="bottom"/>
          </w:tcPr>
          <w:p w14:paraId="6CECD840" w14:textId="454013BA" w:rsidR="00452379" w:rsidRPr="00D2758E" w:rsidRDefault="00452379" w:rsidP="006B066D">
            <w:pPr>
              <w:suppressLineNumbers/>
              <w:suppressAutoHyphens/>
              <w:kinsoku w:val="0"/>
              <w:overflowPunct w:val="0"/>
              <w:autoSpaceDE w:val="0"/>
              <w:autoSpaceDN w:val="0"/>
              <w:adjustRightInd w:val="0"/>
              <w:snapToGrid w:val="0"/>
              <w:jc w:val="right"/>
              <w:rPr>
                <w:rFonts w:asciiTheme="majorBidi" w:hAnsiTheme="majorBidi" w:cstheme="majorBidi"/>
                <w:kern w:val="22"/>
                <w:sz w:val="20"/>
                <w:szCs w:val="20"/>
              </w:rPr>
            </w:pPr>
            <w:r w:rsidRPr="00D2758E">
              <w:rPr>
                <w:rFonts w:asciiTheme="majorBidi" w:hAnsiTheme="majorBidi" w:cstheme="majorBidi"/>
                <w:kern w:val="22"/>
                <w:sz w:val="20"/>
                <w:szCs w:val="20"/>
              </w:rPr>
              <w:t>85 (60</w:t>
            </w:r>
            <w:r w:rsidR="00792F3F">
              <w:rPr>
                <w:rFonts w:asciiTheme="majorBidi" w:hAnsiTheme="majorBidi" w:cstheme="majorBidi"/>
                <w:kern w:val="22"/>
                <w:sz w:val="20"/>
                <w:szCs w:val="20"/>
              </w:rPr>
              <w:t xml:space="preserve"> per cent</w:t>
            </w:r>
            <w:r w:rsidRPr="00D2758E">
              <w:rPr>
                <w:rFonts w:asciiTheme="majorBidi" w:hAnsiTheme="majorBidi" w:cstheme="majorBidi"/>
                <w:kern w:val="22"/>
                <w:sz w:val="20"/>
                <w:szCs w:val="20"/>
              </w:rPr>
              <w:t>)</w:t>
            </w:r>
          </w:p>
        </w:tc>
      </w:tr>
      <w:tr w:rsidR="00452379" w:rsidRPr="00D2758E" w14:paraId="13462074" w14:textId="77777777" w:rsidTr="006B066D">
        <w:trPr>
          <w:cantSplit/>
        </w:trPr>
        <w:tc>
          <w:tcPr>
            <w:tcW w:w="5803" w:type="dxa"/>
            <w:tcBorders>
              <w:top w:val="single" w:sz="4" w:space="0" w:color="auto"/>
              <w:left w:val="single" w:sz="4" w:space="0" w:color="auto"/>
              <w:bottom w:val="single" w:sz="4" w:space="0" w:color="auto"/>
              <w:right w:val="single" w:sz="4" w:space="0" w:color="auto"/>
            </w:tcBorders>
            <w:tcMar>
              <w:top w:w="29" w:type="dxa"/>
              <w:left w:w="115" w:type="dxa"/>
              <w:bottom w:w="29" w:type="dxa"/>
              <w:right w:w="115" w:type="dxa"/>
            </w:tcMar>
          </w:tcPr>
          <w:p w14:paraId="532E094A" w14:textId="1935197D" w:rsidR="00452379" w:rsidRPr="00D2758E" w:rsidRDefault="00452379" w:rsidP="001445EA">
            <w:pPr>
              <w:suppressLineNumbers/>
              <w:suppressAutoHyphens/>
              <w:kinsoku w:val="0"/>
              <w:overflowPunct w:val="0"/>
              <w:autoSpaceDE w:val="0"/>
              <w:autoSpaceDN w:val="0"/>
              <w:adjustRightInd w:val="0"/>
              <w:snapToGrid w:val="0"/>
              <w:jc w:val="left"/>
              <w:rPr>
                <w:rFonts w:asciiTheme="majorBidi" w:hAnsiTheme="majorBidi" w:cstheme="majorBidi"/>
                <w:kern w:val="22"/>
                <w:sz w:val="20"/>
                <w:szCs w:val="20"/>
              </w:rPr>
            </w:pPr>
            <w:r w:rsidRPr="00D2758E">
              <w:rPr>
                <w:rFonts w:asciiTheme="majorBidi" w:hAnsiTheme="majorBidi" w:cstheme="majorBidi"/>
                <w:kern w:val="22"/>
                <w:sz w:val="20"/>
                <w:szCs w:val="20"/>
              </w:rPr>
              <w:t xml:space="preserve">Number and </w:t>
            </w:r>
            <w:proofErr w:type="spellStart"/>
            <w:r w:rsidRPr="00D2758E">
              <w:rPr>
                <w:rFonts w:asciiTheme="majorBidi" w:hAnsiTheme="majorBidi" w:cstheme="majorBidi"/>
                <w:kern w:val="22"/>
                <w:sz w:val="20"/>
                <w:szCs w:val="20"/>
              </w:rPr>
              <w:t>percentage</w:t>
            </w:r>
            <w:r w:rsidR="003B58FF">
              <w:rPr>
                <w:rFonts w:asciiTheme="majorBidi" w:hAnsiTheme="majorBidi" w:cstheme="majorBidi"/>
                <w:i/>
                <w:iCs/>
                <w:kern w:val="22"/>
                <w:sz w:val="20"/>
                <w:szCs w:val="20"/>
                <w:vertAlign w:val="superscript"/>
              </w:rPr>
              <w:t>a</w:t>
            </w:r>
            <w:proofErr w:type="spellEnd"/>
            <w:r w:rsidR="009A5F97" w:rsidRPr="009A5F97">
              <w:rPr>
                <w:rFonts w:asciiTheme="majorBidi" w:hAnsiTheme="majorBidi" w:cstheme="majorBidi"/>
                <w:kern w:val="22"/>
                <w:sz w:val="20"/>
                <w:szCs w:val="20"/>
              </w:rPr>
              <w:t xml:space="preserve"> </w:t>
            </w:r>
            <w:r w:rsidRPr="00D2758E">
              <w:rPr>
                <w:rFonts w:asciiTheme="majorBidi" w:hAnsiTheme="majorBidi" w:cstheme="majorBidi"/>
                <w:kern w:val="22"/>
                <w:sz w:val="20"/>
                <w:szCs w:val="20"/>
              </w:rPr>
              <w:t>of Parties requiring prior informed consent for access to genetic resources for their utilization which received monetary benefits from granting access to genetic resources since entry into force of the Protocol</w:t>
            </w:r>
          </w:p>
        </w:tc>
        <w:tc>
          <w:tcPr>
            <w:tcW w:w="1829" w:type="dxa"/>
            <w:tcBorders>
              <w:top w:val="single" w:sz="4" w:space="0" w:color="auto"/>
              <w:left w:val="single" w:sz="4" w:space="0" w:color="auto"/>
              <w:bottom w:val="single" w:sz="4" w:space="0" w:color="auto"/>
              <w:right w:val="single" w:sz="4" w:space="0" w:color="auto"/>
            </w:tcBorders>
            <w:tcMar>
              <w:top w:w="29" w:type="dxa"/>
              <w:left w:w="115" w:type="dxa"/>
              <w:bottom w:w="29" w:type="dxa"/>
              <w:right w:w="115" w:type="dxa"/>
            </w:tcMar>
            <w:vAlign w:val="bottom"/>
          </w:tcPr>
          <w:p w14:paraId="28272BE8" w14:textId="77777777" w:rsidR="00452379" w:rsidRPr="00D2758E" w:rsidRDefault="00452379" w:rsidP="006B066D">
            <w:pPr>
              <w:suppressLineNumbers/>
              <w:suppressAutoHyphens/>
              <w:kinsoku w:val="0"/>
              <w:overflowPunct w:val="0"/>
              <w:autoSpaceDE w:val="0"/>
              <w:autoSpaceDN w:val="0"/>
              <w:adjustRightInd w:val="0"/>
              <w:snapToGrid w:val="0"/>
              <w:ind w:left="314" w:hanging="360"/>
              <w:jc w:val="right"/>
              <w:rPr>
                <w:rFonts w:asciiTheme="majorBidi" w:hAnsiTheme="majorBidi" w:cstheme="majorBidi"/>
                <w:kern w:val="22"/>
                <w:sz w:val="20"/>
                <w:szCs w:val="20"/>
              </w:rPr>
            </w:pPr>
            <w:r w:rsidRPr="00D2758E">
              <w:rPr>
                <w:rFonts w:asciiTheme="majorBidi" w:hAnsiTheme="majorBidi" w:cstheme="majorBidi"/>
                <w:kern w:val="22"/>
                <w:sz w:val="20"/>
                <w:szCs w:val="20"/>
              </w:rPr>
              <w:t>Not conclusive data</w:t>
            </w:r>
          </w:p>
        </w:tc>
        <w:tc>
          <w:tcPr>
            <w:tcW w:w="1512" w:type="dxa"/>
            <w:vAlign w:val="bottom"/>
          </w:tcPr>
          <w:p w14:paraId="01CC3CD3" w14:textId="251F7E0B" w:rsidR="00452379" w:rsidRPr="00D2758E" w:rsidRDefault="00452379" w:rsidP="006B066D">
            <w:pPr>
              <w:suppressLineNumbers/>
              <w:suppressAutoHyphens/>
              <w:kinsoku w:val="0"/>
              <w:overflowPunct w:val="0"/>
              <w:autoSpaceDE w:val="0"/>
              <w:autoSpaceDN w:val="0"/>
              <w:adjustRightInd w:val="0"/>
              <w:snapToGrid w:val="0"/>
              <w:ind w:left="314" w:hanging="360"/>
              <w:jc w:val="right"/>
              <w:rPr>
                <w:rFonts w:asciiTheme="majorBidi" w:hAnsiTheme="majorBidi" w:cstheme="majorBidi"/>
                <w:kern w:val="22"/>
                <w:sz w:val="20"/>
                <w:szCs w:val="20"/>
                <w:highlight w:val="yellow"/>
              </w:rPr>
            </w:pPr>
            <w:r w:rsidRPr="00D2758E">
              <w:rPr>
                <w:rFonts w:asciiTheme="majorBidi" w:hAnsiTheme="majorBidi" w:cstheme="majorBidi"/>
                <w:kern w:val="22"/>
                <w:sz w:val="20"/>
                <w:szCs w:val="20"/>
              </w:rPr>
              <w:t>28 (37</w:t>
            </w:r>
            <w:r w:rsidR="00792F3F">
              <w:rPr>
                <w:rFonts w:asciiTheme="majorBidi" w:hAnsiTheme="majorBidi" w:cstheme="majorBidi"/>
                <w:kern w:val="22"/>
                <w:sz w:val="20"/>
                <w:szCs w:val="20"/>
              </w:rPr>
              <w:t xml:space="preserve"> per cent</w:t>
            </w:r>
            <w:r w:rsidRPr="00D2758E">
              <w:rPr>
                <w:rFonts w:asciiTheme="majorBidi" w:hAnsiTheme="majorBidi" w:cstheme="majorBidi"/>
                <w:kern w:val="22"/>
                <w:sz w:val="20"/>
                <w:szCs w:val="20"/>
              </w:rPr>
              <w:t>)</w:t>
            </w:r>
          </w:p>
        </w:tc>
      </w:tr>
      <w:tr w:rsidR="00452379" w:rsidRPr="00D2758E" w14:paraId="0B3D3F84" w14:textId="77777777" w:rsidTr="006B066D">
        <w:trPr>
          <w:cantSplit/>
        </w:trPr>
        <w:tc>
          <w:tcPr>
            <w:tcW w:w="5803" w:type="dxa"/>
            <w:tcBorders>
              <w:top w:val="single" w:sz="4" w:space="0" w:color="auto"/>
              <w:left w:val="single" w:sz="4" w:space="0" w:color="auto"/>
              <w:bottom w:val="single" w:sz="4" w:space="0" w:color="auto"/>
              <w:right w:val="single" w:sz="4" w:space="0" w:color="auto"/>
            </w:tcBorders>
            <w:tcMar>
              <w:top w:w="29" w:type="dxa"/>
              <w:left w:w="115" w:type="dxa"/>
              <w:bottom w:w="29" w:type="dxa"/>
              <w:right w:w="115" w:type="dxa"/>
            </w:tcMar>
            <w:hideMark/>
          </w:tcPr>
          <w:p w14:paraId="0457C5A8" w14:textId="77777777" w:rsidR="00452379" w:rsidRPr="00D2758E" w:rsidRDefault="00452379" w:rsidP="001445EA">
            <w:pPr>
              <w:suppressLineNumbers/>
              <w:suppressAutoHyphens/>
              <w:kinsoku w:val="0"/>
              <w:overflowPunct w:val="0"/>
              <w:autoSpaceDE w:val="0"/>
              <w:autoSpaceDN w:val="0"/>
              <w:adjustRightInd w:val="0"/>
              <w:snapToGrid w:val="0"/>
              <w:jc w:val="left"/>
              <w:rPr>
                <w:rFonts w:asciiTheme="majorBidi" w:hAnsiTheme="majorBidi" w:cstheme="majorBidi"/>
                <w:kern w:val="22"/>
                <w:sz w:val="20"/>
                <w:szCs w:val="20"/>
              </w:rPr>
            </w:pPr>
            <w:proofErr w:type="gramStart"/>
            <w:r w:rsidRPr="00D2758E">
              <w:rPr>
                <w:rFonts w:asciiTheme="majorBidi" w:hAnsiTheme="majorBidi" w:cstheme="majorBidi"/>
                <w:kern w:val="22"/>
                <w:sz w:val="20"/>
                <w:szCs w:val="20"/>
              </w:rPr>
              <w:t>Amount</w:t>
            </w:r>
            <w:proofErr w:type="gramEnd"/>
            <w:r w:rsidRPr="00D2758E">
              <w:rPr>
                <w:rFonts w:asciiTheme="majorBidi" w:hAnsiTheme="majorBidi" w:cstheme="majorBidi"/>
                <w:kern w:val="22"/>
                <w:sz w:val="20"/>
                <w:szCs w:val="20"/>
              </w:rPr>
              <w:t xml:space="preserve"> of monetary benefits (in United States dollars) received from granting access to genetic resources for their utilization since entry into force of the Protocol</w:t>
            </w:r>
          </w:p>
        </w:tc>
        <w:tc>
          <w:tcPr>
            <w:tcW w:w="1829" w:type="dxa"/>
            <w:tcBorders>
              <w:top w:val="single" w:sz="4" w:space="0" w:color="auto"/>
              <w:left w:val="single" w:sz="4" w:space="0" w:color="auto"/>
              <w:bottom w:val="single" w:sz="4" w:space="0" w:color="auto"/>
              <w:right w:val="single" w:sz="4" w:space="0" w:color="auto"/>
            </w:tcBorders>
            <w:tcMar>
              <w:top w:w="29" w:type="dxa"/>
              <w:left w:w="115" w:type="dxa"/>
              <w:bottom w:w="29" w:type="dxa"/>
              <w:right w:w="115" w:type="dxa"/>
            </w:tcMar>
            <w:vAlign w:val="bottom"/>
            <w:hideMark/>
          </w:tcPr>
          <w:p w14:paraId="36467B66" w14:textId="77777777" w:rsidR="00452379" w:rsidRPr="00D2758E" w:rsidRDefault="00452379" w:rsidP="006B066D">
            <w:pPr>
              <w:suppressLineNumbers/>
              <w:suppressAutoHyphens/>
              <w:kinsoku w:val="0"/>
              <w:overflowPunct w:val="0"/>
              <w:autoSpaceDE w:val="0"/>
              <w:autoSpaceDN w:val="0"/>
              <w:adjustRightInd w:val="0"/>
              <w:snapToGrid w:val="0"/>
              <w:ind w:left="314" w:hanging="360"/>
              <w:jc w:val="right"/>
              <w:rPr>
                <w:rFonts w:asciiTheme="majorBidi" w:hAnsiTheme="majorBidi" w:cstheme="majorBidi"/>
                <w:kern w:val="22"/>
                <w:sz w:val="20"/>
                <w:szCs w:val="20"/>
              </w:rPr>
            </w:pPr>
            <w:r w:rsidRPr="00D2758E">
              <w:rPr>
                <w:rFonts w:asciiTheme="majorBidi" w:hAnsiTheme="majorBidi" w:cstheme="majorBidi"/>
                <w:kern w:val="22"/>
                <w:sz w:val="20"/>
                <w:szCs w:val="20"/>
              </w:rPr>
              <w:t>Not conclusive data</w:t>
            </w:r>
          </w:p>
        </w:tc>
        <w:tc>
          <w:tcPr>
            <w:tcW w:w="1512" w:type="dxa"/>
            <w:vAlign w:val="bottom"/>
          </w:tcPr>
          <w:p w14:paraId="48F8C8D4" w14:textId="05ACB739" w:rsidR="00452379" w:rsidRPr="00D2758E" w:rsidRDefault="00452379" w:rsidP="006B066D">
            <w:pPr>
              <w:suppressLineNumbers/>
              <w:suppressAutoHyphens/>
              <w:kinsoku w:val="0"/>
              <w:overflowPunct w:val="0"/>
              <w:autoSpaceDE w:val="0"/>
              <w:autoSpaceDN w:val="0"/>
              <w:adjustRightInd w:val="0"/>
              <w:snapToGrid w:val="0"/>
              <w:ind w:left="314" w:hanging="360"/>
              <w:jc w:val="right"/>
              <w:rPr>
                <w:rFonts w:asciiTheme="majorBidi" w:hAnsiTheme="majorBidi" w:cstheme="majorBidi"/>
                <w:kern w:val="22"/>
                <w:sz w:val="20"/>
                <w:szCs w:val="20"/>
              </w:rPr>
            </w:pPr>
            <w:r w:rsidRPr="00D2758E">
              <w:rPr>
                <w:rFonts w:asciiTheme="majorBidi" w:hAnsiTheme="majorBidi" w:cstheme="majorBidi"/>
                <w:kern w:val="22"/>
                <w:sz w:val="20"/>
                <w:szCs w:val="20"/>
              </w:rPr>
              <w:t xml:space="preserve">$53 </w:t>
            </w:r>
            <w:proofErr w:type="spellStart"/>
            <w:r w:rsidRPr="00D2758E">
              <w:rPr>
                <w:rFonts w:asciiTheme="majorBidi" w:hAnsiTheme="majorBidi" w:cstheme="majorBidi"/>
                <w:kern w:val="22"/>
                <w:sz w:val="20"/>
                <w:szCs w:val="20"/>
              </w:rPr>
              <w:t>million</w:t>
            </w:r>
            <w:r w:rsidR="00FE53E4" w:rsidRPr="006B066D">
              <w:rPr>
                <w:rFonts w:asciiTheme="majorBidi" w:hAnsiTheme="majorBidi" w:cstheme="majorBidi"/>
                <w:i/>
                <w:iCs/>
                <w:kern w:val="22"/>
                <w:sz w:val="20"/>
                <w:szCs w:val="20"/>
                <w:vertAlign w:val="superscript"/>
              </w:rPr>
              <w:t>b</w:t>
            </w:r>
            <w:proofErr w:type="spellEnd"/>
            <w:r w:rsidRPr="00D2758E">
              <w:rPr>
                <w:rFonts w:asciiTheme="majorBidi" w:hAnsiTheme="majorBidi" w:cstheme="majorBidi"/>
                <w:kern w:val="22"/>
                <w:sz w:val="20"/>
                <w:szCs w:val="20"/>
              </w:rPr>
              <w:t xml:space="preserve"> </w:t>
            </w:r>
          </w:p>
        </w:tc>
      </w:tr>
      <w:tr w:rsidR="00452379" w:rsidRPr="00D2758E" w14:paraId="3C2AD254" w14:textId="77777777" w:rsidTr="006B066D">
        <w:trPr>
          <w:cantSplit/>
        </w:trPr>
        <w:tc>
          <w:tcPr>
            <w:tcW w:w="5803" w:type="dxa"/>
            <w:tcBorders>
              <w:top w:val="single" w:sz="4" w:space="0" w:color="auto"/>
              <w:left w:val="single" w:sz="4" w:space="0" w:color="auto"/>
              <w:bottom w:val="single" w:sz="4" w:space="0" w:color="auto"/>
              <w:right w:val="single" w:sz="4" w:space="0" w:color="auto"/>
            </w:tcBorders>
            <w:tcMar>
              <w:top w:w="29" w:type="dxa"/>
              <w:left w:w="115" w:type="dxa"/>
              <w:bottom w:w="29" w:type="dxa"/>
              <w:right w:w="115" w:type="dxa"/>
            </w:tcMar>
            <w:hideMark/>
          </w:tcPr>
          <w:p w14:paraId="47BA5DE7" w14:textId="2C38A126" w:rsidR="00452379" w:rsidRPr="00D2758E" w:rsidRDefault="00452379" w:rsidP="001445EA">
            <w:pPr>
              <w:suppressLineNumbers/>
              <w:suppressAutoHyphens/>
              <w:kinsoku w:val="0"/>
              <w:overflowPunct w:val="0"/>
              <w:autoSpaceDE w:val="0"/>
              <w:autoSpaceDN w:val="0"/>
              <w:adjustRightInd w:val="0"/>
              <w:snapToGrid w:val="0"/>
              <w:jc w:val="left"/>
              <w:rPr>
                <w:rFonts w:asciiTheme="majorBidi" w:hAnsiTheme="majorBidi" w:cstheme="majorBidi"/>
                <w:kern w:val="22"/>
                <w:sz w:val="20"/>
                <w:szCs w:val="20"/>
              </w:rPr>
            </w:pPr>
            <w:r w:rsidRPr="00D2758E">
              <w:rPr>
                <w:rFonts w:asciiTheme="majorBidi" w:hAnsiTheme="majorBidi" w:cstheme="majorBidi"/>
                <w:kern w:val="22"/>
                <w:sz w:val="20"/>
                <w:szCs w:val="20"/>
              </w:rPr>
              <w:t xml:space="preserve">Number and </w:t>
            </w:r>
            <w:proofErr w:type="spellStart"/>
            <w:r w:rsidRPr="00D2758E">
              <w:rPr>
                <w:rFonts w:asciiTheme="majorBidi" w:hAnsiTheme="majorBidi" w:cstheme="majorBidi"/>
                <w:kern w:val="22"/>
                <w:sz w:val="20"/>
                <w:szCs w:val="20"/>
              </w:rPr>
              <w:t>percentage</w:t>
            </w:r>
            <w:r w:rsidR="009F23E3">
              <w:rPr>
                <w:rFonts w:asciiTheme="majorBidi" w:hAnsiTheme="majorBidi" w:cstheme="majorBidi"/>
                <w:kern w:val="22"/>
                <w:sz w:val="20"/>
                <w:szCs w:val="20"/>
              </w:rPr>
              <w:t>a</w:t>
            </w:r>
            <w:proofErr w:type="spellEnd"/>
            <w:r w:rsidRPr="00D2758E">
              <w:rPr>
                <w:rFonts w:asciiTheme="majorBidi" w:hAnsiTheme="majorBidi" w:cstheme="majorBidi"/>
                <w:kern w:val="22"/>
                <w:sz w:val="20"/>
                <w:szCs w:val="20"/>
              </w:rPr>
              <w:t xml:space="preserve"> of Parties requiring prior informed consent for access to genetic resources that received non-monetary benefits from granting access to genetic resources since entry into force of the Protocol</w:t>
            </w:r>
          </w:p>
        </w:tc>
        <w:tc>
          <w:tcPr>
            <w:tcW w:w="1829" w:type="dxa"/>
            <w:tcBorders>
              <w:top w:val="single" w:sz="4" w:space="0" w:color="auto"/>
              <w:left w:val="single" w:sz="4" w:space="0" w:color="auto"/>
              <w:bottom w:val="single" w:sz="4" w:space="0" w:color="auto"/>
              <w:right w:val="single" w:sz="4" w:space="0" w:color="auto"/>
            </w:tcBorders>
            <w:tcMar>
              <w:top w:w="29" w:type="dxa"/>
              <w:left w:w="115" w:type="dxa"/>
              <w:bottom w:w="29" w:type="dxa"/>
              <w:right w:w="115" w:type="dxa"/>
            </w:tcMar>
            <w:vAlign w:val="bottom"/>
            <w:hideMark/>
          </w:tcPr>
          <w:p w14:paraId="53B1548A" w14:textId="77777777" w:rsidR="00452379" w:rsidRPr="00D2758E" w:rsidRDefault="00452379" w:rsidP="006B066D">
            <w:pPr>
              <w:suppressLineNumbers/>
              <w:suppressAutoHyphens/>
              <w:kinsoku w:val="0"/>
              <w:overflowPunct w:val="0"/>
              <w:autoSpaceDE w:val="0"/>
              <w:autoSpaceDN w:val="0"/>
              <w:adjustRightInd w:val="0"/>
              <w:snapToGrid w:val="0"/>
              <w:ind w:left="314" w:hanging="360"/>
              <w:jc w:val="right"/>
              <w:rPr>
                <w:rFonts w:asciiTheme="majorBidi" w:hAnsiTheme="majorBidi" w:cstheme="majorBidi"/>
                <w:kern w:val="22"/>
                <w:sz w:val="20"/>
                <w:szCs w:val="20"/>
              </w:rPr>
            </w:pPr>
            <w:r w:rsidRPr="00D2758E">
              <w:rPr>
                <w:rFonts w:asciiTheme="majorBidi" w:hAnsiTheme="majorBidi" w:cstheme="majorBidi"/>
                <w:kern w:val="22"/>
                <w:sz w:val="20"/>
                <w:szCs w:val="20"/>
              </w:rPr>
              <w:t>Not conclusive data</w:t>
            </w:r>
          </w:p>
        </w:tc>
        <w:tc>
          <w:tcPr>
            <w:tcW w:w="1512" w:type="dxa"/>
            <w:vAlign w:val="bottom"/>
          </w:tcPr>
          <w:p w14:paraId="55050201" w14:textId="138AFC6F" w:rsidR="00452379" w:rsidRPr="00D2758E" w:rsidRDefault="00452379" w:rsidP="006B066D">
            <w:pPr>
              <w:suppressLineNumbers/>
              <w:suppressAutoHyphens/>
              <w:kinsoku w:val="0"/>
              <w:overflowPunct w:val="0"/>
              <w:autoSpaceDE w:val="0"/>
              <w:autoSpaceDN w:val="0"/>
              <w:adjustRightInd w:val="0"/>
              <w:snapToGrid w:val="0"/>
              <w:ind w:left="314" w:hanging="360"/>
              <w:jc w:val="right"/>
              <w:rPr>
                <w:rFonts w:asciiTheme="majorBidi" w:hAnsiTheme="majorBidi" w:cstheme="majorBidi"/>
                <w:kern w:val="22"/>
                <w:sz w:val="20"/>
                <w:szCs w:val="20"/>
              </w:rPr>
            </w:pPr>
            <w:r w:rsidRPr="00D2758E">
              <w:rPr>
                <w:rFonts w:asciiTheme="majorBidi" w:hAnsiTheme="majorBidi" w:cstheme="majorBidi"/>
                <w:kern w:val="22"/>
                <w:sz w:val="20"/>
                <w:szCs w:val="20"/>
              </w:rPr>
              <w:t>59</w:t>
            </w:r>
            <w:r w:rsidR="00293C71" w:rsidRPr="00D2758E">
              <w:rPr>
                <w:rFonts w:asciiTheme="majorBidi" w:hAnsiTheme="majorBidi" w:cstheme="majorBidi"/>
                <w:kern w:val="22"/>
                <w:sz w:val="20"/>
                <w:szCs w:val="20"/>
              </w:rPr>
              <w:t xml:space="preserve"> </w:t>
            </w:r>
            <w:r w:rsidRPr="00D2758E">
              <w:rPr>
                <w:rFonts w:asciiTheme="majorBidi" w:hAnsiTheme="majorBidi" w:cstheme="majorBidi"/>
                <w:kern w:val="22"/>
                <w:sz w:val="20"/>
                <w:szCs w:val="20"/>
              </w:rPr>
              <w:t>(80</w:t>
            </w:r>
            <w:r w:rsidR="00792F3F">
              <w:rPr>
                <w:rFonts w:asciiTheme="majorBidi" w:hAnsiTheme="majorBidi" w:cstheme="majorBidi"/>
                <w:kern w:val="22"/>
                <w:sz w:val="20"/>
                <w:szCs w:val="20"/>
              </w:rPr>
              <w:t xml:space="preserve"> per cent</w:t>
            </w:r>
            <w:r w:rsidRPr="00D2758E">
              <w:rPr>
                <w:rFonts w:asciiTheme="majorBidi" w:hAnsiTheme="majorBidi" w:cstheme="majorBidi"/>
                <w:kern w:val="22"/>
                <w:sz w:val="20"/>
                <w:szCs w:val="20"/>
              </w:rPr>
              <w:t>)</w:t>
            </w:r>
          </w:p>
        </w:tc>
      </w:tr>
      <w:tr w:rsidR="00452379" w:rsidRPr="00D2758E" w14:paraId="06F023F9" w14:textId="77777777" w:rsidTr="006B066D">
        <w:trPr>
          <w:cantSplit/>
        </w:trPr>
        <w:tc>
          <w:tcPr>
            <w:tcW w:w="5803" w:type="dxa"/>
            <w:tcBorders>
              <w:top w:val="single" w:sz="4" w:space="0" w:color="auto"/>
              <w:left w:val="single" w:sz="4" w:space="0" w:color="auto"/>
              <w:bottom w:val="single" w:sz="4" w:space="0" w:color="auto"/>
              <w:right w:val="single" w:sz="4" w:space="0" w:color="auto"/>
            </w:tcBorders>
            <w:tcMar>
              <w:top w:w="29" w:type="dxa"/>
              <w:left w:w="115" w:type="dxa"/>
              <w:bottom w:w="29" w:type="dxa"/>
              <w:right w:w="115" w:type="dxa"/>
            </w:tcMar>
            <w:hideMark/>
          </w:tcPr>
          <w:p w14:paraId="51D3C4EB" w14:textId="190D3DC6" w:rsidR="00452379" w:rsidRPr="00D2758E" w:rsidRDefault="00452379" w:rsidP="001445EA">
            <w:pPr>
              <w:suppressLineNumbers/>
              <w:suppressAutoHyphens/>
              <w:kinsoku w:val="0"/>
              <w:overflowPunct w:val="0"/>
              <w:autoSpaceDE w:val="0"/>
              <w:autoSpaceDN w:val="0"/>
              <w:adjustRightInd w:val="0"/>
              <w:snapToGrid w:val="0"/>
              <w:jc w:val="left"/>
              <w:rPr>
                <w:rFonts w:asciiTheme="majorBidi" w:hAnsiTheme="majorBidi" w:cstheme="majorBidi"/>
                <w:kern w:val="22"/>
                <w:sz w:val="20"/>
                <w:szCs w:val="20"/>
              </w:rPr>
            </w:pPr>
            <w:r w:rsidRPr="00D2758E">
              <w:rPr>
                <w:rFonts w:asciiTheme="majorBidi" w:hAnsiTheme="majorBidi" w:cstheme="majorBidi"/>
                <w:kern w:val="22"/>
                <w:sz w:val="20"/>
                <w:szCs w:val="20"/>
              </w:rPr>
              <w:t xml:space="preserve">Number and </w:t>
            </w:r>
            <w:proofErr w:type="spellStart"/>
            <w:r w:rsidRPr="00D2758E">
              <w:rPr>
                <w:rFonts w:asciiTheme="majorBidi" w:hAnsiTheme="majorBidi" w:cstheme="majorBidi"/>
                <w:kern w:val="22"/>
                <w:sz w:val="20"/>
                <w:szCs w:val="20"/>
              </w:rPr>
              <w:t>percentage</w:t>
            </w:r>
            <w:r w:rsidR="008B0F9A" w:rsidRPr="006B066D">
              <w:rPr>
                <w:rFonts w:asciiTheme="majorBidi" w:hAnsiTheme="majorBidi" w:cstheme="majorBidi"/>
                <w:i/>
                <w:iCs/>
                <w:kern w:val="22"/>
                <w:sz w:val="20"/>
                <w:szCs w:val="20"/>
                <w:vertAlign w:val="superscript"/>
              </w:rPr>
              <w:t>c</w:t>
            </w:r>
            <w:proofErr w:type="spellEnd"/>
            <w:r w:rsidRPr="00D2758E">
              <w:rPr>
                <w:rFonts w:asciiTheme="majorBidi" w:hAnsiTheme="majorBidi" w:cstheme="majorBidi"/>
                <w:kern w:val="22"/>
                <w:sz w:val="20"/>
                <w:szCs w:val="20"/>
              </w:rPr>
              <w:t xml:space="preserve"> of Parties with indigenous peoples and local communities in their country that received monetary benefits from granting access to traditional knowledge associated with genetic resources since entry into force of the Protocol</w:t>
            </w:r>
          </w:p>
        </w:tc>
        <w:tc>
          <w:tcPr>
            <w:tcW w:w="1829" w:type="dxa"/>
            <w:tcBorders>
              <w:top w:val="single" w:sz="4" w:space="0" w:color="auto"/>
              <w:left w:val="single" w:sz="4" w:space="0" w:color="auto"/>
              <w:bottom w:val="single" w:sz="4" w:space="0" w:color="auto"/>
              <w:right w:val="single" w:sz="4" w:space="0" w:color="auto"/>
            </w:tcBorders>
            <w:tcMar>
              <w:top w:w="29" w:type="dxa"/>
              <w:left w:w="115" w:type="dxa"/>
              <w:bottom w:w="29" w:type="dxa"/>
              <w:right w:w="115" w:type="dxa"/>
            </w:tcMar>
            <w:vAlign w:val="bottom"/>
            <w:hideMark/>
          </w:tcPr>
          <w:p w14:paraId="4436547F" w14:textId="77777777" w:rsidR="00452379" w:rsidRPr="00D2758E" w:rsidRDefault="00452379" w:rsidP="006B066D">
            <w:pPr>
              <w:suppressLineNumbers/>
              <w:suppressAutoHyphens/>
              <w:kinsoku w:val="0"/>
              <w:overflowPunct w:val="0"/>
              <w:autoSpaceDE w:val="0"/>
              <w:autoSpaceDN w:val="0"/>
              <w:adjustRightInd w:val="0"/>
              <w:snapToGrid w:val="0"/>
              <w:ind w:left="314" w:hanging="360"/>
              <w:jc w:val="right"/>
              <w:rPr>
                <w:rFonts w:asciiTheme="majorBidi" w:hAnsiTheme="majorBidi" w:cstheme="majorBidi"/>
                <w:kern w:val="22"/>
                <w:sz w:val="20"/>
                <w:szCs w:val="20"/>
              </w:rPr>
            </w:pPr>
            <w:r w:rsidRPr="00D2758E">
              <w:rPr>
                <w:rFonts w:asciiTheme="majorBidi" w:hAnsiTheme="majorBidi" w:cstheme="majorBidi"/>
                <w:kern w:val="22"/>
                <w:sz w:val="20"/>
                <w:szCs w:val="20"/>
              </w:rPr>
              <w:t>Not conclusive data</w:t>
            </w:r>
          </w:p>
        </w:tc>
        <w:tc>
          <w:tcPr>
            <w:tcW w:w="1512" w:type="dxa"/>
            <w:vAlign w:val="bottom"/>
          </w:tcPr>
          <w:p w14:paraId="73545FE7" w14:textId="2C079F43" w:rsidR="00452379" w:rsidRPr="00D2758E" w:rsidRDefault="00452379" w:rsidP="006B066D">
            <w:pPr>
              <w:suppressLineNumbers/>
              <w:suppressAutoHyphens/>
              <w:kinsoku w:val="0"/>
              <w:overflowPunct w:val="0"/>
              <w:autoSpaceDE w:val="0"/>
              <w:autoSpaceDN w:val="0"/>
              <w:adjustRightInd w:val="0"/>
              <w:snapToGrid w:val="0"/>
              <w:ind w:left="314" w:hanging="360"/>
              <w:jc w:val="right"/>
              <w:rPr>
                <w:rFonts w:asciiTheme="majorBidi" w:hAnsiTheme="majorBidi" w:cstheme="majorBidi"/>
                <w:kern w:val="22"/>
                <w:sz w:val="20"/>
                <w:szCs w:val="20"/>
              </w:rPr>
            </w:pPr>
            <w:r w:rsidRPr="00D2758E">
              <w:rPr>
                <w:rFonts w:asciiTheme="majorBidi" w:hAnsiTheme="majorBidi" w:cstheme="majorBidi"/>
                <w:kern w:val="22"/>
                <w:sz w:val="20"/>
                <w:szCs w:val="20"/>
              </w:rPr>
              <w:t>10 (14</w:t>
            </w:r>
            <w:r w:rsidR="00151E2B">
              <w:rPr>
                <w:rFonts w:asciiTheme="majorBidi" w:hAnsiTheme="majorBidi" w:cstheme="majorBidi"/>
                <w:kern w:val="22"/>
                <w:sz w:val="20"/>
                <w:szCs w:val="20"/>
              </w:rPr>
              <w:t xml:space="preserve"> per cent</w:t>
            </w:r>
            <w:r w:rsidRPr="00D2758E">
              <w:rPr>
                <w:rFonts w:asciiTheme="majorBidi" w:hAnsiTheme="majorBidi" w:cstheme="majorBidi"/>
                <w:kern w:val="22"/>
                <w:sz w:val="20"/>
                <w:szCs w:val="20"/>
              </w:rPr>
              <w:t>)</w:t>
            </w:r>
          </w:p>
        </w:tc>
      </w:tr>
      <w:tr w:rsidR="00452379" w:rsidRPr="00D2758E" w14:paraId="023F1A3C" w14:textId="77777777" w:rsidTr="006B066D">
        <w:trPr>
          <w:cantSplit/>
        </w:trPr>
        <w:tc>
          <w:tcPr>
            <w:tcW w:w="5803" w:type="dxa"/>
            <w:tcBorders>
              <w:top w:val="single" w:sz="4" w:space="0" w:color="auto"/>
              <w:left w:val="single" w:sz="4" w:space="0" w:color="auto"/>
              <w:bottom w:val="single" w:sz="4" w:space="0" w:color="auto"/>
              <w:right w:val="single" w:sz="4" w:space="0" w:color="auto"/>
            </w:tcBorders>
            <w:tcMar>
              <w:top w:w="29" w:type="dxa"/>
              <w:left w:w="115" w:type="dxa"/>
              <w:bottom w:w="29" w:type="dxa"/>
              <w:right w:w="115" w:type="dxa"/>
            </w:tcMar>
            <w:hideMark/>
          </w:tcPr>
          <w:p w14:paraId="45A0AF18" w14:textId="77777777" w:rsidR="00452379" w:rsidRPr="00D2758E" w:rsidRDefault="00452379" w:rsidP="00D910E5">
            <w:pPr>
              <w:suppressLineNumbers/>
              <w:suppressAutoHyphens/>
              <w:kinsoku w:val="0"/>
              <w:overflowPunct w:val="0"/>
              <w:autoSpaceDE w:val="0"/>
              <w:autoSpaceDN w:val="0"/>
              <w:adjustRightInd w:val="0"/>
              <w:snapToGrid w:val="0"/>
              <w:jc w:val="left"/>
              <w:rPr>
                <w:rFonts w:asciiTheme="majorBidi" w:hAnsiTheme="majorBidi" w:cstheme="majorBidi"/>
                <w:kern w:val="22"/>
                <w:sz w:val="20"/>
                <w:szCs w:val="20"/>
              </w:rPr>
            </w:pPr>
            <w:proofErr w:type="gramStart"/>
            <w:r w:rsidRPr="00D2758E">
              <w:rPr>
                <w:rFonts w:asciiTheme="majorBidi" w:hAnsiTheme="majorBidi" w:cstheme="majorBidi"/>
                <w:kern w:val="22"/>
                <w:sz w:val="20"/>
                <w:szCs w:val="20"/>
              </w:rPr>
              <w:t>Amount</w:t>
            </w:r>
            <w:proofErr w:type="gramEnd"/>
            <w:r w:rsidRPr="00D2758E">
              <w:rPr>
                <w:rFonts w:asciiTheme="majorBidi" w:hAnsiTheme="majorBidi" w:cstheme="majorBidi"/>
                <w:kern w:val="22"/>
                <w:sz w:val="20"/>
                <w:szCs w:val="20"/>
              </w:rPr>
              <w:t xml:space="preserve"> of monetary benefits (in United States dollars) received from granting access to traditional knowledge associated with genetic resources for its utilization since entry into force of the Protocol</w:t>
            </w:r>
          </w:p>
        </w:tc>
        <w:tc>
          <w:tcPr>
            <w:tcW w:w="1829" w:type="dxa"/>
            <w:tcBorders>
              <w:top w:val="single" w:sz="4" w:space="0" w:color="auto"/>
              <w:left w:val="single" w:sz="4" w:space="0" w:color="auto"/>
              <w:bottom w:val="single" w:sz="4" w:space="0" w:color="auto"/>
              <w:right w:val="single" w:sz="4" w:space="0" w:color="auto"/>
            </w:tcBorders>
            <w:tcMar>
              <w:top w:w="29" w:type="dxa"/>
              <w:left w:w="115" w:type="dxa"/>
              <w:bottom w:w="29" w:type="dxa"/>
              <w:right w:w="115" w:type="dxa"/>
            </w:tcMar>
            <w:vAlign w:val="bottom"/>
            <w:hideMark/>
          </w:tcPr>
          <w:p w14:paraId="406A08EE" w14:textId="77777777" w:rsidR="00452379" w:rsidRPr="00D2758E" w:rsidRDefault="00452379" w:rsidP="006B066D">
            <w:pPr>
              <w:suppressLineNumbers/>
              <w:suppressAutoHyphens/>
              <w:kinsoku w:val="0"/>
              <w:overflowPunct w:val="0"/>
              <w:autoSpaceDE w:val="0"/>
              <w:autoSpaceDN w:val="0"/>
              <w:adjustRightInd w:val="0"/>
              <w:snapToGrid w:val="0"/>
              <w:ind w:left="314" w:hanging="360"/>
              <w:jc w:val="right"/>
              <w:rPr>
                <w:rFonts w:asciiTheme="majorBidi" w:hAnsiTheme="majorBidi" w:cstheme="majorBidi"/>
                <w:kern w:val="22"/>
                <w:sz w:val="20"/>
                <w:szCs w:val="20"/>
              </w:rPr>
            </w:pPr>
            <w:r w:rsidRPr="00D2758E">
              <w:rPr>
                <w:rFonts w:asciiTheme="majorBidi" w:hAnsiTheme="majorBidi" w:cstheme="majorBidi"/>
                <w:kern w:val="22"/>
                <w:sz w:val="20"/>
                <w:szCs w:val="20"/>
              </w:rPr>
              <w:t>Not conclusive data</w:t>
            </w:r>
          </w:p>
        </w:tc>
        <w:tc>
          <w:tcPr>
            <w:tcW w:w="1512" w:type="dxa"/>
            <w:vAlign w:val="bottom"/>
          </w:tcPr>
          <w:p w14:paraId="3EE56ACD" w14:textId="090753C1" w:rsidR="00452379" w:rsidRPr="00D2758E" w:rsidRDefault="00452379" w:rsidP="006B066D">
            <w:pPr>
              <w:suppressLineNumbers/>
              <w:suppressAutoHyphens/>
              <w:kinsoku w:val="0"/>
              <w:overflowPunct w:val="0"/>
              <w:autoSpaceDE w:val="0"/>
              <w:autoSpaceDN w:val="0"/>
              <w:adjustRightInd w:val="0"/>
              <w:snapToGrid w:val="0"/>
              <w:ind w:left="314" w:hanging="360"/>
              <w:jc w:val="right"/>
              <w:rPr>
                <w:rFonts w:asciiTheme="majorBidi" w:hAnsiTheme="majorBidi" w:cstheme="majorBidi"/>
                <w:kern w:val="22"/>
                <w:sz w:val="20"/>
                <w:szCs w:val="20"/>
                <w:highlight w:val="yellow"/>
              </w:rPr>
            </w:pPr>
            <w:r w:rsidRPr="00D2758E">
              <w:rPr>
                <w:rFonts w:asciiTheme="majorBidi" w:hAnsiTheme="majorBidi" w:cstheme="majorBidi"/>
                <w:kern w:val="22"/>
                <w:sz w:val="20"/>
                <w:szCs w:val="20"/>
              </w:rPr>
              <w:t xml:space="preserve">$53 </w:t>
            </w:r>
            <w:proofErr w:type="spellStart"/>
            <w:r w:rsidRPr="00D2758E">
              <w:rPr>
                <w:rFonts w:asciiTheme="majorBidi" w:hAnsiTheme="majorBidi" w:cstheme="majorBidi"/>
                <w:kern w:val="22"/>
                <w:sz w:val="20"/>
                <w:szCs w:val="20"/>
              </w:rPr>
              <w:t>million</w:t>
            </w:r>
            <w:r w:rsidR="007535D5">
              <w:rPr>
                <w:rFonts w:asciiTheme="majorBidi" w:hAnsiTheme="majorBidi" w:cstheme="majorBidi"/>
                <w:i/>
                <w:iCs/>
                <w:kern w:val="22"/>
                <w:sz w:val="20"/>
                <w:szCs w:val="20"/>
                <w:vertAlign w:val="superscript"/>
              </w:rPr>
              <w:t>b</w:t>
            </w:r>
            <w:proofErr w:type="spellEnd"/>
          </w:p>
        </w:tc>
      </w:tr>
      <w:tr w:rsidR="00452379" w:rsidRPr="00D2758E" w14:paraId="1815029C" w14:textId="77777777" w:rsidTr="006B066D">
        <w:trPr>
          <w:cantSplit/>
        </w:trPr>
        <w:tc>
          <w:tcPr>
            <w:tcW w:w="5803" w:type="dxa"/>
            <w:tcBorders>
              <w:top w:val="single" w:sz="4" w:space="0" w:color="auto"/>
              <w:left w:val="single" w:sz="4" w:space="0" w:color="auto"/>
              <w:bottom w:val="single" w:sz="4" w:space="0" w:color="auto"/>
              <w:right w:val="single" w:sz="4" w:space="0" w:color="auto"/>
            </w:tcBorders>
            <w:tcMar>
              <w:top w:w="29" w:type="dxa"/>
              <w:left w:w="115" w:type="dxa"/>
              <w:bottom w:w="29" w:type="dxa"/>
              <w:right w:w="115" w:type="dxa"/>
            </w:tcMar>
            <w:hideMark/>
          </w:tcPr>
          <w:p w14:paraId="49DE2884" w14:textId="7BCDB653" w:rsidR="00452379" w:rsidRPr="00D2758E" w:rsidRDefault="00452379" w:rsidP="00D910E5">
            <w:pPr>
              <w:suppressLineNumbers/>
              <w:suppressAutoHyphens/>
              <w:kinsoku w:val="0"/>
              <w:overflowPunct w:val="0"/>
              <w:autoSpaceDE w:val="0"/>
              <w:autoSpaceDN w:val="0"/>
              <w:adjustRightInd w:val="0"/>
              <w:snapToGrid w:val="0"/>
              <w:jc w:val="left"/>
              <w:rPr>
                <w:rFonts w:asciiTheme="majorBidi" w:hAnsiTheme="majorBidi" w:cstheme="majorBidi"/>
                <w:kern w:val="22"/>
                <w:sz w:val="20"/>
                <w:szCs w:val="20"/>
              </w:rPr>
            </w:pPr>
            <w:r w:rsidRPr="00D2758E">
              <w:rPr>
                <w:rFonts w:asciiTheme="majorBidi" w:hAnsiTheme="majorBidi" w:cstheme="majorBidi"/>
                <w:kern w:val="22"/>
                <w:sz w:val="20"/>
                <w:szCs w:val="20"/>
              </w:rPr>
              <w:t xml:space="preserve">Number and </w:t>
            </w:r>
            <w:proofErr w:type="spellStart"/>
            <w:r w:rsidRPr="00D2758E">
              <w:rPr>
                <w:rFonts w:asciiTheme="majorBidi" w:hAnsiTheme="majorBidi" w:cstheme="majorBidi"/>
                <w:kern w:val="22"/>
                <w:sz w:val="20"/>
                <w:szCs w:val="20"/>
              </w:rPr>
              <w:t>percentage</w:t>
            </w:r>
            <w:r w:rsidR="004C0B27">
              <w:rPr>
                <w:rFonts w:asciiTheme="majorBidi" w:hAnsiTheme="majorBidi" w:cstheme="majorBidi"/>
                <w:i/>
                <w:iCs/>
                <w:kern w:val="22"/>
                <w:sz w:val="20"/>
                <w:szCs w:val="20"/>
                <w:vertAlign w:val="superscript"/>
              </w:rPr>
              <w:t>c</w:t>
            </w:r>
            <w:proofErr w:type="spellEnd"/>
            <w:r w:rsidRPr="00D2758E">
              <w:rPr>
                <w:rFonts w:asciiTheme="majorBidi" w:hAnsiTheme="majorBidi" w:cstheme="majorBidi"/>
                <w:kern w:val="22"/>
                <w:sz w:val="20"/>
                <w:szCs w:val="20"/>
              </w:rPr>
              <w:t xml:space="preserve"> of Parties with indigenous peoples and local communities in their country that received non-monetary benefits from granting access to traditional knowledge associated with genetic resources</w:t>
            </w:r>
          </w:p>
        </w:tc>
        <w:tc>
          <w:tcPr>
            <w:tcW w:w="1829" w:type="dxa"/>
            <w:tcBorders>
              <w:top w:val="single" w:sz="4" w:space="0" w:color="auto"/>
              <w:left w:val="single" w:sz="4" w:space="0" w:color="auto"/>
              <w:bottom w:val="single" w:sz="4" w:space="0" w:color="auto"/>
              <w:right w:val="single" w:sz="4" w:space="0" w:color="auto"/>
            </w:tcBorders>
            <w:tcMar>
              <w:top w:w="29" w:type="dxa"/>
              <w:left w:w="115" w:type="dxa"/>
              <w:bottom w:w="29" w:type="dxa"/>
              <w:right w:w="115" w:type="dxa"/>
            </w:tcMar>
            <w:vAlign w:val="bottom"/>
            <w:hideMark/>
          </w:tcPr>
          <w:p w14:paraId="6AC53D0C" w14:textId="77777777" w:rsidR="00452379" w:rsidRPr="00D2758E" w:rsidRDefault="00452379" w:rsidP="006B066D">
            <w:pPr>
              <w:suppressLineNumbers/>
              <w:suppressAutoHyphens/>
              <w:kinsoku w:val="0"/>
              <w:overflowPunct w:val="0"/>
              <w:autoSpaceDE w:val="0"/>
              <w:autoSpaceDN w:val="0"/>
              <w:adjustRightInd w:val="0"/>
              <w:snapToGrid w:val="0"/>
              <w:ind w:left="314" w:hanging="360"/>
              <w:jc w:val="right"/>
              <w:rPr>
                <w:rFonts w:asciiTheme="majorBidi" w:hAnsiTheme="majorBidi" w:cstheme="majorBidi"/>
                <w:kern w:val="22"/>
                <w:sz w:val="20"/>
                <w:szCs w:val="20"/>
              </w:rPr>
            </w:pPr>
            <w:r w:rsidRPr="00D2758E">
              <w:rPr>
                <w:rFonts w:asciiTheme="majorBidi" w:hAnsiTheme="majorBidi" w:cstheme="majorBidi"/>
                <w:kern w:val="22"/>
                <w:sz w:val="20"/>
                <w:szCs w:val="20"/>
              </w:rPr>
              <w:t>Not conclusive data</w:t>
            </w:r>
          </w:p>
        </w:tc>
        <w:tc>
          <w:tcPr>
            <w:tcW w:w="1512" w:type="dxa"/>
            <w:vAlign w:val="bottom"/>
          </w:tcPr>
          <w:p w14:paraId="2BC3F830" w14:textId="1DD87F99" w:rsidR="00452379" w:rsidRPr="00D2758E" w:rsidRDefault="00452379" w:rsidP="006B066D">
            <w:pPr>
              <w:suppressLineNumbers/>
              <w:suppressAutoHyphens/>
              <w:kinsoku w:val="0"/>
              <w:overflowPunct w:val="0"/>
              <w:autoSpaceDE w:val="0"/>
              <w:autoSpaceDN w:val="0"/>
              <w:adjustRightInd w:val="0"/>
              <w:snapToGrid w:val="0"/>
              <w:ind w:left="314" w:hanging="360"/>
              <w:jc w:val="right"/>
              <w:rPr>
                <w:rFonts w:asciiTheme="majorBidi" w:hAnsiTheme="majorBidi" w:cstheme="majorBidi"/>
                <w:kern w:val="22"/>
                <w:sz w:val="20"/>
                <w:szCs w:val="20"/>
              </w:rPr>
            </w:pPr>
            <w:r w:rsidRPr="00D2758E">
              <w:rPr>
                <w:rFonts w:asciiTheme="majorBidi" w:hAnsiTheme="majorBidi" w:cstheme="majorBidi"/>
                <w:kern w:val="22"/>
                <w:sz w:val="20"/>
                <w:szCs w:val="20"/>
              </w:rPr>
              <w:t>27</w:t>
            </w:r>
            <w:r w:rsidR="00293C71" w:rsidRPr="00D2758E">
              <w:rPr>
                <w:rFonts w:asciiTheme="majorBidi" w:hAnsiTheme="majorBidi" w:cstheme="majorBidi"/>
                <w:kern w:val="22"/>
                <w:sz w:val="20"/>
                <w:szCs w:val="20"/>
              </w:rPr>
              <w:t xml:space="preserve"> </w:t>
            </w:r>
            <w:r w:rsidRPr="00D2758E">
              <w:rPr>
                <w:rFonts w:asciiTheme="majorBidi" w:hAnsiTheme="majorBidi" w:cstheme="majorBidi"/>
                <w:kern w:val="22"/>
                <w:sz w:val="20"/>
                <w:szCs w:val="20"/>
              </w:rPr>
              <w:t>(39</w:t>
            </w:r>
            <w:r w:rsidR="00151E2B">
              <w:rPr>
                <w:rFonts w:asciiTheme="majorBidi" w:hAnsiTheme="majorBidi" w:cstheme="majorBidi"/>
                <w:kern w:val="22"/>
                <w:sz w:val="20"/>
                <w:szCs w:val="20"/>
              </w:rPr>
              <w:t xml:space="preserve"> per cent</w:t>
            </w:r>
            <w:r w:rsidRPr="00D2758E">
              <w:rPr>
                <w:rFonts w:asciiTheme="majorBidi" w:hAnsiTheme="majorBidi" w:cstheme="majorBidi"/>
                <w:kern w:val="22"/>
                <w:sz w:val="20"/>
                <w:szCs w:val="20"/>
              </w:rPr>
              <w:t>)</w:t>
            </w:r>
          </w:p>
        </w:tc>
      </w:tr>
      <w:tr w:rsidR="00452379" w:rsidRPr="00D2758E" w14:paraId="5034386B" w14:textId="77777777" w:rsidTr="006B066D">
        <w:trPr>
          <w:cantSplit/>
        </w:trPr>
        <w:tc>
          <w:tcPr>
            <w:tcW w:w="5803" w:type="dxa"/>
            <w:tcBorders>
              <w:top w:val="single" w:sz="4" w:space="0" w:color="auto"/>
              <w:left w:val="single" w:sz="4" w:space="0" w:color="auto"/>
              <w:bottom w:val="single" w:sz="4" w:space="0" w:color="auto"/>
              <w:right w:val="single" w:sz="4" w:space="0" w:color="auto"/>
            </w:tcBorders>
            <w:tcMar>
              <w:top w:w="29" w:type="dxa"/>
              <w:left w:w="115" w:type="dxa"/>
              <w:bottom w:w="29" w:type="dxa"/>
              <w:right w:w="115" w:type="dxa"/>
            </w:tcMar>
            <w:hideMark/>
          </w:tcPr>
          <w:p w14:paraId="7911E4D9" w14:textId="77777777" w:rsidR="00452379" w:rsidRPr="00D2758E" w:rsidRDefault="00452379" w:rsidP="00D910E5">
            <w:pPr>
              <w:suppressLineNumbers/>
              <w:suppressAutoHyphens/>
              <w:kinsoku w:val="0"/>
              <w:overflowPunct w:val="0"/>
              <w:autoSpaceDE w:val="0"/>
              <w:autoSpaceDN w:val="0"/>
              <w:adjustRightInd w:val="0"/>
              <w:snapToGrid w:val="0"/>
              <w:jc w:val="left"/>
              <w:rPr>
                <w:rFonts w:asciiTheme="majorBidi" w:hAnsiTheme="majorBidi" w:cstheme="majorBidi"/>
                <w:kern w:val="22"/>
                <w:sz w:val="20"/>
                <w:szCs w:val="20"/>
              </w:rPr>
            </w:pPr>
            <w:r w:rsidRPr="00D2758E">
              <w:rPr>
                <w:rFonts w:asciiTheme="majorBidi" w:hAnsiTheme="majorBidi" w:cstheme="majorBidi"/>
                <w:kern w:val="22"/>
                <w:sz w:val="20"/>
                <w:szCs w:val="20"/>
              </w:rPr>
              <w:t>Number and percentage of Parties that reported that implementation of the Nagoya Protocol has contributed to conservation and sustainable use of biodiversity in their country</w:t>
            </w:r>
          </w:p>
        </w:tc>
        <w:tc>
          <w:tcPr>
            <w:tcW w:w="1829" w:type="dxa"/>
            <w:tcBorders>
              <w:top w:val="single" w:sz="4" w:space="0" w:color="auto"/>
              <w:left w:val="single" w:sz="4" w:space="0" w:color="auto"/>
              <w:bottom w:val="single" w:sz="4" w:space="0" w:color="auto"/>
              <w:right w:val="single" w:sz="4" w:space="0" w:color="auto"/>
            </w:tcBorders>
            <w:tcMar>
              <w:top w:w="29" w:type="dxa"/>
              <w:left w:w="115" w:type="dxa"/>
              <w:bottom w:w="29" w:type="dxa"/>
              <w:right w:w="115" w:type="dxa"/>
            </w:tcMar>
            <w:vAlign w:val="bottom"/>
            <w:hideMark/>
          </w:tcPr>
          <w:p w14:paraId="3E85524B" w14:textId="77777777" w:rsidR="00452379" w:rsidRPr="00D2758E" w:rsidRDefault="00452379" w:rsidP="006B066D">
            <w:pPr>
              <w:suppressLineNumbers/>
              <w:suppressAutoHyphens/>
              <w:kinsoku w:val="0"/>
              <w:overflowPunct w:val="0"/>
              <w:autoSpaceDE w:val="0"/>
              <w:autoSpaceDN w:val="0"/>
              <w:adjustRightInd w:val="0"/>
              <w:snapToGrid w:val="0"/>
              <w:ind w:left="314" w:hanging="360"/>
              <w:jc w:val="right"/>
              <w:rPr>
                <w:rFonts w:asciiTheme="majorBidi" w:hAnsiTheme="majorBidi" w:cstheme="majorBidi"/>
                <w:kern w:val="22"/>
                <w:sz w:val="20"/>
                <w:szCs w:val="20"/>
              </w:rPr>
            </w:pPr>
            <w:r w:rsidRPr="00D2758E">
              <w:rPr>
                <w:rFonts w:asciiTheme="majorBidi" w:hAnsiTheme="majorBidi" w:cstheme="majorBidi"/>
                <w:kern w:val="22"/>
                <w:sz w:val="20"/>
                <w:szCs w:val="20"/>
              </w:rPr>
              <w:t>Not conclusive data</w:t>
            </w:r>
          </w:p>
        </w:tc>
        <w:tc>
          <w:tcPr>
            <w:tcW w:w="1512" w:type="dxa"/>
            <w:tcBorders>
              <w:top w:val="single" w:sz="4" w:space="0" w:color="auto"/>
              <w:left w:val="single" w:sz="4" w:space="0" w:color="auto"/>
              <w:bottom w:val="single" w:sz="4" w:space="0" w:color="auto"/>
              <w:right w:val="single" w:sz="4" w:space="0" w:color="auto"/>
            </w:tcBorders>
            <w:vAlign w:val="bottom"/>
          </w:tcPr>
          <w:p w14:paraId="1BB2CBA8" w14:textId="77777777" w:rsidR="00452379" w:rsidRPr="00D2758E" w:rsidRDefault="00452379" w:rsidP="006B066D">
            <w:pPr>
              <w:suppressLineNumbers/>
              <w:suppressAutoHyphens/>
              <w:kinsoku w:val="0"/>
              <w:overflowPunct w:val="0"/>
              <w:autoSpaceDE w:val="0"/>
              <w:autoSpaceDN w:val="0"/>
              <w:adjustRightInd w:val="0"/>
              <w:snapToGrid w:val="0"/>
              <w:ind w:left="314" w:hanging="360"/>
              <w:jc w:val="right"/>
              <w:rPr>
                <w:rFonts w:asciiTheme="majorBidi" w:hAnsiTheme="majorBidi" w:cstheme="majorBidi"/>
                <w:kern w:val="22"/>
                <w:sz w:val="20"/>
                <w:szCs w:val="20"/>
              </w:rPr>
            </w:pPr>
          </w:p>
          <w:p w14:paraId="353BBFA7" w14:textId="15A3C45C" w:rsidR="00452379" w:rsidRPr="00D2758E" w:rsidRDefault="00293C71" w:rsidP="00A558F3">
            <w:pPr>
              <w:pStyle w:val="ListParagraph"/>
              <w:numPr>
                <w:ilvl w:val="0"/>
                <w:numId w:val="4"/>
              </w:numPr>
              <w:suppressLineNumbers/>
              <w:suppressAutoHyphens/>
              <w:kinsoku w:val="0"/>
              <w:overflowPunct w:val="0"/>
              <w:autoSpaceDE w:val="0"/>
              <w:autoSpaceDN w:val="0"/>
              <w:adjustRightInd w:val="0"/>
              <w:snapToGrid w:val="0"/>
              <w:jc w:val="right"/>
              <w:rPr>
                <w:rFonts w:asciiTheme="majorBidi" w:hAnsiTheme="majorBidi" w:cstheme="majorBidi"/>
                <w:kern w:val="22"/>
                <w:sz w:val="20"/>
                <w:szCs w:val="20"/>
              </w:rPr>
            </w:pPr>
            <w:r w:rsidRPr="00D2758E">
              <w:rPr>
                <w:rFonts w:asciiTheme="majorBidi" w:hAnsiTheme="majorBidi" w:cstheme="majorBidi"/>
                <w:kern w:val="22"/>
                <w:sz w:val="20"/>
                <w:szCs w:val="20"/>
              </w:rPr>
              <w:t>(</w:t>
            </w:r>
            <w:r w:rsidR="00452379" w:rsidRPr="00D2758E">
              <w:rPr>
                <w:rFonts w:asciiTheme="majorBidi" w:hAnsiTheme="majorBidi" w:cstheme="majorBidi"/>
                <w:kern w:val="22"/>
                <w:sz w:val="20"/>
                <w:szCs w:val="20"/>
              </w:rPr>
              <w:t>51</w:t>
            </w:r>
            <w:r w:rsidR="00151E2B">
              <w:rPr>
                <w:rFonts w:asciiTheme="majorBidi" w:hAnsiTheme="majorBidi" w:cstheme="majorBidi"/>
                <w:kern w:val="22"/>
                <w:sz w:val="20"/>
                <w:szCs w:val="20"/>
              </w:rPr>
              <w:t xml:space="preserve"> per cent</w:t>
            </w:r>
            <w:r w:rsidR="00452379" w:rsidRPr="00D2758E">
              <w:rPr>
                <w:rFonts w:asciiTheme="majorBidi" w:hAnsiTheme="majorBidi" w:cstheme="majorBidi"/>
                <w:kern w:val="22"/>
                <w:sz w:val="20"/>
                <w:szCs w:val="20"/>
              </w:rPr>
              <w:t>)</w:t>
            </w:r>
          </w:p>
        </w:tc>
      </w:tr>
    </w:tbl>
    <w:p w14:paraId="71E0A9C5" w14:textId="77777777" w:rsidR="008F3ECF" w:rsidRDefault="001445EA" w:rsidP="006B066D">
      <w:pPr>
        <w:pStyle w:val="Footnote"/>
        <w:tabs>
          <w:tab w:val="clear" w:pos="567"/>
        </w:tabs>
        <w:ind w:left="993" w:hanging="284"/>
      </w:pPr>
      <w:r w:rsidRPr="006B066D">
        <w:rPr>
          <w:i/>
          <w:iCs/>
          <w:vertAlign w:val="superscript"/>
        </w:rPr>
        <w:t>a</w:t>
      </w:r>
      <w:r>
        <w:rPr>
          <w:i/>
          <w:iCs/>
          <w:vertAlign w:val="superscript"/>
        </w:rPr>
        <w:tab/>
      </w:r>
      <w:r w:rsidRPr="00D2758E">
        <w:t>Percentage in this indicator has been calculated based on the total number of Parties requiring prior informed consent for access to genetic resources (74).</w:t>
      </w:r>
      <w:r w:rsidR="008F3ECF">
        <w:t xml:space="preserve"> </w:t>
      </w:r>
    </w:p>
    <w:p w14:paraId="0BD74BC5" w14:textId="06733738" w:rsidR="008F3ECF" w:rsidRDefault="008F3ECF" w:rsidP="006B066D">
      <w:pPr>
        <w:pStyle w:val="Footnote"/>
        <w:tabs>
          <w:tab w:val="clear" w:pos="567"/>
        </w:tabs>
        <w:ind w:left="993" w:hanging="284"/>
      </w:pPr>
      <w:r w:rsidRPr="006B066D">
        <w:rPr>
          <w:i/>
          <w:iCs/>
          <w:vertAlign w:val="superscript"/>
        </w:rPr>
        <w:t>b</w:t>
      </w:r>
      <w:r>
        <w:tab/>
      </w:r>
      <w:r w:rsidR="00403512" w:rsidRPr="00D2758E">
        <w:t>This amount includes benefits shared from access to both genetic resources and associated traditional knowledge. As the information on monetary benefits received reported by Parties in their first national reports on the Nagoya Protocol and their seventh national reports on the Convention could be interpreted in different ways, this figure is based on the average of the minimum and maximum values that resulted from applying different interpretations.</w:t>
      </w:r>
      <w:r w:rsidR="00081543">
        <w:t xml:space="preserve"> </w:t>
      </w:r>
      <w:r w:rsidRPr="00D2758E">
        <w:t xml:space="preserve">Percentage is calculated </w:t>
      </w:r>
      <w:r w:rsidR="00D01B64">
        <w:t>based on</w:t>
      </w:r>
      <w:r w:rsidRPr="00D2758E">
        <w:t xml:space="preserve"> the total number of Parties requiring prior informed consent for access to genetic resources (74).</w:t>
      </w:r>
    </w:p>
    <w:p w14:paraId="72337DE9" w14:textId="1320510D" w:rsidR="008F3ECF" w:rsidRDefault="008F3ECF" w:rsidP="006B066D">
      <w:pPr>
        <w:pStyle w:val="Footnote"/>
        <w:tabs>
          <w:tab w:val="clear" w:pos="567"/>
        </w:tabs>
        <w:ind w:left="993" w:hanging="284"/>
      </w:pPr>
      <w:r w:rsidRPr="006B066D">
        <w:rPr>
          <w:i/>
          <w:iCs/>
          <w:vertAlign w:val="superscript"/>
        </w:rPr>
        <w:t>c</w:t>
      </w:r>
      <w:r>
        <w:tab/>
      </w:r>
      <w:r w:rsidR="003A4F19" w:rsidRPr="00D2758E">
        <w:t xml:space="preserve">Percentage is calculated from the total number of Parties with </w:t>
      </w:r>
      <w:r w:rsidR="003A4F19">
        <w:t>i</w:t>
      </w:r>
      <w:r w:rsidR="003A4F19" w:rsidRPr="00D2758E">
        <w:t>ndigenous peoples and local communities in their country (69).</w:t>
      </w:r>
    </w:p>
    <w:p w14:paraId="0BFD5021" w14:textId="4AB2E07F" w:rsidR="00452379" w:rsidRPr="00D2758E" w:rsidRDefault="00DF27DA" w:rsidP="00F01C9E">
      <w:pPr>
        <w:pStyle w:val="CBDH3"/>
      </w:pPr>
      <w:r>
        <w:tab/>
      </w:r>
      <w:r w:rsidR="00F01C9E">
        <w:t>2.</w:t>
      </w:r>
      <w:r w:rsidR="00F01C9E">
        <w:tab/>
      </w:r>
      <w:r w:rsidR="00452379" w:rsidRPr="00D2758E">
        <w:t>Challenges in implementation</w:t>
      </w:r>
    </w:p>
    <w:p w14:paraId="0FF7BF35" w14:textId="3B3CAD0B" w:rsidR="00452379" w:rsidRPr="00D2758E" w:rsidRDefault="00452379" w:rsidP="00CD2C50">
      <w:pPr>
        <w:pStyle w:val="CBDNormalNumber"/>
        <w:rPr>
          <w:color w:val="000000" w:themeColor="text1"/>
        </w:rPr>
      </w:pPr>
      <w:r w:rsidRPr="00D2758E">
        <w:rPr>
          <w:color w:val="000000" w:themeColor="text1"/>
        </w:rPr>
        <w:t>Benefits from the utilization of genetic resources and associated traditional knowledge can be reali</w:t>
      </w:r>
      <w:r w:rsidR="00F01C9E">
        <w:rPr>
          <w:color w:val="000000" w:themeColor="text1"/>
        </w:rPr>
        <w:t>z</w:t>
      </w:r>
      <w:r w:rsidRPr="00D2758E">
        <w:rPr>
          <w:color w:val="000000" w:themeColor="text1"/>
        </w:rPr>
        <w:t xml:space="preserve">ed </w:t>
      </w:r>
      <w:r w:rsidR="00F95981" w:rsidRPr="00D2758E">
        <w:rPr>
          <w:color w:val="000000" w:themeColor="text1"/>
        </w:rPr>
        <w:t>onl</w:t>
      </w:r>
      <w:r w:rsidR="008E6E5C">
        <w:rPr>
          <w:color w:val="000000" w:themeColor="text1"/>
        </w:rPr>
        <w:t>y</w:t>
      </w:r>
      <w:r w:rsidR="00F95981" w:rsidRPr="00D2758E">
        <w:rPr>
          <w:color w:val="000000" w:themeColor="text1"/>
        </w:rPr>
        <w:t xml:space="preserve"> </w:t>
      </w:r>
      <w:r w:rsidRPr="00D2758E">
        <w:rPr>
          <w:color w:val="000000" w:themeColor="text1"/>
        </w:rPr>
        <w:t xml:space="preserve">when all Parties </w:t>
      </w:r>
      <w:r w:rsidRPr="00D2758E">
        <w:t>fulfil</w:t>
      </w:r>
      <w:r w:rsidRPr="00D2758E">
        <w:rPr>
          <w:color w:val="000000" w:themeColor="text1"/>
        </w:rPr>
        <w:t xml:space="preserve"> their access, benefit-sharing and compliance obligations under the Protocol and indigenous peoples and local communities and users of genetic resources and associated traditional knowledge are fully engaged. </w:t>
      </w:r>
      <w:r w:rsidR="00432F12" w:rsidRPr="00D2758E">
        <w:rPr>
          <w:color w:val="000000" w:themeColor="text1"/>
        </w:rPr>
        <w:t xml:space="preserve">Nonetheless, </w:t>
      </w:r>
      <w:proofErr w:type="gramStart"/>
      <w:r w:rsidRPr="00D2758E">
        <w:rPr>
          <w:color w:val="000000" w:themeColor="text1"/>
        </w:rPr>
        <w:t xml:space="preserve">all </w:t>
      </w:r>
      <w:r w:rsidR="0073742B">
        <w:rPr>
          <w:color w:val="000000" w:themeColor="text1"/>
        </w:rPr>
        <w:t>of</w:t>
      </w:r>
      <w:proofErr w:type="gramEnd"/>
      <w:r w:rsidR="0073742B">
        <w:rPr>
          <w:color w:val="000000" w:themeColor="text1"/>
        </w:rPr>
        <w:t xml:space="preserve"> </w:t>
      </w:r>
      <w:r w:rsidRPr="00D2758E">
        <w:rPr>
          <w:color w:val="000000" w:themeColor="text1"/>
        </w:rPr>
        <w:t xml:space="preserve">these actors have different limitations and </w:t>
      </w:r>
      <w:r w:rsidR="0073742B">
        <w:rPr>
          <w:color w:val="000000" w:themeColor="text1"/>
        </w:rPr>
        <w:t xml:space="preserve">different </w:t>
      </w:r>
      <w:r w:rsidRPr="00D2758E">
        <w:rPr>
          <w:color w:val="000000" w:themeColor="text1"/>
        </w:rPr>
        <w:t>levels of capacit</w:t>
      </w:r>
      <w:r w:rsidR="0073742B">
        <w:rPr>
          <w:color w:val="000000" w:themeColor="text1"/>
        </w:rPr>
        <w:t>y</w:t>
      </w:r>
      <w:r w:rsidRPr="00D2758E">
        <w:rPr>
          <w:color w:val="000000" w:themeColor="text1"/>
        </w:rPr>
        <w:t xml:space="preserve"> to engage in </w:t>
      </w:r>
      <w:r w:rsidR="0073742B">
        <w:rPr>
          <w:color w:val="000000" w:themeColor="text1"/>
        </w:rPr>
        <w:t xml:space="preserve">access and benefit-sharing </w:t>
      </w:r>
      <w:r w:rsidRPr="00D2758E">
        <w:rPr>
          <w:color w:val="000000" w:themeColor="text1"/>
        </w:rPr>
        <w:t>processes.</w:t>
      </w:r>
    </w:p>
    <w:p w14:paraId="2E6F1717" w14:textId="00DB41C7" w:rsidR="00452379" w:rsidRPr="00D2758E" w:rsidRDefault="00452379" w:rsidP="00CD2C50">
      <w:pPr>
        <w:pStyle w:val="CBDNormalNumber"/>
        <w:rPr>
          <w:color w:val="000000" w:themeColor="text1"/>
        </w:rPr>
      </w:pPr>
      <w:r w:rsidRPr="00D2758E">
        <w:rPr>
          <w:color w:val="000000" w:themeColor="text1"/>
        </w:rPr>
        <w:t xml:space="preserve">The recognition of access and benefit-sharing principles and </w:t>
      </w:r>
      <w:proofErr w:type="spellStart"/>
      <w:r w:rsidRPr="00D2758E">
        <w:rPr>
          <w:color w:val="000000" w:themeColor="text1"/>
        </w:rPr>
        <w:t>valori</w:t>
      </w:r>
      <w:r w:rsidR="00553548">
        <w:rPr>
          <w:color w:val="000000" w:themeColor="text1"/>
        </w:rPr>
        <w:t>z</w:t>
      </w:r>
      <w:r w:rsidRPr="00D2758E">
        <w:rPr>
          <w:color w:val="000000" w:themeColor="text1"/>
        </w:rPr>
        <w:t>ation</w:t>
      </w:r>
      <w:proofErr w:type="spellEnd"/>
      <w:r w:rsidRPr="00D2758E">
        <w:rPr>
          <w:color w:val="000000" w:themeColor="text1"/>
        </w:rPr>
        <w:t xml:space="preserve"> of genetic resources and associated traditional knowledge require fundamental changes in mindset and practices by both providers and users. </w:t>
      </w:r>
      <w:r w:rsidRPr="00D2758E">
        <w:t>Th</w:t>
      </w:r>
      <w:r w:rsidR="00827EBE">
        <w:t>o</w:t>
      </w:r>
      <w:r w:rsidRPr="00D2758E">
        <w:t>se</w:t>
      </w:r>
      <w:r w:rsidRPr="00D2758E">
        <w:rPr>
          <w:color w:val="000000" w:themeColor="text1"/>
        </w:rPr>
        <w:t xml:space="preserve"> changes can </w:t>
      </w:r>
      <w:r w:rsidR="00827EBE">
        <w:rPr>
          <w:color w:val="000000" w:themeColor="text1"/>
        </w:rPr>
        <w:t>occur</w:t>
      </w:r>
      <w:r w:rsidR="00680A86">
        <w:rPr>
          <w:color w:val="000000" w:themeColor="text1"/>
        </w:rPr>
        <w:t xml:space="preserve"> </w:t>
      </w:r>
      <w:r w:rsidRPr="00D2758E">
        <w:rPr>
          <w:color w:val="000000" w:themeColor="text1"/>
        </w:rPr>
        <w:t xml:space="preserve">only incrementally over time and </w:t>
      </w:r>
      <w:r w:rsidR="00680A86">
        <w:rPr>
          <w:color w:val="000000" w:themeColor="text1"/>
        </w:rPr>
        <w:t>once</w:t>
      </w:r>
      <w:r w:rsidRPr="00D2758E">
        <w:rPr>
          <w:color w:val="000000" w:themeColor="text1"/>
        </w:rPr>
        <w:t xml:space="preserve"> the enabling conditions </w:t>
      </w:r>
      <w:r w:rsidR="00932C22" w:rsidRPr="00D2758E">
        <w:rPr>
          <w:color w:val="000000" w:themeColor="text1"/>
        </w:rPr>
        <w:t xml:space="preserve">are </w:t>
      </w:r>
      <w:r w:rsidRPr="00D2758E">
        <w:rPr>
          <w:color w:val="000000" w:themeColor="text1"/>
        </w:rPr>
        <w:t>in place, including sustained political commitment</w:t>
      </w:r>
      <w:r w:rsidR="000F4E6E" w:rsidRPr="00D2758E">
        <w:rPr>
          <w:color w:val="000000" w:themeColor="text1"/>
        </w:rPr>
        <w:t xml:space="preserve"> and implementation</w:t>
      </w:r>
      <w:r w:rsidR="00A13A70">
        <w:rPr>
          <w:color w:val="000000" w:themeColor="text1"/>
        </w:rPr>
        <w:t xml:space="preserve"> and</w:t>
      </w:r>
      <w:r w:rsidRPr="00D2758E">
        <w:rPr>
          <w:color w:val="000000" w:themeColor="text1"/>
        </w:rPr>
        <w:t xml:space="preserve"> appropriate incentives</w:t>
      </w:r>
      <w:r w:rsidR="00A13A70">
        <w:rPr>
          <w:color w:val="000000" w:themeColor="text1"/>
        </w:rPr>
        <w:t xml:space="preserve">, </w:t>
      </w:r>
      <w:r w:rsidRPr="00D2758E">
        <w:rPr>
          <w:color w:val="000000" w:themeColor="text1"/>
        </w:rPr>
        <w:t>accompanied by long-term structural support.</w:t>
      </w:r>
    </w:p>
    <w:p w14:paraId="76D5A817" w14:textId="547AA5DC" w:rsidR="00452379" w:rsidRPr="00D2758E" w:rsidRDefault="00B165E0" w:rsidP="00CD2C50">
      <w:pPr>
        <w:pStyle w:val="CBDNormalNumber"/>
      </w:pPr>
      <w:r>
        <w:lastRenderedPageBreak/>
        <w:t>Al</w:t>
      </w:r>
      <w:r w:rsidR="00452379" w:rsidRPr="00D2758E">
        <w:t xml:space="preserve">though there has been much progress in implementation thanks to capacity-building efforts and financial resources, much </w:t>
      </w:r>
      <w:r w:rsidR="00580B94">
        <w:t xml:space="preserve">work </w:t>
      </w:r>
      <w:r w:rsidR="00452379" w:rsidRPr="00D2758E">
        <w:t xml:space="preserve">is still needed </w:t>
      </w:r>
      <w:r w:rsidR="008D36A3" w:rsidRPr="00D2758E">
        <w:t>to achieve</w:t>
      </w:r>
      <w:r w:rsidR="00452379" w:rsidRPr="00D2758E">
        <w:t xml:space="preserve"> a fully functional international system </w:t>
      </w:r>
      <w:r w:rsidR="00554783" w:rsidRPr="00D2758E">
        <w:t>of access and benefit</w:t>
      </w:r>
      <w:r>
        <w:t xml:space="preserve"> </w:t>
      </w:r>
      <w:r w:rsidR="00554783" w:rsidRPr="00D2758E">
        <w:t>sharing</w:t>
      </w:r>
      <w:r w:rsidR="004F4B56">
        <w:t>,</w:t>
      </w:r>
      <w:r w:rsidR="00554783" w:rsidRPr="00D2758E">
        <w:t xml:space="preserve"> </w:t>
      </w:r>
      <w:r w:rsidR="00452379" w:rsidRPr="00D2758E">
        <w:t xml:space="preserve">with an expanded number of Parties and </w:t>
      </w:r>
      <w:r w:rsidR="00452379" w:rsidRPr="00D2758E">
        <w:rPr>
          <w:color w:val="000000" w:themeColor="text1"/>
        </w:rPr>
        <w:t xml:space="preserve">indigenous peoples and local communities </w:t>
      </w:r>
      <w:r w:rsidR="00452379" w:rsidRPr="00D2758E">
        <w:t xml:space="preserve">receiving benefits and greater </w:t>
      </w:r>
      <w:r w:rsidR="00650015" w:rsidRPr="00D2758E">
        <w:t>contributions to</w:t>
      </w:r>
      <w:r w:rsidR="00452379" w:rsidRPr="00D2758E">
        <w:t xml:space="preserve"> conservation and sustainable use of biodiversity.</w:t>
      </w:r>
      <w:r w:rsidR="00AB35BC" w:rsidRPr="00D2758E">
        <w:rPr>
          <w:rStyle w:val="FootnoteReference"/>
        </w:rPr>
        <w:footnoteReference w:id="60"/>
      </w:r>
    </w:p>
    <w:p w14:paraId="7D9E7948" w14:textId="6E88FDC9" w:rsidR="00452379" w:rsidRPr="00D2758E" w:rsidRDefault="00452379" w:rsidP="00CD2C50">
      <w:pPr>
        <w:pStyle w:val="CBDNormalNumber"/>
      </w:pPr>
      <w:r w:rsidRPr="00D2758E">
        <w:t>Some mandatory</w:t>
      </w:r>
      <w:r w:rsidR="00A15BDE" w:rsidRPr="00D2758E">
        <w:t xml:space="preserve"> national</w:t>
      </w:r>
      <w:r w:rsidRPr="00D2758E">
        <w:t xml:space="preserve"> information has not been made available on the </w:t>
      </w:r>
      <w:proofErr w:type="gramStart"/>
      <w:r w:rsidRPr="00D2758E">
        <w:t>Clearing-House</w:t>
      </w:r>
      <w:proofErr w:type="gramEnd"/>
      <w:r w:rsidRPr="00D2758E">
        <w:t xml:space="preserve">, requirements for legal clarity and certainty of national </w:t>
      </w:r>
      <w:r w:rsidR="00B40F4C">
        <w:t xml:space="preserve">access and benefit-sharing </w:t>
      </w:r>
      <w:r w:rsidRPr="00D2758E">
        <w:t xml:space="preserve">measures have not been met by many Parties and users often report </w:t>
      </w:r>
      <w:r w:rsidR="00B40F4C">
        <w:t>on</w:t>
      </w:r>
      <w:r w:rsidRPr="00D2758E">
        <w:t xml:space="preserve"> the difficulties </w:t>
      </w:r>
      <w:r w:rsidR="00DD24BE">
        <w:t xml:space="preserve">that they </w:t>
      </w:r>
      <w:r w:rsidRPr="00D2758E">
        <w:t xml:space="preserve">experienced when trying to understand </w:t>
      </w:r>
      <w:r w:rsidR="00DD24BE">
        <w:t xml:space="preserve">access and benefit-sharing </w:t>
      </w:r>
      <w:r w:rsidRPr="00D2758E">
        <w:t>national requirements and comply with them.</w:t>
      </w:r>
    </w:p>
    <w:p w14:paraId="439FB3F8" w14:textId="0F76912F" w:rsidR="00452379" w:rsidRPr="00D2758E" w:rsidRDefault="00452379" w:rsidP="00CD2C50">
      <w:pPr>
        <w:pStyle w:val="CBDNormalNumber"/>
      </w:pPr>
      <w:r w:rsidRPr="00D2758E">
        <w:t xml:space="preserve">With the growing number of Parties to the Nagoya Protocol, the diversity of national approaches to </w:t>
      </w:r>
      <w:r w:rsidR="00DD24BE">
        <w:t xml:space="preserve">access and benefit-sharing </w:t>
      </w:r>
      <w:r w:rsidRPr="00D2758E">
        <w:t xml:space="preserve">requirements and procedures has become a key challenge for users. In particular, the scope of application of national </w:t>
      </w:r>
      <w:r w:rsidR="00DD24BE" w:rsidRPr="00DD24BE">
        <w:t xml:space="preserve">access and benefit-sharing </w:t>
      </w:r>
      <w:r w:rsidRPr="00D2758E">
        <w:t xml:space="preserve">requirements can vary significantly from country to </w:t>
      </w:r>
      <w:r w:rsidR="00675BEA">
        <w:t>country</w:t>
      </w:r>
      <w:r w:rsidRPr="00D2758E">
        <w:t xml:space="preserve"> and the steps to </w:t>
      </w:r>
      <w:r w:rsidR="00675BEA">
        <w:t xml:space="preserve">be </w:t>
      </w:r>
      <w:r w:rsidRPr="00D2758E">
        <w:t>follow</w:t>
      </w:r>
      <w:r w:rsidR="00675BEA">
        <w:t>ed</w:t>
      </w:r>
      <w:r w:rsidRPr="00D2758E">
        <w:t xml:space="preserve"> to obtain access to genetic resources, acquire prior informed consent</w:t>
      </w:r>
      <w:r w:rsidR="00006414">
        <w:t xml:space="preserve"> or</w:t>
      </w:r>
      <w:r w:rsidRPr="00D2758E">
        <w:t xml:space="preserve"> a permit</w:t>
      </w:r>
      <w:r w:rsidR="00DF51FC" w:rsidRPr="00D2758E">
        <w:t xml:space="preserve">, </w:t>
      </w:r>
      <w:r w:rsidRPr="00D2758E">
        <w:t>negotiate mutually agreed terms</w:t>
      </w:r>
      <w:r w:rsidR="002E46EA" w:rsidRPr="00D2758E">
        <w:t xml:space="preserve"> </w:t>
      </w:r>
      <w:r w:rsidRPr="00D2758E">
        <w:t xml:space="preserve">and share benefits </w:t>
      </w:r>
      <w:r w:rsidR="00D26F98">
        <w:t>ob</w:t>
      </w:r>
      <w:r w:rsidRPr="00D2758E">
        <w:t xml:space="preserve">tained in accordance with national </w:t>
      </w:r>
      <w:r w:rsidR="00F82036" w:rsidRPr="00F82036">
        <w:t xml:space="preserve">access and benefit-sharing </w:t>
      </w:r>
      <w:r w:rsidRPr="00D2758E">
        <w:t xml:space="preserve">measures are not always easy to understand. This has created operational complexity and increased transaction costs for users from both the scientific and </w:t>
      </w:r>
      <w:r w:rsidR="00D26F98">
        <w:t xml:space="preserve">the </w:t>
      </w:r>
      <w:r w:rsidRPr="00D2758E">
        <w:t>business communities.</w:t>
      </w:r>
    </w:p>
    <w:p w14:paraId="60C811D3" w14:textId="4BA8272D" w:rsidR="00452379" w:rsidRPr="00D2758E" w:rsidRDefault="00E404F3" w:rsidP="00CD2C50">
      <w:pPr>
        <w:pStyle w:val="CBDNormalNumber"/>
      </w:pPr>
      <w:r>
        <w:t>Moreover</w:t>
      </w:r>
      <w:r w:rsidR="00452379" w:rsidRPr="00D2758E">
        <w:t xml:space="preserve">, implementation of compliance measures and elements of the monitoring system established </w:t>
      </w:r>
      <w:r>
        <w:t>under</w:t>
      </w:r>
      <w:r w:rsidR="00452379" w:rsidRPr="00D2758E">
        <w:t xml:space="preserve"> the Nagoya Protocol (</w:t>
      </w:r>
      <w:r>
        <w:t>for example</w:t>
      </w:r>
      <w:r w:rsidR="00452379" w:rsidRPr="00D2758E">
        <w:t xml:space="preserve">, </w:t>
      </w:r>
      <w:r w:rsidR="005F6E92" w:rsidRPr="00D2758E">
        <w:t>certificates</w:t>
      </w:r>
      <w:r w:rsidR="00452379" w:rsidRPr="00D2758E">
        <w:t>, checkpoints</w:t>
      </w:r>
      <w:r w:rsidR="002758EC">
        <w:t xml:space="preserve"> and</w:t>
      </w:r>
      <w:r w:rsidR="00452379" w:rsidRPr="00D2758E">
        <w:t xml:space="preserve"> checkpoint communiqués) remains uneven and limited in practice</w:t>
      </w:r>
      <w:r w:rsidR="00851568" w:rsidRPr="00D2758E">
        <w:t>.</w:t>
      </w:r>
      <w:r w:rsidR="00452379" w:rsidRPr="00D2758E">
        <w:t xml:space="preserve"> As a result, the international monitoring system as envisaged by the Nagoya Protocol </w:t>
      </w:r>
      <w:r w:rsidR="002758EC">
        <w:t>has</w:t>
      </w:r>
      <w:r w:rsidR="00452379" w:rsidRPr="00D2758E">
        <w:t xml:space="preserve"> not yet </w:t>
      </w:r>
      <w:r w:rsidR="002758EC">
        <w:t xml:space="preserve">been </w:t>
      </w:r>
      <w:r w:rsidR="00452379" w:rsidRPr="00D2758E">
        <w:t xml:space="preserve">universally applied and </w:t>
      </w:r>
      <w:proofErr w:type="gramStart"/>
      <w:r w:rsidR="00452379" w:rsidRPr="00D2758E">
        <w:t>a number of</w:t>
      </w:r>
      <w:proofErr w:type="gramEnd"/>
      <w:r w:rsidR="00452379" w:rsidRPr="00D2758E">
        <w:t xml:space="preserve"> Parties continue to be concerned about the misappropriation and misuse of their genetic resources once the </w:t>
      </w:r>
      <w:r w:rsidR="008A0F75" w:rsidRPr="00D2758E">
        <w:t>resources</w:t>
      </w:r>
      <w:r w:rsidR="00452379" w:rsidRPr="00D2758E">
        <w:t xml:space="preserve"> leave their country.</w:t>
      </w:r>
      <w:r w:rsidR="00452379" w:rsidRPr="00D2758E">
        <w:rPr>
          <w:rStyle w:val="FootnoteReference"/>
        </w:rPr>
        <w:footnoteReference w:id="61"/>
      </w:r>
      <w:r w:rsidR="00452379" w:rsidRPr="00D2758E">
        <w:t xml:space="preserve"> </w:t>
      </w:r>
    </w:p>
    <w:p w14:paraId="7660B898" w14:textId="2C8A4B8F" w:rsidR="00452379" w:rsidRPr="00D2758E" w:rsidRDefault="00452379" w:rsidP="00CD2C50">
      <w:pPr>
        <w:pStyle w:val="CBDNormalNumber"/>
      </w:pPr>
      <w:r w:rsidRPr="00D2758E">
        <w:t xml:space="preserve">Challenges encountered by </w:t>
      </w:r>
      <w:r w:rsidR="0004180D">
        <w:t>G</w:t>
      </w:r>
      <w:r w:rsidRPr="00D2758E">
        <w:t xml:space="preserve">overnments have delayed national implementation and may in turn have contributed to the challenges faced by users. The challenges encountered by </w:t>
      </w:r>
      <w:r w:rsidR="00170E58">
        <w:t>G</w:t>
      </w:r>
      <w:r w:rsidRPr="00D2758E">
        <w:t xml:space="preserve">overnments include: limited financial resources or budgetary constraints; limited human resources and technical expertise at the government level; limited understanding of the value of genetic resources and/or associated traditional knowledge; </w:t>
      </w:r>
      <w:r w:rsidR="00D92EE4">
        <w:t xml:space="preserve">and </w:t>
      </w:r>
      <w:r w:rsidRPr="00D2758E">
        <w:t xml:space="preserve">limited awareness of the concept of </w:t>
      </w:r>
      <w:r w:rsidR="000A04DF">
        <w:t xml:space="preserve">access and benefit sharing </w:t>
      </w:r>
      <w:r w:rsidRPr="00D2758E">
        <w:t xml:space="preserve"> by indigenous peoples and local communities and  stakeholders, such as the business and scientific communities</w:t>
      </w:r>
      <w:r w:rsidR="00D92EE4">
        <w:t>,</w:t>
      </w:r>
      <w:r w:rsidRPr="00D2758E">
        <w:t xml:space="preserve"> as well as lack of political will and political instability.</w:t>
      </w:r>
    </w:p>
    <w:p w14:paraId="7796A377" w14:textId="218F6423" w:rsidR="00452379" w:rsidRPr="00D2758E" w:rsidRDefault="00452379" w:rsidP="00CD2C50">
      <w:pPr>
        <w:pStyle w:val="CBDNormalNumber"/>
      </w:pPr>
      <w:r w:rsidRPr="00D2758E">
        <w:t>The absence of basic enabling conditions (</w:t>
      </w:r>
      <w:r w:rsidR="00C03019">
        <w:t>related</w:t>
      </w:r>
      <w:r w:rsidR="00010BDC">
        <w:t xml:space="preserve">, </w:t>
      </w:r>
      <w:r w:rsidR="002105AF">
        <w:t>for example</w:t>
      </w:r>
      <w:r w:rsidRPr="00D2758E">
        <w:t xml:space="preserve">, </w:t>
      </w:r>
      <w:r w:rsidR="00010BDC">
        <w:t xml:space="preserve">to </w:t>
      </w:r>
      <w:r w:rsidRPr="00D2758E">
        <w:t xml:space="preserve">equipment, electricity, </w:t>
      </w:r>
      <w:r w:rsidR="00E15174">
        <w:t>information technology</w:t>
      </w:r>
      <w:r w:rsidRPr="00D2758E">
        <w:t xml:space="preserve"> infrastructure) in many developing countries remains a significant obstacle to implementation.</w:t>
      </w:r>
    </w:p>
    <w:p w14:paraId="6909FCFF" w14:textId="44ED3CAC" w:rsidR="00452379" w:rsidRPr="00D2758E" w:rsidRDefault="00452379" w:rsidP="00CD2C50">
      <w:pPr>
        <w:pStyle w:val="CBDNormalNumber"/>
      </w:pPr>
      <w:r w:rsidRPr="00D2758E">
        <w:t xml:space="preserve">Political will at </w:t>
      </w:r>
      <w:r w:rsidR="0025069F" w:rsidRPr="00D2758E">
        <w:t>the</w:t>
      </w:r>
      <w:r w:rsidRPr="00D2758E">
        <w:t xml:space="preserve"> national level determines what issues are prioriti</w:t>
      </w:r>
      <w:r w:rsidR="003E6D0F">
        <w:t>z</w:t>
      </w:r>
      <w:r w:rsidRPr="00D2758E">
        <w:t>ed in the context of competing demands for limited resources</w:t>
      </w:r>
      <w:r w:rsidR="003C6324" w:rsidRPr="00D2758E">
        <w:t xml:space="preserve">, and </w:t>
      </w:r>
      <w:r w:rsidR="00010BDC">
        <w:t>access and benefit-sharing</w:t>
      </w:r>
      <w:r w:rsidRPr="00D2758E">
        <w:t xml:space="preserve"> is still often perceived as a regulatory burden and a cost to be avoided </w:t>
      </w:r>
      <w:r w:rsidR="005D2F69">
        <w:t>or</w:t>
      </w:r>
      <w:r w:rsidRPr="00D2758E">
        <w:t xml:space="preserve"> minimized rather than as </w:t>
      </w:r>
      <w:r w:rsidR="005D2F69">
        <w:t xml:space="preserve">offering </w:t>
      </w:r>
      <w:r w:rsidRPr="00D2758E">
        <w:t>an opportunity for sustainable development.</w:t>
      </w:r>
    </w:p>
    <w:p w14:paraId="3F3BAAB6" w14:textId="3F5948F7" w:rsidR="00452379" w:rsidRPr="00D2758E" w:rsidRDefault="00452379" w:rsidP="00CD2C50">
      <w:pPr>
        <w:pStyle w:val="CBDNormalNumber"/>
      </w:pPr>
      <w:r w:rsidRPr="00D2758E">
        <w:t xml:space="preserve">The considerable investment in resources required to set up </w:t>
      </w:r>
      <w:r w:rsidR="0003320E" w:rsidRPr="0003320E">
        <w:t>access and benefit-sharing</w:t>
      </w:r>
      <w:r w:rsidRPr="00D2758E">
        <w:t xml:space="preserve"> legal and institutional frameworks </w:t>
      </w:r>
      <w:r w:rsidR="00AD0C96">
        <w:t>which</w:t>
      </w:r>
      <w:r w:rsidRPr="00D2758E">
        <w:t xml:space="preserve"> will generate benefits </w:t>
      </w:r>
      <w:r w:rsidR="00AD0C96" w:rsidRPr="00D2758E">
        <w:t xml:space="preserve">only </w:t>
      </w:r>
      <w:r w:rsidRPr="00D2758E">
        <w:t xml:space="preserve">over time, </w:t>
      </w:r>
      <w:r w:rsidR="00AD0C96">
        <w:t>owing</w:t>
      </w:r>
      <w:r w:rsidRPr="00D2758E">
        <w:t xml:space="preserve"> to the </w:t>
      </w:r>
      <w:proofErr w:type="gramStart"/>
      <w:r w:rsidRPr="00D2758E">
        <w:t>long time</w:t>
      </w:r>
      <w:proofErr w:type="gramEnd"/>
      <w:r w:rsidR="003354D3">
        <w:t xml:space="preserve"> interval </w:t>
      </w:r>
      <w:r w:rsidRPr="00D2758E">
        <w:t xml:space="preserve">between access and benefit-sharing, is another root cause of challenges to implementation. The contribution </w:t>
      </w:r>
      <w:r w:rsidR="006F5F21">
        <w:t>of the i</w:t>
      </w:r>
      <w:r w:rsidR="006F5F21" w:rsidRPr="00D2758E">
        <w:t>mplementation</w:t>
      </w:r>
      <w:r w:rsidR="006F5F21">
        <w:t xml:space="preserve"> </w:t>
      </w:r>
      <w:r w:rsidRPr="00D2758E">
        <w:t xml:space="preserve">of </w:t>
      </w:r>
      <w:r w:rsidR="00C73AF9" w:rsidRPr="00C73AF9">
        <w:t xml:space="preserve">access and benefit-sharing </w:t>
      </w:r>
      <w:proofErr w:type="spellStart"/>
      <w:r w:rsidRPr="00D2758E">
        <w:t>i</w:t>
      </w:r>
      <w:proofErr w:type="spellEnd"/>
      <w:r w:rsidRPr="00D2758E">
        <w:t xml:space="preserve"> to the enhanced governance of genetic resources, including the empowerment of indigenous peoples and local communities, has been given little consideration.</w:t>
      </w:r>
    </w:p>
    <w:p w14:paraId="6F10ED6B" w14:textId="486AB6E2" w:rsidR="00452379" w:rsidRPr="00D2758E" w:rsidRDefault="00452379" w:rsidP="00CD2C50">
      <w:pPr>
        <w:pStyle w:val="CBDNormalNumber"/>
      </w:pPr>
      <w:r w:rsidRPr="00D2758E">
        <w:t xml:space="preserve">Many Parties indicated that they </w:t>
      </w:r>
      <w:r w:rsidR="001C2432">
        <w:t xml:space="preserve">had </w:t>
      </w:r>
      <w:r w:rsidRPr="00D2758E">
        <w:t xml:space="preserve">not </w:t>
      </w:r>
      <w:r w:rsidR="001C2432">
        <w:t xml:space="preserve">been </w:t>
      </w:r>
      <w:r w:rsidRPr="00D2758E">
        <w:t xml:space="preserve">able to report on benefits received, citing the absence of systems to account </w:t>
      </w:r>
      <w:r w:rsidR="009A6DC4">
        <w:t xml:space="preserve">for </w:t>
      </w:r>
      <w:r w:rsidRPr="00D2758E">
        <w:t>or track such benefits. Th</w:t>
      </w:r>
      <w:r w:rsidR="009A6DC4">
        <w:t>at</w:t>
      </w:r>
      <w:r w:rsidRPr="00D2758E">
        <w:t xml:space="preserve"> challenge </w:t>
      </w:r>
      <w:r w:rsidR="009A6DC4">
        <w:t>wa</w:t>
      </w:r>
      <w:r w:rsidRPr="00D2758E">
        <w:t>s widely recognized as significant, as it also point</w:t>
      </w:r>
      <w:r w:rsidR="00F50333">
        <w:t>ed</w:t>
      </w:r>
      <w:r w:rsidRPr="00D2758E">
        <w:t xml:space="preserve"> to limitations in the ability to monitor benefit-sharing outcomes and the </w:t>
      </w:r>
      <w:r w:rsidRPr="00D2758E">
        <w:lastRenderedPageBreak/>
        <w:t>implementation of mutually agreed terms and access and benefit-sharing agreements. In some cases, other Parties report</w:t>
      </w:r>
      <w:r w:rsidR="00F50333">
        <w:t>ed</w:t>
      </w:r>
      <w:r w:rsidRPr="00D2758E">
        <w:t xml:space="preserve"> </w:t>
      </w:r>
      <w:r w:rsidR="00426A82">
        <w:t>th</w:t>
      </w:r>
      <w:r w:rsidR="00603905">
        <w:t>at</w:t>
      </w:r>
      <w:r w:rsidR="00426A82">
        <w:t>,</w:t>
      </w:r>
      <w:r w:rsidR="00603905">
        <w:t xml:space="preserve"> </w:t>
      </w:r>
      <w:r w:rsidR="00426A82">
        <w:t xml:space="preserve">while </w:t>
      </w:r>
      <w:r w:rsidR="003650C6">
        <w:t>they had</w:t>
      </w:r>
      <w:r w:rsidRPr="00D2758E">
        <w:t xml:space="preserve"> the </w:t>
      </w:r>
      <w:r w:rsidR="006E3D41">
        <w:t xml:space="preserve">required </w:t>
      </w:r>
      <w:r w:rsidRPr="00D2758E">
        <w:t xml:space="preserve">information, it </w:t>
      </w:r>
      <w:r w:rsidR="00603905">
        <w:t>was</w:t>
      </w:r>
      <w:r w:rsidRPr="00D2758E">
        <w:t xml:space="preserve"> considered confidential and therefore </w:t>
      </w:r>
      <w:r w:rsidR="008E1D7A">
        <w:t>wa</w:t>
      </w:r>
      <w:r w:rsidRPr="00D2758E">
        <w:t xml:space="preserve">s not shared. </w:t>
      </w:r>
    </w:p>
    <w:p w14:paraId="47C82095" w14:textId="3C6CD900" w:rsidR="00452379" w:rsidRPr="00D2758E" w:rsidRDefault="0004180D" w:rsidP="0004180D">
      <w:pPr>
        <w:pStyle w:val="CBDH3"/>
      </w:pPr>
      <w:r>
        <w:t>3.</w:t>
      </w:r>
      <w:r>
        <w:tab/>
      </w:r>
      <w:r w:rsidR="00452379" w:rsidRPr="00D2758E">
        <w:t xml:space="preserve">Root causes of challenges to effective </w:t>
      </w:r>
      <w:r w:rsidR="00452379" w:rsidRPr="00D2758E">
        <w:rPr>
          <w:rFonts w:asciiTheme="majorBidi" w:hAnsiTheme="majorBidi" w:cstheme="majorBidi"/>
        </w:rPr>
        <w:t>implementation</w:t>
      </w:r>
      <w:r w:rsidR="00452379" w:rsidRPr="00D2758E">
        <w:rPr>
          <w:rStyle w:val="FootnoteReference"/>
        </w:rPr>
        <w:footnoteReference w:id="62"/>
      </w:r>
    </w:p>
    <w:p w14:paraId="6396DC5A" w14:textId="37286685" w:rsidR="00452379" w:rsidRPr="00D2758E" w:rsidRDefault="002C1AA9" w:rsidP="00CD2C50">
      <w:pPr>
        <w:pStyle w:val="CBDNormalNumber"/>
      </w:pPr>
      <w:r w:rsidRPr="00D2758E">
        <w:t xml:space="preserve">The scoping study </w:t>
      </w:r>
      <w:r w:rsidR="008B2DF2" w:rsidRPr="00D2758E">
        <w:t>identified p</w:t>
      </w:r>
      <w:r w:rsidR="00452379" w:rsidRPr="00D2758E">
        <w:t xml:space="preserve">ossible reasons </w:t>
      </w:r>
      <w:r w:rsidR="002424F1">
        <w:t xml:space="preserve">for </w:t>
      </w:r>
      <w:r w:rsidR="00452379" w:rsidRPr="00D2758E">
        <w:t>and underlying root causes of challenges to effective implementation</w:t>
      </w:r>
      <w:r w:rsidR="00225919" w:rsidRPr="00D2758E">
        <w:t>. Th</w:t>
      </w:r>
      <w:r w:rsidR="008E1D7A">
        <w:t>o</w:t>
      </w:r>
      <w:r w:rsidR="00225919" w:rsidRPr="00D2758E">
        <w:t>se</w:t>
      </w:r>
      <w:r w:rsidR="00452379" w:rsidRPr="00D2758E">
        <w:t xml:space="preserve"> </w:t>
      </w:r>
      <w:r w:rsidR="008E1D7A">
        <w:t xml:space="preserve">factors </w:t>
      </w:r>
      <w:r w:rsidR="00452379" w:rsidRPr="00D2758E">
        <w:t>cut across many of the challenges encountered in the implementation of the Nagoya Protocol and</w:t>
      </w:r>
      <w:r w:rsidR="001E1622" w:rsidRPr="00D2758E">
        <w:t xml:space="preserve"> root causes and challenges</w:t>
      </w:r>
      <w:r w:rsidR="00452379" w:rsidRPr="00D2758E">
        <w:t xml:space="preserve"> </w:t>
      </w:r>
      <w:r w:rsidR="002424F1">
        <w:t>were</w:t>
      </w:r>
      <w:r w:rsidR="00452379" w:rsidRPr="00D2758E">
        <w:t xml:space="preserve"> often interrelated. </w:t>
      </w:r>
      <w:r w:rsidR="00BC4122">
        <w:t>B</w:t>
      </w:r>
      <w:r w:rsidR="00452379" w:rsidRPr="00D2758E">
        <w:t>roader contextual issues and issues related to the Nagoya Protocol</w:t>
      </w:r>
      <w:r w:rsidR="0020283B">
        <w:t xml:space="preserve"> were </w:t>
      </w:r>
      <w:proofErr w:type="gramStart"/>
      <w:r w:rsidR="0020283B">
        <w:t>involved</w:t>
      </w:r>
      <w:r w:rsidR="0082591F">
        <w:t xml:space="preserve">, </w:t>
      </w:r>
      <w:r w:rsidR="00452379" w:rsidRPr="00D2758E">
        <w:t xml:space="preserve"> </w:t>
      </w:r>
      <w:r w:rsidR="0082591F">
        <w:t>specifically</w:t>
      </w:r>
      <w:proofErr w:type="gramEnd"/>
      <w:r w:rsidR="00452379" w:rsidRPr="00D2758E">
        <w:t>:</w:t>
      </w:r>
    </w:p>
    <w:p w14:paraId="2D905BF0" w14:textId="6CFCFFB5" w:rsidR="00452379" w:rsidRPr="00D2758E" w:rsidRDefault="00452379" w:rsidP="00A558F3">
      <w:pPr>
        <w:pStyle w:val="CBDNormalNumber"/>
        <w:numPr>
          <w:ilvl w:val="1"/>
          <w:numId w:val="7"/>
        </w:numPr>
      </w:pPr>
      <w:r w:rsidRPr="006B066D">
        <w:rPr>
          <w:i/>
          <w:iCs/>
        </w:rPr>
        <w:t>Sovereign rights of States over their natural resources</w:t>
      </w:r>
      <w:r w:rsidR="0052249B">
        <w:t>.</w:t>
      </w:r>
      <w:r w:rsidRPr="00D2758E">
        <w:t xml:space="preserve"> The recognition of the sovereign rights of States over their natural resources and the principles of access and benefit</w:t>
      </w:r>
      <w:r w:rsidR="0082591F">
        <w:t xml:space="preserve"> </w:t>
      </w:r>
      <w:r w:rsidRPr="00D2758E">
        <w:t xml:space="preserve">sharing established in Article 15 of the </w:t>
      </w:r>
      <w:r w:rsidR="009360D5">
        <w:t>Convention</w:t>
      </w:r>
      <w:r w:rsidR="009360D5" w:rsidRPr="00D2758E">
        <w:t xml:space="preserve"> </w:t>
      </w:r>
      <w:r w:rsidR="009C2C4D">
        <w:t>represented</w:t>
      </w:r>
      <w:r w:rsidRPr="00D2758E">
        <w:t xml:space="preserve"> an important paradigm shift and involve</w:t>
      </w:r>
      <w:r w:rsidR="009C2C4D">
        <w:t>d</w:t>
      </w:r>
      <w:r w:rsidRPr="00D2758E">
        <w:t xml:space="preserve"> a major change in mindsets and practices </w:t>
      </w:r>
      <w:r w:rsidR="00260B9D">
        <w:t>with respect to how</w:t>
      </w:r>
      <w:r w:rsidRPr="00D2758E">
        <w:t xml:space="preserve"> genetic resources and associated traditional knowledge </w:t>
      </w:r>
      <w:r w:rsidR="00260B9D">
        <w:t>we</w:t>
      </w:r>
      <w:r w:rsidRPr="00D2758E">
        <w:t xml:space="preserve">re governed and </w:t>
      </w:r>
      <w:r w:rsidR="004E627D">
        <w:t xml:space="preserve">how  </w:t>
      </w:r>
      <w:r w:rsidRPr="00D2758E">
        <w:t xml:space="preserve">research </w:t>
      </w:r>
      <w:r w:rsidR="00A006C9">
        <w:t xml:space="preserve">related to those </w:t>
      </w:r>
      <w:r w:rsidR="00A006C9" w:rsidRPr="00D2758E">
        <w:t xml:space="preserve">resources </w:t>
      </w:r>
      <w:r w:rsidRPr="00D2758E">
        <w:t xml:space="preserve">or </w:t>
      </w:r>
      <w:r w:rsidR="00A006C9">
        <w:t xml:space="preserve">their </w:t>
      </w:r>
      <w:r w:rsidRPr="00D2758E">
        <w:t xml:space="preserve">commercial utilization </w:t>
      </w:r>
      <w:r w:rsidR="004C0914">
        <w:t>was</w:t>
      </w:r>
      <w:r w:rsidRPr="00D2758E">
        <w:t xml:space="preserve"> undertaken</w:t>
      </w:r>
      <w:r w:rsidR="004F4CFA">
        <w:t>;</w:t>
      </w:r>
    </w:p>
    <w:p w14:paraId="1623C79A" w14:textId="42909347" w:rsidR="00452379" w:rsidRPr="00D2758E" w:rsidRDefault="00452379" w:rsidP="00A558F3">
      <w:pPr>
        <w:pStyle w:val="CBDNormalNumber"/>
        <w:numPr>
          <w:ilvl w:val="1"/>
          <w:numId w:val="7"/>
        </w:numPr>
      </w:pPr>
      <w:r w:rsidRPr="006B066D">
        <w:rPr>
          <w:i/>
          <w:iCs/>
        </w:rPr>
        <w:t>Different world views</w:t>
      </w:r>
      <w:r w:rsidR="0052249B">
        <w:t>.</w:t>
      </w:r>
      <w:r w:rsidRPr="00D2758E">
        <w:t xml:space="preserve"> </w:t>
      </w:r>
      <w:r w:rsidR="0071405C">
        <w:t xml:space="preserve">Access and benefit sharing </w:t>
      </w:r>
      <w:r w:rsidRPr="00D2758E">
        <w:t xml:space="preserve">attempts to reconcile different worldviews, cultures and mindsets in bringing together </w:t>
      </w:r>
      <w:r w:rsidR="0052249B">
        <w:t>G</w:t>
      </w:r>
      <w:r w:rsidRPr="00D2758E">
        <w:t>overnments, indigenous peoples and local communities</w:t>
      </w:r>
      <w:r w:rsidRPr="00D2758E" w:rsidDel="002E4DF6">
        <w:t xml:space="preserve"> </w:t>
      </w:r>
      <w:r w:rsidRPr="00D2758E">
        <w:t>and stakeholders from the business and scientific communities within and across countries</w:t>
      </w:r>
      <w:r w:rsidR="004F4CFA">
        <w:t>;</w:t>
      </w:r>
    </w:p>
    <w:p w14:paraId="75AD285F" w14:textId="39AF12EE" w:rsidR="00452379" w:rsidRPr="00D2758E" w:rsidRDefault="00452379" w:rsidP="00A558F3">
      <w:pPr>
        <w:pStyle w:val="CBDNormalNumber"/>
        <w:numPr>
          <w:ilvl w:val="1"/>
          <w:numId w:val="7"/>
        </w:numPr>
      </w:pPr>
      <w:r w:rsidRPr="006B066D">
        <w:rPr>
          <w:i/>
          <w:iCs/>
        </w:rPr>
        <w:t>Historical inequities</w:t>
      </w:r>
      <w:r w:rsidR="0052249B">
        <w:t>.</w:t>
      </w:r>
      <w:r w:rsidRPr="00D2758E">
        <w:t xml:space="preserve"> Challenges with </w:t>
      </w:r>
      <w:r w:rsidR="00546F1A">
        <w:t xml:space="preserve">respect to </w:t>
      </w:r>
      <w:r w:rsidR="00546F1A" w:rsidRPr="00D2758E">
        <w:t xml:space="preserve">implementation </w:t>
      </w:r>
      <w:r w:rsidR="00861466">
        <w:t>of access and benefit-sharing</w:t>
      </w:r>
      <w:r w:rsidRPr="00D2758E">
        <w:t xml:space="preserve"> may be the result of broader unresolved issues linked to historical inequities, such as past experiences of resource exploitation or limited recognition of traditional knowledge</w:t>
      </w:r>
      <w:r w:rsidR="004F4CFA">
        <w:t>;</w:t>
      </w:r>
    </w:p>
    <w:p w14:paraId="0EF2C504" w14:textId="2B1BA8DF" w:rsidR="00452379" w:rsidRPr="00D2758E" w:rsidRDefault="00452379" w:rsidP="00A558F3">
      <w:pPr>
        <w:pStyle w:val="CBDNormalNumber"/>
        <w:numPr>
          <w:ilvl w:val="1"/>
          <w:numId w:val="7"/>
        </w:numPr>
      </w:pPr>
      <w:r w:rsidRPr="006B066D">
        <w:rPr>
          <w:i/>
          <w:iCs/>
        </w:rPr>
        <w:t>Lack of mutual trust</w:t>
      </w:r>
      <w:r w:rsidR="009360D5">
        <w:t>.</w:t>
      </w:r>
      <w:r w:rsidRPr="00D2758E">
        <w:t xml:space="preserve"> Historical inequities continue to contribute to mistrust between users from the North and providers traditionally from the </w:t>
      </w:r>
      <w:r w:rsidR="00861466">
        <w:t>g</w:t>
      </w:r>
      <w:r w:rsidRPr="00D2758E">
        <w:t xml:space="preserve">lobal South. The fear of misappropriation and misuse of genetic resources once they leave the provider country continues to encourage the development of restrictive </w:t>
      </w:r>
      <w:r w:rsidR="003D13AA">
        <w:t xml:space="preserve">access and benefit-sharing </w:t>
      </w:r>
      <w:r w:rsidRPr="00D2758E">
        <w:t>measures in many provider countries, despite the international monitoring system established by the Nagoya Protocol</w:t>
      </w:r>
      <w:r w:rsidR="004F4CFA">
        <w:t>;</w:t>
      </w:r>
    </w:p>
    <w:p w14:paraId="127CF1B7" w14:textId="27D74CD2" w:rsidR="00452379" w:rsidRPr="00D2758E" w:rsidRDefault="00452379" w:rsidP="00A558F3">
      <w:pPr>
        <w:pStyle w:val="CBDNormalNumber"/>
        <w:numPr>
          <w:ilvl w:val="1"/>
          <w:numId w:val="7"/>
        </w:numPr>
      </w:pPr>
      <w:r w:rsidRPr="006B066D">
        <w:rPr>
          <w:i/>
          <w:iCs/>
        </w:rPr>
        <w:t>Limited recognition of the value of genetic resources and associated traditional knowledge</w:t>
      </w:r>
      <w:r w:rsidR="0052249B">
        <w:t>.</w:t>
      </w:r>
      <w:r w:rsidRPr="00D2758E">
        <w:t xml:space="preserve"> The limited recognition of the value of genetic resources and associated traditional knowledge</w:t>
      </w:r>
      <w:r w:rsidRPr="00D2758E" w:rsidDel="00FF5F19">
        <w:t xml:space="preserve"> </w:t>
      </w:r>
      <w:r w:rsidRPr="00D2758E">
        <w:t>continues to be a reality in many countries and affects political will</w:t>
      </w:r>
      <w:r w:rsidR="004F4CFA">
        <w:t>;</w:t>
      </w:r>
    </w:p>
    <w:p w14:paraId="5E51A2FD" w14:textId="0C288C3C" w:rsidR="00452379" w:rsidRPr="00D2758E" w:rsidRDefault="00452379" w:rsidP="00A558F3">
      <w:pPr>
        <w:pStyle w:val="CBDNormalNumber"/>
        <w:numPr>
          <w:ilvl w:val="1"/>
          <w:numId w:val="7"/>
        </w:numPr>
      </w:pPr>
      <w:r w:rsidRPr="006B066D">
        <w:rPr>
          <w:i/>
          <w:iCs/>
        </w:rPr>
        <w:t>Political commitment and will</w:t>
      </w:r>
      <w:r w:rsidR="0052249B">
        <w:t>.</w:t>
      </w:r>
      <w:r w:rsidRPr="00D2758E">
        <w:t xml:space="preserve"> </w:t>
      </w:r>
      <w:r w:rsidR="0052249B">
        <w:t>O</w:t>
      </w:r>
      <w:r w:rsidR="00CF0D16">
        <w:t>wing</w:t>
      </w:r>
      <w:r w:rsidR="00CF0D16" w:rsidRPr="00D2758E">
        <w:t xml:space="preserve"> </w:t>
      </w:r>
      <w:r w:rsidRPr="00D2758E">
        <w:t xml:space="preserve">to competing demands for financial, technical and human resources at national level, the absence of political will directly affects progress </w:t>
      </w:r>
      <w:r w:rsidR="001E775C">
        <w:t xml:space="preserve">on </w:t>
      </w:r>
      <w:r w:rsidR="001E775C" w:rsidRPr="00D2758E">
        <w:t xml:space="preserve">implementation </w:t>
      </w:r>
      <w:r w:rsidR="001E775C">
        <w:t>of access and benefit sharing</w:t>
      </w:r>
      <w:r w:rsidR="004F4CFA">
        <w:t>;</w:t>
      </w:r>
    </w:p>
    <w:p w14:paraId="7CE6B5DF" w14:textId="67154F61" w:rsidR="00452379" w:rsidRPr="00D2758E" w:rsidRDefault="00452379" w:rsidP="00A558F3">
      <w:pPr>
        <w:pStyle w:val="CBDNormalNumber"/>
        <w:numPr>
          <w:ilvl w:val="1"/>
          <w:numId w:val="7"/>
        </w:numPr>
      </w:pPr>
      <w:r w:rsidRPr="006B066D">
        <w:rPr>
          <w:i/>
          <w:iCs/>
        </w:rPr>
        <w:t xml:space="preserve">Complexity of </w:t>
      </w:r>
      <w:r w:rsidR="001E775C">
        <w:rPr>
          <w:i/>
          <w:iCs/>
        </w:rPr>
        <w:t>access and benefit sharing</w:t>
      </w:r>
      <w:r w:rsidR="00D94504">
        <w:t>.</w:t>
      </w:r>
      <w:r w:rsidRPr="00D2758E">
        <w:t xml:space="preserve"> The inherent complexity of </w:t>
      </w:r>
      <w:r w:rsidR="005F335E" w:rsidRPr="006B066D">
        <w:t>access and benefit sharing</w:t>
      </w:r>
      <w:r w:rsidRPr="00D2758E">
        <w:t>, at the intersection of biodiversity conservation, research</w:t>
      </w:r>
      <w:r w:rsidR="00081F5A">
        <w:t xml:space="preserve"> and</w:t>
      </w:r>
      <w:r w:rsidRPr="00D2758E">
        <w:t xml:space="preserve"> commercial use and involving legal, scientific, business and ethical considerations, contributes to </w:t>
      </w:r>
      <w:r w:rsidR="00CE140A" w:rsidRPr="00D2758E">
        <w:t xml:space="preserve">implementation </w:t>
      </w:r>
      <w:r w:rsidRPr="00D2758E">
        <w:t>challenges</w:t>
      </w:r>
      <w:r w:rsidR="004F4CFA">
        <w:t>;</w:t>
      </w:r>
    </w:p>
    <w:p w14:paraId="39DC36C8" w14:textId="60A5BD8C" w:rsidR="00452379" w:rsidRPr="00D2758E" w:rsidRDefault="00452379" w:rsidP="00A558F3">
      <w:pPr>
        <w:pStyle w:val="CBDNormalNumber"/>
        <w:numPr>
          <w:ilvl w:val="1"/>
          <w:numId w:val="7"/>
        </w:numPr>
      </w:pPr>
      <w:r w:rsidRPr="006B066D">
        <w:rPr>
          <w:i/>
          <w:iCs/>
        </w:rPr>
        <w:t xml:space="preserve">Limited integration of </w:t>
      </w:r>
      <w:r w:rsidR="005E319C" w:rsidRPr="005E319C">
        <w:rPr>
          <w:i/>
          <w:iCs/>
        </w:rPr>
        <w:t>access and benefit-sharing</w:t>
      </w:r>
      <w:r w:rsidRPr="006B066D">
        <w:rPr>
          <w:i/>
          <w:iCs/>
        </w:rPr>
        <w:t xml:space="preserve"> as part of broader policy goals</w:t>
      </w:r>
      <w:r w:rsidR="00D94504">
        <w:t>.</w:t>
      </w:r>
      <w:r w:rsidRPr="00D2758E">
        <w:t xml:space="preserve"> </w:t>
      </w:r>
      <w:r w:rsidR="00116FB3">
        <w:t xml:space="preserve">Access and benefit sharing </w:t>
      </w:r>
      <w:r w:rsidRPr="00D2758E">
        <w:t>has generally not been recogni</w:t>
      </w:r>
      <w:r w:rsidR="00521FF0">
        <w:t>z</w:t>
      </w:r>
      <w:r w:rsidRPr="00D2758E">
        <w:t xml:space="preserve">ed as a vehicle </w:t>
      </w:r>
      <w:r w:rsidR="00116FB3">
        <w:t>for</w:t>
      </w:r>
      <w:r w:rsidRPr="00D2758E">
        <w:t xml:space="preserve"> achiev</w:t>
      </w:r>
      <w:r w:rsidR="00116FB3">
        <w:t>ing</w:t>
      </w:r>
      <w:r w:rsidRPr="00D2758E">
        <w:t xml:space="preserve"> broader policy goals (</w:t>
      </w:r>
      <w:r w:rsidR="00116FB3">
        <w:t xml:space="preserve">for example, </w:t>
      </w:r>
      <w:r w:rsidRPr="00D2758E">
        <w:t xml:space="preserve">development, research and </w:t>
      </w:r>
      <w:r w:rsidR="00CF730B" w:rsidRPr="00D2758E">
        <w:t>innovation</w:t>
      </w:r>
      <w:r w:rsidR="00116FB3">
        <w:t xml:space="preserve"> and</w:t>
      </w:r>
      <w:r w:rsidRPr="00D2758E">
        <w:t xml:space="preserve"> bioeconomy). It has not been sufficiently integrated or mainstreamed into broader policy issues and continues to be considered a technical issue under the main responsibility of environment ministries</w:t>
      </w:r>
      <w:r w:rsidR="004F4CFA">
        <w:t>;</w:t>
      </w:r>
    </w:p>
    <w:p w14:paraId="502E596B" w14:textId="021C2A81" w:rsidR="00452379" w:rsidRPr="00D2758E" w:rsidRDefault="00452379" w:rsidP="00A558F3">
      <w:pPr>
        <w:pStyle w:val="CBDNormalNumber"/>
        <w:numPr>
          <w:ilvl w:val="1"/>
          <w:numId w:val="7"/>
        </w:numPr>
      </w:pPr>
      <w:r w:rsidRPr="006B066D">
        <w:rPr>
          <w:i/>
          <w:iCs/>
        </w:rPr>
        <w:t>The evolution of biotechnology</w:t>
      </w:r>
      <w:r w:rsidR="00D94504">
        <w:t>.</w:t>
      </w:r>
      <w:r w:rsidRPr="00D2758E">
        <w:t xml:space="preserve"> Technological and scientific advances over the past 30 years </w:t>
      </w:r>
      <w:r w:rsidR="004403C7">
        <w:t xml:space="preserve">following </w:t>
      </w:r>
      <w:r w:rsidRPr="00D2758E">
        <w:t>the adoption of the C</w:t>
      </w:r>
      <w:r w:rsidR="00577CD0" w:rsidRPr="00D2758E">
        <w:t xml:space="preserve">onvention on Biological Diversity </w:t>
      </w:r>
      <w:r w:rsidRPr="00D2758E">
        <w:t xml:space="preserve">have had a huge impact on the way </w:t>
      </w:r>
      <w:r w:rsidR="004403C7">
        <w:t xml:space="preserve">in which </w:t>
      </w:r>
      <w:r w:rsidRPr="00D2758E">
        <w:t xml:space="preserve">research and development on genetic resources is carried out. In </w:t>
      </w:r>
      <w:r w:rsidR="0034338B">
        <w:t xml:space="preserve">the </w:t>
      </w:r>
      <w:r w:rsidRPr="00D2758E">
        <w:t>light of th</w:t>
      </w:r>
      <w:r w:rsidR="00A91164">
        <w:t>o</w:t>
      </w:r>
      <w:r w:rsidRPr="00D2758E">
        <w:t xml:space="preserve">se continued developments and the increasing use of </w:t>
      </w:r>
      <w:r w:rsidR="001602BD">
        <w:t>digital sequence information</w:t>
      </w:r>
      <w:r w:rsidRPr="00D2758E">
        <w:t xml:space="preserve"> in research and development activities, some have questioned the relevance of the Nagoya Protocol and the ongoing need for physical access to genetic resources. As the focus of international policy discussions has </w:t>
      </w:r>
      <w:r w:rsidRPr="00D2758E">
        <w:lastRenderedPageBreak/>
        <w:t>moved to the multilateral mechanism on digital sequence information o</w:t>
      </w:r>
      <w:r w:rsidR="007538D0">
        <w:t>n</w:t>
      </w:r>
      <w:r w:rsidRPr="00D2758E">
        <w:t xml:space="preserve"> genetic resources and the Cali Fund, there may be less </w:t>
      </w:r>
      <w:r w:rsidR="002C323B">
        <w:t xml:space="preserve">of an </w:t>
      </w:r>
      <w:r w:rsidRPr="00D2758E">
        <w:t xml:space="preserve">appetite </w:t>
      </w:r>
      <w:r w:rsidR="00CF1A67">
        <w:t>of</w:t>
      </w:r>
      <w:r w:rsidRPr="00D2758E">
        <w:t xml:space="preserve"> some to devote efforts towards Nagoya Protocol implementation.</w:t>
      </w:r>
    </w:p>
    <w:p w14:paraId="1D2931A5" w14:textId="38389956" w:rsidR="00452379" w:rsidRPr="00D2758E" w:rsidRDefault="00452379" w:rsidP="00CD2C50">
      <w:pPr>
        <w:pStyle w:val="CBDNormalNumber"/>
      </w:pPr>
      <w:r w:rsidRPr="00D2758E">
        <w:t>Important actors involved in the utilization of genetic resources and associated traditional knowledge</w:t>
      </w:r>
      <w:r w:rsidRPr="00D2758E" w:rsidDel="00597184">
        <w:t xml:space="preserve"> </w:t>
      </w:r>
      <w:r w:rsidRPr="00D2758E">
        <w:t xml:space="preserve">are not </w:t>
      </w:r>
      <w:r w:rsidR="00E234CF">
        <w:t>p</w:t>
      </w:r>
      <w:r w:rsidRPr="00D2758E">
        <w:t>art</w:t>
      </w:r>
      <w:r w:rsidR="00B43FB2">
        <w:t>ies</w:t>
      </w:r>
      <w:r w:rsidRPr="00D2758E">
        <w:t xml:space="preserve"> to the Protocol</w:t>
      </w:r>
      <w:r w:rsidR="00A5154E">
        <w:t>, i</w:t>
      </w:r>
      <w:r w:rsidRPr="00D2758E">
        <w:t xml:space="preserve">n particular the United States of America, which is not a </w:t>
      </w:r>
      <w:r w:rsidR="00B43FB2">
        <w:t>p</w:t>
      </w:r>
      <w:r w:rsidRPr="00D2758E">
        <w:t xml:space="preserve">arty to the </w:t>
      </w:r>
      <w:r w:rsidR="00846B5B">
        <w:t>Convention on Biological Diversity</w:t>
      </w:r>
      <w:r w:rsidRPr="00D2758E">
        <w:t xml:space="preserve">, as well as some Parties to the </w:t>
      </w:r>
      <w:r w:rsidR="00846B5B">
        <w:t>Convention</w:t>
      </w:r>
      <w:r w:rsidR="00846B5B" w:rsidRPr="00D2758E">
        <w:t xml:space="preserve"> </w:t>
      </w:r>
      <w:r w:rsidRPr="00D2758E">
        <w:t xml:space="preserve">that have national </w:t>
      </w:r>
      <w:r w:rsidR="00101608">
        <w:t xml:space="preserve">access and benefit-sharing </w:t>
      </w:r>
      <w:r w:rsidRPr="00D2758E">
        <w:t>frameworks in place but have not yet ratified the Nagoya Protocol (</w:t>
      </w:r>
      <w:r w:rsidR="009E4CCC">
        <w:t xml:space="preserve">for example, </w:t>
      </w:r>
      <w:r w:rsidRPr="00D2758E">
        <w:t>Australia</w:t>
      </w:r>
      <w:r w:rsidR="009E4CCC">
        <w:t xml:space="preserve"> and</w:t>
      </w:r>
      <w:r w:rsidRPr="00D2758E">
        <w:t xml:space="preserve"> Colombia) and hence are not required to implement the obligations </w:t>
      </w:r>
      <w:r w:rsidR="00690F0B">
        <w:t xml:space="preserve">set out </w:t>
      </w:r>
      <w:r w:rsidRPr="00D2758E">
        <w:t>in the Protocol.</w:t>
      </w:r>
    </w:p>
    <w:p w14:paraId="50623D44" w14:textId="56140CE2" w:rsidR="00452379" w:rsidRPr="00D2758E" w:rsidRDefault="00452379" w:rsidP="00CD2C50">
      <w:pPr>
        <w:pStyle w:val="CBDNormalNumber"/>
      </w:pPr>
      <w:r w:rsidRPr="00D2758E">
        <w:t xml:space="preserve">The Nagoya Protocol was adopted as a compromise package in the final hours of </w:t>
      </w:r>
      <w:r w:rsidR="00CB55C2">
        <w:t xml:space="preserve">the </w:t>
      </w:r>
      <w:r w:rsidR="008E0B55">
        <w:t xml:space="preserve">tenth meeting of the </w:t>
      </w:r>
      <w:r w:rsidR="002340DF">
        <w:t xml:space="preserve">Conference of the </w:t>
      </w:r>
      <w:r w:rsidR="008E0B55">
        <w:t xml:space="preserve">Parties to the </w:t>
      </w:r>
      <w:r w:rsidR="00B771A6">
        <w:t>Convention</w:t>
      </w:r>
      <w:r w:rsidRPr="00D2758E">
        <w:t xml:space="preserve">.  While the creative ambiguity of some of its provisions provided the flexibility required for the Protocol to be adopted, </w:t>
      </w:r>
      <w:r w:rsidR="007B1BB3" w:rsidRPr="00D2758E">
        <w:t>th</w:t>
      </w:r>
      <w:r w:rsidR="00B771A6">
        <w:t>at</w:t>
      </w:r>
      <w:r w:rsidR="007B1BB3" w:rsidRPr="00D2758E">
        <w:t xml:space="preserve"> ambiguity </w:t>
      </w:r>
      <w:r w:rsidRPr="00D2758E">
        <w:t xml:space="preserve">has also contributed to challenges in implementation. </w:t>
      </w:r>
    </w:p>
    <w:p w14:paraId="63D527A0" w14:textId="5A3F1B48" w:rsidR="00452379" w:rsidRPr="00D2758E" w:rsidRDefault="0004180D" w:rsidP="0004180D">
      <w:pPr>
        <w:pStyle w:val="CBDH3"/>
      </w:pPr>
      <w:r>
        <w:t>4.</w:t>
      </w:r>
      <w:r>
        <w:tab/>
      </w:r>
      <w:r w:rsidR="00452379" w:rsidRPr="00D2758E">
        <w:t>Possible ways to enhance the effectiveness in implementation of the Nagoya Protocol</w:t>
      </w:r>
    </w:p>
    <w:p w14:paraId="035E21BC" w14:textId="325A03F3" w:rsidR="00452379" w:rsidRPr="00D2758E" w:rsidRDefault="00452379" w:rsidP="00CD2C50">
      <w:pPr>
        <w:pStyle w:val="CBDNormalNumber"/>
      </w:pPr>
      <w:r w:rsidRPr="00D2758E">
        <w:t>The</w:t>
      </w:r>
      <w:r w:rsidR="00FF7BD1" w:rsidRPr="00D2758E">
        <w:t xml:space="preserve"> scoping</w:t>
      </w:r>
      <w:r w:rsidRPr="00D2758E">
        <w:t xml:space="preserve"> study identifies </w:t>
      </w:r>
      <w:proofErr w:type="gramStart"/>
      <w:r w:rsidRPr="00D2758E">
        <w:t>a number of</w:t>
      </w:r>
      <w:proofErr w:type="gramEnd"/>
      <w:r w:rsidRPr="00D2758E">
        <w:t xml:space="preserve"> </w:t>
      </w:r>
      <w:r w:rsidR="005662A3">
        <w:t>means</w:t>
      </w:r>
      <w:r w:rsidRPr="00D2758E">
        <w:t xml:space="preserve"> to enhance implementation</w:t>
      </w:r>
      <w:r w:rsidR="00D7594E">
        <w:t>.</w:t>
      </w:r>
      <w:r w:rsidR="00FF7BD1" w:rsidRPr="00D2758E">
        <w:rPr>
          <w:rStyle w:val="FootnoteReference"/>
        </w:rPr>
        <w:footnoteReference w:id="63"/>
      </w:r>
      <w:r w:rsidRPr="00D2758E">
        <w:t xml:space="preserve"> Some of th</w:t>
      </w:r>
      <w:r w:rsidR="005662A3">
        <w:t>em</w:t>
      </w:r>
      <w:r w:rsidRPr="00D2758E">
        <w:t xml:space="preserve"> relate to different elements of assessment and review and are further developed under the relevant section</w:t>
      </w:r>
      <w:r w:rsidR="009172DA" w:rsidRPr="00D2758E">
        <w:t xml:space="preserve"> of th</w:t>
      </w:r>
      <w:r w:rsidR="005662A3">
        <w:t>e present</w:t>
      </w:r>
      <w:r w:rsidR="009172DA" w:rsidRPr="00D2758E">
        <w:t xml:space="preserve"> document</w:t>
      </w:r>
      <w:r w:rsidRPr="00D2758E">
        <w:t xml:space="preserve"> but</w:t>
      </w:r>
      <w:r w:rsidR="005662A3">
        <w:t>,</w:t>
      </w:r>
      <w:r w:rsidRPr="00D2758E">
        <w:t xml:space="preserve"> in sum, recommendations of the study include work on the following</w:t>
      </w:r>
      <w:r w:rsidR="00EC0645">
        <w:t xml:space="preserve"> approaches</w:t>
      </w:r>
      <w:r w:rsidRPr="00D2758E">
        <w:t>:</w:t>
      </w:r>
    </w:p>
    <w:p w14:paraId="4D40DF65" w14:textId="41CD407C" w:rsidR="00452379" w:rsidRPr="00D2758E" w:rsidRDefault="00452379" w:rsidP="00A558F3">
      <w:pPr>
        <w:pStyle w:val="CBDNormalNumber"/>
        <w:numPr>
          <w:ilvl w:val="1"/>
          <w:numId w:val="7"/>
        </w:numPr>
      </w:pPr>
      <w:r w:rsidRPr="00D2758E">
        <w:t>Change the narrative</w:t>
      </w:r>
      <w:r w:rsidR="00E9523A">
        <w:t>;</w:t>
      </w:r>
      <w:r w:rsidRPr="00D2758E">
        <w:t xml:space="preserve"> </w:t>
      </w:r>
    </w:p>
    <w:p w14:paraId="4CC70513" w14:textId="425659EB" w:rsidR="00452379" w:rsidRPr="00D2758E" w:rsidRDefault="00452379" w:rsidP="00A558F3">
      <w:pPr>
        <w:pStyle w:val="CBDNormalNumber"/>
        <w:numPr>
          <w:ilvl w:val="1"/>
          <w:numId w:val="7"/>
        </w:numPr>
      </w:pPr>
      <w:r w:rsidRPr="00D2758E">
        <w:t xml:space="preserve">Mainstream </w:t>
      </w:r>
      <w:r w:rsidR="00CD6A43">
        <w:t>a</w:t>
      </w:r>
      <w:r w:rsidR="00EC0645">
        <w:t>ccess and benefit sharing</w:t>
      </w:r>
      <w:r w:rsidRPr="00D2758E">
        <w:t>;</w:t>
      </w:r>
    </w:p>
    <w:p w14:paraId="0A1A8C83" w14:textId="77777777" w:rsidR="00452379" w:rsidRPr="00D2758E" w:rsidRDefault="00452379" w:rsidP="00A558F3">
      <w:pPr>
        <w:pStyle w:val="CBDNormalNumber"/>
        <w:numPr>
          <w:ilvl w:val="1"/>
          <w:numId w:val="7"/>
        </w:numPr>
      </w:pPr>
      <w:r w:rsidRPr="00D2758E">
        <w:t xml:space="preserve">Exchange of experiences and lessons learned; </w:t>
      </w:r>
    </w:p>
    <w:p w14:paraId="378D3291" w14:textId="05C461A5" w:rsidR="00452379" w:rsidRPr="00D2758E" w:rsidRDefault="00452379" w:rsidP="00A558F3">
      <w:pPr>
        <w:pStyle w:val="CBDNormalNumber"/>
        <w:numPr>
          <w:ilvl w:val="1"/>
          <w:numId w:val="7"/>
        </w:numPr>
      </w:pPr>
      <w:r w:rsidRPr="00D2758E">
        <w:t>Standardi</w:t>
      </w:r>
      <w:r w:rsidR="00553548">
        <w:t>z</w:t>
      </w:r>
      <w:r w:rsidRPr="00D2758E">
        <w:t>ation;</w:t>
      </w:r>
    </w:p>
    <w:p w14:paraId="3ED9A843" w14:textId="77777777" w:rsidR="00452379" w:rsidRPr="00D2758E" w:rsidRDefault="00452379" w:rsidP="00A558F3">
      <w:pPr>
        <w:pStyle w:val="CBDNormalNumber"/>
        <w:numPr>
          <w:ilvl w:val="1"/>
          <w:numId w:val="7"/>
        </w:numPr>
      </w:pPr>
      <w:r w:rsidRPr="00D2758E">
        <w:t>Addressing outstanding policy issues;</w:t>
      </w:r>
    </w:p>
    <w:p w14:paraId="3F18E609" w14:textId="59E29F2D" w:rsidR="00452379" w:rsidRPr="00D2758E" w:rsidRDefault="00452379" w:rsidP="00A558F3">
      <w:pPr>
        <w:pStyle w:val="CBDNormalNumber"/>
        <w:numPr>
          <w:ilvl w:val="1"/>
          <w:numId w:val="7"/>
        </w:numPr>
      </w:pPr>
      <w:r w:rsidRPr="00D2758E">
        <w:t>Intermediaries/matchmaking platforms to connect users and providers;</w:t>
      </w:r>
    </w:p>
    <w:p w14:paraId="393DBCFD" w14:textId="5F2A4EDF" w:rsidR="00452379" w:rsidRPr="00D2758E" w:rsidRDefault="00607AB5" w:rsidP="00A558F3">
      <w:pPr>
        <w:pStyle w:val="CBDNormalNumber"/>
        <w:numPr>
          <w:ilvl w:val="1"/>
          <w:numId w:val="7"/>
        </w:numPr>
      </w:pPr>
      <w:r>
        <w:t xml:space="preserve">Access and Benefit-sharing </w:t>
      </w:r>
      <w:r w:rsidR="00452379" w:rsidRPr="00D2758E">
        <w:t xml:space="preserve">Clearing-House as a central tool for the exchange of information on </w:t>
      </w:r>
      <w:r>
        <w:t>access and benefit sharing</w:t>
      </w:r>
      <w:r w:rsidR="00452379" w:rsidRPr="00D2758E">
        <w:t>;</w:t>
      </w:r>
    </w:p>
    <w:p w14:paraId="108807F6" w14:textId="38382947" w:rsidR="00452379" w:rsidRPr="00D2758E" w:rsidRDefault="00452379" w:rsidP="00A558F3">
      <w:pPr>
        <w:pStyle w:val="CBDNormalNumber"/>
        <w:numPr>
          <w:ilvl w:val="1"/>
          <w:numId w:val="7"/>
        </w:numPr>
      </w:pPr>
      <w:r w:rsidRPr="00D2758E">
        <w:t>Capacity-building</w:t>
      </w:r>
      <w:r w:rsidR="00FB4FAC" w:rsidRPr="00D2758E">
        <w:t>,</w:t>
      </w:r>
      <w:r w:rsidR="00192CE3" w:rsidRPr="00D2758E">
        <w:t xml:space="preserve"> </w:t>
      </w:r>
      <w:r w:rsidRPr="00D2758E">
        <w:t>financial resources</w:t>
      </w:r>
      <w:r w:rsidR="00FB4FAC" w:rsidRPr="00D2758E">
        <w:t xml:space="preserve"> and resource mobili</w:t>
      </w:r>
      <w:r w:rsidR="00553548">
        <w:t>z</w:t>
      </w:r>
      <w:r w:rsidR="00FB4FAC" w:rsidRPr="00D2758E">
        <w:t>ation</w:t>
      </w:r>
      <w:r w:rsidRPr="00D2758E">
        <w:t>.</w:t>
      </w:r>
    </w:p>
    <w:p w14:paraId="4DA617DF" w14:textId="02DB0117" w:rsidR="00452379" w:rsidRPr="00D2758E" w:rsidRDefault="00452379" w:rsidP="00CD2C50">
      <w:pPr>
        <w:pStyle w:val="CBDNormalNumber"/>
      </w:pPr>
      <w:r w:rsidRPr="00D2758E">
        <w:t xml:space="preserve">Efforts are needed to further integrate and mainstream </w:t>
      </w:r>
      <w:r w:rsidR="00501210">
        <w:t>access and b</w:t>
      </w:r>
      <w:r w:rsidR="0015147F">
        <w:t>e</w:t>
      </w:r>
      <w:r w:rsidR="00501210">
        <w:t xml:space="preserve">nefit sharing </w:t>
      </w:r>
      <w:r w:rsidR="0079539E">
        <w:t xml:space="preserve">not only </w:t>
      </w:r>
      <w:r w:rsidR="00501210">
        <w:t>into</w:t>
      </w:r>
      <w:r w:rsidRPr="00D2758E">
        <w:t xml:space="preserve"> broader policy goals </w:t>
      </w:r>
      <w:r w:rsidR="0079539E" w:rsidRPr="00D2758E">
        <w:t xml:space="preserve">at the national level </w:t>
      </w:r>
      <w:r w:rsidRPr="00D2758E">
        <w:t>(</w:t>
      </w:r>
      <w:r w:rsidR="0015147F">
        <w:t>fo</w:t>
      </w:r>
      <w:r w:rsidR="00E40763">
        <w:t>r</w:t>
      </w:r>
      <w:r w:rsidR="0015147F">
        <w:t xml:space="preserve"> example</w:t>
      </w:r>
      <w:r w:rsidRPr="00D2758E">
        <w:t xml:space="preserve">, the bioeconomy, </w:t>
      </w:r>
      <w:r w:rsidR="00D46501" w:rsidRPr="00D2758E">
        <w:t>research and innovation</w:t>
      </w:r>
      <w:r w:rsidRPr="00D2758E">
        <w:t>,</w:t>
      </w:r>
      <w:r w:rsidR="0015147F">
        <w:t xml:space="preserve"> and</w:t>
      </w:r>
      <w:r w:rsidRPr="00D2758E">
        <w:t xml:space="preserve"> sustainable development) but also </w:t>
      </w:r>
      <w:r w:rsidR="00CD31C7">
        <w:t>into</w:t>
      </w:r>
      <w:r w:rsidRPr="00D2758E">
        <w:t xml:space="preserve"> sustainability strategies </w:t>
      </w:r>
      <w:r w:rsidR="008009BC">
        <w:t>of</w:t>
      </w:r>
      <w:r w:rsidRPr="00D2758E">
        <w:t xml:space="preserve"> users (</w:t>
      </w:r>
      <w:r w:rsidR="00CD31C7">
        <w:t>for example</w:t>
      </w:r>
      <w:r w:rsidRPr="00D2758E">
        <w:t>, companies that commerciali</w:t>
      </w:r>
      <w:r w:rsidR="00521FF0">
        <w:t>z</w:t>
      </w:r>
      <w:r w:rsidRPr="00D2758E">
        <w:t xml:space="preserve">e products based on </w:t>
      </w:r>
      <w:r w:rsidR="00867154" w:rsidRPr="00D2758E">
        <w:t>genetic resources</w:t>
      </w:r>
      <w:r w:rsidRPr="00D2758E">
        <w:t xml:space="preserve">). </w:t>
      </w:r>
      <w:r w:rsidR="008B4624">
        <w:t>While t</w:t>
      </w:r>
      <w:r w:rsidRPr="00D2758E">
        <w:t xml:space="preserve">he recognition of the value of genetic resources and associated traditional knowledge through a national policy or strategy or its inclusion as part of broader policies, as demonstrated in </w:t>
      </w:r>
      <w:proofErr w:type="gramStart"/>
      <w:r w:rsidRPr="00D2758E">
        <w:t>a number of</w:t>
      </w:r>
      <w:proofErr w:type="gramEnd"/>
      <w:r w:rsidRPr="00D2758E">
        <w:t xml:space="preserve"> countries</w:t>
      </w:r>
      <w:r w:rsidR="00ED125C" w:rsidRPr="00D2758E">
        <w:t>,</w:t>
      </w:r>
      <w:r w:rsidRPr="00D2758E">
        <w:t xml:space="preserve"> can provide impetus to </w:t>
      </w:r>
      <w:r w:rsidR="008B4624">
        <w:t xml:space="preserve">access and benefit-sharing </w:t>
      </w:r>
      <w:r w:rsidRPr="00D2758E">
        <w:t>implementation</w:t>
      </w:r>
      <w:r w:rsidR="008B4624">
        <w:t xml:space="preserve">, that effort </w:t>
      </w:r>
      <w:r w:rsidRPr="00D2758E">
        <w:t xml:space="preserve">requires political will. </w:t>
      </w:r>
    </w:p>
    <w:p w14:paraId="77EEA5FE" w14:textId="43B59CA8" w:rsidR="00452379" w:rsidRPr="00D2758E" w:rsidRDefault="00452379" w:rsidP="00CD2C50">
      <w:pPr>
        <w:pStyle w:val="CBDNormalNumber"/>
      </w:pPr>
      <w:r w:rsidRPr="00D2758E">
        <w:t>As regards standardi</w:t>
      </w:r>
      <w:r w:rsidR="00553548">
        <w:t>z</w:t>
      </w:r>
      <w:r w:rsidRPr="00D2758E">
        <w:t xml:space="preserve">ation, an important challenge for users that seek access to genetic resources for their utilization is the diversity of national </w:t>
      </w:r>
      <w:r w:rsidR="00F81769">
        <w:t xml:space="preserve">access and benefit-sharing </w:t>
      </w:r>
      <w:r w:rsidRPr="00D2758E">
        <w:t>measures adopted by countries to regulate access to their genetic resources and the lack of clarity with respect to procedures to</w:t>
      </w:r>
      <w:r w:rsidR="00B93FE5">
        <w:t xml:space="preserve"> be</w:t>
      </w:r>
      <w:r w:rsidRPr="00D2758E">
        <w:t xml:space="preserve"> follow</w:t>
      </w:r>
      <w:r w:rsidR="00B93FE5">
        <w:t>ed</w:t>
      </w:r>
      <w:r w:rsidRPr="00D2758E">
        <w:t>.  Although full harmoni</w:t>
      </w:r>
      <w:r w:rsidR="00553548">
        <w:t>z</w:t>
      </w:r>
      <w:r w:rsidRPr="00D2758E">
        <w:t xml:space="preserve">ation of national </w:t>
      </w:r>
      <w:r w:rsidR="00B93FE5">
        <w:t xml:space="preserve">access and benefit-sharing </w:t>
      </w:r>
      <w:r w:rsidRPr="00D2758E">
        <w:t xml:space="preserve">frameworks is unlikely given </w:t>
      </w:r>
      <w:r w:rsidR="00642752">
        <w:t xml:space="preserve">the nature of </w:t>
      </w:r>
      <w:r w:rsidRPr="00D2758E">
        <w:t xml:space="preserve">progress with </w:t>
      </w:r>
      <w:r w:rsidR="00642752">
        <w:t xml:space="preserve">respect to </w:t>
      </w:r>
      <w:r w:rsidRPr="00D2758E">
        <w:t>implementation, efforts could focus on greater standardi</w:t>
      </w:r>
      <w:r w:rsidR="00553548">
        <w:t>z</w:t>
      </w:r>
      <w:r w:rsidRPr="00D2758E">
        <w:t xml:space="preserve">ation and regionally coordinated approaches to enhance coherence and improve the overall functionality of the international </w:t>
      </w:r>
      <w:r w:rsidR="00642752" w:rsidRPr="00642752">
        <w:t>access and benefit-sharin</w:t>
      </w:r>
      <w:r w:rsidR="00642752">
        <w:t>g</w:t>
      </w:r>
      <w:r w:rsidRPr="00D2758E">
        <w:t xml:space="preserve"> system.</w:t>
      </w:r>
    </w:p>
    <w:p w14:paraId="1962F544" w14:textId="5FC4445B" w:rsidR="00452379" w:rsidRPr="00D2758E" w:rsidRDefault="00452379" w:rsidP="00CD2C50">
      <w:pPr>
        <w:pStyle w:val="CBDNormalNumber"/>
      </w:pPr>
      <w:r w:rsidRPr="00D2758E">
        <w:t>For th</w:t>
      </w:r>
      <w:r w:rsidR="00642752">
        <w:t>at</w:t>
      </w:r>
      <w:r w:rsidRPr="00D2758E">
        <w:t xml:space="preserve"> purpose, </w:t>
      </w:r>
      <w:proofErr w:type="gramStart"/>
      <w:r w:rsidRPr="00D2758E">
        <w:t>a number of</w:t>
      </w:r>
      <w:proofErr w:type="gramEnd"/>
      <w:r w:rsidRPr="00D2758E">
        <w:t xml:space="preserve"> templates and/or models could be developed and adapted by countries to meet their national circumstances. These could include templates for the description of national </w:t>
      </w:r>
      <w:r w:rsidR="00D92275">
        <w:t xml:space="preserve">access and benefit-sharing </w:t>
      </w:r>
      <w:r w:rsidRPr="00D2758E">
        <w:t>procedures; standardi</w:t>
      </w:r>
      <w:r w:rsidR="00521FF0">
        <w:t>z</w:t>
      </w:r>
      <w:r w:rsidRPr="00D2758E">
        <w:t xml:space="preserve">ed approaches for simplified access for </w:t>
      </w:r>
      <w:r w:rsidRPr="00D2758E">
        <w:lastRenderedPageBreak/>
        <w:t xml:space="preserve">non-commercial research; </w:t>
      </w:r>
      <w:r w:rsidR="00D92275" w:rsidRPr="00D2758E">
        <w:t xml:space="preserve">templates </w:t>
      </w:r>
      <w:r w:rsidR="00D92275">
        <w:t xml:space="preserve">for </w:t>
      </w:r>
      <w:r w:rsidR="001A18F8" w:rsidRPr="00D2758E">
        <w:t>mutually agreed terms</w:t>
      </w:r>
      <w:r w:rsidRPr="00D2758E">
        <w:t xml:space="preserve"> for commercial contracts (</w:t>
      </w:r>
      <w:r w:rsidR="00C9425D">
        <w:t>for example</w:t>
      </w:r>
      <w:r w:rsidRPr="00D2758E">
        <w:t>, for different sectors); and a modular framework for electronic permitting systems.</w:t>
      </w:r>
    </w:p>
    <w:p w14:paraId="0467EC14" w14:textId="0C3235D1" w:rsidR="00452379" w:rsidRPr="00D2758E" w:rsidRDefault="00AD01E7" w:rsidP="00CD2C50">
      <w:pPr>
        <w:pStyle w:val="CBDNormalNumber"/>
      </w:pPr>
      <w:r w:rsidRPr="00D2758E">
        <w:t>With regard to addressing policy issues, the study recommended that further policy discussions m</w:t>
      </w:r>
      <w:r w:rsidR="00C9425D">
        <w:t>ight</w:t>
      </w:r>
      <w:r w:rsidRPr="00D2758E">
        <w:t xml:space="preserve"> be warranted to </w:t>
      </w:r>
      <w:r w:rsidR="00714F92">
        <w:t xml:space="preserve">enable </w:t>
      </w:r>
      <w:r w:rsidRPr="00D2758E">
        <w:t xml:space="preserve">a common understanding </w:t>
      </w:r>
      <w:r w:rsidR="00714F92">
        <w:t xml:space="preserve">to be </w:t>
      </w:r>
      <w:r w:rsidR="00714F92" w:rsidRPr="00D2758E">
        <w:t>reach</w:t>
      </w:r>
      <w:r w:rsidR="00714F92">
        <w:t>ed</w:t>
      </w:r>
      <w:r w:rsidR="00714F92" w:rsidRPr="00D2758E">
        <w:t xml:space="preserve"> </w:t>
      </w:r>
      <w:r w:rsidRPr="00D2758E">
        <w:t xml:space="preserve">and </w:t>
      </w:r>
      <w:r w:rsidR="00714F92" w:rsidRPr="00D2758E">
        <w:t xml:space="preserve">further guidance </w:t>
      </w:r>
      <w:r w:rsidR="00714F92">
        <w:t xml:space="preserve">to </w:t>
      </w:r>
      <w:r w:rsidRPr="00D2758E">
        <w:t xml:space="preserve">eventually </w:t>
      </w:r>
      <w:r w:rsidR="00714F92">
        <w:t xml:space="preserve">be </w:t>
      </w:r>
      <w:r w:rsidRPr="00D2758E">
        <w:t>develop</w:t>
      </w:r>
      <w:r w:rsidR="00714F92">
        <w:t>ed</w:t>
      </w:r>
      <w:r w:rsidRPr="00D2758E">
        <w:t xml:space="preserve"> regarding key concepts at the heart of </w:t>
      </w:r>
      <w:r w:rsidR="00944176">
        <w:t xml:space="preserve">access and benefit-sharing </w:t>
      </w:r>
      <w:r w:rsidRPr="00D2758E">
        <w:t xml:space="preserve">implementation including: scope of application of the Nagoya Protocol, monitoring the utilization of genetic resources, </w:t>
      </w:r>
      <w:r w:rsidR="001C6DA1">
        <w:t xml:space="preserve">and </w:t>
      </w:r>
      <w:r w:rsidRPr="00D2758E">
        <w:t xml:space="preserve">genetic resources accessed as commodities. </w:t>
      </w:r>
    </w:p>
    <w:p w14:paraId="21D85B7D" w14:textId="0258E771" w:rsidR="00452379" w:rsidRPr="00D2758E" w:rsidRDefault="00452379" w:rsidP="00CD2C50">
      <w:pPr>
        <w:pStyle w:val="CBDNormalNumber"/>
      </w:pPr>
      <w:r w:rsidRPr="00D2758E">
        <w:t>As a first step, informal multi-stakeholder dialogues could be organi</w:t>
      </w:r>
      <w:r w:rsidR="00521FF0">
        <w:t>z</w:t>
      </w:r>
      <w:r w:rsidRPr="00D2758E">
        <w:t xml:space="preserve">ed to </w:t>
      </w:r>
      <w:r w:rsidR="003B38E2">
        <w:t>foster</w:t>
      </w:r>
      <w:r w:rsidRPr="00D2758E">
        <w:t xml:space="preserve"> a better understanding of the challenges encountered and experiences of countries in addressing th</w:t>
      </w:r>
      <w:r w:rsidR="003B38E2">
        <w:t>o</w:t>
      </w:r>
      <w:r w:rsidRPr="00D2758E">
        <w:t>se</w:t>
      </w:r>
      <w:r w:rsidR="003B38E2">
        <w:t xml:space="preserve"> challenges</w:t>
      </w:r>
      <w:r w:rsidRPr="00D2758E">
        <w:t>. Based on the outcomes of th</w:t>
      </w:r>
      <w:r w:rsidR="003B38E2">
        <w:t>o</w:t>
      </w:r>
      <w:r w:rsidRPr="00D2758E">
        <w:t>se dialogues, the need or appetite to develop further guidance or find other ways to address the issues could be considered with a view to enhanc</w:t>
      </w:r>
      <w:r w:rsidR="002F7FF3">
        <w:t>ing</w:t>
      </w:r>
      <w:r w:rsidRPr="00D2758E">
        <w:t xml:space="preserve"> the implementation of the Nagoya Protocol. </w:t>
      </w:r>
    </w:p>
    <w:p w14:paraId="043A81F0" w14:textId="5BA6E932" w:rsidR="00452379" w:rsidRPr="00D2758E" w:rsidRDefault="00452379" w:rsidP="00CD2C50">
      <w:pPr>
        <w:pStyle w:val="CBDNormalNumber"/>
      </w:pPr>
      <w:r w:rsidRPr="00D2758E">
        <w:t>Intermediaries/matchmaking platforms to connect users and providers could assist in supporting an increase in benefit</w:t>
      </w:r>
      <w:r w:rsidR="002F7FF3">
        <w:t xml:space="preserve"> </w:t>
      </w:r>
      <w:r w:rsidRPr="00D2758E">
        <w:t xml:space="preserve">sharing. </w:t>
      </w:r>
      <w:proofErr w:type="gramStart"/>
      <w:r w:rsidRPr="00D2758E">
        <w:t>A number of</w:t>
      </w:r>
      <w:proofErr w:type="gramEnd"/>
      <w:r w:rsidRPr="00D2758E">
        <w:t xml:space="preserve"> countries</w:t>
      </w:r>
      <w:r w:rsidR="00194329">
        <w:t>, which</w:t>
      </w:r>
      <w:r w:rsidRPr="00D2758E">
        <w:t xml:space="preserve"> have national </w:t>
      </w:r>
      <w:r w:rsidR="00194329">
        <w:t xml:space="preserve">access and benefit-sharing </w:t>
      </w:r>
      <w:r w:rsidRPr="00D2758E">
        <w:t>legal and institutional frameworks in place and some level of research capacity</w:t>
      </w:r>
      <w:r w:rsidR="00194329">
        <w:t>,</w:t>
      </w:r>
      <w:r w:rsidRPr="00D2758E">
        <w:t xml:space="preserve"> have an interest in attracting foreign companies </w:t>
      </w:r>
      <w:r w:rsidR="00A90F88">
        <w:t xml:space="preserve">for the purpose of </w:t>
      </w:r>
      <w:r w:rsidRPr="00D2758E">
        <w:t>build</w:t>
      </w:r>
      <w:r w:rsidR="00A90F88">
        <w:t>ing</w:t>
      </w:r>
      <w:r w:rsidRPr="00D2758E">
        <w:t xml:space="preserve"> partnerships with the objective </w:t>
      </w:r>
      <w:r w:rsidR="00194329">
        <w:t>of</w:t>
      </w:r>
      <w:r w:rsidRPr="00D2758E">
        <w:t xml:space="preserve"> commerciali</w:t>
      </w:r>
      <w:r w:rsidR="00521FF0">
        <w:t>z</w:t>
      </w:r>
      <w:r w:rsidR="002C0BB1">
        <w:t>ing</w:t>
      </w:r>
      <w:r w:rsidRPr="00D2758E">
        <w:t xml:space="preserve"> products based on their genetic resources and/or associated traditional knowledge. For th</w:t>
      </w:r>
      <w:r w:rsidR="002C0BB1">
        <w:t>at</w:t>
      </w:r>
      <w:r w:rsidRPr="00D2758E">
        <w:t xml:space="preserve"> purpose, facilities or matchmaking platforms could be established at national and/or regional levels to connect users and providers.  </w:t>
      </w:r>
    </w:p>
    <w:p w14:paraId="6303DD4E" w14:textId="473EAA3B" w:rsidR="00E33472" w:rsidRPr="00D2758E" w:rsidRDefault="001C59E9" w:rsidP="00CD2C50">
      <w:pPr>
        <w:pStyle w:val="CBDNormalNumber"/>
      </w:pPr>
      <w:r w:rsidRPr="00D2758E">
        <w:t xml:space="preserve">Strengthening the </w:t>
      </w:r>
      <w:r w:rsidR="0000770B" w:rsidRPr="00D2758E">
        <w:t>role</w:t>
      </w:r>
      <w:r w:rsidR="00AB4275" w:rsidRPr="00D2758E">
        <w:t xml:space="preserve"> and functions of </w:t>
      </w:r>
      <w:r w:rsidRPr="00D2758E">
        <w:t>t</w:t>
      </w:r>
      <w:r w:rsidR="00E33472" w:rsidRPr="00D2758E">
        <w:t xml:space="preserve">he </w:t>
      </w:r>
      <w:proofErr w:type="gramStart"/>
      <w:r w:rsidR="00E33472" w:rsidRPr="00D2758E">
        <w:t>Clearing-House</w:t>
      </w:r>
      <w:proofErr w:type="gramEnd"/>
      <w:r w:rsidR="00E33472" w:rsidRPr="00D2758E">
        <w:t xml:space="preserve"> as a central tool for the exchange of information on </w:t>
      </w:r>
      <w:r w:rsidR="002C0BB1">
        <w:t xml:space="preserve">access and benefit sharing </w:t>
      </w:r>
      <w:r w:rsidR="00B75D0E" w:rsidRPr="00D2758E">
        <w:t xml:space="preserve">and </w:t>
      </w:r>
      <w:r w:rsidR="00AB4275" w:rsidRPr="00D2758E">
        <w:t>support</w:t>
      </w:r>
      <w:r w:rsidR="008A30F6">
        <w:t>ing</w:t>
      </w:r>
      <w:r w:rsidR="00AB4275" w:rsidRPr="00D2758E">
        <w:t xml:space="preserve"> </w:t>
      </w:r>
      <w:r w:rsidR="00B75D0E" w:rsidRPr="00D2758E">
        <w:t xml:space="preserve">the implementation of the Nagoya Protocol </w:t>
      </w:r>
      <w:r w:rsidR="003E36ED" w:rsidRPr="00D2758E">
        <w:t xml:space="preserve">is an essential </w:t>
      </w:r>
      <w:r w:rsidR="00FC2B35">
        <w:t xml:space="preserve">feature </w:t>
      </w:r>
      <w:r w:rsidR="003E36ED" w:rsidRPr="00D2758E">
        <w:t>of enhancing effectiveness of the Protocol.</w:t>
      </w:r>
      <w:r w:rsidR="003E36ED" w:rsidRPr="00D2758E">
        <w:rPr>
          <w:rStyle w:val="FootnoteReference"/>
        </w:rPr>
        <w:footnoteReference w:id="64"/>
      </w:r>
    </w:p>
    <w:p w14:paraId="264DD75F" w14:textId="3BA79199" w:rsidR="00E33472" w:rsidRPr="00D2758E" w:rsidRDefault="001E79DC" w:rsidP="00CD2C50">
      <w:pPr>
        <w:pStyle w:val="CBDNormalNumber"/>
      </w:pPr>
      <w:r w:rsidRPr="00D2758E">
        <w:t xml:space="preserve">Given the </w:t>
      </w:r>
      <w:r w:rsidR="00141B35" w:rsidRPr="00D2758E">
        <w:t>challenges and root causes identified</w:t>
      </w:r>
      <w:r w:rsidR="000A2E76" w:rsidRPr="00D2758E">
        <w:t>,</w:t>
      </w:r>
      <w:r w:rsidR="00141B35" w:rsidRPr="00D2758E">
        <w:t xml:space="preserve"> without additional c</w:t>
      </w:r>
      <w:r w:rsidR="00E33472" w:rsidRPr="00D2758E">
        <w:t>apacity-building and financial resources</w:t>
      </w:r>
      <w:r w:rsidR="00E9523A">
        <w:t>,</w:t>
      </w:r>
      <w:r w:rsidR="00D545F7" w:rsidRPr="00D2758E">
        <w:rPr>
          <w:rStyle w:val="FootnoteReference"/>
        </w:rPr>
        <w:footnoteReference w:id="65"/>
      </w:r>
      <w:r w:rsidR="00A16E49" w:rsidRPr="00D2758E">
        <w:t xml:space="preserve"> progress in implementation</w:t>
      </w:r>
      <w:r w:rsidR="000A2E76" w:rsidRPr="00D2758E">
        <w:t xml:space="preserve"> of the Nagoya Protocol</w:t>
      </w:r>
      <w:r w:rsidR="00A16E49" w:rsidRPr="00D2758E">
        <w:t xml:space="preserve"> </w:t>
      </w:r>
      <w:r w:rsidR="008A30F6">
        <w:t>will</w:t>
      </w:r>
      <w:r w:rsidR="00A16E49" w:rsidRPr="00D2758E">
        <w:t xml:space="preserve"> not</w:t>
      </w:r>
      <w:r w:rsidR="00740631">
        <w:t xml:space="preserve"> </w:t>
      </w:r>
      <w:r w:rsidR="008A30F6">
        <w:t xml:space="preserve">be </w:t>
      </w:r>
      <w:r w:rsidR="00A16E49" w:rsidRPr="00D2758E">
        <w:t>possible in many Parties</w:t>
      </w:r>
      <w:r w:rsidR="00B258FF" w:rsidRPr="00D2758E">
        <w:t>, in particular developing country Parties</w:t>
      </w:r>
      <w:r w:rsidR="000454D5" w:rsidRPr="00D2758E">
        <w:t>. A</w:t>
      </w:r>
      <w:r w:rsidR="00457069" w:rsidRPr="00D2758E">
        <w:t xml:space="preserve">s Parties advance in setting up </w:t>
      </w:r>
      <w:r w:rsidR="008A30F6">
        <w:t xml:space="preserve">access and benefit-sharing </w:t>
      </w:r>
      <w:r w:rsidR="00457069" w:rsidRPr="00D2758E">
        <w:t xml:space="preserve">measures and institutional structures, </w:t>
      </w:r>
      <w:r w:rsidR="00D36857" w:rsidRPr="00D2758E">
        <w:t xml:space="preserve">exchanges of experiences and lessons learned </w:t>
      </w:r>
      <w:r w:rsidR="00E128BE" w:rsidRPr="00D2758E">
        <w:t>to enhance effectiveness in implementation</w:t>
      </w:r>
      <w:r w:rsidR="00DC70A4" w:rsidRPr="00D2758E">
        <w:t xml:space="preserve"> become more</w:t>
      </w:r>
      <w:r w:rsidR="000454D5" w:rsidRPr="00D2758E">
        <w:t xml:space="preserve"> import</w:t>
      </w:r>
      <w:r w:rsidR="005E46CF" w:rsidRPr="00D2758E">
        <w:t>ant.</w:t>
      </w:r>
    </w:p>
    <w:p w14:paraId="53977827" w14:textId="54C1C04F" w:rsidR="00452379" w:rsidRPr="00D2758E" w:rsidRDefault="00452379" w:rsidP="00CD2C50">
      <w:pPr>
        <w:pStyle w:val="CBDNormalNumber"/>
      </w:pPr>
      <w:r w:rsidRPr="00D2758E">
        <w:t>Parties that report</w:t>
      </w:r>
      <w:r w:rsidR="00C824F7">
        <w:t>ed</w:t>
      </w:r>
      <w:r w:rsidRPr="00D2758E">
        <w:t xml:space="preserve"> having received substantial monetary benefits and that have issued a good number of certificates could share their experience and approaches in implementation</w:t>
      </w:r>
      <w:r w:rsidR="00C813A8" w:rsidRPr="00D2758E">
        <w:t xml:space="preserve"> of the Nagoya Protocol.</w:t>
      </w:r>
      <w:r w:rsidRPr="00D2758E">
        <w:t xml:space="preserve"> </w:t>
      </w:r>
      <w:r w:rsidR="00C813A8" w:rsidRPr="00D2758E">
        <w:t>Th</w:t>
      </w:r>
      <w:r w:rsidR="00B43FCC">
        <w:t>o</w:t>
      </w:r>
      <w:r w:rsidR="00C813A8" w:rsidRPr="00D2758E">
        <w:t>se experiences</w:t>
      </w:r>
      <w:r w:rsidRPr="00D2758E">
        <w:t xml:space="preserve"> </w:t>
      </w:r>
      <w:r w:rsidR="00694FB4">
        <w:t xml:space="preserve">could </w:t>
      </w:r>
      <w:r w:rsidR="009144E7">
        <w:t>demonstrate</w:t>
      </w:r>
      <w:r w:rsidR="00B43FCC" w:rsidRPr="00D2758E">
        <w:t xml:space="preserve"> </w:t>
      </w:r>
      <w:r w:rsidR="000749F7" w:rsidRPr="00D2758E">
        <w:t>th</w:t>
      </w:r>
      <w:r w:rsidR="00AF7742">
        <w:t>e</w:t>
      </w:r>
      <w:r w:rsidR="000749F7" w:rsidRPr="00D2758E">
        <w:t xml:space="preserve"> </w:t>
      </w:r>
      <w:r w:rsidR="00AF7742" w:rsidRPr="00D2758E">
        <w:t>potential</w:t>
      </w:r>
      <w:r w:rsidR="00AF7742">
        <w:t xml:space="preserve"> of </w:t>
      </w:r>
      <w:r w:rsidR="009144E7">
        <w:t xml:space="preserve">access and benefit sharing </w:t>
      </w:r>
      <w:r w:rsidR="00AF7742">
        <w:t xml:space="preserve">once </w:t>
      </w:r>
      <w:r w:rsidR="00C813A8" w:rsidRPr="00D2758E">
        <w:t xml:space="preserve">the Protocol </w:t>
      </w:r>
      <w:r w:rsidR="00694FB4">
        <w:t>has been</w:t>
      </w:r>
      <w:r w:rsidR="00C813A8" w:rsidRPr="00D2758E">
        <w:t xml:space="preserve"> </w:t>
      </w:r>
      <w:r w:rsidRPr="00D2758E">
        <w:t>fully implemented</w:t>
      </w:r>
      <w:r w:rsidR="00AF7742">
        <w:t xml:space="preserve"> and</w:t>
      </w:r>
      <w:r w:rsidRPr="00D2758E">
        <w:t xml:space="preserve"> operational and enabling conditions </w:t>
      </w:r>
      <w:r w:rsidR="00BE1959" w:rsidRPr="00D2758E">
        <w:t>(</w:t>
      </w:r>
      <w:r w:rsidR="00BE1959">
        <w:t xml:space="preserve">for example, </w:t>
      </w:r>
      <w:r w:rsidR="00063F6D">
        <w:t xml:space="preserve">establishment of </w:t>
      </w:r>
      <w:r w:rsidR="00BE1959" w:rsidRPr="00D2758E">
        <w:t xml:space="preserve">political will, capacity and resources </w:t>
      </w:r>
      <w:r w:rsidR="00BE1959">
        <w:t xml:space="preserve">and </w:t>
      </w:r>
      <w:r w:rsidR="00BE1959" w:rsidRPr="00D2758E">
        <w:t>engage</w:t>
      </w:r>
      <w:r w:rsidR="00BE1959">
        <w:t>ment of</w:t>
      </w:r>
      <w:r w:rsidR="00BE1959" w:rsidRPr="00D2758E">
        <w:t xml:space="preserve"> indigenous peoples and local communities and stakeholders)</w:t>
      </w:r>
      <w:r w:rsidR="00B67501">
        <w:t xml:space="preserve"> </w:t>
      </w:r>
      <w:r w:rsidR="00AF7742">
        <w:t xml:space="preserve">have been </w:t>
      </w:r>
      <w:r w:rsidRPr="00D2758E">
        <w:t>met</w:t>
      </w:r>
      <w:r w:rsidR="00694FB4">
        <w:t>.</w:t>
      </w:r>
      <w:r w:rsidRPr="00D2758E">
        <w:t xml:space="preserve"> </w:t>
      </w:r>
    </w:p>
    <w:p w14:paraId="7D092C2F" w14:textId="04F17026" w:rsidR="0056552E" w:rsidRPr="00D2758E" w:rsidRDefault="00452379" w:rsidP="00CD2C50">
      <w:pPr>
        <w:pStyle w:val="CBDNormalNumber"/>
      </w:pPr>
      <w:r w:rsidRPr="00D2758E">
        <w:t xml:space="preserve">Goal C and Target 13 of the </w:t>
      </w:r>
      <w:r w:rsidR="003B07F1" w:rsidRPr="00D2758E">
        <w:t xml:space="preserve">Kunming-Montreal Global Biodiversity Framework </w:t>
      </w:r>
      <w:r w:rsidRPr="00D2758E">
        <w:t xml:space="preserve">call for an increase in the sharing of benefits. Many Parties still need </w:t>
      </w:r>
      <w:r w:rsidR="005C7DDE" w:rsidRPr="00D2758E">
        <w:t>to</w:t>
      </w:r>
      <w:r w:rsidRPr="00D2758E">
        <w:t xml:space="preserve"> </w:t>
      </w:r>
      <w:r w:rsidR="00871280" w:rsidRPr="00D2758E">
        <w:t xml:space="preserve">put in place </w:t>
      </w:r>
      <w:r w:rsidRPr="00D2758E">
        <w:t xml:space="preserve">mechanisms to </w:t>
      </w:r>
      <w:r w:rsidR="00666F95" w:rsidRPr="00D2758E">
        <w:t xml:space="preserve">keep track of </w:t>
      </w:r>
      <w:r w:rsidR="00871280" w:rsidRPr="00D2758E">
        <w:t xml:space="preserve">benefits received and </w:t>
      </w:r>
      <w:r w:rsidR="00666F95" w:rsidRPr="00D2758E">
        <w:t xml:space="preserve">the </w:t>
      </w:r>
      <w:r w:rsidR="00871280" w:rsidRPr="00D2758E">
        <w:t xml:space="preserve">implementation of </w:t>
      </w:r>
      <w:r w:rsidR="00666F95" w:rsidRPr="00D2758E">
        <w:t>mutually agreed terms</w:t>
      </w:r>
      <w:r w:rsidR="00873992" w:rsidRPr="00D2758E">
        <w:t xml:space="preserve"> and measure the impact of </w:t>
      </w:r>
      <w:r w:rsidR="00C3728A">
        <w:t xml:space="preserve">access and benefit </w:t>
      </w:r>
      <w:r w:rsidR="002F136B">
        <w:t xml:space="preserve">sharing </w:t>
      </w:r>
      <w:r w:rsidR="00873992" w:rsidRPr="00D2758E">
        <w:t>in the</w:t>
      </w:r>
      <w:r w:rsidR="002F136B">
        <w:t>ir</w:t>
      </w:r>
      <w:r w:rsidR="00873992" w:rsidRPr="00D2758E">
        <w:t xml:space="preserve"> country, </w:t>
      </w:r>
      <w:r w:rsidRPr="00D2758E">
        <w:t>as applicable</w:t>
      </w:r>
      <w:r w:rsidR="00873992" w:rsidRPr="00D2758E">
        <w:t xml:space="preserve">. </w:t>
      </w:r>
      <w:r w:rsidRPr="00D2758E">
        <w:t>The metadata sheets developed for measuring monetary and non-monetary benefits include some recommendations for gathering th</w:t>
      </w:r>
      <w:r w:rsidR="00515508">
        <w:t>at</w:t>
      </w:r>
      <w:r w:rsidRPr="00D2758E">
        <w:t xml:space="preserve"> information while bearing in mind that </w:t>
      </w:r>
      <w:r w:rsidR="00B67562">
        <w:t xml:space="preserve">the </w:t>
      </w:r>
      <w:r w:rsidR="00B67562" w:rsidRPr="00D2758E">
        <w:t xml:space="preserve">circumstances, priorities and capacities </w:t>
      </w:r>
      <w:r w:rsidR="00B67562">
        <w:t>of</w:t>
      </w:r>
      <w:r w:rsidR="00B67562" w:rsidRPr="00D2758E">
        <w:t xml:space="preserve"> </w:t>
      </w:r>
      <w:r w:rsidRPr="00D2758E">
        <w:t xml:space="preserve">countries may </w:t>
      </w:r>
      <w:r w:rsidR="00B67562">
        <w:t>be</w:t>
      </w:r>
      <w:r w:rsidRPr="00D2758E">
        <w:t xml:space="preserve"> different</w:t>
      </w:r>
      <w:r w:rsidR="00B67562" w:rsidRPr="00B67562">
        <w:t xml:space="preserve"> </w:t>
      </w:r>
      <w:r w:rsidR="00B67562" w:rsidRPr="00D2758E">
        <w:t>in th</w:t>
      </w:r>
      <w:r w:rsidR="00B67562">
        <w:t>at</w:t>
      </w:r>
      <w:r w:rsidR="00B67562" w:rsidRPr="00D2758E">
        <w:t xml:space="preserve"> regard</w:t>
      </w:r>
      <w:r w:rsidRPr="00D2758E">
        <w:t>.</w:t>
      </w:r>
      <w:r w:rsidRPr="00D2758E">
        <w:rPr>
          <w:rStyle w:val="FootnoteReference"/>
        </w:rPr>
        <w:footnoteReference w:id="66"/>
      </w:r>
      <w:r w:rsidRPr="00D2758E">
        <w:rPr>
          <w:highlight w:val="yellow"/>
        </w:rPr>
        <w:t xml:space="preserve"> </w:t>
      </w:r>
    </w:p>
    <w:p w14:paraId="63F10CF8" w14:textId="23BACB39" w:rsidR="0056552E" w:rsidRPr="00D2758E" w:rsidRDefault="0004180D" w:rsidP="0004180D">
      <w:pPr>
        <w:pStyle w:val="CBDH2"/>
      </w:pPr>
      <w:bookmarkStart w:id="10" w:name="_Toc228803306"/>
      <w:r>
        <w:lastRenderedPageBreak/>
        <w:t>C.</w:t>
      </w:r>
      <w:r>
        <w:tab/>
      </w:r>
      <w:r w:rsidR="0056552E" w:rsidRPr="00D2758E">
        <w:t>Assessment of support available for implementation</w:t>
      </w:r>
      <w:bookmarkEnd w:id="10"/>
      <w:r w:rsidR="0056552E" w:rsidRPr="00D2758E">
        <w:t xml:space="preserve"> </w:t>
      </w:r>
    </w:p>
    <w:p w14:paraId="318B76B6" w14:textId="23774AB7" w:rsidR="0056552E" w:rsidRPr="00D2758E" w:rsidRDefault="0004180D" w:rsidP="0004180D">
      <w:pPr>
        <w:pStyle w:val="CBDH3"/>
      </w:pPr>
      <w:r>
        <w:t>1.</w:t>
      </w:r>
      <w:r>
        <w:tab/>
      </w:r>
      <w:r w:rsidR="0056552E" w:rsidRPr="00D2758E">
        <w:t>Capacity (Article 22)</w:t>
      </w:r>
      <w:r w:rsidR="008C4EA6" w:rsidRPr="00D2758E">
        <w:rPr>
          <w:rStyle w:val="FootnoteReference"/>
        </w:rPr>
        <w:footnoteReference w:id="67"/>
      </w:r>
    </w:p>
    <w:p w14:paraId="7FF1F07C" w14:textId="65B38FAA" w:rsidR="004A5572" w:rsidRPr="00D2758E" w:rsidRDefault="0004180D" w:rsidP="0004180D">
      <w:pPr>
        <w:pStyle w:val="CBDH4"/>
      </w:pPr>
      <w:r>
        <w:t>(a)</w:t>
      </w:r>
      <w:r>
        <w:tab/>
      </w:r>
      <w:r w:rsidR="004A5572" w:rsidRPr="00D2758E">
        <w:t xml:space="preserve">Progress made in implementation and updated indicator data </w:t>
      </w:r>
    </w:p>
    <w:p w14:paraId="57D98FDD" w14:textId="06A3777F" w:rsidR="00821D23" w:rsidRPr="00D2758E" w:rsidRDefault="00210CDE" w:rsidP="00CD2C50">
      <w:pPr>
        <w:pStyle w:val="CBDNormalNumber"/>
        <w:rPr>
          <w:rFonts w:asciiTheme="majorBidi" w:hAnsiTheme="majorBidi" w:cstheme="majorBidi"/>
        </w:rPr>
      </w:pPr>
      <w:r w:rsidRPr="00D2758E">
        <w:rPr>
          <w:rFonts w:asciiTheme="majorBidi" w:hAnsiTheme="majorBidi" w:cstheme="majorBidi"/>
        </w:rPr>
        <w:t>A</w:t>
      </w:r>
      <w:r w:rsidR="00B67562">
        <w:rPr>
          <w:rFonts w:asciiTheme="majorBidi" w:hAnsiTheme="majorBidi" w:cstheme="majorBidi"/>
        </w:rPr>
        <w:t>s</w:t>
      </w:r>
      <w:r w:rsidRPr="00D2758E">
        <w:rPr>
          <w:rFonts w:asciiTheme="majorBidi" w:hAnsiTheme="majorBidi" w:cstheme="majorBidi"/>
        </w:rPr>
        <w:t xml:space="preserve"> shown in table </w:t>
      </w:r>
      <w:r w:rsidR="00D910E5" w:rsidRPr="00D2758E">
        <w:rPr>
          <w:rFonts w:asciiTheme="majorBidi" w:hAnsiTheme="majorBidi" w:cstheme="majorBidi"/>
        </w:rPr>
        <w:t>9</w:t>
      </w:r>
      <w:r w:rsidRPr="00D2758E">
        <w:rPr>
          <w:rFonts w:asciiTheme="majorBidi" w:hAnsiTheme="majorBidi" w:cstheme="majorBidi"/>
        </w:rPr>
        <w:t xml:space="preserve"> below, t</w:t>
      </w:r>
      <w:r w:rsidR="00821D23" w:rsidRPr="00D2758E">
        <w:rPr>
          <w:rFonts w:asciiTheme="majorBidi" w:hAnsiTheme="majorBidi" w:cstheme="majorBidi"/>
        </w:rPr>
        <w:t xml:space="preserve">he documented increase of 44 capacity‑building and development initiatives between 2018 and 2026 contrasts sharply with the recording of only four additional initiatives </w:t>
      </w:r>
      <w:r w:rsidR="003E1491">
        <w:rPr>
          <w:rFonts w:asciiTheme="majorBidi" w:hAnsiTheme="majorBidi" w:cstheme="majorBidi"/>
        </w:rPr>
        <w:t>o</w:t>
      </w:r>
      <w:r w:rsidR="00821D23" w:rsidRPr="00D2758E">
        <w:rPr>
          <w:rFonts w:asciiTheme="majorBidi" w:hAnsiTheme="majorBidi" w:cstheme="majorBidi"/>
        </w:rPr>
        <w:t>n the Clearing‑House,</w:t>
      </w:r>
      <w:r w:rsidR="00C67BA6">
        <w:rPr>
          <w:rFonts w:asciiTheme="majorBidi" w:hAnsiTheme="majorBidi" w:cstheme="majorBidi"/>
        </w:rPr>
        <w:t xml:space="preserve"> This</w:t>
      </w:r>
      <w:r w:rsidR="00821D23" w:rsidRPr="00D2758E">
        <w:rPr>
          <w:rFonts w:asciiTheme="majorBidi" w:hAnsiTheme="majorBidi" w:cstheme="majorBidi"/>
        </w:rPr>
        <w:t xml:space="preserve"> point</w:t>
      </w:r>
      <w:r w:rsidR="00C67BA6">
        <w:rPr>
          <w:rFonts w:asciiTheme="majorBidi" w:hAnsiTheme="majorBidi" w:cstheme="majorBidi"/>
        </w:rPr>
        <w:t>s</w:t>
      </w:r>
      <w:r w:rsidR="00821D23" w:rsidRPr="00D2758E">
        <w:rPr>
          <w:rFonts w:asciiTheme="majorBidi" w:hAnsiTheme="majorBidi" w:cstheme="majorBidi"/>
        </w:rPr>
        <w:t xml:space="preserve"> to a persistent gap between the expansion of implementation activities and systematic documentation and knowledge‑sharing </w:t>
      </w:r>
      <w:r w:rsidR="0011505F">
        <w:rPr>
          <w:rFonts w:asciiTheme="majorBidi" w:hAnsiTheme="majorBidi" w:cstheme="majorBidi"/>
        </w:rPr>
        <w:t>related to t</w:t>
      </w:r>
      <w:r w:rsidR="00AA7FDD">
        <w:rPr>
          <w:rFonts w:asciiTheme="majorBidi" w:hAnsiTheme="majorBidi" w:cstheme="majorBidi"/>
        </w:rPr>
        <w:t xml:space="preserve">hose activities </w:t>
      </w:r>
      <w:r w:rsidR="00821D23" w:rsidRPr="00D2758E">
        <w:rPr>
          <w:rFonts w:asciiTheme="majorBidi" w:hAnsiTheme="majorBidi" w:cstheme="majorBidi"/>
        </w:rPr>
        <w:t xml:space="preserve">through the Clearing‑House. </w:t>
      </w:r>
      <w:r w:rsidR="00283E89" w:rsidRPr="00D2758E">
        <w:rPr>
          <w:rFonts w:asciiTheme="majorBidi" w:hAnsiTheme="majorBidi" w:cstheme="majorBidi"/>
        </w:rPr>
        <w:t xml:space="preserve">Nevertheless, </w:t>
      </w:r>
      <w:r w:rsidR="00AA7FDD">
        <w:rPr>
          <w:rFonts w:asciiTheme="majorBidi" w:hAnsiTheme="majorBidi" w:cstheme="majorBidi"/>
        </w:rPr>
        <w:t xml:space="preserve">there has been </w:t>
      </w:r>
      <w:r w:rsidR="00AA7FDD" w:rsidRPr="00D2758E">
        <w:rPr>
          <w:rFonts w:asciiTheme="majorBidi" w:hAnsiTheme="majorBidi" w:cstheme="majorBidi"/>
        </w:rPr>
        <w:t xml:space="preserve">a significant increase </w:t>
      </w:r>
      <w:r w:rsidR="00AA7FDD">
        <w:rPr>
          <w:rFonts w:asciiTheme="majorBidi" w:hAnsiTheme="majorBidi" w:cstheme="majorBidi"/>
        </w:rPr>
        <w:t xml:space="preserve">in </w:t>
      </w:r>
      <w:r w:rsidRPr="00D2758E">
        <w:rPr>
          <w:rFonts w:asciiTheme="majorBidi" w:hAnsiTheme="majorBidi" w:cstheme="majorBidi"/>
        </w:rPr>
        <w:t xml:space="preserve">the number of virtual library resources </w:t>
      </w:r>
      <w:r w:rsidR="00C11662" w:rsidRPr="00D2758E">
        <w:rPr>
          <w:rFonts w:asciiTheme="majorBidi" w:hAnsiTheme="majorBidi" w:cstheme="majorBidi"/>
        </w:rPr>
        <w:t>(</w:t>
      </w:r>
      <w:r w:rsidR="00C11662" w:rsidRPr="00D2758E">
        <w:t>awareness-raising and capacity-building tools)</w:t>
      </w:r>
      <w:r w:rsidRPr="00D2758E">
        <w:rPr>
          <w:rFonts w:asciiTheme="majorBidi" w:hAnsiTheme="majorBidi" w:cstheme="majorBidi"/>
        </w:rPr>
        <w:t xml:space="preserve"> </w:t>
      </w:r>
      <w:r w:rsidR="00AA7FDD">
        <w:rPr>
          <w:rFonts w:asciiTheme="majorBidi" w:hAnsiTheme="majorBidi" w:cstheme="majorBidi"/>
        </w:rPr>
        <w:t>o</w:t>
      </w:r>
      <w:r w:rsidRPr="00D2758E">
        <w:rPr>
          <w:rFonts w:asciiTheme="majorBidi" w:hAnsiTheme="majorBidi" w:cstheme="majorBidi"/>
        </w:rPr>
        <w:t xml:space="preserve">n the </w:t>
      </w:r>
      <w:proofErr w:type="gramStart"/>
      <w:r w:rsidRPr="00D2758E">
        <w:rPr>
          <w:rFonts w:asciiTheme="majorBidi" w:hAnsiTheme="majorBidi" w:cstheme="majorBidi"/>
        </w:rPr>
        <w:t>Clearing</w:t>
      </w:r>
      <w:r w:rsidR="00283E89" w:rsidRPr="00D2758E">
        <w:rPr>
          <w:rFonts w:asciiTheme="majorBidi" w:hAnsiTheme="majorBidi" w:cstheme="majorBidi"/>
        </w:rPr>
        <w:t>-House</w:t>
      </w:r>
      <w:proofErr w:type="gramEnd"/>
      <w:r w:rsidR="00283E89" w:rsidRPr="00D2758E">
        <w:rPr>
          <w:rFonts w:asciiTheme="majorBidi" w:hAnsiTheme="majorBidi" w:cstheme="majorBidi"/>
        </w:rPr>
        <w:t xml:space="preserve"> since the first assessment and review of the Protocol</w:t>
      </w:r>
      <w:r w:rsidR="00277455">
        <w:rPr>
          <w:rFonts w:asciiTheme="majorBidi" w:hAnsiTheme="majorBidi" w:cstheme="majorBidi"/>
        </w:rPr>
        <w:t>.</w:t>
      </w:r>
      <w:r w:rsidR="00AB2828" w:rsidRPr="00D2758E">
        <w:rPr>
          <w:rStyle w:val="FootnoteReference"/>
          <w:rFonts w:asciiTheme="majorBidi" w:hAnsiTheme="majorBidi" w:cstheme="majorBidi"/>
        </w:rPr>
        <w:footnoteReference w:id="68"/>
      </w:r>
      <w:r w:rsidRPr="00D2758E">
        <w:rPr>
          <w:rFonts w:asciiTheme="majorBidi" w:hAnsiTheme="majorBidi" w:cstheme="majorBidi"/>
        </w:rPr>
        <w:t xml:space="preserve"> </w:t>
      </w:r>
    </w:p>
    <w:p w14:paraId="5D72C807" w14:textId="41767D2D" w:rsidR="00FB7892" w:rsidRPr="00D2758E" w:rsidRDefault="002E3B8C" w:rsidP="00CD2C50">
      <w:pPr>
        <w:pStyle w:val="CBDNormalNumber"/>
        <w:rPr>
          <w:rFonts w:asciiTheme="majorBidi" w:hAnsiTheme="majorBidi" w:cstheme="majorBidi"/>
        </w:rPr>
      </w:pPr>
      <w:r w:rsidRPr="00D2758E">
        <w:rPr>
          <w:rFonts w:asciiTheme="majorBidi" w:hAnsiTheme="majorBidi" w:cstheme="majorBidi"/>
        </w:rPr>
        <w:t>The</w:t>
      </w:r>
      <w:r w:rsidR="00792377" w:rsidRPr="00D2758E">
        <w:rPr>
          <w:rFonts w:asciiTheme="majorBidi" w:hAnsiTheme="majorBidi" w:cstheme="majorBidi"/>
        </w:rPr>
        <w:t xml:space="preserve"> majority of Parties (</w:t>
      </w:r>
      <w:r w:rsidRPr="00D2758E">
        <w:rPr>
          <w:rFonts w:asciiTheme="majorBidi" w:hAnsiTheme="majorBidi" w:cstheme="majorBidi"/>
        </w:rPr>
        <w:t>59</w:t>
      </w:r>
      <w:r w:rsidR="00685F12">
        <w:rPr>
          <w:rFonts w:asciiTheme="majorBidi" w:hAnsiTheme="majorBidi" w:cstheme="majorBidi"/>
        </w:rPr>
        <w:t xml:space="preserve"> per cent</w:t>
      </w:r>
      <w:r w:rsidR="00792377" w:rsidRPr="00D2758E">
        <w:rPr>
          <w:rFonts w:asciiTheme="majorBidi" w:hAnsiTheme="majorBidi" w:cstheme="majorBidi"/>
        </w:rPr>
        <w:t xml:space="preserve">) </w:t>
      </w:r>
      <w:r w:rsidR="00792377" w:rsidRPr="00D2758E">
        <w:t>have</w:t>
      </w:r>
      <w:r w:rsidR="00792377" w:rsidRPr="00D2758E">
        <w:rPr>
          <w:rFonts w:asciiTheme="majorBidi" w:hAnsiTheme="majorBidi" w:cstheme="majorBidi"/>
        </w:rPr>
        <w:t xml:space="preserve"> taken steps to build human and institutional capacity for Nagoya Protocol implementation, most commonly through training, awareness</w:t>
      </w:r>
      <w:r w:rsidR="00685F12">
        <w:rPr>
          <w:rFonts w:asciiTheme="majorBidi" w:hAnsiTheme="majorBidi" w:cstheme="majorBidi"/>
        </w:rPr>
        <w:t>-</w:t>
      </w:r>
      <w:r w:rsidR="00792377" w:rsidRPr="00D2758E">
        <w:rPr>
          <w:rFonts w:asciiTheme="majorBidi" w:hAnsiTheme="majorBidi" w:cstheme="majorBidi"/>
        </w:rPr>
        <w:t xml:space="preserve">raising, and legal and institutional strengthening, often supported by international capacity-building initiatives, notably with support from </w:t>
      </w:r>
      <w:r w:rsidR="004B04AB">
        <w:rPr>
          <w:rFonts w:asciiTheme="majorBidi" w:hAnsiTheme="majorBidi" w:cstheme="majorBidi"/>
        </w:rPr>
        <w:t xml:space="preserve">the </w:t>
      </w:r>
      <w:r w:rsidR="00D70761" w:rsidRPr="00D2758E">
        <w:rPr>
          <w:rFonts w:asciiTheme="majorBidi" w:hAnsiTheme="majorBidi" w:cstheme="majorBidi"/>
        </w:rPr>
        <w:t xml:space="preserve">Global </w:t>
      </w:r>
      <w:r w:rsidR="00B84CB0" w:rsidRPr="00D2758E">
        <w:rPr>
          <w:rFonts w:asciiTheme="majorBidi" w:hAnsiTheme="majorBidi" w:cstheme="majorBidi"/>
        </w:rPr>
        <w:t>Environmental Facility (</w:t>
      </w:r>
      <w:r w:rsidR="00792377" w:rsidRPr="00D2758E">
        <w:rPr>
          <w:rFonts w:asciiTheme="majorBidi" w:hAnsiTheme="majorBidi" w:cstheme="majorBidi"/>
        </w:rPr>
        <w:t>GEF</w:t>
      </w:r>
      <w:r w:rsidR="00B84CB0" w:rsidRPr="00D2758E">
        <w:rPr>
          <w:rFonts w:asciiTheme="majorBidi" w:hAnsiTheme="majorBidi" w:cstheme="majorBidi"/>
        </w:rPr>
        <w:t>)</w:t>
      </w:r>
      <w:r w:rsidR="00792377" w:rsidRPr="00D2758E">
        <w:rPr>
          <w:rFonts w:asciiTheme="majorBidi" w:hAnsiTheme="majorBidi" w:cstheme="majorBidi"/>
        </w:rPr>
        <w:t xml:space="preserve"> and implemented through agencies such as </w:t>
      </w:r>
      <w:r w:rsidR="006413FA" w:rsidRPr="00D2758E">
        <w:rPr>
          <w:rFonts w:asciiTheme="majorBidi" w:hAnsiTheme="majorBidi" w:cstheme="majorBidi"/>
        </w:rPr>
        <w:t>United Nation</w:t>
      </w:r>
      <w:r w:rsidR="00F3244F" w:rsidRPr="00D2758E">
        <w:rPr>
          <w:rFonts w:asciiTheme="majorBidi" w:hAnsiTheme="majorBidi" w:cstheme="majorBidi"/>
        </w:rPr>
        <w:t xml:space="preserve">s Development Programme </w:t>
      </w:r>
      <w:r w:rsidR="00792377" w:rsidRPr="00D2758E">
        <w:rPr>
          <w:rFonts w:asciiTheme="majorBidi" w:hAnsiTheme="majorBidi" w:cstheme="majorBidi"/>
        </w:rPr>
        <w:t xml:space="preserve">and </w:t>
      </w:r>
      <w:r w:rsidR="004B04AB">
        <w:rPr>
          <w:rFonts w:asciiTheme="majorBidi" w:hAnsiTheme="majorBidi" w:cstheme="majorBidi"/>
        </w:rPr>
        <w:t xml:space="preserve">the </w:t>
      </w:r>
      <w:r w:rsidR="00281798" w:rsidRPr="00D2758E">
        <w:rPr>
          <w:rFonts w:asciiTheme="majorBidi" w:hAnsiTheme="majorBidi" w:cstheme="majorBidi"/>
        </w:rPr>
        <w:t>United Nations Environment Programme</w:t>
      </w:r>
      <w:r w:rsidR="00792377" w:rsidRPr="00D2758E">
        <w:rPr>
          <w:rFonts w:asciiTheme="majorBidi" w:hAnsiTheme="majorBidi" w:cstheme="majorBidi"/>
        </w:rPr>
        <w:t>, as well as other partners</w:t>
      </w:r>
      <w:r w:rsidR="002F2084">
        <w:rPr>
          <w:rFonts w:asciiTheme="majorBidi" w:hAnsiTheme="majorBidi" w:cstheme="majorBidi"/>
        </w:rPr>
        <w:t>,</w:t>
      </w:r>
      <w:r w:rsidR="00792377" w:rsidRPr="00D2758E">
        <w:rPr>
          <w:rFonts w:asciiTheme="majorBidi" w:hAnsiTheme="majorBidi" w:cstheme="majorBidi"/>
        </w:rPr>
        <w:t xml:space="preserve"> </w:t>
      </w:r>
      <w:r w:rsidR="002C4C55" w:rsidRPr="00D2758E">
        <w:rPr>
          <w:rFonts w:asciiTheme="majorBidi" w:hAnsiTheme="majorBidi" w:cstheme="majorBidi"/>
        </w:rPr>
        <w:t xml:space="preserve">particularly </w:t>
      </w:r>
      <w:r w:rsidR="00173EAD">
        <w:rPr>
          <w:rFonts w:asciiTheme="majorBidi" w:hAnsiTheme="majorBidi" w:cstheme="majorBidi"/>
        </w:rPr>
        <w:t>the German Agency for International Cooperation</w:t>
      </w:r>
      <w:r w:rsidR="000E1FC4">
        <w:rPr>
          <w:rFonts w:asciiTheme="majorBidi" w:hAnsiTheme="majorBidi" w:cstheme="majorBidi"/>
        </w:rPr>
        <w:t>/</w:t>
      </w:r>
      <w:r w:rsidR="00F00F2E">
        <w:rPr>
          <w:rFonts w:asciiTheme="majorBidi" w:hAnsiTheme="majorBidi" w:cstheme="majorBidi"/>
        </w:rPr>
        <w:t>Federal Ministry for Economic Cooperation and Development</w:t>
      </w:r>
      <w:r w:rsidR="00DC131A">
        <w:rPr>
          <w:rFonts w:asciiTheme="majorBidi" w:hAnsiTheme="majorBidi" w:cstheme="majorBidi"/>
        </w:rPr>
        <w:t>.</w:t>
      </w:r>
      <w:r w:rsidR="001067BA" w:rsidRPr="00D2758E">
        <w:rPr>
          <w:rStyle w:val="FootnoteReference"/>
          <w:rFonts w:asciiTheme="majorBidi" w:hAnsiTheme="majorBidi" w:cstheme="majorBidi"/>
        </w:rPr>
        <w:footnoteReference w:id="69"/>
      </w:r>
      <w:r w:rsidR="00FB7892" w:rsidRPr="00D2758E">
        <w:rPr>
          <w:rFonts w:asciiTheme="majorBidi" w:hAnsiTheme="majorBidi" w:cstheme="majorBidi"/>
        </w:rPr>
        <w:t xml:space="preserve"> </w:t>
      </w:r>
    </w:p>
    <w:p w14:paraId="32E49625" w14:textId="13BB532F" w:rsidR="00397286" w:rsidRPr="00D2758E" w:rsidRDefault="001D55C3" w:rsidP="00CD2C50">
      <w:pPr>
        <w:pStyle w:val="CBDNormalNumber"/>
        <w:rPr>
          <w:rFonts w:asciiTheme="majorBidi" w:hAnsiTheme="majorBidi" w:cstheme="majorBidi"/>
        </w:rPr>
      </w:pPr>
      <w:r w:rsidRPr="00D2758E">
        <w:rPr>
          <w:rFonts w:asciiTheme="majorBidi" w:hAnsiTheme="majorBidi" w:cstheme="majorBidi"/>
        </w:rPr>
        <w:t xml:space="preserve">In </w:t>
      </w:r>
      <w:r w:rsidR="008B4863">
        <w:rPr>
          <w:rFonts w:asciiTheme="majorBidi" w:hAnsiTheme="majorBidi" w:cstheme="majorBidi"/>
        </w:rPr>
        <w:t xml:space="preserve">the </w:t>
      </w:r>
      <w:r w:rsidRPr="00D2758E">
        <w:rPr>
          <w:rFonts w:asciiTheme="majorBidi" w:hAnsiTheme="majorBidi" w:cstheme="majorBidi"/>
        </w:rPr>
        <w:t>light of</w:t>
      </w:r>
      <w:r w:rsidR="00E23740" w:rsidRPr="00D2758E">
        <w:rPr>
          <w:rFonts w:asciiTheme="majorBidi" w:hAnsiTheme="majorBidi" w:cstheme="majorBidi"/>
        </w:rPr>
        <w:t xml:space="preserve"> </w:t>
      </w:r>
      <w:r w:rsidRPr="00D2758E">
        <w:rPr>
          <w:rFonts w:asciiTheme="majorBidi" w:hAnsiTheme="majorBidi" w:cstheme="majorBidi"/>
        </w:rPr>
        <w:t xml:space="preserve">progress </w:t>
      </w:r>
      <w:r w:rsidR="00F00F2E">
        <w:rPr>
          <w:rFonts w:asciiTheme="majorBidi" w:hAnsiTheme="majorBidi" w:cstheme="majorBidi"/>
        </w:rPr>
        <w:t>in</w:t>
      </w:r>
      <w:r w:rsidRPr="00D2758E">
        <w:rPr>
          <w:rFonts w:asciiTheme="majorBidi" w:hAnsiTheme="majorBidi" w:cstheme="majorBidi"/>
        </w:rPr>
        <w:t xml:space="preserve"> implementation in beneficiary countries, the focus of activities has evolved over time.</w:t>
      </w:r>
      <w:r w:rsidR="00E23740" w:rsidRPr="00D2758E">
        <w:rPr>
          <w:rFonts w:asciiTheme="majorBidi" w:hAnsiTheme="majorBidi" w:cstheme="majorBidi"/>
        </w:rPr>
        <w:t xml:space="preserve"> </w:t>
      </w:r>
      <w:r w:rsidRPr="00D2758E">
        <w:rPr>
          <w:rFonts w:asciiTheme="majorBidi" w:hAnsiTheme="majorBidi" w:cstheme="majorBidi"/>
        </w:rPr>
        <w:t xml:space="preserve">While initially focusing on providing support to ratification and the development of national </w:t>
      </w:r>
      <w:r w:rsidR="00A87B37">
        <w:rPr>
          <w:rFonts w:asciiTheme="majorBidi" w:hAnsiTheme="majorBidi" w:cstheme="majorBidi"/>
        </w:rPr>
        <w:t xml:space="preserve">access and benefit-sharing </w:t>
      </w:r>
      <w:r w:rsidRPr="00D2758E">
        <w:rPr>
          <w:rFonts w:asciiTheme="majorBidi" w:hAnsiTheme="majorBidi" w:cstheme="majorBidi"/>
        </w:rPr>
        <w:t xml:space="preserve">frameworks, </w:t>
      </w:r>
      <w:r w:rsidR="00A87B37" w:rsidRPr="00D2758E">
        <w:rPr>
          <w:rFonts w:asciiTheme="majorBidi" w:hAnsiTheme="majorBidi" w:cstheme="majorBidi"/>
        </w:rPr>
        <w:t>l</w:t>
      </w:r>
      <w:r w:rsidR="00A87B37">
        <w:rPr>
          <w:rFonts w:asciiTheme="majorBidi" w:hAnsiTheme="majorBidi" w:cstheme="majorBidi"/>
        </w:rPr>
        <w:t>a</w:t>
      </w:r>
      <w:r w:rsidR="00A87B37" w:rsidRPr="00D2758E">
        <w:rPr>
          <w:rFonts w:asciiTheme="majorBidi" w:hAnsiTheme="majorBidi" w:cstheme="majorBidi"/>
        </w:rPr>
        <w:t xml:space="preserve">ter </w:t>
      </w:r>
      <w:r w:rsidRPr="00D2758E">
        <w:rPr>
          <w:rFonts w:asciiTheme="majorBidi" w:hAnsiTheme="majorBidi" w:cstheme="majorBidi"/>
        </w:rPr>
        <w:t xml:space="preserve">projects also included support to the development of partnerships between users and providers and the </w:t>
      </w:r>
      <w:r w:rsidRPr="00D2758E">
        <w:t>establishment</w:t>
      </w:r>
      <w:r w:rsidRPr="00D2758E">
        <w:rPr>
          <w:rFonts w:asciiTheme="majorBidi" w:hAnsiTheme="majorBidi" w:cstheme="majorBidi"/>
        </w:rPr>
        <w:t xml:space="preserve"> of </w:t>
      </w:r>
      <w:r w:rsidR="00A442B5" w:rsidRPr="00A442B5">
        <w:rPr>
          <w:rFonts w:asciiTheme="majorBidi" w:hAnsiTheme="majorBidi" w:cstheme="majorBidi"/>
        </w:rPr>
        <w:t xml:space="preserve">access and benefit-sharing </w:t>
      </w:r>
      <w:r w:rsidRPr="00D2758E">
        <w:rPr>
          <w:rFonts w:asciiTheme="majorBidi" w:hAnsiTheme="majorBidi" w:cstheme="majorBidi"/>
        </w:rPr>
        <w:t>agreements.</w:t>
      </w:r>
      <w:r w:rsidR="00E23740" w:rsidRPr="00D2758E">
        <w:rPr>
          <w:rFonts w:asciiTheme="majorBidi" w:hAnsiTheme="majorBidi" w:cstheme="majorBidi"/>
        </w:rPr>
        <w:t xml:space="preserve"> </w:t>
      </w:r>
      <w:r w:rsidRPr="00D2758E">
        <w:rPr>
          <w:rFonts w:asciiTheme="majorBidi" w:hAnsiTheme="majorBidi" w:cstheme="majorBidi"/>
        </w:rPr>
        <w:t>Over the years,</w:t>
      </w:r>
      <w:r w:rsidR="00E23740" w:rsidRPr="00D2758E">
        <w:rPr>
          <w:rFonts w:asciiTheme="majorBidi" w:hAnsiTheme="majorBidi" w:cstheme="majorBidi"/>
        </w:rPr>
        <w:t xml:space="preserve"> </w:t>
      </w:r>
      <w:proofErr w:type="gramStart"/>
      <w:r w:rsidRPr="00D2758E">
        <w:rPr>
          <w:rFonts w:asciiTheme="majorBidi" w:hAnsiTheme="majorBidi" w:cstheme="majorBidi"/>
        </w:rPr>
        <w:t>a number of</w:t>
      </w:r>
      <w:proofErr w:type="gramEnd"/>
      <w:r w:rsidR="00E23740" w:rsidRPr="00D2758E">
        <w:rPr>
          <w:rFonts w:asciiTheme="majorBidi" w:hAnsiTheme="majorBidi" w:cstheme="majorBidi"/>
        </w:rPr>
        <w:t xml:space="preserve"> </w:t>
      </w:r>
      <w:r w:rsidRPr="00D2758E">
        <w:rPr>
          <w:rFonts w:asciiTheme="majorBidi" w:hAnsiTheme="majorBidi" w:cstheme="majorBidi"/>
        </w:rPr>
        <w:t xml:space="preserve">countries developed their research capacity </w:t>
      </w:r>
      <w:r w:rsidR="00EE3486">
        <w:rPr>
          <w:rFonts w:asciiTheme="majorBidi" w:hAnsiTheme="majorBidi" w:cstheme="majorBidi"/>
        </w:rPr>
        <w:t>related to</w:t>
      </w:r>
      <w:r w:rsidRPr="00D2758E">
        <w:rPr>
          <w:rFonts w:asciiTheme="majorBidi" w:hAnsiTheme="majorBidi" w:cstheme="majorBidi"/>
        </w:rPr>
        <w:t xml:space="preserve"> </w:t>
      </w:r>
      <w:r w:rsidR="00CB4850" w:rsidRPr="00D2758E">
        <w:rPr>
          <w:rFonts w:asciiTheme="majorBidi" w:hAnsiTheme="majorBidi" w:cstheme="majorBidi"/>
        </w:rPr>
        <w:t>genetic resources</w:t>
      </w:r>
      <w:r w:rsidRPr="00D2758E">
        <w:rPr>
          <w:rFonts w:asciiTheme="majorBidi" w:hAnsiTheme="majorBidi" w:cstheme="majorBidi"/>
        </w:rPr>
        <w:t xml:space="preserve"> and are now </w:t>
      </w:r>
      <w:r w:rsidR="00EE3486">
        <w:rPr>
          <w:rFonts w:asciiTheme="majorBidi" w:hAnsiTheme="majorBidi" w:cstheme="majorBidi"/>
        </w:rPr>
        <w:t>seeking</w:t>
      </w:r>
      <w:r w:rsidRPr="00D2758E">
        <w:rPr>
          <w:rFonts w:asciiTheme="majorBidi" w:hAnsiTheme="majorBidi" w:cstheme="majorBidi"/>
        </w:rPr>
        <w:t xml:space="preserve"> opportunities to move from research to commerciali</w:t>
      </w:r>
      <w:r w:rsidR="00553548">
        <w:rPr>
          <w:rFonts w:asciiTheme="majorBidi" w:hAnsiTheme="majorBidi" w:cstheme="majorBidi"/>
        </w:rPr>
        <w:t>z</w:t>
      </w:r>
      <w:r w:rsidRPr="00D2758E">
        <w:rPr>
          <w:rFonts w:asciiTheme="majorBidi" w:hAnsiTheme="majorBidi" w:cstheme="majorBidi"/>
        </w:rPr>
        <w:t xml:space="preserve">ation and build </w:t>
      </w:r>
      <w:r w:rsidR="00EE3486">
        <w:rPr>
          <w:rFonts w:asciiTheme="majorBidi" w:hAnsiTheme="majorBidi" w:cstheme="majorBidi"/>
        </w:rPr>
        <w:t xml:space="preserve">access and benefit-sharing </w:t>
      </w:r>
      <w:r w:rsidRPr="00D2758E">
        <w:rPr>
          <w:rFonts w:asciiTheme="majorBidi" w:hAnsiTheme="majorBidi" w:cstheme="majorBidi"/>
        </w:rPr>
        <w:t>partnerships with foreign users.</w:t>
      </w:r>
    </w:p>
    <w:p w14:paraId="0AF16141" w14:textId="7F00A5BF" w:rsidR="00792377" w:rsidRPr="00D2758E" w:rsidRDefault="00792377" w:rsidP="00CD2C50">
      <w:pPr>
        <w:pStyle w:val="CBDNormalNumber"/>
        <w:rPr>
          <w:rFonts w:asciiTheme="majorBidi" w:hAnsiTheme="majorBidi" w:cstheme="majorBidi"/>
        </w:rPr>
      </w:pPr>
      <w:r w:rsidRPr="00D2758E">
        <w:rPr>
          <w:rFonts w:asciiTheme="majorBidi" w:hAnsiTheme="majorBidi" w:cstheme="majorBidi"/>
        </w:rPr>
        <w:t xml:space="preserve">Most capacity‑building initiatives </w:t>
      </w:r>
      <w:r w:rsidR="007D511E">
        <w:rPr>
          <w:rFonts w:asciiTheme="majorBidi" w:hAnsiTheme="majorBidi" w:cstheme="majorBidi"/>
        </w:rPr>
        <w:t xml:space="preserve">in </w:t>
      </w:r>
      <w:r w:rsidRPr="00D2758E">
        <w:rPr>
          <w:rFonts w:asciiTheme="majorBidi" w:hAnsiTheme="majorBidi" w:cstheme="majorBidi"/>
        </w:rPr>
        <w:t>support</w:t>
      </w:r>
      <w:r w:rsidR="007D511E">
        <w:rPr>
          <w:rFonts w:asciiTheme="majorBidi" w:hAnsiTheme="majorBidi" w:cstheme="majorBidi"/>
        </w:rPr>
        <w:t xml:space="preserve"> of </w:t>
      </w:r>
      <w:r w:rsidRPr="00D2758E">
        <w:rPr>
          <w:rFonts w:asciiTheme="majorBidi" w:hAnsiTheme="majorBidi" w:cstheme="majorBidi"/>
        </w:rPr>
        <w:t xml:space="preserve">Parties since the </w:t>
      </w:r>
      <w:r w:rsidR="00BC0D4F" w:rsidRPr="00D2758E">
        <w:rPr>
          <w:rFonts w:asciiTheme="majorBidi" w:hAnsiTheme="majorBidi" w:cstheme="majorBidi"/>
        </w:rPr>
        <w:t xml:space="preserve">entry into force of the </w:t>
      </w:r>
      <w:r w:rsidRPr="00D2758E">
        <w:rPr>
          <w:rFonts w:asciiTheme="majorBidi" w:hAnsiTheme="majorBidi" w:cstheme="majorBidi"/>
        </w:rPr>
        <w:t>Nagoya Protocol have been implemented at the national level, with more limited regional and global</w:t>
      </w:r>
      <w:r w:rsidR="007D511E">
        <w:rPr>
          <w:rFonts w:asciiTheme="majorBidi" w:hAnsiTheme="majorBidi" w:cstheme="majorBidi"/>
        </w:rPr>
        <w:t>-</w:t>
      </w:r>
      <w:r w:rsidRPr="00D2758E">
        <w:rPr>
          <w:rFonts w:asciiTheme="majorBidi" w:hAnsiTheme="majorBidi" w:cstheme="majorBidi"/>
        </w:rPr>
        <w:t xml:space="preserve">level coverage. Initiatives have been most </w:t>
      </w:r>
      <w:r w:rsidRPr="00D2758E">
        <w:t>concentrated</w:t>
      </w:r>
      <w:r w:rsidRPr="00D2758E">
        <w:rPr>
          <w:rFonts w:asciiTheme="majorBidi" w:hAnsiTheme="majorBidi" w:cstheme="majorBidi"/>
        </w:rPr>
        <w:t xml:space="preserve"> in Africa and </w:t>
      </w:r>
      <w:r w:rsidR="00D43BDB">
        <w:rPr>
          <w:rFonts w:asciiTheme="majorBidi" w:hAnsiTheme="majorBidi" w:cstheme="majorBidi"/>
        </w:rPr>
        <w:t xml:space="preserve">the </w:t>
      </w:r>
      <w:r w:rsidRPr="00D2758E">
        <w:rPr>
          <w:rFonts w:asciiTheme="majorBidi" w:hAnsiTheme="majorBidi" w:cstheme="majorBidi"/>
        </w:rPr>
        <w:t>Asia‑Pacific</w:t>
      </w:r>
      <w:r w:rsidR="00D43BDB">
        <w:rPr>
          <w:rFonts w:asciiTheme="majorBidi" w:hAnsiTheme="majorBidi" w:cstheme="majorBidi"/>
        </w:rPr>
        <w:t xml:space="preserve"> region</w:t>
      </w:r>
      <w:r w:rsidRPr="00D2758E">
        <w:rPr>
          <w:rFonts w:asciiTheme="majorBidi" w:hAnsiTheme="majorBidi" w:cstheme="majorBidi"/>
        </w:rPr>
        <w:t xml:space="preserve">, followed by Latin America and the Caribbean. Coverage of the initiatives has focused primarily on capacities to develop and implement </w:t>
      </w:r>
      <w:r w:rsidR="00D43BDB">
        <w:rPr>
          <w:rFonts w:asciiTheme="majorBidi" w:hAnsiTheme="majorBidi" w:cstheme="majorBidi"/>
        </w:rPr>
        <w:t xml:space="preserve">access and benefit sharing </w:t>
      </w:r>
      <w:r w:rsidRPr="00D2758E">
        <w:rPr>
          <w:rFonts w:asciiTheme="majorBidi" w:hAnsiTheme="majorBidi" w:cstheme="majorBidi"/>
        </w:rPr>
        <w:t>measures</w:t>
      </w:r>
      <w:r w:rsidR="00D331E3">
        <w:rPr>
          <w:rFonts w:asciiTheme="majorBidi" w:hAnsiTheme="majorBidi" w:cstheme="majorBidi"/>
        </w:rPr>
        <w:t xml:space="preserve"> and</w:t>
      </w:r>
      <w:r w:rsidRPr="00D2758E">
        <w:rPr>
          <w:rFonts w:asciiTheme="majorBidi" w:hAnsiTheme="majorBidi" w:cstheme="majorBidi"/>
        </w:rPr>
        <w:t xml:space="preserve"> capacities of </w:t>
      </w:r>
      <w:r w:rsidR="00CF257A" w:rsidRPr="00D2758E">
        <w:rPr>
          <w:rFonts w:asciiTheme="majorBidi" w:hAnsiTheme="majorBidi" w:cstheme="majorBidi"/>
        </w:rPr>
        <w:t>indigenous peoples and local communities t</w:t>
      </w:r>
      <w:r w:rsidRPr="00D2758E">
        <w:rPr>
          <w:rFonts w:asciiTheme="majorBidi" w:hAnsiTheme="majorBidi" w:cstheme="majorBidi"/>
        </w:rPr>
        <w:t>o implement the Protocol, as well as implementation and compliance capacities.</w:t>
      </w:r>
    </w:p>
    <w:p w14:paraId="692CA2FF" w14:textId="26DED509" w:rsidR="00792377" w:rsidRPr="00D2758E" w:rsidRDefault="00792377" w:rsidP="00CD2C50">
      <w:pPr>
        <w:pStyle w:val="CBDNormalNumber"/>
        <w:rPr>
          <w:rFonts w:asciiTheme="majorBidi" w:hAnsiTheme="majorBidi" w:cstheme="majorBidi"/>
        </w:rPr>
      </w:pPr>
      <w:r w:rsidRPr="00D2758E">
        <w:rPr>
          <w:rFonts w:asciiTheme="majorBidi" w:hAnsiTheme="majorBidi" w:cstheme="majorBidi"/>
        </w:rPr>
        <w:t xml:space="preserve">Approximately </w:t>
      </w:r>
      <w:r w:rsidR="00D331E3">
        <w:rPr>
          <w:rFonts w:asciiTheme="majorBidi" w:hAnsiTheme="majorBidi" w:cstheme="majorBidi"/>
        </w:rPr>
        <w:t>one</w:t>
      </w:r>
      <w:r w:rsidR="003F4FB4" w:rsidRPr="00D2758E">
        <w:rPr>
          <w:rFonts w:asciiTheme="majorBidi" w:hAnsiTheme="majorBidi" w:cstheme="majorBidi"/>
        </w:rPr>
        <w:t xml:space="preserve"> third </w:t>
      </w:r>
      <w:r w:rsidRPr="00D2758E">
        <w:rPr>
          <w:rFonts w:asciiTheme="majorBidi" w:hAnsiTheme="majorBidi" w:cstheme="majorBidi"/>
        </w:rPr>
        <w:t>of Parties (</w:t>
      </w:r>
      <w:r w:rsidR="003F4FB4" w:rsidRPr="00D2758E">
        <w:rPr>
          <w:rFonts w:asciiTheme="majorBidi" w:hAnsiTheme="majorBidi" w:cstheme="majorBidi"/>
        </w:rPr>
        <w:t>3</w:t>
      </w:r>
      <w:r w:rsidRPr="00D2758E">
        <w:rPr>
          <w:rFonts w:asciiTheme="majorBidi" w:hAnsiTheme="majorBidi" w:cstheme="majorBidi"/>
        </w:rPr>
        <w:t>4</w:t>
      </w:r>
      <w:r w:rsidR="00D331E3">
        <w:rPr>
          <w:rFonts w:asciiTheme="majorBidi" w:hAnsiTheme="majorBidi" w:cstheme="majorBidi"/>
        </w:rPr>
        <w:t xml:space="preserve"> per cent</w:t>
      </w:r>
      <w:r w:rsidRPr="00D2758E">
        <w:rPr>
          <w:rFonts w:asciiTheme="majorBidi" w:hAnsiTheme="majorBidi" w:cstheme="majorBidi"/>
        </w:rPr>
        <w:t xml:space="preserve">) have supported capacity‑building in other countries, mainly through experience‑sharing, technical </w:t>
      </w:r>
      <w:r w:rsidRPr="00D2758E">
        <w:t>assistance</w:t>
      </w:r>
      <w:r w:rsidRPr="00D2758E">
        <w:rPr>
          <w:rFonts w:asciiTheme="majorBidi" w:hAnsiTheme="majorBidi" w:cstheme="majorBidi"/>
        </w:rPr>
        <w:t xml:space="preserve"> and regional or bilateral cooperation, rather than through direct financial support</w:t>
      </w:r>
      <w:r w:rsidR="004536C0">
        <w:rPr>
          <w:rFonts w:asciiTheme="majorBidi" w:hAnsiTheme="majorBidi" w:cstheme="majorBidi"/>
        </w:rPr>
        <w:t>.</w:t>
      </w:r>
      <w:r w:rsidR="00483672" w:rsidRPr="00D2758E">
        <w:rPr>
          <w:rFonts w:asciiTheme="majorBidi" w:hAnsiTheme="majorBidi" w:cstheme="majorBidi"/>
        </w:rPr>
        <w:t xml:space="preserve"> </w:t>
      </w:r>
      <w:r w:rsidR="00D262DD">
        <w:rPr>
          <w:rFonts w:asciiTheme="majorBidi" w:hAnsiTheme="majorBidi" w:cstheme="majorBidi"/>
        </w:rPr>
        <w:t>This</w:t>
      </w:r>
      <w:r w:rsidR="00483672" w:rsidRPr="00D2758E">
        <w:rPr>
          <w:rFonts w:asciiTheme="majorBidi" w:hAnsiTheme="majorBidi" w:cstheme="majorBidi"/>
        </w:rPr>
        <w:t xml:space="preserve"> represents a slight increase since </w:t>
      </w:r>
      <w:r w:rsidR="00072216" w:rsidRPr="00D2758E">
        <w:rPr>
          <w:rFonts w:asciiTheme="majorBidi" w:hAnsiTheme="majorBidi" w:cstheme="majorBidi"/>
        </w:rPr>
        <w:t>the reference point of 2018</w:t>
      </w:r>
      <w:r w:rsidRPr="00D2758E" w:rsidDel="00483672">
        <w:rPr>
          <w:rFonts w:asciiTheme="majorBidi" w:hAnsiTheme="majorBidi" w:cstheme="majorBidi"/>
        </w:rPr>
        <w:t>.</w:t>
      </w:r>
    </w:p>
    <w:p w14:paraId="19400DD0" w14:textId="4D9F722A" w:rsidR="00792377" w:rsidRPr="00D2758E" w:rsidRDefault="00792377" w:rsidP="00263ECB">
      <w:pPr>
        <w:pStyle w:val="CBDTableTitle"/>
      </w:pPr>
      <w:r w:rsidRPr="0004180D">
        <w:rPr>
          <w:b w:val="0"/>
          <w:bCs/>
        </w:rPr>
        <w:lastRenderedPageBreak/>
        <w:t xml:space="preserve">Table </w:t>
      </w:r>
      <w:r w:rsidR="00D910E5" w:rsidRPr="0004180D">
        <w:rPr>
          <w:b w:val="0"/>
          <w:bCs/>
        </w:rPr>
        <w:t>9</w:t>
      </w:r>
      <w:r w:rsidRPr="00D2758E">
        <w:t xml:space="preserve"> </w:t>
      </w:r>
      <w:r w:rsidR="0004180D">
        <w:br/>
      </w:r>
      <w:r w:rsidRPr="00D2758E">
        <w:t>Indicators to measures progress building and developing capacity for the implementation of the Nagoya Protocol</w:t>
      </w:r>
    </w:p>
    <w:tbl>
      <w:tblPr>
        <w:tblW w:w="9138" w:type="dxa"/>
        <w:tblInd w:w="56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803"/>
        <w:gridCol w:w="1829"/>
        <w:gridCol w:w="1506"/>
      </w:tblGrid>
      <w:tr w:rsidR="003655EA" w:rsidRPr="00C55E50" w14:paraId="275C135E" w14:textId="77777777" w:rsidTr="006B066D">
        <w:trPr>
          <w:cantSplit/>
        </w:trPr>
        <w:tc>
          <w:tcPr>
            <w:tcW w:w="5803" w:type="dxa"/>
            <w:tcBorders>
              <w:top w:val="single" w:sz="4" w:space="0" w:color="auto"/>
              <w:left w:val="single" w:sz="4" w:space="0" w:color="auto"/>
              <w:bottom w:val="single" w:sz="4" w:space="0" w:color="auto"/>
              <w:right w:val="single" w:sz="4" w:space="0" w:color="auto"/>
            </w:tcBorders>
            <w:tcMar>
              <w:top w:w="29" w:type="dxa"/>
              <w:left w:w="115" w:type="dxa"/>
              <w:bottom w:w="29" w:type="dxa"/>
              <w:right w:w="115" w:type="dxa"/>
            </w:tcMar>
            <w:vAlign w:val="bottom"/>
            <w:hideMark/>
          </w:tcPr>
          <w:p w14:paraId="712B28C9" w14:textId="77777777" w:rsidR="003655EA" w:rsidRPr="006B066D" w:rsidRDefault="003655EA" w:rsidP="006B066D">
            <w:pPr>
              <w:keepNext/>
              <w:keepLines/>
              <w:suppressLineNumbers/>
              <w:suppressAutoHyphens/>
              <w:kinsoku w:val="0"/>
              <w:overflowPunct w:val="0"/>
              <w:autoSpaceDE w:val="0"/>
              <w:autoSpaceDN w:val="0"/>
              <w:adjustRightInd w:val="0"/>
              <w:snapToGrid w:val="0"/>
              <w:ind w:left="314" w:hanging="360"/>
              <w:jc w:val="left"/>
              <w:rPr>
                <w:rFonts w:asciiTheme="majorBidi" w:hAnsiTheme="majorBidi" w:cstheme="majorBidi"/>
                <w:i/>
                <w:iCs/>
                <w:kern w:val="22"/>
                <w:sz w:val="20"/>
                <w:szCs w:val="20"/>
              </w:rPr>
            </w:pPr>
            <w:r w:rsidRPr="006B066D">
              <w:rPr>
                <w:rFonts w:asciiTheme="majorBidi" w:hAnsiTheme="majorBidi" w:cstheme="majorBidi"/>
                <w:i/>
                <w:iCs/>
                <w:kern w:val="22"/>
                <w:sz w:val="20"/>
                <w:szCs w:val="20"/>
              </w:rPr>
              <w:t>Framework of indicators</w:t>
            </w:r>
          </w:p>
        </w:tc>
        <w:tc>
          <w:tcPr>
            <w:tcW w:w="1829" w:type="dxa"/>
            <w:tcBorders>
              <w:top w:val="single" w:sz="4" w:space="0" w:color="auto"/>
              <w:left w:val="single" w:sz="4" w:space="0" w:color="auto"/>
              <w:bottom w:val="single" w:sz="4" w:space="0" w:color="auto"/>
              <w:right w:val="single" w:sz="4" w:space="0" w:color="auto"/>
            </w:tcBorders>
            <w:tcMar>
              <w:top w:w="29" w:type="dxa"/>
              <w:left w:w="115" w:type="dxa"/>
              <w:bottom w:w="29" w:type="dxa"/>
              <w:right w:w="115" w:type="dxa"/>
            </w:tcMar>
            <w:vAlign w:val="bottom"/>
            <w:hideMark/>
          </w:tcPr>
          <w:p w14:paraId="1FC8983D" w14:textId="130B144C" w:rsidR="003655EA" w:rsidRPr="006B066D" w:rsidRDefault="003655EA" w:rsidP="006B066D">
            <w:pPr>
              <w:keepNext/>
              <w:keepLines/>
              <w:suppressLineNumbers/>
              <w:suppressAutoHyphens/>
              <w:kinsoku w:val="0"/>
              <w:overflowPunct w:val="0"/>
              <w:autoSpaceDE w:val="0"/>
              <w:autoSpaceDN w:val="0"/>
              <w:adjustRightInd w:val="0"/>
              <w:snapToGrid w:val="0"/>
              <w:jc w:val="right"/>
              <w:rPr>
                <w:rFonts w:asciiTheme="majorBidi" w:hAnsiTheme="majorBidi" w:cstheme="majorBidi"/>
                <w:i/>
                <w:iCs/>
                <w:kern w:val="22"/>
                <w:sz w:val="20"/>
                <w:szCs w:val="20"/>
              </w:rPr>
            </w:pPr>
            <w:r w:rsidRPr="006B066D">
              <w:rPr>
                <w:rFonts w:asciiTheme="majorBidi" w:hAnsiTheme="majorBidi" w:cstheme="majorBidi"/>
                <w:i/>
                <w:iCs/>
                <w:kern w:val="22"/>
                <w:sz w:val="20"/>
                <w:szCs w:val="20"/>
              </w:rPr>
              <w:t xml:space="preserve">Reference point (as </w:t>
            </w:r>
            <w:r w:rsidR="00004E89">
              <w:rPr>
                <w:rFonts w:asciiTheme="majorBidi" w:hAnsiTheme="majorBidi" w:cstheme="majorBidi"/>
                <w:i/>
                <w:iCs/>
                <w:kern w:val="22"/>
                <w:sz w:val="20"/>
                <w:szCs w:val="20"/>
              </w:rPr>
              <w:t>at</w:t>
            </w:r>
            <w:r w:rsidRPr="006B066D">
              <w:rPr>
                <w:rFonts w:asciiTheme="majorBidi" w:hAnsiTheme="majorBidi" w:cstheme="majorBidi"/>
                <w:i/>
                <w:iCs/>
                <w:kern w:val="22"/>
                <w:sz w:val="20"/>
                <w:szCs w:val="20"/>
              </w:rPr>
              <w:t xml:space="preserve"> 22 February 2018)</w:t>
            </w:r>
          </w:p>
        </w:tc>
        <w:tc>
          <w:tcPr>
            <w:tcW w:w="1506" w:type="dxa"/>
            <w:tcBorders>
              <w:top w:val="single" w:sz="4" w:space="0" w:color="auto"/>
              <w:left w:val="single" w:sz="4" w:space="0" w:color="auto"/>
              <w:bottom w:val="single" w:sz="4" w:space="0" w:color="auto"/>
              <w:right w:val="single" w:sz="4" w:space="0" w:color="auto"/>
            </w:tcBorders>
            <w:vAlign w:val="bottom"/>
          </w:tcPr>
          <w:p w14:paraId="6D852151" w14:textId="1FBFF8DD" w:rsidR="003655EA" w:rsidRPr="006B066D" w:rsidRDefault="00BE4BBF" w:rsidP="006B066D">
            <w:pPr>
              <w:keepNext/>
              <w:keepLines/>
              <w:suppressLineNumbers/>
              <w:suppressAutoHyphens/>
              <w:kinsoku w:val="0"/>
              <w:overflowPunct w:val="0"/>
              <w:autoSpaceDE w:val="0"/>
              <w:autoSpaceDN w:val="0"/>
              <w:adjustRightInd w:val="0"/>
              <w:snapToGrid w:val="0"/>
              <w:jc w:val="right"/>
              <w:rPr>
                <w:rFonts w:asciiTheme="majorBidi" w:hAnsiTheme="majorBidi" w:cstheme="majorBidi"/>
                <w:i/>
                <w:iCs/>
                <w:kern w:val="22"/>
                <w:sz w:val="20"/>
                <w:szCs w:val="20"/>
              </w:rPr>
            </w:pPr>
            <w:r>
              <w:rPr>
                <w:rFonts w:asciiTheme="majorBidi" w:hAnsiTheme="majorBidi" w:cstheme="majorBidi"/>
                <w:i/>
                <w:iCs/>
                <w:kern w:val="22"/>
                <w:sz w:val="20"/>
                <w:szCs w:val="20"/>
              </w:rPr>
              <w:t xml:space="preserve">Progress </w:t>
            </w:r>
            <w:r w:rsidR="00004E89">
              <w:rPr>
                <w:rFonts w:asciiTheme="majorBidi" w:hAnsiTheme="majorBidi" w:cstheme="majorBidi"/>
                <w:i/>
                <w:iCs/>
                <w:kern w:val="22"/>
                <w:sz w:val="20"/>
                <w:szCs w:val="20"/>
              </w:rPr>
              <w:t xml:space="preserve">as at </w:t>
            </w:r>
            <w:r w:rsidR="003655EA" w:rsidRPr="006B066D">
              <w:rPr>
                <w:rFonts w:asciiTheme="majorBidi" w:hAnsiTheme="majorBidi" w:cstheme="majorBidi"/>
                <w:i/>
                <w:iCs/>
                <w:kern w:val="22"/>
                <w:sz w:val="20"/>
                <w:szCs w:val="20"/>
              </w:rPr>
              <w:t>9 March 2026</w:t>
            </w:r>
          </w:p>
        </w:tc>
      </w:tr>
      <w:tr w:rsidR="003655EA" w:rsidRPr="00D2758E" w14:paraId="41AF714F" w14:textId="77777777" w:rsidTr="006B066D">
        <w:trPr>
          <w:cantSplit/>
        </w:trPr>
        <w:tc>
          <w:tcPr>
            <w:tcW w:w="5803" w:type="dxa"/>
            <w:tcBorders>
              <w:top w:val="single" w:sz="4" w:space="0" w:color="auto"/>
              <w:left w:val="single" w:sz="4" w:space="0" w:color="auto"/>
              <w:bottom w:val="single" w:sz="4" w:space="0" w:color="auto"/>
              <w:right w:val="single" w:sz="4" w:space="0" w:color="auto"/>
            </w:tcBorders>
            <w:tcMar>
              <w:top w:w="29" w:type="dxa"/>
              <w:left w:w="115" w:type="dxa"/>
              <w:bottom w:w="29" w:type="dxa"/>
              <w:right w:w="115" w:type="dxa"/>
            </w:tcMar>
            <w:hideMark/>
          </w:tcPr>
          <w:p w14:paraId="125FC934" w14:textId="6C6FF5F8" w:rsidR="003655EA" w:rsidRPr="00D2758E" w:rsidRDefault="003655EA" w:rsidP="006B066D">
            <w:pPr>
              <w:suppressLineNumbers/>
              <w:suppressAutoHyphens/>
              <w:kinsoku w:val="0"/>
              <w:overflowPunct w:val="0"/>
              <w:autoSpaceDE w:val="0"/>
              <w:autoSpaceDN w:val="0"/>
              <w:adjustRightInd w:val="0"/>
              <w:snapToGrid w:val="0"/>
              <w:jc w:val="left"/>
              <w:rPr>
                <w:rFonts w:asciiTheme="majorBidi" w:hAnsiTheme="majorBidi" w:cstheme="majorBidi"/>
                <w:kern w:val="22"/>
                <w:sz w:val="20"/>
                <w:szCs w:val="20"/>
              </w:rPr>
            </w:pPr>
            <w:r w:rsidRPr="00D2758E">
              <w:rPr>
                <w:rFonts w:asciiTheme="majorBidi" w:hAnsiTheme="majorBidi" w:cstheme="majorBidi"/>
                <w:kern w:val="22"/>
                <w:sz w:val="20"/>
                <w:szCs w:val="20"/>
              </w:rPr>
              <w:t xml:space="preserve">Number and percentage of Parties that received external support for building and developing capacity for the implementation of the Nagoya Protocol since entry into force of the </w:t>
            </w:r>
            <w:proofErr w:type="spellStart"/>
            <w:r w:rsidRPr="00D2758E">
              <w:rPr>
                <w:rFonts w:asciiTheme="majorBidi" w:hAnsiTheme="majorBidi" w:cstheme="majorBidi"/>
                <w:kern w:val="22"/>
                <w:sz w:val="20"/>
                <w:szCs w:val="20"/>
              </w:rPr>
              <w:t>Protocol</w:t>
            </w:r>
            <w:r w:rsidR="00EE3BDB" w:rsidRPr="006B066D">
              <w:rPr>
                <w:rFonts w:asciiTheme="majorBidi" w:hAnsiTheme="majorBidi" w:cstheme="majorBidi"/>
                <w:i/>
                <w:iCs/>
                <w:kern w:val="22"/>
                <w:sz w:val="20"/>
                <w:szCs w:val="20"/>
                <w:vertAlign w:val="superscript"/>
              </w:rPr>
              <w:t>a</w:t>
            </w:r>
            <w:proofErr w:type="spellEnd"/>
            <w:r w:rsidRPr="00D2758E">
              <w:rPr>
                <w:rFonts w:asciiTheme="majorBidi" w:hAnsiTheme="majorBidi" w:cstheme="majorBidi"/>
                <w:kern w:val="22"/>
                <w:sz w:val="20"/>
                <w:szCs w:val="20"/>
              </w:rPr>
              <w:t xml:space="preserve"> </w:t>
            </w:r>
            <w:r w:rsidR="007B277F">
              <w:rPr>
                <w:rFonts w:asciiTheme="majorBidi" w:hAnsiTheme="majorBidi" w:cstheme="majorBidi"/>
                <w:kern w:val="22"/>
                <w:sz w:val="20"/>
                <w:szCs w:val="20"/>
              </w:rPr>
              <w:br/>
            </w:r>
          </w:p>
        </w:tc>
        <w:tc>
          <w:tcPr>
            <w:tcW w:w="1829" w:type="dxa"/>
            <w:tcBorders>
              <w:top w:val="single" w:sz="4" w:space="0" w:color="auto"/>
              <w:left w:val="single" w:sz="4" w:space="0" w:color="auto"/>
              <w:bottom w:val="single" w:sz="4" w:space="0" w:color="auto"/>
              <w:right w:val="single" w:sz="4" w:space="0" w:color="auto"/>
            </w:tcBorders>
            <w:tcMar>
              <w:top w:w="29" w:type="dxa"/>
              <w:left w:w="115" w:type="dxa"/>
              <w:bottom w:w="29" w:type="dxa"/>
              <w:right w:w="115" w:type="dxa"/>
            </w:tcMar>
            <w:vAlign w:val="bottom"/>
            <w:hideMark/>
          </w:tcPr>
          <w:p w14:paraId="7FB69160" w14:textId="1E3C15DE" w:rsidR="003655EA" w:rsidRPr="00D2758E" w:rsidRDefault="003655EA" w:rsidP="006B066D">
            <w:pPr>
              <w:suppressLineNumbers/>
              <w:suppressAutoHyphens/>
              <w:kinsoku w:val="0"/>
              <w:overflowPunct w:val="0"/>
              <w:autoSpaceDE w:val="0"/>
              <w:autoSpaceDN w:val="0"/>
              <w:adjustRightInd w:val="0"/>
              <w:snapToGrid w:val="0"/>
              <w:jc w:val="right"/>
              <w:rPr>
                <w:rFonts w:asciiTheme="majorBidi" w:hAnsiTheme="majorBidi" w:cstheme="majorBidi"/>
                <w:kern w:val="22"/>
                <w:sz w:val="20"/>
                <w:szCs w:val="20"/>
              </w:rPr>
            </w:pPr>
            <w:r w:rsidRPr="00D2758E">
              <w:rPr>
                <w:rFonts w:asciiTheme="majorBidi" w:hAnsiTheme="majorBidi" w:cstheme="majorBidi"/>
                <w:kern w:val="22"/>
                <w:sz w:val="20"/>
                <w:szCs w:val="20"/>
              </w:rPr>
              <w:t>45 (43</w:t>
            </w:r>
            <w:r w:rsidR="00004E89">
              <w:rPr>
                <w:rFonts w:asciiTheme="majorBidi" w:hAnsiTheme="majorBidi" w:cstheme="majorBidi"/>
                <w:kern w:val="22"/>
                <w:sz w:val="20"/>
                <w:szCs w:val="20"/>
              </w:rPr>
              <w:t xml:space="preserve"> per cent</w:t>
            </w:r>
          </w:p>
        </w:tc>
        <w:tc>
          <w:tcPr>
            <w:tcW w:w="1506" w:type="dxa"/>
            <w:vAlign w:val="bottom"/>
          </w:tcPr>
          <w:p w14:paraId="19F406A4" w14:textId="16163AB1" w:rsidR="003655EA" w:rsidRPr="00D2758E" w:rsidRDefault="003655EA" w:rsidP="006B066D">
            <w:pPr>
              <w:suppressLineNumbers/>
              <w:suppressAutoHyphens/>
              <w:kinsoku w:val="0"/>
              <w:overflowPunct w:val="0"/>
              <w:autoSpaceDE w:val="0"/>
              <w:autoSpaceDN w:val="0"/>
              <w:adjustRightInd w:val="0"/>
              <w:snapToGrid w:val="0"/>
              <w:jc w:val="right"/>
              <w:rPr>
                <w:rFonts w:asciiTheme="majorBidi" w:hAnsiTheme="majorBidi" w:cstheme="majorBidi"/>
                <w:kern w:val="22"/>
                <w:sz w:val="20"/>
                <w:szCs w:val="20"/>
              </w:rPr>
            </w:pPr>
            <w:r w:rsidRPr="00D2758E">
              <w:rPr>
                <w:rFonts w:asciiTheme="majorBidi" w:hAnsiTheme="majorBidi" w:cstheme="majorBidi"/>
                <w:kern w:val="22"/>
                <w:sz w:val="20"/>
                <w:szCs w:val="20"/>
              </w:rPr>
              <w:t xml:space="preserve">No information available </w:t>
            </w:r>
            <w:r w:rsidR="004A15A3">
              <w:rPr>
                <w:rFonts w:asciiTheme="majorBidi" w:hAnsiTheme="majorBidi" w:cstheme="majorBidi"/>
                <w:kern w:val="22"/>
                <w:sz w:val="20"/>
                <w:szCs w:val="20"/>
              </w:rPr>
              <w:t>for</w:t>
            </w:r>
            <w:r w:rsidRPr="00D2758E">
              <w:rPr>
                <w:rFonts w:asciiTheme="majorBidi" w:hAnsiTheme="majorBidi" w:cstheme="majorBidi"/>
                <w:kern w:val="22"/>
                <w:sz w:val="20"/>
                <w:szCs w:val="20"/>
              </w:rPr>
              <w:t xml:space="preserve"> provi</w:t>
            </w:r>
            <w:r w:rsidR="004A15A3">
              <w:rPr>
                <w:rFonts w:asciiTheme="majorBidi" w:hAnsiTheme="majorBidi" w:cstheme="majorBidi"/>
                <w:kern w:val="22"/>
                <w:sz w:val="20"/>
                <w:szCs w:val="20"/>
              </w:rPr>
              <w:t>sion of</w:t>
            </w:r>
            <w:r w:rsidRPr="00D2758E">
              <w:rPr>
                <w:rFonts w:asciiTheme="majorBidi" w:hAnsiTheme="majorBidi" w:cstheme="majorBidi"/>
                <w:kern w:val="22"/>
                <w:sz w:val="20"/>
                <w:szCs w:val="20"/>
              </w:rPr>
              <w:t xml:space="preserve"> data</w:t>
            </w:r>
          </w:p>
        </w:tc>
      </w:tr>
      <w:tr w:rsidR="003655EA" w:rsidRPr="00D2758E" w14:paraId="060187AD" w14:textId="77777777" w:rsidTr="006B066D">
        <w:trPr>
          <w:cantSplit/>
        </w:trPr>
        <w:tc>
          <w:tcPr>
            <w:tcW w:w="5803" w:type="dxa"/>
            <w:tcBorders>
              <w:top w:val="single" w:sz="4" w:space="0" w:color="auto"/>
              <w:left w:val="single" w:sz="4" w:space="0" w:color="auto"/>
              <w:bottom w:val="single" w:sz="4" w:space="0" w:color="auto"/>
              <w:right w:val="single" w:sz="4" w:space="0" w:color="auto"/>
            </w:tcBorders>
            <w:tcMar>
              <w:top w:w="29" w:type="dxa"/>
              <w:left w:w="115" w:type="dxa"/>
              <w:bottom w:w="29" w:type="dxa"/>
              <w:right w:w="115" w:type="dxa"/>
            </w:tcMar>
          </w:tcPr>
          <w:p w14:paraId="029AB23A" w14:textId="014BA874" w:rsidR="003655EA" w:rsidRPr="00D2758E" w:rsidRDefault="003655EA" w:rsidP="006B066D">
            <w:pPr>
              <w:suppressLineNumbers/>
              <w:suppressAutoHyphens/>
              <w:kinsoku w:val="0"/>
              <w:overflowPunct w:val="0"/>
              <w:autoSpaceDE w:val="0"/>
              <w:autoSpaceDN w:val="0"/>
              <w:adjustRightInd w:val="0"/>
              <w:snapToGrid w:val="0"/>
              <w:jc w:val="left"/>
              <w:rPr>
                <w:rFonts w:asciiTheme="majorBidi" w:hAnsiTheme="majorBidi" w:cstheme="majorBidi"/>
                <w:kern w:val="22"/>
                <w:sz w:val="20"/>
                <w:szCs w:val="20"/>
              </w:rPr>
            </w:pPr>
            <w:r w:rsidRPr="00D2758E">
              <w:rPr>
                <w:rFonts w:asciiTheme="majorBidi" w:hAnsiTheme="majorBidi" w:cstheme="majorBidi"/>
                <w:kern w:val="22"/>
                <w:sz w:val="20"/>
                <w:szCs w:val="20"/>
              </w:rPr>
              <w:t xml:space="preserve">Number and percentage of Parties that have taken measures to build and develop </w:t>
            </w:r>
            <w:r w:rsidR="00CA507D">
              <w:rPr>
                <w:rFonts w:asciiTheme="majorBidi" w:hAnsiTheme="majorBidi" w:cstheme="majorBidi"/>
                <w:kern w:val="22"/>
                <w:sz w:val="20"/>
                <w:szCs w:val="20"/>
              </w:rPr>
              <w:t>their</w:t>
            </w:r>
            <w:r w:rsidRPr="00D2758E">
              <w:rPr>
                <w:rFonts w:asciiTheme="majorBidi" w:hAnsiTheme="majorBidi" w:cstheme="majorBidi"/>
                <w:kern w:val="22"/>
                <w:sz w:val="20"/>
                <w:szCs w:val="20"/>
              </w:rPr>
              <w:t xml:space="preserve"> capacity and strengthen </w:t>
            </w:r>
            <w:r w:rsidR="00CA507D">
              <w:rPr>
                <w:rFonts w:asciiTheme="majorBidi" w:hAnsiTheme="majorBidi" w:cstheme="majorBidi"/>
                <w:kern w:val="22"/>
                <w:sz w:val="20"/>
                <w:szCs w:val="20"/>
              </w:rPr>
              <w:t>their</w:t>
            </w:r>
            <w:r w:rsidRPr="00D2758E">
              <w:rPr>
                <w:rFonts w:asciiTheme="majorBidi" w:hAnsiTheme="majorBidi" w:cstheme="majorBidi"/>
                <w:kern w:val="22"/>
                <w:sz w:val="20"/>
                <w:szCs w:val="20"/>
              </w:rPr>
              <w:t xml:space="preserve"> human resources and institutional capacities to </w:t>
            </w:r>
            <w:r w:rsidRPr="00C26769">
              <w:rPr>
                <w:rFonts w:asciiTheme="majorBidi" w:hAnsiTheme="majorBidi" w:cstheme="majorBidi"/>
                <w:kern w:val="22"/>
                <w:sz w:val="20"/>
                <w:szCs w:val="20"/>
              </w:rPr>
              <w:t>effectively</w:t>
            </w:r>
            <w:r w:rsidRPr="00D2758E">
              <w:rPr>
                <w:rFonts w:asciiTheme="majorBidi" w:hAnsiTheme="majorBidi" w:cstheme="majorBidi"/>
                <w:kern w:val="22"/>
                <w:sz w:val="20"/>
                <w:szCs w:val="20"/>
              </w:rPr>
              <w:t xml:space="preserve"> implement the </w:t>
            </w:r>
            <w:proofErr w:type="spellStart"/>
            <w:r w:rsidRPr="00D2758E">
              <w:rPr>
                <w:rFonts w:asciiTheme="majorBidi" w:hAnsiTheme="majorBidi" w:cstheme="majorBidi"/>
                <w:kern w:val="22"/>
                <w:sz w:val="20"/>
                <w:szCs w:val="20"/>
              </w:rPr>
              <w:t>Protocol</w:t>
            </w:r>
            <w:r w:rsidR="006B2CD6" w:rsidRPr="006B066D">
              <w:rPr>
                <w:rFonts w:asciiTheme="majorBidi" w:hAnsiTheme="majorBidi" w:cstheme="majorBidi"/>
                <w:i/>
                <w:iCs/>
                <w:kern w:val="22"/>
                <w:sz w:val="20"/>
                <w:szCs w:val="20"/>
                <w:vertAlign w:val="superscript"/>
              </w:rPr>
              <w:t>b</w:t>
            </w:r>
            <w:proofErr w:type="spellEnd"/>
            <w:r w:rsidRPr="00D2758E">
              <w:rPr>
                <w:rFonts w:asciiTheme="majorBidi" w:hAnsiTheme="majorBidi" w:cstheme="majorBidi"/>
                <w:kern w:val="22"/>
                <w:sz w:val="20"/>
                <w:szCs w:val="20"/>
              </w:rPr>
              <w:t xml:space="preserve"> </w:t>
            </w:r>
            <w:r w:rsidR="007B277F">
              <w:rPr>
                <w:rFonts w:asciiTheme="majorBidi" w:hAnsiTheme="majorBidi" w:cstheme="majorBidi"/>
                <w:kern w:val="22"/>
                <w:sz w:val="20"/>
                <w:szCs w:val="20"/>
              </w:rPr>
              <w:br/>
            </w:r>
          </w:p>
        </w:tc>
        <w:tc>
          <w:tcPr>
            <w:tcW w:w="1829" w:type="dxa"/>
            <w:tcBorders>
              <w:top w:val="single" w:sz="4" w:space="0" w:color="auto"/>
              <w:left w:val="single" w:sz="4" w:space="0" w:color="auto"/>
              <w:bottom w:val="single" w:sz="4" w:space="0" w:color="auto"/>
              <w:right w:val="single" w:sz="4" w:space="0" w:color="auto"/>
            </w:tcBorders>
            <w:tcMar>
              <w:top w:w="29" w:type="dxa"/>
              <w:left w:w="115" w:type="dxa"/>
              <w:bottom w:w="29" w:type="dxa"/>
              <w:right w:w="115" w:type="dxa"/>
            </w:tcMar>
            <w:vAlign w:val="bottom"/>
          </w:tcPr>
          <w:p w14:paraId="03B41C56" w14:textId="4E8A2243" w:rsidR="003655EA" w:rsidRPr="00D2758E" w:rsidRDefault="003655EA" w:rsidP="006B066D">
            <w:pPr>
              <w:suppressLineNumbers/>
              <w:suppressAutoHyphens/>
              <w:kinsoku w:val="0"/>
              <w:overflowPunct w:val="0"/>
              <w:autoSpaceDE w:val="0"/>
              <w:autoSpaceDN w:val="0"/>
              <w:adjustRightInd w:val="0"/>
              <w:snapToGrid w:val="0"/>
              <w:jc w:val="right"/>
              <w:rPr>
                <w:rFonts w:asciiTheme="majorBidi" w:hAnsiTheme="majorBidi" w:cstheme="majorBidi"/>
                <w:kern w:val="22"/>
                <w:sz w:val="20"/>
                <w:szCs w:val="20"/>
              </w:rPr>
            </w:pPr>
            <w:r w:rsidRPr="00D2758E">
              <w:rPr>
                <w:rFonts w:asciiTheme="majorBidi" w:hAnsiTheme="majorBidi" w:cstheme="majorBidi"/>
                <w:kern w:val="22"/>
                <w:sz w:val="20"/>
                <w:szCs w:val="20"/>
              </w:rPr>
              <w:t>N</w:t>
            </w:r>
            <w:r w:rsidR="00004E89">
              <w:rPr>
                <w:rFonts w:asciiTheme="majorBidi" w:hAnsiTheme="majorBidi" w:cstheme="majorBidi"/>
                <w:kern w:val="22"/>
                <w:sz w:val="20"/>
                <w:szCs w:val="20"/>
              </w:rPr>
              <w:t>ew</w:t>
            </w:r>
          </w:p>
        </w:tc>
        <w:tc>
          <w:tcPr>
            <w:tcW w:w="1506" w:type="dxa"/>
            <w:vAlign w:val="bottom"/>
          </w:tcPr>
          <w:p w14:paraId="2FAFCABD" w14:textId="2451400E" w:rsidR="003655EA" w:rsidRPr="00D2758E" w:rsidRDefault="003655EA" w:rsidP="006B066D">
            <w:pPr>
              <w:suppressLineNumbers/>
              <w:suppressAutoHyphens/>
              <w:kinsoku w:val="0"/>
              <w:overflowPunct w:val="0"/>
              <w:autoSpaceDE w:val="0"/>
              <w:autoSpaceDN w:val="0"/>
              <w:adjustRightInd w:val="0"/>
              <w:snapToGrid w:val="0"/>
              <w:jc w:val="right"/>
              <w:rPr>
                <w:rFonts w:asciiTheme="majorBidi" w:hAnsiTheme="majorBidi" w:cstheme="majorBidi"/>
                <w:kern w:val="22"/>
                <w:sz w:val="20"/>
                <w:szCs w:val="20"/>
              </w:rPr>
            </w:pPr>
            <w:r w:rsidRPr="00D2758E">
              <w:rPr>
                <w:rFonts w:asciiTheme="majorBidi" w:hAnsiTheme="majorBidi" w:cstheme="majorBidi"/>
                <w:kern w:val="22"/>
                <w:sz w:val="20"/>
                <w:szCs w:val="20"/>
              </w:rPr>
              <w:t>84 (</w:t>
            </w:r>
            <w:r w:rsidR="002E3B8C" w:rsidRPr="00D2758E">
              <w:rPr>
                <w:rFonts w:asciiTheme="majorBidi" w:hAnsiTheme="majorBidi" w:cstheme="majorBidi"/>
                <w:kern w:val="22"/>
                <w:sz w:val="20"/>
                <w:szCs w:val="20"/>
              </w:rPr>
              <w:t>59</w:t>
            </w:r>
            <w:r w:rsidR="00004E89">
              <w:rPr>
                <w:rFonts w:asciiTheme="majorBidi" w:hAnsiTheme="majorBidi" w:cstheme="majorBidi"/>
                <w:kern w:val="22"/>
                <w:sz w:val="20"/>
                <w:szCs w:val="20"/>
              </w:rPr>
              <w:t xml:space="preserve"> per cent</w:t>
            </w:r>
            <w:r w:rsidRPr="00D2758E">
              <w:rPr>
                <w:rFonts w:asciiTheme="majorBidi" w:hAnsiTheme="majorBidi" w:cstheme="majorBidi"/>
                <w:kern w:val="22"/>
                <w:sz w:val="20"/>
                <w:szCs w:val="20"/>
              </w:rPr>
              <w:t>)</w:t>
            </w:r>
          </w:p>
        </w:tc>
      </w:tr>
      <w:tr w:rsidR="003655EA" w:rsidRPr="00D2758E" w14:paraId="4C5805AF" w14:textId="77777777" w:rsidTr="006B066D">
        <w:trPr>
          <w:cantSplit/>
        </w:trPr>
        <w:tc>
          <w:tcPr>
            <w:tcW w:w="5803" w:type="dxa"/>
            <w:tcBorders>
              <w:top w:val="single" w:sz="4" w:space="0" w:color="auto"/>
              <w:left w:val="single" w:sz="4" w:space="0" w:color="auto"/>
              <w:bottom w:val="single" w:sz="4" w:space="0" w:color="auto"/>
              <w:right w:val="single" w:sz="4" w:space="0" w:color="auto"/>
            </w:tcBorders>
            <w:tcMar>
              <w:top w:w="29" w:type="dxa"/>
              <w:left w:w="115" w:type="dxa"/>
              <w:bottom w:w="29" w:type="dxa"/>
              <w:right w:w="115" w:type="dxa"/>
            </w:tcMar>
            <w:hideMark/>
          </w:tcPr>
          <w:p w14:paraId="03BEA5F8" w14:textId="41BD8B80" w:rsidR="003655EA" w:rsidRPr="00D2758E" w:rsidRDefault="003655EA" w:rsidP="006B066D">
            <w:pPr>
              <w:suppressLineNumbers/>
              <w:suppressAutoHyphens/>
              <w:kinsoku w:val="0"/>
              <w:overflowPunct w:val="0"/>
              <w:autoSpaceDE w:val="0"/>
              <w:autoSpaceDN w:val="0"/>
              <w:adjustRightInd w:val="0"/>
              <w:snapToGrid w:val="0"/>
              <w:jc w:val="left"/>
              <w:rPr>
                <w:rFonts w:asciiTheme="majorBidi" w:hAnsiTheme="majorBidi" w:cstheme="majorBidi"/>
                <w:kern w:val="22"/>
                <w:sz w:val="20"/>
                <w:szCs w:val="20"/>
              </w:rPr>
            </w:pPr>
            <w:r w:rsidRPr="00D2758E">
              <w:rPr>
                <w:rFonts w:asciiTheme="majorBidi" w:hAnsiTheme="majorBidi" w:cstheme="majorBidi"/>
                <w:kern w:val="22"/>
                <w:sz w:val="20"/>
                <w:szCs w:val="20"/>
              </w:rPr>
              <w:t xml:space="preserve">Number and percentage of Parties that provided external support for building and developing capacity for the implementation of the Nagoya Protocol </w:t>
            </w:r>
            <w:r w:rsidRPr="00D2758E">
              <w:rPr>
                <w:rFonts w:asciiTheme="majorBidi" w:hAnsiTheme="majorBidi" w:cstheme="majorBidi"/>
                <w:i/>
                <w:iCs/>
                <w:kern w:val="22"/>
                <w:sz w:val="20"/>
                <w:szCs w:val="20"/>
              </w:rPr>
              <w:t xml:space="preserve">since entry into force of the </w:t>
            </w:r>
            <w:proofErr w:type="spellStart"/>
            <w:r w:rsidRPr="00D2758E">
              <w:rPr>
                <w:rFonts w:asciiTheme="majorBidi" w:hAnsiTheme="majorBidi" w:cstheme="majorBidi"/>
                <w:i/>
                <w:iCs/>
                <w:kern w:val="22"/>
                <w:sz w:val="20"/>
                <w:szCs w:val="20"/>
              </w:rPr>
              <w:t>Protocol</w:t>
            </w:r>
            <w:r w:rsidR="006B2CD6" w:rsidRPr="006B2CD6">
              <w:rPr>
                <w:rFonts w:asciiTheme="majorBidi" w:hAnsiTheme="majorBidi" w:cstheme="majorBidi"/>
                <w:i/>
                <w:iCs/>
                <w:kern w:val="22"/>
                <w:sz w:val="20"/>
                <w:szCs w:val="20"/>
                <w:vertAlign w:val="superscript"/>
              </w:rPr>
              <w:t>c</w:t>
            </w:r>
            <w:proofErr w:type="spellEnd"/>
            <w:r w:rsidRPr="00D2758E">
              <w:rPr>
                <w:rFonts w:asciiTheme="majorBidi" w:hAnsiTheme="majorBidi" w:cstheme="majorBidi"/>
                <w:i/>
                <w:iCs/>
                <w:kern w:val="22"/>
                <w:sz w:val="20"/>
                <w:szCs w:val="20"/>
              </w:rPr>
              <w:t xml:space="preserve"> </w:t>
            </w:r>
            <w:r w:rsidR="007B277F">
              <w:rPr>
                <w:rFonts w:asciiTheme="majorBidi" w:hAnsiTheme="majorBidi" w:cstheme="majorBidi"/>
                <w:i/>
                <w:iCs/>
                <w:kern w:val="22"/>
                <w:sz w:val="20"/>
                <w:szCs w:val="20"/>
              </w:rPr>
              <w:br/>
            </w:r>
            <w:r w:rsidRPr="00D2758E">
              <w:rPr>
                <w:rFonts w:asciiTheme="majorBidi" w:hAnsiTheme="majorBidi" w:cstheme="majorBidi"/>
                <w:i/>
                <w:iCs/>
                <w:kern w:val="22"/>
                <w:sz w:val="20"/>
                <w:szCs w:val="20"/>
              </w:rPr>
              <w:t>(</w:t>
            </w:r>
            <w:r w:rsidR="00CA507D">
              <w:rPr>
                <w:rFonts w:asciiTheme="majorBidi" w:hAnsiTheme="majorBidi" w:cstheme="majorBidi"/>
                <w:i/>
                <w:iCs/>
                <w:kern w:val="22"/>
                <w:sz w:val="20"/>
                <w:szCs w:val="20"/>
              </w:rPr>
              <w:t>phrase</w:t>
            </w:r>
            <w:r w:rsidRPr="00D2758E">
              <w:rPr>
                <w:rFonts w:asciiTheme="majorBidi" w:hAnsiTheme="majorBidi" w:cstheme="majorBidi"/>
                <w:i/>
                <w:iCs/>
                <w:kern w:val="22"/>
                <w:sz w:val="20"/>
                <w:szCs w:val="20"/>
              </w:rPr>
              <w:t xml:space="preserve"> suggested for deletion)</w:t>
            </w:r>
          </w:p>
        </w:tc>
        <w:tc>
          <w:tcPr>
            <w:tcW w:w="1829" w:type="dxa"/>
            <w:tcBorders>
              <w:top w:val="single" w:sz="4" w:space="0" w:color="auto"/>
              <w:left w:val="single" w:sz="4" w:space="0" w:color="auto"/>
              <w:bottom w:val="single" w:sz="4" w:space="0" w:color="auto"/>
              <w:right w:val="single" w:sz="4" w:space="0" w:color="auto"/>
            </w:tcBorders>
            <w:tcMar>
              <w:top w:w="29" w:type="dxa"/>
              <w:left w:w="115" w:type="dxa"/>
              <w:bottom w:w="29" w:type="dxa"/>
              <w:right w:w="115" w:type="dxa"/>
            </w:tcMar>
            <w:vAlign w:val="bottom"/>
            <w:hideMark/>
          </w:tcPr>
          <w:p w14:paraId="43F1DA12" w14:textId="1F9D8DB6" w:rsidR="003655EA" w:rsidRPr="00D2758E" w:rsidRDefault="003655EA" w:rsidP="006B066D">
            <w:pPr>
              <w:suppressLineNumbers/>
              <w:suppressAutoHyphens/>
              <w:kinsoku w:val="0"/>
              <w:overflowPunct w:val="0"/>
              <w:autoSpaceDE w:val="0"/>
              <w:autoSpaceDN w:val="0"/>
              <w:adjustRightInd w:val="0"/>
              <w:snapToGrid w:val="0"/>
              <w:jc w:val="right"/>
              <w:rPr>
                <w:rFonts w:asciiTheme="majorBidi" w:hAnsiTheme="majorBidi" w:cstheme="majorBidi"/>
                <w:kern w:val="22"/>
                <w:sz w:val="20"/>
                <w:szCs w:val="20"/>
              </w:rPr>
            </w:pPr>
            <w:r w:rsidRPr="00D2758E">
              <w:rPr>
                <w:rFonts w:asciiTheme="majorBidi" w:hAnsiTheme="majorBidi" w:cstheme="majorBidi"/>
                <w:kern w:val="22"/>
                <w:sz w:val="20"/>
                <w:szCs w:val="20"/>
              </w:rPr>
              <w:t>27 (26</w:t>
            </w:r>
            <w:r w:rsidR="00004E89">
              <w:rPr>
                <w:rFonts w:asciiTheme="majorBidi" w:hAnsiTheme="majorBidi" w:cstheme="majorBidi"/>
                <w:kern w:val="22"/>
                <w:sz w:val="20"/>
                <w:szCs w:val="20"/>
              </w:rPr>
              <w:t xml:space="preserve"> per cent</w:t>
            </w:r>
            <w:r w:rsidRPr="00D2758E">
              <w:rPr>
                <w:rFonts w:asciiTheme="majorBidi" w:hAnsiTheme="majorBidi" w:cstheme="majorBidi"/>
                <w:kern w:val="22"/>
                <w:sz w:val="20"/>
                <w:szCs w:val="20"/>
              </w:rPr>
              <w:t>)</w:t>
            </w:r>
          </w:p>
        </w:tc>
        <w:tc>
          <w:tcPr>
            <w:tcW w:w="1506" w:type="dxa"/>
            <w:vAlign w:val="bottom"/>
          </w:tcPr>
          <w:p w14:paraId="3047C4DC" w14:textId="7A523B48" w:rsidR="003655EA" w:rsidRPr="00D2758E" w:rsidRDefault="003655EA" w:rsidP="006B066D">
            <w:pPr>
              <w:suppressLineNumbers/>
              <w:suppressAutoHyphens/>
              <w:kinsoku w:val="0"/>
              <w:overflowPunct w:val="0"/>
              <w:autoSpaceDE w:val="0"/>
              <w:autoSpaceDN w:val="0"/>
              <w:adjustRightInd w:val="0"/>
              <w:snapToGrid w:val="0"/>
              <w:jc w:val="right"/>
              <w:rPr>
                <w:rFonts w:asciiTheme="majorBidi" w:hAnsiTheme="majorBidi" w:cstheme="majorBidi"/>
                <w:kern w:val="22"/>
                <w:sz w:val="20"/>
                <w:szCs w:val="20"/>
              </w:rPr>
            </w:pPr>
            <w:r w:rsidRPr="00D2758E">
              <w:rPr>
                <w:rFonts w:asciiTheme="majorBidi" w:hAnsiTheme="majorBidi" w:cstheme="majorBidi"/>
                <w:kern w:val="22"/>
                <w:sz w:val="20"/>
                <w:szCs w:val="20"/>
              </w:rPr>
              <w:t>48 (34</w:t>
            </w:r>
            <w:r w:rsidR="00004E89">
              <w:rPr>
                <w:rFonts w:asciiTheme="majorBidi" w:hAnsiTheme="majorBidi" w:cstheme="majorBidi"/>
                <w:kern w:val="22"/>
                <w:sz w:val="20"/>
                <w:szCs w:val="20"/>
              </w:rPr>
              <w:t xml:space="preserve"> per cent</w:t>
            </w:r>
            <w:r w:rsidRPr="00D2758E">
              <w:rPr>
                <w:rFonts w:asciiTheme="majorBidi" w:hAnsiTheme="majorBidi" w:cstheme="majorBidi"/>
                <w:kern w:val="22"/>
                <w:sz w:val="20"/>
                <w:szCs w:val="20"/>
              </w:rPr>
              <w:t>)</w:t>
            </w:r>
          </w:p>
        </w:tc>
      </w:tr>
      <w:tr w:rsidR="003655EA" w:rsidRPr="00D2758E" w14:paraId="39C1A09B" w14:textId="77777777" w:rsidTr="006B066D">
        <w:trPr>
          <w:cantSplit/>
        </w:trPr>
        <w:tc>
          <w:tcPr>
            <w:tcW w:w="5803" w:type="dxa"/>
            <w:tcBorders>
              <w:top w:val="single" w:sz="4" w:space="0" w:color="auto"/>
              <w:left w:val="single" w:sz="4" w:space="0" w:color="auto"/>
              <w:bottom w:val="single" w:sz="4" w:space="0" w:color="auto"/>
              <w:right w:val="single" w:sz="4" w:space="0" w:color="auto"/>
            </w:tcBorders>
            <w:tcMar>
              <w:top w:w="29" w:type="dxa"/>
              <w:left w:w="115" w:type="dxa"/>
              <w:bottom w:w="29" w:type="dxa"/>
              <w:right w:w="115" w:type="dxa"/>
            </w:tcMar>
            <w:hideMark/>
          </w:tcPr>
          <w:p w14:paraId="67DEFBA4" w14:textId="3FB933E4" w:rsidR="003655EA" w:rsidRPr="00D2758E" w:rsidRDefault="003655EA" w:rsidP="006B066D">
            <w:pPr>
              <w:suppressLineNumbers/>
              <w:suppressAutoHyphens/>
              <w:kinsoku w:val="0"/>
              <w:overflowPunct w:val="0"/>
              <w:autoSpaceDE w:val="0"/>
              <w:autoSpaceDN w:val="0"/>
              <w:adjustRightInd w:val="0"/>
              <w:snapToGrid w:val="0"/>
              <w:jc w:val="left"/>
              <w:rPr>
                <w:rFonts w:asciiTheme="majorBidi" w:hAnsiTheme="majorBidi" w:cstheme="majorBidi"/>
                <w:kern w:val="22"/>
                <w:sz w:val="20"/>
                <w:szCs w:val="20"/>
              </w:rPr>
            </w:pPr>
            <w:r w:rsidRPr="00D2758E">
              <w:rPr>
                <w:rFonts w:asciiTheme="majorBidi" w:hAnsiTheme="majorBidi" w:cstheme="majorBidi"/>
                <w:kern w:val="22"/>
                <w:sz w:val="20"/>
                <w:szCs w:val="20"/>
              </w:rPr>
              <w:t>Number of capacity-building and development initiatives made available</w:t>
            </w:r>
            <w:r w:rsidR="00CA507D">
              <w:rPr>
                <w:rFonts w:asciiTheme="majorBidi" w:hAnsiTheme="majorBidi" w:cstheme="majorBidi"/>
                <w:kern w:val="22"/>
                <w:sz w:val="20"/>
                <w:szCs w:val="20"/>
              </w:rPr>
              <w:t>,</w:t>
            </w:r>
            <w:r w:rsidRPr="00D2758E">
              <w:rPr>
                <w:rFonts w:asciiTheme="majorBidi" w:hAnsiTheme="majorBidi" w:cstheme="majorBidi"/>
                <w:kern w:val="22"/>
                <w:sz w:val="20"/>
                <w:szCs w:val="20"/>
              </w:rPr>
              <w:t xml:space="preserve"> completed or initiated after the adoption of the Nagoya Protocol in 2010 and are providing, or have provided, direct support for country</w:t>
            </w:r>
            <w:r w:rsidR="00CA507D">
              <w:rPr>
                <w:rFonts w:asciiTheme="majorBidi" w:hAnsiTheme="majorBidi" w:cstheme="majorBidi"/>
                <w:kern w:val="22"/>
                <w:sz w:val="20"/>
                <w:szCs w:val="20"/>
              </w:rPr>
              <w:t>-</w:t>
            </w:r>
            <w:r w:rsidRPr="00D2758E">
              <w:rPr>
                <w:rFonts w:asciiTheme="majorBidi" w:hAnsiTheme="majorBidi" w:cstheme="majorBidi"/>
                <w:kern w:val="22"/>
                <w:sz w:val="20"/>
                <w:szCs w:val="20"/>
              </w:rPr>
              <w:t>level activities contributing to the ratification and implementation of the Nagoya Protocol</w:t>
            </w:r>
          </w:p>
        </w:tc>
        <w:tc>
          <w:tcPr>
            <w:tcW w:w="1829" w:type="dxa"/>
            <w:tcBorders>
              <w:top w:val="single" w:sz="4" w:space="0" w:color="auto"/>
              <w:left w:val="single" w:sz="4" w:space="0" w:color="auto"/>
              <w:bottom w:val="single" w:sz="4" w:space="0" w:color="auto"/>
              <w:right w:val="single" w:sz="4" w:space="0" w:color="auto"/>
            </w:tcBorders>
            <w:tcMar>
              <w:top w:w="29" w:type="dxa"/>
              <w:left w:w="115" w:type="dxa"/>
              <w:bottom w:w="29" w:type="dxa"/>
              <w:right w:w="115" w:type="dxa"/>
            </w:tcMar>
            <w:vAlign w:val="bottom"/>
            <w:hideMark/>
          </w:tcPr>
          <w:p w14:paraId="7068A016" w14:textId="77777777" w:rsidR="003655EA" w:rsidRPr="00D2758E" w:rsidRDefault="003655EA" w:rsidP="006B066D">
            <w:pPr>
              <w:suppressLineNumbers/>
              <w:suppressAutoHyphens/>
              <w:kinsoku w:val="0"/>
              <w:overflowPunct w:val="0"/>
              <w:autoSpaceDE w:val="0"/>
              <w:autoSpaceDN w:val="0"/>
              <w:adjustRightInd w:val="0"/>
              <w:snapToGrid w:val="0"/>
              <w:jc w:val="right"/>
              <w:rPr>
                <w:rFonts w:asciiTheme="majorBidi" w:hAnsiTheme="majorBidi" w:cstheme="majorBidi"/>
                <w:kern w:val="22"/>
                <w:sz w:val="20"/>
                <w:szCs w:val="20"/>
              </w:rPr>
            </w:pPr>
            <w:r w:rsidRPr="00D2758E">
              <w:rPr>
                <w:rFonts w:asciiTheme="majorBidi" w:hAnsiTheme="majorBidi" w:cstheme="majorBidi"/>
                <w:kern w:val="22"/>
                <w:sz w:val="20"/>
                <w:szCs w:val="20"/>
              </w:rPr>
              <w:t>90</w:t>
            </w:r>
          </w:p>
        </w:tc>
        <w:tc>
          <w:tcPr>
            <w:tcW w:w="1506" w:type="dxa"/>
            <w:vAlign w:val="bottom"/>
          </w:tcPr>
          <w:p w14:paraId="78D26034" w14:textId="77777777" w:rsidR="003655EA" w:rsidRPr="00D2758E" w:rsidRDefault="003655EA" w:rsidP="006B066D">
            <w:pPr>
              <w:suppressLineNumbers/>
              <w:suppressAutoHyphens/>
              <w:kinsoku w:val="0"/>
              <w:overflowPunct w:val="0"/>
              <w:autoSpaceDE w:val="0"/>
              <w:autoSpaceDN w:val="0"/>
              <w:adjustRightInd w:val="0"/>
              <w:snapToGrid w:val="0"/>
              <w:jc w:val="right"/>
              <w:rPr>
                <w:rFonts w:asciiTheme="majorBidi" w:hAnsiTheme="majorBidi" w:cstheme="majorBidi"/>
                <w:kern w:val="22"/>
                <w:sz w:val="20"/>
                <w:szCs w:val="20"/>
              </w:rPr>
            </w:pPr>
            <w:r w:rsidRPr="00D2758E">
              <w:rPr>
                <w:rFonts w:asciiTheme="majorBidi" w:hAnsiTheme="majorBidi" w:cstheme="majorBidi"/>
                <w:kern w:val="22"/>
                <w:sz w:val="20"/>
                <w:szCs w:val="20"/>
              </w:rPr>
              <w:t>134</w:t>
            </w:r>
          </w:p>
        </w:tc>
      </w:tr>
      <w:tr w:rsidR="003655EA" w:rsidRPr="00D2758E" w14:paraId="459E2DE9" w14:textId="77777777" w:rsidTr="006B066D">
        <w:trPr>
          <w:cantSplit/>
        </w:trPr>
        <w:tc>
          <w:tcPr>
            <w:tcW w:w="5803" w:type="dxa"/>
            <w:tcBorders>
              <w:top w:val="single" w:sz="4" w:space="0" w:color="auto"/>
              <w:left w:val="single" w:sz="4" w:space="0" w:color="auto"/>
              <w:bottom w:val="single" w:sz="4" w:space="0" w:color="auto"/>
              <w:right w:val="single" w:sz="4" w:space="0" w:color="auto"/>
            </w:tcBorders>
            <w:tcMar>
              <w:top w:w="29" w:type="dxa"/>
              <w:left w:w="115" w:type="dxa"/>
              <w:bottom w:w="29" w:type="dxa"/>
              <w:right w:w="115" w:type="dxa"/>
            </w:tcMar>
            <w:hideMark/>
          </w:tcPr>
          <w:p w14:paraId="543B1B92" w14:textId="3F0879AF" w:rsidR="003655EA" w:rsidRPr="00D2758E" w:rsidRDefault="003655EA" w:rsidP="006B066D">
            <w:pPr>
              <w:suppressLineNumbers/>
              <w:suppressAutoHyphens/>
              <w:kinsoku w:val="0"/>
              <w:overflowPunct w:val="0"/>
              <w:autoSpaceDE w:val="0"/>
              <w:autoSpaceDN w:val="0"/>
              <w:adjustRightInd w:val="0"/>
              <w:snapToGrid w:val="0"/>
              <w:jc w:val="left"/>
              <w:rPr>
                <w:rFonts w:asciiTheme="majorBidi" w:hAnsiTheme="majorBidi" w:cstheme="majorBidi"/>
                <w:kern w:val="22"/>
                <w:sz w:val="20"/>
                <w:szCs w:val="20"/>
              </w:rPr>
            </w:pPr>
            <w:r w:rsidRPr="00D2758E">
              <w:rPr>
                <w:rFonts w:asciiTheme="majorBidi" w:hAnsiTheme="majorBidi" w:cstheme="majorBidi"/>
                <w:kern w:val="22"/>
                <w:sz w:val="20"/>
                <w:szCs w:val="20"/>
              </w:rPr>
              <w:t xml:space="preserve">Number of capacity-building and development initiatives made available to the </w:t>
            </w:r>
            <w:r w:rsidR="00CA507D">
              <w:rPr>
                <w:rFonts w:asciiTheme="majorBidi" w:hAnsiTheme="majorBidi" w:cstheme="majorBidi"/>
                <w:kern w:val="22"/>
                <w:sz w:val="20"/>
                <w:szCs w:val="20"/>
              </w:rPr>
              <w:t xml:space="preserve">Access and Benefit-sharing </w:t>
            </w:r>
            <w:r w:rsidRPr="00D2758E">
              <w:rPr>
                <w:rFonts w:asciiTheme="majorBidi" w:hAnsiTheme="majorBidi" w:cstheme="majorBidi"/>
                <w:kern w:val="22"/>
                <w:sz w:val="20"/>
                <w:szCs w:val="20"/>
              </w:rPr>
              <w:t>Clearing-House</w:t>
            </w:r>
          </w:p>
        </w:tc>
        <w:tc>
          <w:tcPr>
            <w:tcW w:w="1829" w:type="dxa"/>
            <w:tcBorders>
              <w:top w:val="single" w:sz="4" w:space="0" w:color="auto"/>
              <w:left w:val="single" w:sz="4" w:space="0" w:color="auto"/>
              <w:bottom w:val="single" w:sz="4" w:space="0" w:color="auto"/>
              <w:right w:val="single" w:sz="4" w:space="0" w:color="auto"/>
            </w:tcBorders>
            <w:tcMar>
              <w:top w:w="29" w:type="dxa"/>
              <w:left w:w="115" w:type="dxa"/>
              <w:bottom w:w="29" w:type="dxa"/>
              <w:right w:w="115" w:type="dxa"/>
            </w:tcMar>
            <w:vAlign w:val="bottom"/>
            <w:hideMark/>
          </w:tcPr>
          <w:p w14:paraId="7A9D91E4" w14:textId="77777777" w:rsidR="003655EA" w:rsidRPr="00D2758E" w:rsidRDefault="003655EA" w:rsidP="006B066D">
            <w:pPr>
              <w:suppressLineNumbers/>
              <w:suppressAutoHyphens/>
              <w:kinsoku w:val="0"/>
              <w:overflowPunct w:val="0"/>
              <w:autoSpaceDE w:val="0"/>
              <w:autoSpaceDN w:val="0"/>
              <w:adjustRightInd w:val="0"/>
              <w:snapToGrid w:val="0"/>
              <w:jc w:val="right"/>
              <w:rPr>
                <w:rFonts w:asciiTheme="majorBidi" w:eastAsia="Calibri" w:hAnsiTheme="majorBidi" w:cstheme="majorBidi"/>
                <w:kern w:val="22"/>
                <w:sz w:val="20"/>
                <w:szCs w:val="20"/>
              </w:rPr>
            </w:pPr>
            <w:r w:rsidRPr="00D2758E">
              <w:rPr>
                <w:rFonts w:asciiTheme="majorBidi" w:eastAsia="Calibri" w:hAnsiTheme="majorBidi" w:cstheme="majorBidi"/>
                <w:kern w:val="22"/>
                <w:sz w:val="20"/>
                <w:szCs w:val="20"/>
              </w:rPr>
              <w:t>57</w:t>
            </w:r>
          </w:p>
        </w:tc>
        <w:tc>
          <w:tcPr>
            <w:tcW w:w="1506" w:type="dxa"/>
            <w:vAlign w:val="bottom"/>
          </w:tcPr>
          <w:p w14:paraId="09F2E093" w14:textId="77777777" w:rsidR="003655EA" w:rsidRPr="00D2758E" w:rsidRDefault="003655EA" w:rsidP="006B066D">
            <w:pPr>
              <w:suppressLineNumbers/>
              <w:suppressAutoHyphens/>
              <w:kinsoku w:val="0"/>
              <w:overflowPunct w:val="0"/>
              <w:autoSpaceDE w:val="0"/>
              <w:autoSpaceDN w:val="0"/>
              <w:adjustRightInd w:val="0"/>
              <w:snapToGrid w:val="0"/>
              <w:jc w:val="right"/>
              <w:rPr>
                <w:rFonts w:asciiTheme="majorBidi" w:eastAsia="Calibri" w:hAnsiTheme="majorBidi" w:cstheme="majorBidi"/>
                <w:kern w:val="22"/>
                <w:sz w:val="20"/>
                <w:szCs w:val="20"/>
              </w:rPr>
            </w:pPr>
            <w:r w:rsidRPr="00D2758E">
              <w:rPr>
                <w:rFonts w:asciiTheme="majorBidi" w:eastAsia="Calibri" w:hAnsiTheme="majorBidi" w:cstheme="majorBidi"/>
                <w:kern w:val="22"/>
                <w:sz w:val="20"/>
                <w:szCs w:val="20"/>
              </w:rPr>
              <w:t>61</w:t>
            </w:r>
          </w:p>
        </w:tc>
      </w:tr>
      <w:tr w:rsidR="003655EA" w:rsidRPr="00D2758E" w14:paraId="0B6E771E" w14:textId="77777777" w:rsidTr="006B066D">
        <w:trPr>
          <w:cantSplit/>
        </w:trPr>
        <w:tc>
          <w:tcPr>
            <w:tcW w:w="5803" w:type="dxa"/>
            <w:tcBorders>
              <w:top w:val="single" w:sz="4" w:space="0" w:color="auto"/>
              <w:left w:val="single" w:sz="4" w:space="0" w:color="auto"/>
              <w:bottom w:val="single" w:sz="4" w:space="0" w:color="auto"/>
              <w:right w:val="single" w:sz="4" w:space="0" w:color="auto"/>
            </w:tcBorders>
            <w:tcMar>
              <w:top w:w="29" w:type="dxa"/>
              <w:left w:w="115" w:type="dxa"/>
              <w:bottom w:w="29" w:type="dxa"/>
              <w:right w:w="115" w:type="dxa"/>
            </w:tcMar>
            <w:hideMark/>
          </w:tcPr>
          <w:p w14:paraId="60541A8F" w14:textId="78321CC4" w:rsidR="003655EA" w:rsidRPr="00D2758E" w:rsidRDefault="003655EA" w:rsidP="006B066D">
            <w:pPr>
              <w:suppressLineNumbers/>
              <w:suppressAutoHyphens/>
              <w:kinsoku w:val="0"/>
              <w:overflowPunct w:val="0"/>
              <w:autoSpaceDE w:val="0"/>
              <w:autoSpaceDN w:val="0"/>
              <w:adjustRightInd w:val="0"/>
              <w:snapToGrid w:val="0"/>
              <w:jc w:val="left"/>
              <w:rPr>
                <w:rFonts w:asciiTheme="majorBidi" w:hAnsiTheme="majorBidi" w:cstheme="majorBidi"/>
                <w:kern w:val="22"/>
                <w:sz w:val="20"/>
                <w:szCs w:val="20"/>
              </w:rPr>
            </w:pPr>
            <w:r w:rsidRPr="00D2758E">
              <w:rPr>
                <w:rFonts w:asciiTheme="majorBidi" w:hAnsiTheme="majorBidi" w:cstheme="majorBidi"/>
                <w:kern w:val="22"/>
                <w:sz w:val="20"/>
                <w:szCs w:val="20"/>
              </w:rPr>
              <w:t xml:space="preserve">Number of capacity-building and awareness-raising tools (virtual library </w:t>
            </w:r>
            <w:proofErr w:type="gramStart"/>
            <w:r w:rsidRPr="00D2758E">
              <w:rPr>
                <w:rFonts w:asciiTheme="majorBidi" w:hAnsiTheme="majorBidi" w:cstheme="majorBidi"/>
                <w:kern w:val="22"/>
                <w:sz w:val="20"/>
                <w:szCs w:val="20"/>
              </w:rPr>
              <w:t>resources)</w:t>
            </w:r>
            <w:r w:rsidR="007B277F" w:rsidRPr="006B066D">
              <w:rPr>
                <w:rFonts w:asciiTheme="majorBidi" w:hAnsiTheme="majorBidi" w:cstheme="majorBidi"/>
                <w:i/>
                <w:iCs/>
                <w:kern w:val="22"/>
                <w:sz w:val="20"/>
                <w:szCs w:val="20"/>
                <w:vertAlign w:val="superscript"/>
              </w:rPr>
              <w:t>d</w:t>
            </w:r>
            <w:proofErr w:type="gramEnd"/>
            <w:r w:rsidRPr="00D2758E">
              <w:rPr>
                <w:rStyle w:val="FootnoteReference"/>
                <w:rFonts w:eastAsia="Malgun Gothic"/>
              </w:rPr>
              <w:t xml:space="preserve"> </w:t>
            </w:r>
            <w:r w:rsidRPr="00D2758E">
              <w:rPr>
                <w:rFonts w:asciiTheme="majorBidi" w:hAnsiTheme="majorBidi" w:cstheme="majorBidi"/>
                <w:kern w:val="22"/>
                <w:sz w:val="20"/>
                <w:szCs w:val="20"/>
              </w:rPr>
              <w:t xml:space="preserve">and resources made available as reference records </w:t>
            </w:r>
            <w:r w:rsidR="00B800B3">
              <w:rPr>
                <w:rFonts w:asciiTheme="majorBidi" w:hAnsiTheme="majorBidi" w:cstheme="majorBidi"/>
                <w:kern w:val="22"/>
                <w:sz w:val="20"/>
                <w:szCs w:val="20"/>
              </w:rPr>
              <w:t>o</w:t>
            </w:r>
            <w:r w:rsidRPr="00D2758E">
              <w:rPr>
                <w:rFonts w:asciiTheme="majorBidi" w:hAnsiTheme="majorBidi" w:cstheme="majorBidi"/>
                <w:kern w:val="22"/>
                <w:sz w:val="20"/>
                <w:szCs w:val="20"/>
              </w:rPr>
              <w:t xml:space="preserve">n the </w:t>
            </w:r>
            <w:proofErr w:type="gramStart"/>
            <w:r w:rsidRPr="00D2758E">
              <w:rPr>
                <w:rFonts w:asciiTheme="majorBidi" w:hAnsiTheme="majorBidi" w:cstheme="majorBidi"/>
                <w:kern w:val="22"/>
                <w:sz w:val="20"/>
                <w:szCs w:val="20"/>
              </w:rPr>
              <w:t>Clearing-House</w:t>
            </w:r>
            <w:proofErr w:type="gramEnd"/>
            <w:r w:rsidRPr="00D2758E">
              <w:rPr>
                <w:rFonts w:asciiTheme="majorBidi" w:hAnsiTheme="majorBidi" w:cstheme="majorBidi"/>
                <w:kern w:val="22"/>
                <w:sz w:val="20"/>
                <w:szCs w:val="20"/>
              </w:rPr>
              <w:t xml:space="preserve"> </w:t>
            </w:r>
          </w:p>
        </w:tc>
        <w:tc>
          <w:tcPr>
            <w:tcW w:w="1829" w:type="dxa"/>
            <w:tcBorders>
              <w:top w:val="single" w:sz="4" w:space="0" w:color="auto"/>
              <w:left w:val="single" w:sz="4" w:space="0" w:color="auto"/>
              <w:bottom w:val="single" w:sz="4" w:space="0" w:color="auto"/>
              <w:right w:val="single" w:sz="4" w:space="0" w:color="auto"/>
            </w:tcBorders>
            <w:tcMar>
              <w:top w:w="29" w:type="dxa"/>
              <w:left w:w="115" w:type="dxa"/>
              <w:bottom w:w="29" w:type="dxa"/>
              <w:right w:w="115" w:type="dxa"/>
            </w:tcMar>
            <w:vAlign w:val="bottom"/>
            <w:hideMark/>
          </w:tcPr>
          <w:p w14:paraId="158BD4C4" w14:textId="77777777" w:rsidR="003655EA" w:rsidRPr="00D2758E" w:rsidRDefault="003655EA" w:rsidP="006B066D">
            <w:pPr>
              <w:suppressLineNumbers/>
              <w:suppressAutoHyphens/>
              <w:kinsoku w:val="0"/>
              <w:overflowPunct w:val="0"/>
              <w:autoSpaceDE w:val="0"/>
              <w:autoSpaceDN w:val="0"/>
              <w:adjustRightInd w:val="0"/>
              <w:snapToGrid w:val="0"/>
              <w:jc w:val="right"/>
              <w:rPr>
                <w:rFonts w:asciiTheme="majorBidi" w:eastAsia="Calibri" w:hAnsiTheme="majorBidi" w:cstheme="majorBidi"/>
                <w:kern w:val="22"/>
                <w:sz w:val="20"/>
                <w:szCs w:val="20"/>
              </w:rPr>
            </w:pPr>
            <w:r w:rsidRPr="00D2758E">
              <w:rPr>
                <w:rFonts w:asciiTheme="majorBidi" w:eastAsia="Calibri" w:hAnsiTheme="majorBidi" w:cstheme="majorBidi"/>
                <w:kern w:val="22"/>
                <w:sz w:val="20"/>
                <w:szCs w:val="20"/>
              </w:rPr>
              <w:t>34</w:t>
            </w:r>
          </w:p>
        </w:tc>
        <w:tc>
          <w:tcPr>
            <w:tcW w:w="1506" w:type="dxa"/>
            <w:tcBorders>
              <w:top w:val="single" w:sz="4" w:space="0" w:color="auto"/>
              <w:left w:val="single" w:sz="4" w:space="0" w:color="auto"/>
              <w:bottom w:val="single" w:sz="4" w:space="0" w:color="auto"/>
              <w:right w:val="single" w:sz="4" w:space="0" w:color="auto"/>
            </w:tcBorders>
            <w:vAlign w:val="bottom"/>
          </w:tcPr>
          <w:p w14:paraId="306E1D80" w14:textId="77777777" w:rsidR="003655EA" w:rsidRPr="00D2758E" w:rsidRDefault="003655EA" w:rsidP="006B066D">
            <w:pPr>
              <w:suppressLineNumbers/>
              <w:suppressAutoHyphens/>
              <w:kinsoku w:val="0"/>
              <w:overflowPunct w:val="0"/>
              <w:autoSpaceDE w:val="0"/>
              <w:autoSpaceDN w:val="0"/>
              <w:adjustRightInd w:val="0"/>
              <w:snapToGrid w:val="0"/>
              <w:jc w:val="right"/>
              <w:rPr>
                <w:rFonts w:asciiTheme="majorBidi" w:hAnsiTheme="majorBidi" w:cstheme="majorBidi"/>
                <w:kern w:val="22"/>
                <w:sz w:val="20"/>
                <w:szCs w:val="20"/>
              </w:rPr>
            </w:pPr>
            <w:r w:rsidRPr="00D2758E">
              <w:rPr>
                <w:rFonts w:asciiTheme="majorBidi" w:hAnsiTheme="majorBidi" w:cstheme="majorBidi"/>
                <w:kern w:val="22"/>
                <w:sz w:val="20"/>
                <w:szCs w:val="20"/>
              </w:rPr>
              <w:t>367</w:t>
            </w:r>
          </w:p>
        </w:tc>
      </w:tr>
    </w:tbl>
    <w:p w14:paraId="085C8256" w14:textId="358676E0" w:rsidR="00792377" w:rsidRPr="006B066D" w:rsidRDefault="00F05808" w:rsidP="006B066D">
      <w:pPr>
        <w:ind w:left="851" w:hanging="284"/>
        <w:rPr>
          <w:sz w:val="18"/>
          <w:szCs w:val="18"/>
        </w:rPr>
      </w:pPr>
      <w:r w:rsidRPr="006B066D">
        <w:rPr>
          <w:rFonts w:eastAsia="DengXian"/>
          <w:i/>
          <w:iCs/>
          <w:sz w:val="18"/>
          <w:szCs w:val="18"/>
          <w:vertAlign w:val="superscript"/>
          <w:lang w:eastAsia="zh-CN"/>
        </w:rPr>
        <w:t>a</w:t>
      </w:r>
      <w:r w:rsidR="006B2CD6">
        <w:rPr>
          <w:rFonts w:eastAsia="DengXian"/>
          <w:sz w:val="18"/>
          <w:szCs w:val="18"/>
          <w:lang w:eastAsia="zh-CN"/>
        </w:rPr>
        <w:tab/>
      </w:r>
      <w:r w:rsidRPr="006B066D">
        <w:rPr>
          <w:sz w:val="18"/>
          <w:szCs w:val="18"/>
        </w:rPr>
        <w:t>The format of the first national report does not allow for the collection of th</w:t>
      </w:r>
      <w:r w:rsidR="00D907FF">
        <w:rPr>
          <w:sz w:val="18"/>
          <w:szCs w:val="18"/>
        </w:rPr>
        <w:t>at</w:t>
      </w:r>
      <w:r w:rsidRPr="006B066D">
        <w:rPr>
          <w:sz w:val="18"/>
          <w:szCs w:val="18"/>
        </w:rPr>
        <w:t xml:space="preserve"> information. It is suggested that this indicator be deleted.</w:t>
      </w:r>
    </w:p>
    <w:p w14:paraId="7D17D0AD" w14:textId="66BC1EA1" w:rsidR="00F05808" w:rsidRDefault="006B2CD6" w:rsidP="006B2CD6">
      <w:pPr>
        <w:ind w:left="851" w:hanging="284"/>
        <w:rPr>
          <w:rFonts w:eastAsia="DengXian"/>
          <w:sz w:val="18"/>
          <w:szCs w:val="18"/>
          <w:lang w:eastAsia="zh-CN"/>
        </w:rPr>
      </w:pPr>
      <w:r w:rsidRPr="006B066D">
        <w:rPr>
          <w:rFonts w:eastAsia="DengXian"/>
          <w:i/>
          <w:iCs/>
          <w:sz w:val="18"/>
          <w:szCs w:val="18"/>
          <w:vertAlign w:val="superscript"/>
          <w:lang w:eastAsia="zh-CN"/>
        </w:rPr>
        <w:t>b</w:t>
      </w:r>
      <w:r>
        <w:rPr>
          <w:rFonts w:eastAsia="DengXian"/>
          <w:sz w:val="18"/>
          <w:szCs w:val="18"/>
          <w:lang w:eastAsia="zh-CN"/>
        </w:rPr>
        <w:tab/>
      </w:r>
      <w:r w:rsidR="00EE3BDB" w:rsidRPr="006B066D">
        <w:rPr>
          <w:rFonts w:eastAsia="DengXian"/>
          <w:sz w:val="18"/>
          <w:szCs w:val="18"/>
          <w:lang w:eastAsia="zh-CN"/>
        </w:rPr>
        <w:t>A new indicator has been added to reflect the question that was added to the format of the first national report.</w:t>
      </w:r>
    </w:p>
    <w:p w14:paraId="304FFA56" w14:textId="4862FFD5" w:rsidR="006B2CD6" w:rsidRDefault="006B2CD6" w:rsidP="006B2CD6">
      <w:pPr>
        <w:ind w:left="851" w:hanging="284"/>
        <w:rPr>
          <w:sz w:val="18"/>
          <w:szCs w:val="18"/>
        </w:rPr>
      </w:pPr>
      <w:r w:rsidRPr="006B066D">
        <w:rPr>
          <w:rFonts w:eastAsia="DengXian"/>
          <w:i/>
          <w:iCs/>
          <w:sz w:val="18"/>
          <w:szCs w:val="18"/>
          <w:vertAlign w:val="superscript"/>
          <w:lang w:eastAsia="zh-CN"/>
        </w:rPr>
        <w:t>c</w:t>
      </w:r>
      <w:r>
        <w:rPr>
          <w:rFonts w:eastAsia="DengXian"/>
          <w:sz w:val="18"/>
          <w:szCs w:val="18"/>
          <w:lang w:eastAsia="zh-CN"/>
        </w:rPr>
        <w:tab/>
      </w:r>
      <w:r w:rsidRPr="006B066D">
        <w:rPr>
          <w:sz w:val="18"/>
          <w:szCs w:val="18"/>
        </w:rPr>
        <w:t>Question 55 of the first national report format does not specify that the information provided is since entry into force.</w:t>
      </w:r>
    </w:p>
    <w:p w14:paraId="1B6A1918" w14:textId="028B49F8" w:rsidR="006B2CD6" w:rsidRPr="006B066D" w:rsidRDefault="007B277F" w:rsidP="006B066D">
      <w:pPr>
        <w:ind w:left="851" w:hanging="284"/>
        <w:rPr>
          <w:rFonts w:eastAsia="DengXian"/>
          <w:sz w:val="18"/>
          <w:szCs w:val="18"/>
          <w:lang w:eastAsia="zh-CN"/>
        </w:rPr>
      </w:pPr>
      <w:r w:rsidRPr="007B277F">
        <w:rPr>
          <w:i/>
          <w:iCs/>
          <w:vertAlign w:val="superscript"/>
        </w:rPr>
        <w:t>d</w:t>
      </w:r>
      <w:r>
        <w:tab/>
      </w:r>
      <w:r w:rsidRPr="006B066D">
        <w:rPr>
          <w:sz w:val="18"/>
          <w:szCs w:val="18"/>
        </w:rPr>
        <w:t xml:space="preserve">Suggested addition to provide clarity that the indicator data </w:t>
      </w:r>
      <w:r w:rsidR="00BB23C2">
        <w:rPr>
          <w:sz w:val="18"/>
          <w:szCs w:val="18"/>
        </w:rPr>
        <w:t>are</w:t>
      </w:r>
      <w:r w:rsidRPr="006B066D">
        <w:rPr>
          <w:sz w:val="18"/>
          <w:szCs w:val="18"/>
        </w:rPr>
        <w:t xml:space="preserve"> based on the information available as virtual library resource records.</w:t>
      </w:r>
    </w:p>
    <w:p w14:paraId="1A9051CD" w14:textId="407D4B8E" w:rsidR="00792377" w:rsidRPr="00D2758E" w:rsidRDefault="00AC2727" w:rsidP="00AC2727">
      <w:pPr>
        <w:pStyle w:val="CBDH4"/>
      </w:pPr>
      <w:r>
        <w:t>(b)</w:t>
      </w:r>
      <w:r>
        <w:tab/>
      </w:r>
      <w:r w:rsidR="00792377" w:rsidRPr="00D2758E">
        <w:t xml:space="preserve">Challenges </w:t>
      </w:r>
      <w:r w:rsidR="004D6E79" w:rsidRPr="00D2758E">
        <w:t xml:space="preserve">in implementation </w:t>
      </w:r>
      <w:r w:rsidR="00792377" w:rsidRPr="00D2758E">
        <w:t>and root causes</w:t>
      </w:r>
      <w:r w:rsidR="00792377" w:rsidRPr="00D2758E">
        <w:tab/>
      </w:r>
    </w:p>
    <w:p w14:paraId="2D9EF50C" w14:textId="4168DAB5" w:rsidR="00792377" w:rsidRPr="00D2758E" w:rsidRDefault="00792377" w:rsidP="00CD2C50">
      <w:pPr>
        <w:pStyle w:val="CBDNormalNumber"/>
        <w:rPr>
          <w:rFonts w:asciiTheme="majorBidi" w:eastAsia="DengXian Light" w:hAnsiTheme="majorBidi" w:cstheme="majorBidi"/>
        </w:rPr>
      </w:pPr>
      <w:r w:rsidRPr="00D2758E">
        <w:rPr>
          <w:rFonts w:asciiTheme="majorBidi" w:eastAsia="DengXian Light" w:hAnsiTheme="majorBidi" w:cstheme="majorBidi"/>
        </w:rPr>
        <w:t xml:space="preserve">Human resource and institutional capacity constraints are highlighted </w:t>
      </w:r>
      <w:r w:rsidR="00DF2223" w:rsidRPr="00D2758E">
        <w:rPr>
          <w:rFonts w:asciiTheme="majorBidi" w:eastAsia="DengXian Light" w:hAnsiTheme="majorBidi" w:cstheme="majorBidi"/>
        </w:rPr>
        <w:t>consisten</w:t>
      </w:r>
      <w:r w:rsidR="00DF2223">
        <w:rPr>
          <w:rFonts w:asciiTheme="majorBidi" w:eastAsia="DengXian Light" w:hAnsiTheme="majorBidi" w:cstheme="majorBidi"/>
        </w:rPr>
        <w:t>t</w:t>
      </w:r>
      <w:r w:rsidR="00DF2223" w:rsidRPr="00D2758E">
        <w:rPr>
          <w:rFonts w:asciiTheme="majorBidi" w:eastAsia="DengXian Light" w:hAnsiTheme="majorBidi" w:cstheme="majorBidi"/>
        </w:rPr>
        <w:t xml:space="preserve">ly </w:t>
      </w:r>
      <w:r w:rsidRPr="00D2758E">
        <w:rPr>
          <w:rFonts w:asciiTheme="majorBidi" w:eastAsia="DengXian Light" w:hAnsiTheme="majorBidi" w:cstheme="majorBidi"/>
        </w:rPr>
        <w:t>as a major limitation. Weak capacity in fundraising, project development and financial planning, combined with complex donor requirements, hampers access to external support. Reliance on one</w:t>
      </w:r>
      <w:r w:rsidRPr="00D2758E">
        <w:noBreakHyphen/>
      </w:r>
      <w:r w:rsidRPr="00D2758E">
        <w:rPr>
          <w:rFonts w:asciiTheme="majorBidi" w:eastAsia="DengXian Light" w:hAnsiTheme="majorBidi" w:cstheme="majorBidi"/>
        </w:rPr>
        <w:t>off training, high staff turnover and project</w:t>
      </w:r>
      <w:r w:rsidRPr="00D2758E">
        <w:noBreakHyphen/>
      </w:r>
      <w:r w:rsidRPr="00D2758E">
        <w:rPr>
          <w:rFonts w:asciiTheme="majorBidi" w:eastAsia="DengXian Light" w:hAnsiTheme="majorBidi" w:cstheme="majorBidi"/>
        </w:rPr>
        <w:t xml:space="preserve">based </w:t>
      </w:r>
      <w:r w:rsidRPr="00D2758E">
        <w:t>funding</w:t>
      </w:r>
      <w:r w:rsidRPr="00D2758E">
        <w:rPr>
          <w:rFonts w:asciiTheme="majorBidi" w:eastAsia="DengXian Light" w:hAnsiTheme="majorBidi" w:cstheme="majorBidi"/>
        </w:rPr>
        <w:t xml:space="preserve"> undermines institutional learning, coordination and the sustained development of </w:t>
      </w:r>
      <w:r w:rsidR="00FD3E16" w:rsidRPr="00D2758E">
        <w:rPr>
          <w:rFonts w:asciiTheme="majorBidi" w:eastAsia="DengXian Light" w:hAnsiTheme="majorBidi" w:cstheme="majorBidi"/>
        </w:rPr>
        <w:t>skills related</w:t>
      </w:r>
      <w:r w:rsidR="00FD3E16">
        <w:rPr>
          <w:rFonts w:asciiTheme="majorBidi" w:eastAsia="DengXian Light" w:hAnsiTheme="majorBidi" w:cstheme="majorBidi"/>
        </w:rPr>
        <w:t xml:space="preserve"> to </w:t>
      </w:r>
      <w:r w:rsidR="00D3782E">
        <w:rPr>
          <w:rFonts w:asciiTheme="majorBidi" w:eastAsia="DengXian Light" w:hAnsiTheme="majorBidi" w:cstheme="majorBidi"/>
        </w:rPr>
        <w:t xml:space="preserve">access and benefit-sharing </w:t>
      </w:r>
      <w:r w:rsidRPr="00D2758E">
        <w:noBreakHyphen/>
      </w:r>
      <w:r w:rsidRPr="00D2758E">
        <w:rPr>
          <w:rFonts w:asciiTheme="majorBidi" w:eastAsia="DengXian Light" w:hAnsiTheme="majorBidi" w:cstheme="majorBidi"/>
        </w:rPr>
        <w:t>.</w:t>
      </w:r>
    </w:p>
    <w:p w14:paraId="1D04E2EB" w14:textId="70FB78E7" w:rsidR="00F00376" w:rsidRPr="00D2758E" w:rsidRDefault="00F00376" w:rsidP="00CD2C50">
      <w:pPr>
        <w:pStyle w:val="CBDNormalNumber"/>
        <w:rPr>
          <w:rFonts w:eastAsia="DengXian Light"/>
        </w:rPr>
      </w:pPr>
      <w:r w:rsidRPr="00D2758E">
        <w:rPr>
          <w:rFonts w:asciiTheme="majorBidi" w:eastAsia="DengXian Light" w:hAnsiTheme="majorBidi" w:cstheme="majorBidi"/>
        </w:rPr>
        <w:t>Capacity</w:t>
      </w:r>
      <w:r w:rsidRPr="00D2758E">
        <w:rPr>
          <w:rFonts w:eastAsia="DengXian Light"/>
        </w:rPr>
        <w:noBreakHyphen/>
      </w:r>
      <w:r w:rsidRPr="00D2758E">
        <w:rPr>
          <w:rFonts w:asciiTheme="majorBidi" w:eastAsia="DengXian Light" w:hAnsiTheme="majorBidi" w:cstheme="majorBidi"/>
        </w:rPr>
        <w:t xml:space="preserve">building efforts for </w:t>
      </w:r>
      <w:r w:rsidR="002C520D">
        <w:rPr>
          <w:rFonts w:asciiTheme="majorBidi" w:eastAsia="DengXian Light" w:hAnsiTheme="majorBidi" w:cstheme="majorBidi"/>
        </w:rPr>
        <w:t xml:space="preserve">access and benefit sharing </w:t>
      </w:r>
      <w:r w:rsidRPr="00D2758E">
        <w:rPr>
          <w:rFonts w:asciiTheme="majorBidi" w:eastAsia="DengXian Light" w:hAnsiTheme="majorBidi" w:cstheme="majorBidi"/>
        </w:rPr>
        <w:t xml:space="preserve">have focused </w:t>
      </w:r>
      <w:r w:rsidR="002C520D" w:rsidRPr="00D2758E">
        <w:rPr>
          <w:rFonts w:asciiTheme="majorBidi" w:eastAsia="DengXian Light" w:hAnsiTheme="majorBidi" w:cstheme="majorBidi"/>
        </w:rPr>
        <w:t>primaril</w:t>
      </w:r>
      <w:r w:rsidR="002C520D">
        <w:rPr>
          <w:rFonts w:asciiTheme="majorBidi" w:eastAsia="DengXian Light" w:hAnsiTheme="majorBidi" w:cstheme="majorBidi"/>
        </w:rPr>
        <w:t>y</w:t>
      </w:r>
      <w:r w:rsidR="002C520D" w:rsidRPr="00D2758E">
        <w:rPr>
          <w:rFonts w:asciiTheme="majorBidi" w:eastAsia="DengXian Light" w:hAnsiTheme="majorBidi" w:cstheme="majorBidi"/>
        </w:rPr>
        <w:t xml:space="preserve"> </w:t>
      </w:r>
      <w:r w:rsidRPr="00D2758E">
        <w:rPr>
          <w:rFonts w:asciiTheme="majorBidi" w:eastAsia="DengXian Light" w:hAnsiTheme="majorBidi" w:cstheme="majorBidi"/>
        </w:rPr>
        <w:t>on government authorities, with more limited and uneven engagement of indigenous peoples and local communities, researchers</w:t>
      </w:r>
      <w:r w:rsidRPr="00D2758E">
        <w:rPr>
          <w:rFonts w:eastAsia="DengXian Light"/>
        </w:rPr>
        <w:t xml:space="preserve"> and policymakers. This has constrained </w:t>
      </w:r>
      <w:r w:rsidRPr="00D2758E">
        <w:t>awareness</w:t>
      </w:r>
      <w:r w:rsidRPr="00D2758E">
        <w:rPr>
          <w:rFonts w:eastAsia="DengXian Light"/>
        </w:rPr>
        <w:t xml:space="preserve">, compliance and effective participation across </w:t>
      </w:r>
      <w:r w:rsidR="00C14CF5">
        <w:rPr>
          <w:rFonts w:eastAsia="DengXian Light"/>
        </w:rPr>
        <w:t xml:space="preserve">access and benefit-sharing </w:t>
      </w:r>
      <w:r w:rsidRPr="00D2758E">
        <w:rPr>
          <w:rFonts w:eastAsia="DengXian Light"/>
        </w:rPr>
        <w:t>stakeholders. Insufficiently tailored capacity</w:t>
      </w:r>
      <w:r w:rsidRPr="00D2758E">
        <w:rPr>
          <w:rFonts w:eastAsia="DengXian Light"/>
        </w:rPr>
        <w:noBreakHyphen/>
        <w:t xml:space="preserve">building for different groups has limited the practical uptake and application of </w:t>
      </w:r>
      <w:r w:rsidR="00C14CF5">
        <w:rPr>
          <w:rFonts w:eastAsia="DengXian Light"/>
        </w:rPr>
        <w:t xml:space="preserve">access and benefit-sharing </w:t>
      </w:r>
      <w:r w:rsidRPr="00D2758E">
        <w:rPr>
          <w:rFonts w:eastAsia="DengXian Light"/>
        </w:rPr>
        <w:t xml:space="preserve">frameworks, </w:t>
      </w:r>
      <w:r w:rsidR="000D540E">
        <w:rPr>
          <w:rFonts w:eastAsia="DengXian Light"/>
        </w:rPr>
        <w:t xml:space="preserve">thereby </w:t>
      </w:r>
      <w:r w:rsidRPr="00D2758E">
        <w:rPr>
          <w:rFonts w:eastAsia="DengXian Light"/>
        </w:rPr>
        <w:t>reducing the overall effectiveness of capacity</w:t>
      </w:r>
      <w:r w:rsidRPr="00D2758E">
        <w:rPr>
          <w:rFonts w:eastAsia="DengXian Light"/>
        </w:rPr>
        <w:noBreakHyphen/>
        <w:t>building investments.</w:t>
      </w:r>
    </w:p>
    <w:p w14:paraId="3956AF82" w14:textId="364E1F4E" w:rsidR="00FB3588" w:rsidRPr="00D2758E" w:rsidRDefault="00792377" w:rsidP="00CD2C50">
      <w:pPr>
        <w:pStyle w:val="CBDNormalNumber"/>
        <w:rPr>
          <w:rFonts w:asciiTheme="majorBidi" w:eastAsia="DengXian Light" w:hAnsiTheme="majorBidi" w:cstheme="majorBidi"/>
        </w:rPr>
      </w:pPr>
      <w:r w:rsidRPr="00D2758E">
        <w:rPr>
          <w:rFonts w:asciiTheme="majorBidi" w:eastAsia="DengXian Light" w:hAnsiTheme="majorBidi" w:cstheme="majorBidi"/>
        </w:rPr>
        <w:t>Despite progress in establishing legal and policy frameworks, many Parties continue to face operational and technical capacity gaps</w:t>
      </w:r>
      <w:r w:rsidR="000D540E">
        <w:rPr>
          <w:rFonts w:asciiTheme="majorBidi" w:eastAsia="DengXian Light" w:hAnsiTheme="majorBidi" w:cstheme="majorBidi"/>
        </w:rPr>
        <w:t xml:space="preserve"> which</w:t>
      </w:r>
      <w:r w:rsidRPr="00D2758E">
        <w:rPr>
          <w:rFonts w:asciiTheme="majorBidi" w:eastAsia="DengXian Light" w:hAnsiTheme="majorBidi" w:cstheme="majorBidi"/>
        </w:rPr>
        <w:t xml:space="preserve"> limit the effectiveness of </w:t>
      </w:r>
      <w:r w:rsidR="000D540E">
        <w:rPr>
          <w:rFonts w:asciiTheme="majorBidi" w:eastAsia="DengXian Light" w:hAnsiTheme="majorBidi" w:cstheme="majorBidi"/>
        </w:rPr>
        <w:t xml:space="preserve">access and benefit sharing </w:t>
      </w:r>
      <w:r w:rsidRPr="00D2758E">
        <w:rPr>
          <w:rFonts w:asciiTheme="majorBidi" w:eastAsia="DengXian Light" w:hAnsiTheme="majorBidi" w:cstheme="majorBidi"/>
        </w:rPr>
        <w:t xml:space="preserve">implementation. </w:t>
      </w:r>
      <w:r w:rsidR="00196536" w:rsidRPr="00D2758E">
        <w:rPr>
          <w:rFonts w:asciiTheme="majorBidi" w:eastAsia="DengXian Light" w:hAnsiTheme="majorBidi" w:cstheme="majorBidi"/>
        </w:rPr>
        <w:t xml:space="preserve">In particular, the </w:t>
      </w:r>
      <w:r w:rsidR="00F94DB0" w:rsidRPr="00D2758E">
        <w:rPr>
          <w:rFonts w:asciiTheme="majorBidi" w:eastAsia="DengXian Light" w:hAnsiTheme="majorBidi" w:cstheme="majorBidi"/>
        </w:rPr>
        <w:t>following</w:t>
      </w:r>
      <w:r w:rsidRPr="00D2758E">
        <w:rPr>
          <w:rFonts w:asciiTheme="majorBidi" w:eastAsia="DengXian Light" w:hAnsiTheme="majorBidi" w:cstheme="majorBidi"/>
        </w:rPr>
        <w:t xml:space="preserve"> </w:t>
      </w:r>
      <w:r w:rsidR="001B681A" w:rsidRPr="00D2758E">
        <w:rPr>
          <w:rFonts w:asciiTheme="majorBidi" w:eastAsia="DengXian Light" w:hAnsiTheme="majorBidi" w:cstheme="majorBidi"/>
        </w:rPr>
        <w:t xml:space="preserve">capacity-building areas </w:t>
      </w:r>
      <w:r w:rsidR="009C3EC3" w:rsidRPr="00D2758E">
        <w:rPr>
          <w:rFonts w:asciiTheme="majorBidi" w:eastAsia="DengXian Light" w:hAnsiTheme="majorBidi" w:cstheme="majorBidi"/>
        </w:rPr>
        <w:t>were identified as requir</w:t>
      </w:r>
      <w:r w:rsidR="006D386B">
        <w:rPr>
          <w:rFonts w:asciiTheme="majorBidi" w:eastAsia="DengXian Light" w:hAnsiTheme="majorBidi" w:cstheme="majorBidi"/>
        </w:rPr>
        <w:t>ing</w:t>
      </w:r>
      <w:r w:rsidR="009C3EC3" w:rsidRPr="00D2758E">
        <w:rPr>
          <w:rFonts w:asciiTheme="majorBidi" w:eastAsia="DengXian Light" w:hAnsiTheme="majorBidi" w:cstheme="majorBidi"/>
        </w:rPr>
        <w:t xml:space="preserve"> further support</w:t>
      </w:r>
      <w:r w:rsidR="00213BEF" w:rsidRPr="00D2758E">
        <w:rPr>
          <w:rFonts w:asciiTheme="majorBidi" w:eastAsia="DengXian Light" w:hAnsiTheme="majorBidi" w:cstheme="majorBidi"/>
        </w:rPr>
        <w:t xml:space="preserve">: </w:t>
      </w:r>
    </w:p>
    <w:p w14:paraId="50561790" w14:textId="405CF33A" w:rsidR="008A232B" w:rsidRPr="00D2758E" w:rsidRDefault="008A232B" w:rsidP="00A558F3">
      <w:pPr>
        <w:pStyle w:val="CBDNormalNumber"/>
        <w:numPr>
          <w:ilvl w:val="1"/>
          <w:numId w:val="7"/>
        </w:numPr>
      </w:pPr>
      <w:r w:rsidRPr="00D2758E">
        <w:lastRenderedPageBreak/>
        <w:t xml:space="preserve">Development </w:t>
      </w:r>
      <w:r w:rsidR="00DE0ECF" w:rsidRPr="00D2758E">
        <w:t>and implementation</w:t>
      </w:r>
      <w:r w:rsidRPr="00D2758E">
        <w:t xml:space="preserve"> of national legal and institutional frameworks, </w:t>
      </w:r>
      <w:proofErr w:type="gramStart"/>
      <w:r w:rsidR="00834BB7">
        <w:t xml:space="preserve">in </w:t>
      </w:r>
      <w:r w:rsidRPr="00D2758E">
        <w:t>particular</w:t>
      </w:r>
      <w:r w:rsidR="007D2471" w:rsidRPr="00D2758E">
        <w:t xml:space="preserve"> as</w:t>
      </w:r>
      <w:proofErr w:type="gramEnd"/>
      <w:r w:rsidR="007D2471" w:rsidRPr="00D2758E">
        <w:t xml:space="preserve"> regards the provisions of the Protocol</w:t>
      </w:r>
      <w:r w:rsidRPr="00D2758E">
        <w:t xml:space="preserve"> </w:t>
      </w:r>
      <w:r w:rsidR="00FA4C1B" w:rsidRPr="00D2758E">
        <w:t xml:space="preserve">related to </w:t>
      </w:r>
      <w:r w:rsidRPr="00D2758E">
        <w:t>compliance</w:t>
      </w:r>
      <w:r w:rsidR="000E7C7E" w:rsidRPr="00D2758E">
        <w:t xml:space="preserve"> </w:t>
      </w:r>
      <w:r w:rsidRPr="00D2758E">
        <w:t>and indigenous peoples and local communities</w:t>
      </w:r>
      <w:r w:rsidR="00AA2566" w:rsidRPr="00D2758E">
        <w:t>;</w:t>
      </w:r>
    </w:p>
    <w:p w14:paraId="30714D93" w14:textId="3AD691ED" w:rsidR="005A2B93" w:rsidRPr="00D2758E" w:rsidRDefault="005A2B93" w:rsidP="00A558F3">
      <w:pPr>
        <w:pStyle w:val="CBDNormalNumber"/>
        <w:numPr>
          <w:ilvl w:val="1"/>
          <w:numId w:val="7"/>
        </w:numPr>
      </w:pPr>
      <w:r w:rsidRPr="00D2758E">
        <w:t xml:space="preserve">Understanding </w:t>
      </w:r>
      <w:r w:rsidR="00DD6704" w:rsidRPr="00D2758E">
        <w:t>and operation</w:t>
      </w:r>
      <w:r w:rsidR="00306193" w:rsidRPr="00D2758E">
        <w:t xml:space="preserve">alization </w:t>
      </w:r>
      <w:r w:rsidR="00152A5B" w:rsidRPr="00D2758E">
        <w:t xml:space="preserve">of </w:t>
      </w:r>
      <w:r w:rsidRPr="00D2758E">
        <w:t xml:space="preserve">the system </w:t>
      </w:r>
      <w:r w:rsidR="00152A5B" w:rsidRPr="00D2758E">
        <w:t>established</w:t>
      </w:r>
      <w:r w:rsidRPr="00D2758E">
        <w:t xml:space="preserve"> </w:t>
      </w:r>
      <w:r w:rsidR="00CE2CF9" w:rsidRPr="00D2758E">
        <w:t>under</w:t>
      </w:r>
      <w:r w:rsidRPr="00D2758E">
        <w:t xml:space="preserve"> Article 17 of the Protocol to monitor the utilization of genetic resources</w:t>
      </w:r>
      <w:r w:rsidR="000E7C7E" w:rsidRPr="00D2758E">
        <w:t xml:space="preserve">, including the </w:t>
      </w:r>
      <w:r w:rsidR="00CE2CF9" w:rsidRPr="00D2758E">
        <w:t>effective designation</w:t>
      </w:r>
      <w:r w:rsidR="000E7C7E" w:rsidRPr="00D2758E">
        <w:t xml:space="preserve"> </w:t>
      </w:r>
      <w:r w:rsidR="001D1102" w:rsidRPr="00D2758E">
        <w:t>and</w:t>
      </w:r>
      <w:r w:rsidR="000E7C7E" w:rsidRPr="00D2758E">
        <w:t xml:space="preserve"> functioning of checkpoints;</w:t>
      </w:r>
    </w:p>
    <w:p w14:paraId="4A7E0ADB" w14:textId="48EBC83E" w:rsidR="00577C29" w:rsidRPr="00D2758E" w:rsidRDefault="00C45314" w:rsidP="00A558F3">
      <w:pPr>
        <w:pStyle w:val="CBDNormalNumber"/>
        <w:numPr>
          <w:ilvl w:val="1"/>
          <w:numId w:val="7"/>
        </w:numPr>
        <w:rPr>
          <w:rFonts w:eastAsia="DengXian Light"/>
        </w:rPr>
      </w:pPr>
      <w:r w:rsidRPr="00D2758E">
        <w:t xml:space="preserve">Mechanisms </w:t>
      </w:r>
      <w:r w:rsidR="000D35E5" w:rsidRPr="00D2758E">
        <w:t xml:space="preserve">and systems </w:t>
      </w:r>
      <w:r w:rsidRPr="00D2758E">
        <w:t>to monitor</w:t>
      </w:r>
      <w:r w:rsidR="000D35E5" w:rsidRPr="00D2758E">
        <w:t>, account</w:t>
      </w:r>
      <w:r w:rsidR="0099142C" w:rsidRPr="00D2758E">
        <w:t xml:space="preserve"> for</w:t>
      </w:r>
      <w:r w:rsidRPr="00D2758E">
        <w:t xml:space="preserve"> and disburse </w:t>
      </w:r>
      <w:r w:rsidR="00577C29" w:rsidRPr="00D2758E">
        <w:t>benefit</w:t>
      </w:r>
      <w:r w:rsidR="009170A3">
        <w:t xml:space="preserve"> </w:t>
      </w:r>
      <w:r w:rsidRPr="00D2758E">
        <w:t>sharing</w:t>
      </w:r>
      <w:r w:rsidR="0099142C" w:rsidRPr="00D2758E">
        <w:t>, including the tracking of benefits over time</w:t>
      </w:r>
      <w:r w:rsidR="00C2098B" w:rsidRPr="00D2758E">
        <w:t>;</w:t>
      </w:r>
    </w:p>
    <w:p w14:paraId="33455A3F" w14:textId="6E8A74CA" w:rsidR="001017C5" w:rsidRPr="00D2758E" w:rsidRDefault="001017C5" w:rsidP="00A558F3">
      <w:pPr>
        <w:pStyle w:val="CBDNormalNumber"/>
        <w:numPr>
          <w:ilvl w:val="1"/>
          <w:numId w:val="7"/>
        </w:numPr>
      </w:pPr>
      <w:r w:rsidRPr="00D2758E">
        <w:t xml:space="preserve">Legal </w:t>
      </w:r>
      <w:r w:rsidR="00210065" w:rsidRPr="00D2758E">
        <w:t xml:space="preserve">and </w:t>
      </w:r>
      <w:r w:rsidR="00F015FF" w:rsidRPr="00D2758E">
        <w:t xml:space="preserve">technical </w:t>
      </w:r>
      <w:r w:rsidRPr="00D2758E">
        <w:t xml:space="preserve">capacity for the negotiation of </w:t>
      </w:r>
      <w:r w:rsidR="00355CD1">
        <w:t>access and benefit-sharing</w:t>
      </w:r>
      <w:r w:rsidRPr="00D2758E">
        <w:t xml:space="preserve"> agreements, including </w:t>
      </w:r>
      <w:r w:rsidR="00F015FF" w:rsidRPr="00D2758E">
        <w:t xml:space="preserve">an improved </w:t>
      </w:r>
      <w:r w:rsidRPr="00D2758E">
        <w:t xml:space="preserve">understanding of </w:t>
      </w:r>
      <w:r w:rsidR="007278F1" w:rsidRPr="00D2758E">
        <w:t>value chains</w:t>
      </w:r>
      <w:r w:rsidR="007278F1">
        <w:t xml:space="preserve"> </w:t>
      </w:r>
      <w:r w:rsidR="007278F1" w:rsidRPr="00D2758E">
        <w:t>related</w:t>
      </w:r>
      <w:r w:rsidR="007278F1">
        <w:t xml:space="preserve"> to </w:t>
      </w:r>
      <w:r w:rsidR="00BA4B9F">
        <w:t>access and benefit</w:t>
      </w:r>
      <w:r w:rsidR="00DA6730">
        <w:t xml:space="preserve"> </w:t>
      </w:r>
      <w:r w:rsidR="00BA4B9F">
        <w:t>sharing</w:t>
      </w:r>
      <w:r w:rsidR="00F015FF" w:rsidRPr="00D2758E">
        <w:t>,</w:t>
      </w:r>
      <w:r w:rsidRPr="00D2758E">
        <w:t xml:space="preserve"> market</w:t>
      </w:r>
      <w:r w:rsidR="001237AA" w:rsidRPr="00D2758E">
        <w:t xml:space="preserve">s and commercialization pathways </w:t>
      </w:r>
      <w:r w:rsidRPr="00D2758E">
        <w:t xml:space="preserve">of relevance to </w:t>
      </w:r>
      <w:r w:rsidR="00DA6730">
        <w:t>access and benefit sharing</w:t>
      </w:r>
      <w:r w:rsidRPr="00D2758E">
        <w:t xml:space="preserve"> and </w:t>
      </w:r>
      <w:r w:rsidR="00A955D1" w:rsidRPr="00D2758E">
        <w:t xml:space="preserve">the </w:t>
      </w:r>
      <w:r w:rsidRPr="00D2758E">
        <w:t xml:space="preserve">establishment of </w:t>
      </w:r>
      <w:r w:rsidR="00A955D1" w:rsidRPr="00D2758E">
        <w:t xml:space="preserve">equitable </w:t>
      </w:r>
      <w:r w:rsidR="00380A66">
        <w:t xml:space="preserve">access and benefit-sharing </w:t>
      </w:r>
      <w:r w:rsidRPr="00D2758E">
        <w:t>agreements/partnerships between users and providers</w:t>
      </w:r>
      <w:r w:rsidR="003A2355">
        <w:t>;</w:t>
      </w:r>
    </w:p>
    <w:p w14:paraId="2EDCB4F4" w14:textId="7CEDC388" w:rsidR="005C04D9" w:rsidRPr="00D2758E" w:rsidRDefault="00FB3588" w:rsidP="00A558F3">
      <w:pPr>
        <w:pStyle w:val="CBDNormalNumber"/>
        <w:numPr>
          <w:ilvl w:val="1"/>
          <w:numId w:val="7"/>
        </w:numPr>
      </w:pPr>
      <w:r w:rsidRPr="00D2758E">
        <w:t xml:space="preserve">Support to </w:t>
      </w:r>
      <w:r w:rsidR="0064761B" w:rsidRPr="00D2758E">
        <w:t>i</w:t>
      </w:r>
      <w:r w:rsidR="00614EA4" w:rsidRPr="00D2758E">
        <w:t>ndigenous peoples and local communities</w:t>
      </w:r>
      <w:r w:rsidR="00936A25" w:rsidRPr="00D2758E">
        <w:t xml:space="preserve"> </w:t>
      </w:r>
      <w:r w:rsidR="00464049">
        <w:t>for</w:t>
      </w:r>
      <w:r w:rsidR="00002B6E" w:rsidRPr="00D2758E">
        <w:t xml:space="preserve"> engag</w:t>
      </w:r>
      <w:r w:rsidR="000A6EF1">
        <w:t>ing</w:t>
      </w:r>
      <w:r w:rsidR="00002B6E" w:rsidRPr="00D2758E">
        <w:t xml:space="preserve"> </w:t>
      </w:r>
      <w:r w:rsidR="005B4265" w:rsidRPr="00C26769">
        <w:t>effectively</w:t>
      </w:r>
      <w:r w:rsidR="00002B6E" w:rsidRPr="00D2758E">
        <w:t xml:space="preserve"> in </w:t>
      </w:r>
      <w:r w:rsidR="00380A66" w:rsidRPr="00380A66">
        <w:t xml:space="preserve">access and benefit-sharing </w:t>
      </w:r>
      <w:r w:rsidR="00002B6E" w:rsidRPr="00D2758E">
        <w:t>processes</w:t>
      </w:r>
      <w:r w:rsidR="005C04D9" w:rsidRPr="00D2758E">
        <w:t>, including for the development</w:t>
      </w:r>
      <w:r w:rsidR="005B4265" w:rsidRPr="00D2758E">
        <w:t>,</w:t>
      </w:r>
      <w:r w:rsidR="005C04D9" w:rsidRPr="00D2758E">
        <w:t xml:space="preserve"> implementation </w:t>
      </w:r>
      <w:r w:rsidR="005B4265" w:rsidRPr="00D2758E">
        <w:t>and use</w:t>
      </w:r>
      <w:r w:rsidR="005C04D9" w:rsidRPr="00D2758E">
        <w:t xml:space="preserve"> of community protocols;</w:t>
      </w:r>
    </w:p>
    <w:p w14:paraId="4EF9497A" w14:textId="4873365C" w:rsidR="00FB3588" w:rsidRPr="00D2758E" w:rsidRDefault="00824258" w:rsidP="00A558F3">
      <w:pPr>
        <w:pStyle w:val="CBDNormalNumber"/>
        <w:numPr>
          <w:ilvl w:val="1"/>
          <w:numId w:val="7"/>
        </w:numPr>
      </w:pPr>
      <w:r w:rsidRPr="00D2758E">
        <w:t xml:space="preserve">Awareness-raising of </w:t>
      </w:r>
      <w:r w:rsidR="000A6EF1">
        <w:t>access and benefit sharing</w:t>
      </w:r>
      <w:r w:rsidRPr="00D2758E">
        <w:t xml:space="preserve"> </w:t>
      </w:r>
      <w:r w:rsidR="00DC6C37" w:rsidRPr="00D2758E">
        <w:t xml:space="preserve">and </w:t>
      </w:r>
      <w:r w:rsidR="005B4265" w:rsidRPr="00D2758E">
        <w:t xml:space="preserve">sustained </w:t>
      </w:r>
      <w:r w:rsidR="00DC6C37" w:rsidRPr="00D2758E">
        <w:t xml:space="preserve">engagement of </w:t>
      </w:r>
      <w:r w:rsidR="00FB3588" w:rsidRPr="00D2758E">
        <w:t>stakeholders, including the business and scientific communities</w:t>
      </w:r>
      <w:r w:rsidR="001E3869" w:rsidRPr="00D2758E">
        <w:t>;</w:t>
      </w:r>
    </w:p>
    <w:p w14:paraId="462BA374" w14:textId="2E46ED9B" w:rsidR="00792377" w:rsidRPr="00D2758E" w:rsidRDefault="00B97BAA" w:rsidP="00A558F3">
      <w:pPr>
        <w:pStyle w:val="CBDNormalNumber"/>
        <w:numPr>
          <w:ilvl w:val="1"/>
          <w:numId w:val="7"/>
        </w:numPr>
        <w:rPr>
          <w:rFonts w:eastAsia="DengXian Light"/>
        </w:rPr>
      </w:pPr>
      <w:r w:rsidRPr="00D2758E">
        <w:t>Develop</w:t>
      </w:r>
      <w:r w:rsidR="00EE6E53">
        <w:t>ing</w:t>
      </w:r>
      <w:r w:rsidRPr="00D2758E">
        <w:t>, o</w:t>
      </w:r>
      <w:r w:rsidR="0099355A" w:rsidRPr="00D2758E">
        <w:t>perating</w:t>
      </w:r>
      <w:r w:rsidR="0099355A" w:rsidRPr="00D2758E">
        <w:rPr>
          <w:rFonts w:eastAsia="DengXian Light"/>
        </w:rPr>
        <w:t xml:space="preserve"> and maintaining </w:t>
      </w:r>
      <w:r w:rsidR="00AD1DFD" w:rsidRPr="00D2758E">
        <w:rPr>
          <w:rFonts w:eastAsia="DengXian Light"/>
        </w:rPr>
        <w:t>digital tools</w:t>
      </w:r>
      <w:r w:rsidR="00AD1DFD">
        <w:rPr>
          <w:rFonts w:eastAsia="DengXian Light"/>
        </w:rPr>
        <w:t xml:space="preserve"> related to </w:t>
      </w:r>
      <w:r w:rsidR="003B61C7">
        <w:rPr>
          <w:rFonts w:eastAsia="DengXian Light"/>
        </w:rPr>
        <w:t>access and benefit-sharing</w:t>
      </w:r>
      <w:r w:rsidRPr="00D2758E">
        <w:rPr>
          <w:rFonts w:eastAsia="DengXian Light"/>
        </w:rPr>
        <w:t>, online systems</w:t>
      </w:r>
      <w:r w:rsidR="0099355A" w:rsidRPr="00D2758E">
        <w:rPr>
          <w:rFonts w:eastAsia="DengXian Light"/>
        </w:rPr>
        <w:t xml:space="preserve"> and databases</w:t>
      </w:r>
      <w:r w:rsidRPr="00D2758E">
        <w:rPr>
          <w:rFonts w:eastAsia="DengXian Light"/>
        </w:rPr>
        <w:t xml:space="preserve"> to support</w:t>
      </w:r>
      <w:r w:rsidR="00FE1B3E" w:rsidRPr="00D2758E">
        <w:rPr>
          <w:rFonts w:eastAsia="DengXian Light"/>
        </w:rPr>
        <w:t xml:space="preserve"> access, benefit</w:t>
      </w:r>
      <w:r w:rsidR="00EE6E53">
        <w:rPr>
          <w:rFonts w:eastAsia="DengXian Light"/>
        </w:rPr>
        <w:t xml:space="preserve"> </w:t>
      </w:r>
      <w:r w:rsidR="00FE1B3E" w:rsidRPr="00D2758E">
        <w:rPr>
          <w:rFonts w:eastAsia="DengXian Light"/>
        </w:rPr>
        <w:t>sharing and compliance</w:t>
      </w:r>
      <w:r w:rsidR="00483B10">
        <w:rPr>
          <w:rFonts w:eastAsia="DengXian Light"/>
        </w:rPr>
        <w:t>;</w:t>
      </w:r>
    </w:p>
    <w:p w14:paraId="46B0A401" w14:textId="72160DC0" w:rsidR="0070401A" w:rsidRPr="00D2758E" w:rsidRDefault="0070401A" w:rsidP="00A558F3">
      <w:pPr>
        <w:pStyle w:val="CBDNormalNumber"/>
        <w:numPr>
          <w:ilvl w:val="1"/>
          <w:numId w:val="7"/>
        </w:numPr>
        <w:rPr>
          <w:rFonts w:eastAsia="DengXian Light"/>
        </w:rPr>
      </w:pPr>
      <w:r w:rsidRPr="00D2758E">
        <w:t xml:space="preserve">Strengthening institutional coordination and cross-sectoral cooperation among relevant authorities and stakeholders involved in </w:t>
      </w:r>
      <w:r w:rsidR="00AC3D2D">
        <w:t xml:space="preserve">access and benefit-sharing </w:t>
      </w:r>
      <w:r w:rsidRPr="00D2758E">
        <w:t>implementation</w:t>
      </w:r>
      <w:r w:rsidR="00483B10">
        <w:t>.</w:t>
      </w:r>
    </w:p>
    <w:p w14:paraId="0679C1BA" w14:textId="0D5F5F02" w:rsidR="00094CBA" w:rsidRPr="00D2758E" w:rsidRDefault="00792377" w:rsidP="00D2758E">
      <w:pPr>
        <w:pStyle w:val="CBDNormalNumber"/>
        <w:rPr>
          <w:rFonts w:asciiTheme="majorBidi" w:hAnsiTheme="majorBidi" w:cstheme="majorBidi"/>
        </w:rPr>
      </w:pPr>
      <w:r w:rsidRPr="00D2758E">
        <w:rPr>
          <w:rFonts w:asciiTheme="majorBidi" w:eastAsia="DengXian Light" w:hAnsiTheme="majorBidi" w:cstheme="majorBidi"/>
        </w:rPr>
        <w:t>Knowledge management and experience</w:t>
      </w:r>
      <w:r w:rsidR="00D81C50">
        <w:rPr>
          <w:rFonts w:asciiTheme="majorBidi" w:eastAsia="DengXian Light" w:hAnsiTheme="majorBidi" w:cstheme="majorBidi"/>
        </w:rPr>
        <w:t xml:space="preserve"> </w:t>
      </w:r>
      <w:r w:rsidRPr="00D2758E">
        <w:rPr>
          <w:rFonts w:asciiTheme="majorBidi" w:eastAsia="DengXian Light" w:hAnsiTheme="majorBidi" w:cstheme="majorBidi"/>
        </w:rPr>
        <w:t xml:space="preserve">sharing remain underdeveloped within </w:t>
      </w:r>
      <w:r w:rsidR="004036C7">
        <w:rPr>
          <w:rFonts w:asciiTheme="majorBidi" w:eastAsia="DengXian Light" w:hAnsiTheme="majorBidi" w:cstheme="majorBidi"/>
        </w:rPr>
        <w:t xml:space="preserve">access and benefit-sharing </w:t>
      </w:r>
      <w:r w:rsidRPr="00D2758E">
        <w:rPr>
          <w:rFonts w:asciiTheme="majorBidi" w:eastAsia="DengXian Light" w:hAnsiTheme="majorBidi" w:cstheme="majorBidi"/>
        </w:rPr>
        <w:t xml:space="preserve">capacity-building efforts. Lessons learned and good practices are not always systematically documented or disseminated, including through the </w:t>
      </w:r>
      <w:r w:rsidR="00804FB7">
        <w:rPr>
          <w:rFonts w:asciiTheme="majorBidi" w:eastAsia="DengXian Light" w:hAnsiTheme="majorBidi" w:cstheme="majorBidi"/>
        </w:rPr>
        <w:t>Ac</w:t>
      </w:r>
      <w:r w:rsidR="006A4F21">
        <w:rPr>
          <w:rFonts w:asciiTheme="majorBidi" w:eastAsia="DengXian Light" w:hAnsiTheme="majorBidi" w:cstheme="majorBidi"/>
        </w:rPr>
        <w:t>c</w:t>
      </w:r>
      <w:r w:rsidR="00804FB7">
        <w:rPr>
          <w:rFonts w:asciiTheme="majorBidi" w:eastAsia="DengXian Light" w:hAnsiTheme="majorBidi" w:cstheme="majorBidi"/>
        </w:rPr>
        <w:t xml:space="preserve">ess and Benefit-sharing </w:t>
      </w:r>
      <w:r w:rsidRPr="00D2758E">
        <w:rPr>
          <w:rFonts w:asciiTheme="majorBidi" w:eastAsia="DengXian Light" w:hAnsiTheme="majorBidi" w:cstheme="majorBidi"/>
        </w:rPr>
        <w:t>Clearing‑House</w:t>
      </w:r>
      <w:r w:rsidRPr="00D2758E">
        <w:rPr>
          <w:rFonts w:asciiTheme="majorBidi" w:hAnsiTheme="majorBidi" w:cstheme="majorBidi"/>
        </w:rPr>
        <w:t>,</w:t>
      </w:r>
      <w:r w:rsidRPr="00D2758E">
        <w:rPr>
          <w:rFonts w:asciiTheme="majorBidi" w:eastAsia="DengXian Light" w:hAnsiTheme="majorBidi" w:cstheme="majorBidi"/>
        </w:rPr>
        <w:t xml:space="preserve"> which constrains cumulative learning </w:t>
      </w:r>
      <w:r w:rsidR="003A2355">
        <w:rPr>
          <w:rFonts w:asciiTheme="majorBidi" w:eastAsia="DengXian Light" w:hAnsiTheme="majorBidi" w:cstheme="majorBidi"/>
        </w:rPr>
        <w:t xml:space="preserve">through </w:t>
      </w:r>
      <w:r w:rsidRPr="00D2758E">
        <w:rPr>
          <w:rFonts w:asciiTheme="majorBidi" w:eastAsia="DengXian Light" w:hAnsiTheme="majorBidi" w:cstheme="majorBidi"/>
        </w:rPr>
        <w:t>and effectiveness of capacity</w:t>
      </w:r>
      <w:r w:rsidRPr="00D2758E">
        <w:rPr>
          <w:rFonts w:asciiTheme="majorBidi" w:eastAsia="DengXian Light" w:hAnsiTheme="majorBidi" w:cstheme="majorBidi"/>
        </w:rPr>
        <w:noBreakHyphen/>
        <w:t xml:space="preserve">building investments. </w:t>
      </w:r>
    </w:p>
    <w:p w14:paraId="5CD7CC62" w14:textId="2517877B" w:rsidR="00792377" w:rsidRPr="00D2758E" w:rsidRDefault="00792377" w:rsidP="00CD2C50">
      <w:pPr>
        <w:pStyle w:val="CBDNormalNumber"/>
        <w:rPr>
          <w:rFonts w:eastAsia="DengXian Light"/>
        </w:rPr>
      </w:pPr>
      <w:r w:rsidRPr="00D2758E">
        <w:rPr>
          <w:rFonts w:asciiTheme="majorBidi" w:eastAsia="DengXian Light" w:hAnsiTheme="majorBidi" w:cstheme="majorBidi"/>
        </w:rPr>
        <w:t>The predominant focus on national</w:t>
      </w:r>
      <w:r w:rsidRPr="00D2758E">
        <w:rPr>
          <w:rFonts w:asciiTheme="majorBidi" w:eastAsia="DengXian Light" w:hAnsiTheme="majorBidi" w:cstheme="majorBidi"/>
        </w:rPr>
        <w:noBreakHyphen/>
        <w:t>level capacity</w:t>
      </w:r>
      <w:r w:rsidRPr="00D2758E">
        <w:rPr>
          <w:rFonts w:asciiTheme="majorBidi" w:eastAsia="DengXian Light" w:hAnsiTheme="majorBidi" w:cstheme="majorBidi"/>
        </w:rPr>
        <w:noBreakHyphen/>
        <w:t>building projects has resulted in fewer opportunities for structured peer learning</w:t>
      </w:r>
      <w:r w:rsidR="00D52BE9" w:rsidRPr="00D2758E">
        <w:rPr>
          <w:rFonts w:asciiTheme="majorBidi" w:eastAsia="DengXian Light" w:hAnsiTheme="majorBidi" w:cstheme="majorBidi"/>
        </w:rPr>
        <w:t xml:space="preserve"> and</w:t>
      </w:r>
      <w:r w:rsidRPr="00D2758E">
        <w:rPr>
          <w:rFonts w:asciiTheme="majorBidi" w:eastAsia="DengXian Light" w:hAnsiTheme="majorBidi" w:cstheme="majorBidi"/>
        </w:rPr>
        <w:t xml:space="preserve"> South–South cooperation </w:t>
      </w:r>
      <w:r w:rsidR="001C2D40" w:rsidRPr="00D2758E">
        <w:rPr>
          <w:rFonts w:asciiTheme="majorBidi" w:eastAsia="DengXian Light" w:hAnsiTheme="majorBidi" w:cstheme="majorBidi"/>
        </w:rPr>
        <w:t>which</w:t>
      </w:r>
      <w:r w:rsidR="00E97FD5" w:rsidRPr="00D2758E">
        <w:rPr>
          <w:rFonts w:asciiTheme="majorBidi" w:eastAsia="DengXian Light" w:hAnsiTheme="majorBidi" w:cstheme="majorBidi"/>
        </w:rPr>
        <w:t xml:space="preserve"> allow the sharing of experiences </w:t>
      </w:r>
      <w:r w:rsidR="000C412A">
        <w:rPr>
          <w:rFonts w:asciiTheme="majorBidi" w:eastAsia="DengXian Light" w:hAnsiTheme="majorBidi" w:cstheme="majorBidi"/>
        </w:rPr>
        <w:t xml:space="preserve">related to access and benefit-sharing </w:t>
      </w:r>
      <w:r w:rsidR="00805E71" w:rsidRPr="00D2758E">
        <w:rPr>
          <w:rFonts w:asciiTheme="majorBidi" w:eastAsia="DengXian Light" w:hAnsiTheme="majorBidi" w:cstheme="majorBidi"/>
        </w:rPr>
        <w:t>implement</w:t>
      </w:r>
      <w:r w:rsidR="008C3504" w:rsidRPr="00D2758E">
        <w:rPr>
          <w:rFonts w:asciiTheme="majorBidi" w:eastAsia="DengXian Light" w:hAnsiTheme="majorBidi" w:cstheme="majorBidi"/>
        </w:rPr>
        <w:t>ation</w:t>
      </w:r>
      <w:r w:rsidR="00E97FD5" w:rsidRPr="00D2758E">
        <w:rPr>
          <w:rFonts w:asciiTheme="majorBidi" w:eastAsia="DengXian Light" w:hAnsiTheme="majorBidi" w:cstheme="majorBidi"/>
        </w:rPr>
        <w:t xml:space="preserve"> </w:t>
      </w:r>
      <w:r w:rsidR="00D571B1" w:rsidRPr="00D2758E">
        <w:rPr>
          <w:rFonts w:asciiTheme="majorBidi" w:eastAsia="DengXian Light" w:hAnsiTheme="majorBidi" w:cstheme="majorBidi"/>
        </w:rPr>
        <w:t>between countries or</w:t>
      </w:r>
      <w:r w:rsidR="00E97FD5" w:rsidRPr="00D2758E">
        <w:rPr>
          <w:rFonts w:asciiTheme="majorBidi" w:eastAsia="DengXian Light" w:hAnsiTheme="majorBidi" w:cstheme="majorBidi"/>
        </w:rPr>
        <w:t xml:space="preserve"> </w:t>
      </w:r>
      <w:r w:rsidR="00C6760E" w:rsidRPr="00D2758E">
        <w:rPr>
          <w:rFonts w:asciiTheme="majorBidi" w:hAnsiTheme="majorBidi" w:cstheme="majorBidi"/>
        </w:rPr>
        <w:t>region</w:t>
      </w:r>
      <w:r w:rsidR="00D571B1" w:rsidRPr="00D2758E">
        <w:rPr>
          <w:rFonts w:asciiTheme="majorBidi" w:hAnsiTheme="majorBidi" w:cstheme="majorBidi"/>
        </w:rPr>
        <w:t xml:space="preserve">s. </w:t>
      </w:r>
    </w:p>
    <w:p w14:paraId="5DC8AD75" w14:textId="43C5F683" w:rsidR="00792377" w:rsidRPr="00D2758E" w:rsidRDefault="00792377" w:rsidP="00CD2C50">
      <w:pPr>
        <w:pStyle w:val="CBDNormalNumber"/>
        <w:rPr>
          <w:rFonts w:eastAsia="DengXian Light"/>
        </w:rPr>
      </w:pPr>
      <w:r w:rsidRPr="00D2758E">
        <w:rPr>
          <w:rFonts w:asciiTheme="majorBidi" w:eastAsia="DengXian Light" w:hAnsiTheme="majorBidi" w:cstheme="majorBidi"/>
        </w:rPr>
        <w:t>Capacity</w:t>
      </w:r>
      <w:r w:rsidRPr="00D2758E">
        <w:rPr>
          <w:rFonts w:asciiTheme="majorBidi" w:eastAsia="DengXian Light" w:hAnsiTheme="majorBidi" w:cstheme="majorBidi"/>
        </w:rPr>
        <w:noBreakHyphen/>
        <w:t>building under the Nagoya Protocol has been characteri</w:t>
      </w:r>
      <w:r w:rsidR="00521FF0">
        <w:rPr>
          <w:rFonts w:asciiTheme="majorBidi" w:eastAsia="DengXian Light" w:hAnsiTheme="majorBidi" w:cstheme="majorBidi"/>
        </w:rPr>
        <w:t>z</w:t>
      </w:r>
      <w:r w:rsidRPr="00D2758E">
        <w:rPr>
          <w:rFonts w:asciiTheme="majorBidi" w:eastAsia="DengXian Light" w:hAnsiTheme="majorBidi" w:cstheme="majorBidi"/>
        </w:rPr>
        <w:t xml:space="preserve">ed by a limited range of financing </w:t>
      </w:r>
      <w:r w:rsidR="00692E8A" w:rsidRPr="00D2758E">
        <w:rPr>
          <w:rFonts w:asciiTheme="majorBidi" w:eastAsia="DengXian Light" w:hAnsiTheme="majorBidi" w:cstheme="majorBidi"/>
        </w:rPr>
        <w:t xml:space="preserve">sources </w:t>
      </w:r>
      <w:r w:rsidRPr="00D2758E">
        <w:rPr>
          <w:rFonts w:asciiTheme="majorBidi" w:eastAsia="DengXian Light" w:hAnsiTheme="majorBidi" w:cstheme="majorBidi"/>
        </w:rPr>
        <w:t xml:space="preserve">and </w:t>
      </w:r>
      <w:r w:rsidR="00593A15" w:rsidRPr="00D2758E">
        <w:rPr>
          <w:rFonts w:asciiTheme="majorBidi" w:eastAsia="DengXian Light" w:hAnsiTheme="majorBidi" w:cstheme="majorBidi"/>
        </w:rPr>
        <w:t xml:space="preserve">capacity-building </w:t>
      </w:r>
      <w:r w:rsidR="00593A15" w:rsidRPr="00D2758E">
        <w:t>providers</w:t>
      </w:r>
      <w:r w:rsidRPr="00D2758E">
        <w:rPr>
          <w:rFonts w:asciiTheme="majorBidi" w:eastAsia="DengXian Light" w:hAnsiTheme="majorBidi" w:cstheme="majorBidi"/>
        </w:rPr>
        <w:t>. Capacity</w:t>
      </w:r>
      <w:r w:rsidRPr="00D2758E">
        <w:rPr>
          <w:rFonts w:asciiTheme="majorBidi" w:eastAsia="DengXian Light" w:hAnsiTheme="majorBidi" w:cstheme="majorBidi"/>
        </w:rPr>
        <w:noBreakHyphen/>
        <w:t xml:space="preserve">building has been delivered </w:t>
      </w:r>
      <w:r w:rsidR="000C412A" w:rsidRPr="00D2758E">
        <w:rPr>
          <w:rFonts w:asciiTheme="majorBidi" w:eastAsia="DengXian Light" w:hAnsiTheme="majorBidi" w:cstheme="majorBidi"/>
        </w:rPr>
        <w:t xml:space="preserve">largely </w:t>
      </w:r>
      <w:r w:rsidRPr="00D2758E">
        <w:rPr>
          <w:rFonts w:asciiTheme="majorBidi" w:eastAsia="DengXian Light" w:hAnsiTheme="majorBidi" w:cstheme="majorBidi"/>
        </w:rPr>
        <w:t>through</w:t>
      </w:r>
      <w:r w:rsidRPr="00D2758E">
        <w:rPr>
          <w:rFonts w:eastAsia="DengXian Light"/>
        </w:rPr>
        <w:t xml:space="preserve"> internationally funded projects, with approximately 90 per cent of current initiatives supported through </w:t>
      </w:r>
      <w:r w:rsidR="00B9317F">
        <w:rPr>
          <w:rFonts w:eastAsia="DengXian Light"/>
        </w:rPr>
        <w:t>GEF</w:t>
      </w:r>
      <w:r w:rsidRPr="00D2758E">
        <w:rPr>
          <w:rFonts w:eastAsia="DengXian Light"/>
        </w:rPr>
        <w:t xml:space="preserve"> and implemented by a small number of large agencies. The closure of the Capacity Development Initiative has further narrowed the landscape of speciali</w:t>
      </w:r>
      <w:r w:rsidR="000C412A">
        <w:rPr>
          <w:rFonts w:eastAsia="DengXian Light"/>
        </w:rPr>
        <w:t>z</w:t>
      </w:r>
      <w:r w:rsidRPr="00D2758E">
        <w:rPr>
          <w:rFonts w:eastAsia="DengXian Light"/>
        </w:rPr>
        <w:t>ed capacity</w:t>
      </w:r>
      <w:r w:rsidRPr="00D2758E">
        <w:rPr>
          <w:rFonts w:eastAsia="DengXian Light"/>
        </w:rPr>
        <w:noBreakHyphen/>
        <w:t>building providers.</w:t>
      </w:r>
    </w:p>
    <w:p w14:paraId="49481A2D" w14:textId="1C8EEB44" w:rsidR="00792377" w:rsidRPr="00D2758E" w:rsidRDefault="00792377" w:rsidP="00CD2C50">
      <w:pPr>
        <w:pStyle w:val="CBDNormalNumber"/>
        <w:rPr>
          <w:rFonts w:asciiTheme="majorBidi" w:eastAsia="DengXian Light" w:hAnsiTheme="majorBidi" w:cstheme="majorBidi"/>
        </w:rPr>
      </w:pPr>
      <w:r w:rsidRPr="00D2758E">
        <w:rPr>
          <w:rFonts w:asciiTheme="majorBidi" w:eastAsia="DengXian Light" w:hAnsiTheme="majorBidi" w:cstheme="majorBidi"/>
        </w:rPr>
        <w:t xml:space="preserve">These challenges are reinforced by the </w:t>
      </w:r>
      <w:r w:rsidR="008D0201" w:rsidRPr="00D2758E">
        <w:rPr>
          <w:rFonts w:asciiTheme="majorBidi" w:eastAsia="DengXian Light" w:hAnsiTheme="majorBidi" w:cstheme="majorBidi"/>
        </w:rPr>
        <w:t xml:space="preserve">short-term </w:t>
      </w:r>
      <w:r w:rsidRPr="00D2758E">
        <w:rPr>
          <w:rFonts w:asciiTheme="majorBidi" w:eastAsia="DengXian Light" w:hAnsiTheme="majorBidi" w:cstheme="majorBidi"/>
        </w:rPr>
        <w:t>nature of many capacity</w:t>
      </w:r>
      <w:r w:rsidRPr="00D2758E">
        <w:rPr>
          <w:rFonts w:asciiTheme="majorBidi" w:eastAsia="DengXian Light" w:hAnsiTheme="majorBidi" w:cstheme="majorBidi"/>
        </w:rPr>
        <w:noBreakHyphen/>
        <w:t>building initiatives. As access and benefit</w:t>
      </w:r>
      <w:r w:rsidRPr="00D2758E">
        <w:rPr>
          <w:rFonts w:asciiTheme="majorBidi" w:eastAsia="DengXian Light" w:hAnsiTheme="majorBidi" w:cstheme="majorBidi"/>
        </w:rPr>
        <w:noBreakHyphen/>
        <w:t>sharing implementation is inherently long</w:t>
      </w:r>
      <w:r w:rsidRPr="00D2758E">
        <w:rPr>
          <w:rFonts w:asciiTheme="majorBidi" w:eastAsia="DengXian Light" w:hAnsiTheme="majorBidi" w:cstheme="majorBidi"/>
        </w:rPr>
        <w:noBreakHyphen/>
        <w:t xml:space="preserve">term and incremental, extended periods are often required to move from </w:t>
      </w:r>
      <w:r w:rsidRPr="00D2758E">
        <w:t>legal</w:t>
      </w:r>
      <w:r w:rsidRPr="00D2758E">
        <w:rPr>
          <w:rFonts w:asciiTheme="majorBidi" w:eastAsia="DengXian Light" w:hAnsiTheme="majorBidi" w:cstheme="majorBidi"/>
        </w:rPr>
        <w:t xml:space="preserve"> frameworks and procedures to functioning systems that generate benefit</w:t>
      </w:r>
      <w:r w:rsidRPr="00D2758E">
        <w:rPr>
          <w:rFonts w:asciiTheme="majorBidi" w:eastAsia="DengXian Light" w:hAnsiTheme="majorBidi" w:cstheme="majorBidi"/>
        </w:rPr>
        <w:noBreakHyphen/>
        <w:t>sharing outcomes. In the absence of sequenced or follow</w:t>
      </w:r>
      <w:r w:rsidRPr="00D2758E">
        <w:rPr>
          <w:rFonts w:asciiTheme="majorBidi" w:eastAsia="DengXian Light" w:hAnsiTheme="majorBidi" w:cstheme="majorBidi"/>
        </w:rPr>
        <w:noBreakHyphen/>
        <w:t xml:space="preserve">up support, countries face a recurring risk of losing trained personnel, institutional knowledge and practical experience before national </w:t>
      </w:r>
      <w:r w:rsidR="00233126">
        <w:rPr>
          <w:rFonts w:asciiTheme="majorBidi" w:eastAsia="DengXian Light" w:hAnsiTheme="majorBidi" w:cstheme="majorBidi"/>
        </w:rPr>
        <w:t xml:space="preserve">access and benefit-sharing </w:t>
      </w:r>
      <w:r w:rsidRPr="00D2758E">
        <w:rPr>
          <w:rFonts w:asciiTheme="majorBidi" w:eastAsia="DengXian Light" w:hAnsiTheme="majorBidi" w:cstheme="majorBidi"/>
        </w:rPr>
        <w:t>systems become operational.</w:t>
      </w:r>
    </w:p>
    <w:p w14:paraId="481EBE30" w14:textId="5D691FD4" w:rsidR="004D6E79" w:rsidRPr="00D2758E" w:rsidRDefault="004D631D" w:rsidP="00AC2727">
      <w:pPr>
        <w:pStyle w:val="CBDH4"/>
      </w:pPr>
      <w:r>
        <w:t>(c)</w:t>
      </w:r>
      <w:r>
        <w:tab/>
      </w:r>
      <w:r w:rsidR="004D6E79" w:rsidRPr="00D2758E">
        <w:t xml:space="preserve">Possible </w:t>
      </w:r>
      <w:r w:rsidR="00BC2BA1" w:rsidRPr="00D2758E">
        <w:t xml:space="preserve">ways to enhance capacity-building </w:t>
      </w:r>
      <w:r w:rsidR="003B5C4C" w:rsidRPr="00D2758E">
        <w:t>for effective implementation of the Nagoya Protocol</w:t>
      </w:r>
    </w:p>
    <w:p w14:paraId="142F68B9" w14:textId="6D71FB01" w:rsidR="004D6E79" w:rsidRPr="00D2758E" w:rsidRDefault="00F0229B" w:rsidP="00CD2C50">
      <w:pPr>
        <w:pStyle w:val="CBDNormalNumber"/>
      </w:pPr>
      <w:r w:rsidRPr="00D2758E" w:rsidDel="004D6E79">
        <w:t xml:space="preserve">Strengthening </w:t>
      </w:r>
      <w:r w:rsidRPr="00D2758E" w:rsidDel="004D6E79">
        <w:rPr>
          <w:rFonts w:eastAsia="DengXian Light"/>
        </w:rPr>
        <w:t>long</w:t>
      </w:r>
      <w:r w:rsidRPr="00D2758E" w:rsidDel="004D6E79">
        <w:t>-term</w:t>
      </w:r>
      <w:r w:rsidR="007941DA" w:rsidRPr="00D2758E" w:rsidDel="004D6E79">
        <w:t xml:space="preserve"> capacity-building planning</w:t>
      </w:r>
      <w:r w:rsidR="004D6E79" w:rsidRPr="00D2758E">
        <w:t>:</w:t>
      </w:r>
      <w:r w:rsidR="00B30DD3" w:rsidRPr="00D2758E" w:rsidDel="001254C5">
        <w:t xml:space="preserve"> </w:t>
      </w:r>
      <w:r w:rsidR="00CE7F8B">
        <w:t>c</w:t>
      </w:r>
      <w:r w:rsidR="004E3079" w:rsidRPr="00D2758E" w:rsidDel="004D6E79">
        <w:t>apacity-building under the Nagoya Protocol</w:t>
      </w:r>
      <w:r w:rsidR="0098341C" w:rsidRPr="00D2758E" w:rsidDel="004D6E79">
        <w:t xml:space="preserve"> would benefit from the adoption of a </w:t>
      </w:r>
      <w:r w:rsidR="00B30DD3" w:rsidRPr="00D2758E" w:rsidDel="004D6E79">
        <w:t>longer‑term, phased perspective, extending beyond the typical two‑to</w:t>
      </w:r>
      <w:r w:rsidR="005C5247">
        <w:t>-</w:t>
      </w:r>
      <w:r w:rsidR="00B30DD3" w:rsidRPr="00D2758E" w:rsidDel="004D6E79">
        <w:t>five‑</w:t>
      </w:r>
      <w:r w:rsidR="00B30DD3" w:rsidRPr="00D2758E" w:rsidDel="004D6E79">
        <w:rPr>
          <w:rFonts w:eastAsia="DengXian Light"/>
        </w:rPr>
        <w:t>year</w:t>
      </w:r>
      <w:r w:rsidR="00B30DD3" w:rsidRPr="00D2758E" w:rsidDel="004D6E79">
        <w:t xml:space="preserve"> project cycles</w:t>
      </w:r>
      <w:r w:rsidR="007263EC" w:rsidRPr="00D2758E" w:rsidDel="004D6E79">
        <w:t xml:space="preserve">. </w:t>
      </w:r>
      <w:r w:rsidR="00B30DD3" w:rsidRPr="00D2758E" w:rsidDel="004D6E79">
        <w:t xml:space="preserve"> </w:t>
      </w:r>
      <w:r w:rsidR="007263EC" w:rsidRPr="00D2758E" w:rsidDel="004D6E79">
        <w:t>Such an approach would better</w:t>
      </w:r>
      <w:r w:rsidR="00B30DD3" w:rsidRPr="00D2758E" w:rsidDel="004D6E79">
        <w:t xml:space="preserve"> </w:t>
      </w:r>
      <w:r w:rsidR="004D6E79" w:rsidRPr="00D2758E">
        <w:t>reflect the long</w:t>
      </w:r>
      <w:r w:rsidR="005C5247">
        <w:t>-</w:t>
      </w:r>
      <w:r w:rsidR="004D6E79" w:rsidRPr="00D2758E">
        <w:t xml:space="preserve"> term and </w:t>
      </w:r>
      <w:r w:rsidR="004D6E79" w:rsidRPr="00D2758E">
        <w:lastRenderedPageBreak/>
        <w:t xml:space="preserve">incremental nature of </w:t>
      </w:r>
      <w:r w:rsidR="005C5247">
        <w:t xml:space="preserve">access and benefit-sharing </w:t>
      </w:r>
      <w:r w:rsidR="004D6E79" w:rsidRPr="00D2758E">
        <w:t>implementation and enable capacity to be built, consolidated and sustained over time</w:t>
      </w:r>
      <w:r w:rsidR="006F662C" w:rsidRPr="00D2758E">
        <w:t>.</w:t>
      </w:r>
    </w:p>
    <w:p w14:paraId="0F3179E1" w14:textId="3B1E3BA6" w:rsidR="00B30DD3" w:rsidRPr="00D2758E" w:rsidRDefault="002F00BF" w:rsidP="00CD2C50">
      <w:pPr>
        <w:pStyle w:val="CBDNormalNumber"/>
        <w:rPr>
          <w:rFonts w:asciiTheme="majorBidi" w:hAnsiTheme="majorBidi" w:cstheme="majorBidi"/>
        </w:rPr>
      </w:pPr>
      <w:r w:rsidRPr="00D2758E">
        <w:rPr>
          <w:rFonts w:asciiTheme="majorBidi" w:hAnsiTheme="majorBidi" w:cstheme="majorBidi"/>
        </w:rPr>
        <w:t>In this context,</w:t>
      </w:r>
      <w:r w:rsidR="00891D65" w:rsidRPr="00D2758E">
        <w:rPr>
          <w:rFonts w:asciiTheme="majorBidi" w:hAnsiTheme="majorBidi" w:cstheme="majorBidi"/>
        </w:rPr>
        <w:t xml:space="preserve"> capacity-building </w:t>
      </w:r>
      <w:r w:rsidR="003B1A3F" w:rsidRPr="00D2758E">
        <w:rPr>
          <w:rFonts w:asciiTheme="majorBidi" w:hAnsiTheme="majorBidi" w:cstheme="majorBidi"/>
        </w:rPr>
        <w:t xml:space="preserve">could be designed as a </w:t>
      </w:r>
      <w:r w:rsidR="00B30DD3" w:rsidRPr="00D2758E" w:rsidDel="00596E09">
        <w:rPr>
          <w:rFonts w:asciiTheme="majorBidi" w:hAnsiTheme="majorBidi" w:cstheme="majorBidi"/>
        </w:rPr>
        <w:t>s</w:t>
      </w:r>
      <w:r w:rsidR="00B30DD3" w:rsidRPr="00D2758E">
        <w:rPr>
          <w:rFonts w:asciiTheme="majorBidi" w:hAnsiTheme="majorBidi" w:cstheme="majorBidi"/>
        </w:rPr>
        <w:t>equenced support</w:t>
      </w:r>
      <w:r w:rsidR="00F1333E" w:rsidRPr="00D2758E">
        <w:rPr>
          <w:rFonts w:asciiTheme="majorBidi" w:hAnsiTheme="majorBidi" w:cstheme="majorBidi"/>
        </w:rPr>
        <w:t>,</w:t>
      </w:r>
      <w:r w:rsidR="00B30DD3" w:rsidRPr="00D2758E">
        <w:rPr>
          <w:rFonts w:asciiTheme="majorBidi" w:hAnsiTheme="majorBidi" w:cstheme="majorBidi"/>
        </w:rPr>
        <w:t xml:space="preserve"> progressively engag</w:t>
      </w:r>
      <w:r w:rsidR="00B04ACD" w:rsidRPr="00D2758E">
        <w:rPr>
          <w:rFonts w:asciiTheme="majorBidi" w:hAnsiTheme="majorBidi" w:cstheme="majorBidi"/>
        </w:rPr>
        <w:t>ing</w:t>
      </w:r>
      <w:r w:rsidR="00B30DD3" w:rsidRPr="00D2758E">
        <w:rPr>
          <w:rFonts w:asciiTheme="majorBidi" w:hAnsiTheme="majorBidi" w:cstheme="majorBidi"/>
        </w:rPr>
        <w:t xml:space="preserve"> key stakeholder groups, as appropriate, </w:t>
      </w:r>
      <w:r w:rsidR="00B30DD3" w:rsidRPr="00D2758E">
        <w:t>including</w:t>
      </w:r>
      <w:r w:rsidR="00B30DD3" w:rsidRPr="00D2758E">
        <w:rPr>
          <w:rFonts w:asciiTheme="majorBidi" w:hAnsiTheme="majorBidi" w:cstheme="majorBidi"/>
        </w:rPr>
        <w:t xml:space="preserve"> government authorities, indigenous peoples and local communities, researchers and private sector actors</w:t>
      </w:r>
      <w:r w:rsidR="0038727A" w:rsidRPr="00D2758E">
        <w:rPr>
          <w:rFonts w:asciiTheme="majorBidi" w:hAnsiTheme="majorBidi" w:cstheme="majorBidi"/>
        </w:rPr>
        <w:t>.</w:t>
      </w:r>
      <w:r w:rsidR="00B30DD3" w:rsidRPr="00D2758E">
        <w:rPr>
          <w:rFonts w:asciiTheme="majorBidi" w:hAnsiTheme="majorBidi" w:cstheme="majorBidi"/>
        </w:rPr>
        <w:t xml:space="preserve"> </w:t>
      </w:r>
      <w:r w:rsidR="0000436E" w:rsidRPr="00D2758E">
        <w:rPr>
          <w:rFonts w:asciiTheme="majorBidi" w:hAnsiTheme="majorBidi" w:cstheme="majorBidi"/>
        </w:rPr>
        <w:t>Phased engagement would</w:t>
      </w:r>
      <w:r w:rsidR="00B30DD3" w:rsidRPr="00D2758E">
        <w:rPr>
          <w:rFonts w:asciiTheme="majorBidi" w:hAnsiTheme="majorBidi" w:cstheme="majorBidi"/>
        </w:rPr>
        <w:t xml:space="preserve"> </w:t>
      </w:r>
      <w:r w:rsidR="00CC7B3D" w:rsidRPr="00D2758E">
        <w:rPr>
          <w:rFonts w:asciiTheme="majorBidi" w:hAnsiTheme="majorBidi" w:cstheme="majorBidi"/>
        </w:rPr>
        <w:t>help</w:t>
      </w:r>
      <w:r w:rsidR="0000436E" w:rsidRPr="00D2758E">
        <w:rPr>
          <w:rFonts w:asciiTheme="majorBidi" w:hAnsiTheme="majorBidi" w:cstheme="majorBidi"/>
        </w:rPr>
        <w:t xml:space="preserve"> </w:t>
      </w:r>
      <w:r w:rsidR="00B30DD3" w:rsidRPr="00D2758E">
        <w:rPr>
          <w:rFonts w:asciiTheme="majorBidi" w:hAnsiTheme="majorBidi" w:cstheme="majorBidi"/>
        </w:rPr>
        <w:t xml:space="preserve">consolidate learning, reduce capacity loss </w:t>
      </w:r>
      <w:r w:rsidR="00CC7B3D" w:rsidRPr="00D2758E">
        <w:rPr>
          <w:rFonts w:asciiTheme="majorBidi" w:hAnsiTheme="majorBidi" w:cstheme="majorBidi"/>
        </w:rPr>
        <w:t xml:space="preserve">associated with staff turnover </w:t>
      </w:r>
      <w:r w:rsidR="00B30DD3" w:rsidRPr="00D2758E">
        <w:rPr>
          <w:rFonts w:asciiTheme="majorBidi" w:hAnsiTheme="majorBidi" w:cstheme="majorBidi"/>
        </w:rPr>
        <w:t xml:space="preserve">and support </w:t>
      </w:r>
      <w:r w:rsidR="00CC7B3D" w:rsidRPr="00D2758E">
        <w:rPr>
          <w:rFonts w:asciiTheme="majorBidi" w:hAnsiTheme="majorBidi" w:cstheme="majorBidi"/>
        </w:rPr>
        <w:t xml:space="preserve">continuity across different stages of </w:t>
      </w:r>
      <w:r w:rsidR="00895AE2">
        <w:rPr>
          <w:rFonts w:asciiTheme="majorBidi" w:hAnsiTheme="majorBidi" w:cstheme="majorBidi"/>
        </w:rPr>
        <w:t xml:space="preserve">access and benefit-sharing </w:t>
      </w:r>
      <w:r w:rsidR="00CC7B3D" w:rsidRPr="00D2758E">
        <w:rPr>
          <w:rFonts w:asciiTheme="majorBidi" w:hAnsiTheme="majorBidi" w:cstheme="majorBidi"/>
        </w:rPr>
        <w:t>implementation</w:t>
      </w:r>
      <w:r w:rsidR="00A91F35" w:rsidRPr="00D2758E">
        <w:rPr>
          <w:rFonts w:asciiTheme="majorBidi" w:hAnsiTheme="majorBidi" w:cstheme="majorBidi"/>
        </w:rPr>
        <w:t xml:space="preserve">. </w:t>
      </w:r>
    </w:p>
    <w:p w14:paraId="39BB7FF7" w14:textId="362ABFE8" w:rsidR="00B243E2" w:rsidRPr="00D2758E" w:rsidRDefault="00B62C38" w:rsidP="00CD2C50">
      <w:pPr>
        <w:pStyle w:val="CBDNormalNumber"/>
        <w:rPr>
          <w:rFonts w:asciiTheme="majorBidi" w:hAnsiTheme="majorBidi" w:cstheme="majorBidi"/>
        </w:rPr>
      </w:pPr>
      <w:r w:rsidRPr="00D2758E">
        <w:rPr>
          <w:rFonts w:asciiTheme="majorBidi" w:hAnsiTheme="majorBidi" w:cstheme="majorBidi"/>
        </w:rPr>
        <w:t>In this regard, the Capa</w:t>
      </w:r>
      <w:r w:rsidR="005D59BB" w:rsidRPr="00D2758E">
        <w:rPr>
          <w:rFonts w:asciiTheme="majorBidi" w:hAnsiTheme="majorBidi" w:cstheme="majorBidi"/>
        </w:rPr>
        <w:t xml:space="preserve">city-building </w:t>
      </w:r>
      <w:r w:rsidR="00A7770D" w:rsidRPr="00D2758E">
        <w:rPr>
          <w:rFonts w:asciiTheme="majorBidi" w:hAnsiTheme="majorBidi" w:cstheme="majorBidi"/>
        </w:rPr>
        <w:t xml:space="preserve">and </w:t>
      </w:r>
      <w:r w:rsidRPr="00D2758E">
        <w:rPr>
          <w:rFonts w:asciiTheme="majorBidi" w:hAnsiTheme="majorBidi" w:cstheme="majorBidi"/>
        </w:rPr>
        <w:t xml:space="preserve">Development Action Plan </w:t>
      </w:r>
      <w:r w:rsidR="00A7770D" w:rsidRPr="00D2758E">
        <w:rPr>
          <w:rFonts w:asciiTheme="majorBidi" w:hAnsiTheme="majorBidi" w:cstheme="majorBidi"/>
        </w:rPr>
        <w:t>for the Nagoya Protocol</w:t>
      </w:r>
      <w:r w:rsidR="00C537CF" w:rsidRPr="00D2758E">
        <w:rPr>
          <w:rStyle w:val="FootnoteReference"/>
          <w:rFonts w:asciiTheme="majorBidi" w:hAnsiTheme="majorBidi" w:cstheme="majorBidi"/>
        </w:rPr>
        <w:footnoteReference w:id="70"/>
      </w:r>
      <w:r w:rsidR="003503CE" w:rsidRPr="00D2758E">
        <w:rPr>
          <w:rFonts w:asciiTheme="majorBidi" w:hAnsiTheme="majorBidi" w:cstheme="majorBidi"/>
        </w:rPr>
        <w:t xml:space="preserve"> provides a useful framework </w:t>
      </w:r>
      <w:r w:rsidR="001402C1" w:rsidRPr="00D2758E">
        <w:rPr>
          <w:rFonts w:asciiTheme="majorBidi" w:hAnsiTheme="majorBidi" w:cstheme="majorBidi"/>
        </w:rPr>
        <w:t xml:space="preserve">to support </w:t>
      </w:r>
      <w:r w:rsidR="00282AD1" w:rsidRPr="00D2758E">
        <w:rPr>
          <w:rFonts w:asciiTheme="majorBidi" w:hAnsiTheme="majorBidi" w:cstheme="majorBidi"/>
        </w:rPr>
        <w:t>strategic</w:t>
      </w:r>
      <w:r w:rsidR="00C67CBC" w:rsidRPr="00D2758E">
        <w:rPr>
          <w:rFonts w:asciiTheme="majorBidi" w:hAnsiTheme="majorBidi" w:cstheme="majorBidi"/>
        </w:rPr>
        <w:t xml:space="preserve">, </w:t>
      </w:r>
      <w:r w:rsidR="00CE274D" w:rsidRPr="00D2758E">
        <w:rPr>
          <w:rFonts w:asciiTheme="majorBidi" w:hAnsiTheme="majorBidi" w:cstheme="majorBidi"/>
        </w:rPr>
        <w:t xml:space="preserve">coherent </w:t>
      </w:r>
      <w:r w:rsidR="00FC2212" w:rsidRPr="00D2758E">
        <w:rPr>
          <w:rFonts w:asciiTheme="majorBidi" w:hAnsiTheme="majorBidi" w:cstheme="majorBidi"/>
        </w:rPr>
        <w:t>and phased</w:t>
      </w:r>
      <w:r w:rsidR="004539BA" w:rsidRPr="00D2758E">
        <w:rPr>
          <w:rFonts w:asciiTheme="majorBidi" w:hAnsiTheme="majorBidi" w:cstheme="majorBidi"/>
        </w:rPr>
        <w:t xml:space="preserve"> capacity-building over time.</w:t>
      </w:r>
      <w:r w:rsidR="00B243E2" w:rsidRPr="00D2758E">
        <w:rPr>
          <w:rFonts w:asciiTheme="majorBidi" w:hAnsiTheme="majorBidi" w:cstheme="majorBidi"/>
        </w:rPr>
        <w:t xml:space="preserve"> Grounded in Article 22 </w:t>
      </w:r>
      <w:r w:rsidR="00FE110C" w:rsidRPr="00D2758E">
        <w:rPr>
          <w:rFonts w:asciiTheme="majorBidi" w:hAnsiTheme="majorBidi" w:cstheme="majorBidi"/>
        </w:rPr>
        <w:t xml:space="preserve">of </w:t>
      </w:r>
      <w:r w:rsidR="00FE110C" w:rsidRPr="00D2758E">
        <w:t>the</w:t>
      </w:r>
      <w:r w:rsidR="00FE110C" w:rsidRPr="00D2758E">
        <w:rPr>
          <w:rFonts w:asciiTheme="majorBidi" w:hAnsiTheme="majorBidi" w:cstheme="majorBidi"/>
        </w:rPr>
        <w:t xml:space="preserve"> Nagoya Protocol</w:t>
      </w:r>
      <w:r w:rsidR="009A60E7" w:rsidRPr="00D2758E">
        <w:rPr>
          <w:rFonts w:asciiTheme="majorBidi" w:hAnsiTheme="majorBidi" w:cstheme="majorBidi"/>
        </w:rPr>
        <w:t xml:space="preserve"> </w:t>
      </w:r>
      <w:r w:rsidR="00B243E2" w:rsidRPr="00D2758E">
        <w:rPr>
          <w:rFonts w:asciiTheme="majorBidi" w:hAnsiTheme="majorBidi" w:cstheme="majorBidi"/>
        </w:rPr>
        <w:t>and the long</w:t>
      </w:r>
      <w:r w:rsidR="00B243E2" w:rsidRPr="00D2758E">
        <w:rPr>
          <w:rFonts w:asciiTheme="majorBidi" w:hAnsiTheme="majorBidi" w:cstheme="majorBidi"/>
        </w:rPr>
        <w:noBreakHyphen/>
        <w:t>term strategic framework</w:t>
      </w:r>
      <w:r w:rsidR="001B5D99" w:rsidRPr="00D2758E">
        <w:rPr>
          <w:rFonts w:asciiTheme="majorBidi" w:hAnsiTheme="majorBidi" w:cstheme="majorBidi"/>
        </w:rPr>
        <w:t xml:space="preserve"> for capacity-building and development</w:t>
      </w:r>
      <w:r w:rsidR="007D3F59">
        <w:rPr>
          <w:rFonts w:asciiTheme="majorBidi" w:hAnsiTheme="majorBidi" w:cstheme="majorBidi"/>
        </w:rPr>
        <w:t>,</w:t>
      </w:r>
      <w:r w:rsidR="001D6A00" w:rsidRPr="00D2758E">
        <w:rPr>
          <w:rStyle w:val="FootnoteReference"/>
          <w:rFonts w:asciiTheme="majorBidi" w:hAnsiTheme="majorBidi" w:cstheme="majorBidi"/>
        </w:rPr>
        <w:footnoteReference w:id="71"/>
      </w:r>
      <w:r w:rsidR="00B243E2" w:rsidRPr="00D2758E">
        <w:rPr>
          <w:rFonts w:asciiTheme="majorBidi" w:hAnsiTheme="majorBidi" w:cstheme="majorBidi"/>
        </w:rPr>
        <w:t xml:space="preserve"> the Action Plan </w:t>
      </w:r>
      <w:r w:rsidR="002C2AAD" w:rsidRPr="00D2758E">
        <w:rPr>
          <w:rFonts w:asciiTheme="majorBidi" w:hAnsiTheme="majorBidi" w:cstheme="majorBidi"/>
        </w:rPr>
        <w:t xml:space="preserve">can be used to </w:t>
      </w:r>
      <w:r w:rsidR="00B243E2" w:rsidRPr="00D2758E">
        <w:rPr>
          <w:rFonts w:asciiTheme="majorBidi" w:hAnsiTheme="majorBidi" w:cstheme="majorBidi"/>
        </w:rPr>
        <w:t>support needs</w:t>
      </w:r>
      <w:r w:rsidR="00B243E2" w:rsidRPr="00D2758E">
        <w:rPr>
          <w:rFonts w:asciiTheme="majorBidi" w:hAnsiTheme="majorBidi" w:cstheme="majorBidi"/>
        </w:rPr>
        <w:noBreakHyphen/>
        <w:t xml:space="preserve">based planning, integration of </w:t>
      </w:r>
      <w:r w:rsidR="00292C2D">
        <w:rPr>
          <w:rFonts w:asciiTheme="majorBidi" w:hAnsiTheme="majorBidi" w:cstheme="majorBidi"/>
        </w:rPr>
        <w:t>access and benefit</w:t>
      </w:r>
      <w:r w:rsidR="008160D1">
        <w:rPr>
          <w:rFonts w:asciiTheme="majorBidi" w:hAnsiTheme="majorBidi" w:cstheme="majorBidi"/>
        </w:rPr>
        <w:t xml:space="preserve"> </w:t>
      </w:r>
      <w:r w:rsidR="00292C2D">
        <w:rPr>
          <w:rFonts w:asciiTheme="majorBidi" w:hAnsiTheme="majorBidi" w:cstheme="majorBidi"/>
        </w:rPr>
        <w:t xml:space="preserve">sharing </w:t>
      </w:r>
      <w:r w:rsidR="00B243E2" w:rsidRPr="00D2758E">
        <w:rPr>
          <w:rFonts w:asciiTheme="majorBidi" w:hAnsiTheme="majorBidi" w:cstheme="majorBidi"/>
        </w:rPr>
        <w:t>within broader biodiversity capacity</w:t>
      </w:r>
      <w:r w:rsidR="00B243E2" w:rsidRPr="00D2758E">
        <w:rPr>
          <w:rFonts w:asciiTheme="majorBidi" w:hAnsiTheme="majorBidi" w:cstheme="majorBidi"/>
        </w:rPr>
        <w:noBreakHyphen/>
        <w:t xml:space="preserve">building efforts, stakeholder participation and </w:t>
      </w:r>
      <w:r w:rsidR="00354211" w:rsidRPr="00D2758E">
        <w:rPr>
          <w:rFonts w:asciiTheme="majorBidi" w:hAnsiTheme="majorBidi" w:cstheme="majorBidi"/>
        </w:rPr>
        <w:t>cooperation</w:t>
      </w:r>
      <w:r w:rsidR="00B243E2" w:rsidRPr="00D2758E">
        <w:rPr>
          <w:rFonts w:asciiTheme="majorBidi" w:hAnsiTheme="majorBidi" w:cstheme="majorBidi"/>
        </w:rPr>
        <w:t xml:space="preserve"> at the national, regional and global levels.</w:t>
      </w:r>
    </w:p>
    <w:p w14:paraId="770DE064" w14:textId="203D43C9" w:rsidR="00230F85" w:rsidRPr="00D2758E" w:rsidRDefault="00230F85" w:rsidP="00CD2C50">
      <w:pPr>
        <w:pStyle w:val="CBDNormalNumber"/>
        <w:rPr>
          <w:rFonts w:asciiTheme="majorBidi" w:hAnsiTheme="majorBidi" w:cstheme="majorBidi"/>
        </w:rPr>
      </w:pPr>
      <w:r w:rsidRPr="00D2758E">
        <w:rPr>
          <w:rFonts w:asciiTheme="majorBidi" w:hAnsiTheme="majorBidi" w:cstheme="majorBidi"/>
        </w:rPr>
        <w:t xml:space="preserve">Enhancing knowledge exchange and peer-learning activities: </w:t>
      </w:r>
      <w:r w:rsidR="008160D1">
        <w:rPr>
          <w:rFonts w:asciiTheme="majorBidi" w:hAnsiTheme="majorBidi" w:cstheme="majorBidi"/>
        </w:rPr>
        <w:t>c</w:t>
      </w:r>
      <w:r w:rsidR="00AD1E94" w:rsidRPr="00D2758E">
        <w:rPr>
          <w:rFonts w:asciiTheme="majorBidi" w:hAnsiTheme="majorBidi" w:cstheme="majorBidi"/>
        </w:rPr>
        <w:t>apacity</w:t>
      </w:r>
      <w:r w:rsidR="00AD1E94" w:rsidRPr="00D2758E">
        <w:noBreakHyphen/>
      </w:r>
      <w:r w:rsidR="00AD1E94" w:rsidRPr="00D2758E">
        <w:rPr>
          <w:rFonts w:asciiTheme="majorBidi" w:hAnsiTheme="majorBidi" w:cstheme="majorBidi"/>
        </w:rPr>
        <w:t xml:space="preserve">building under the Nagoya Protocol could be enhanced by strengthening delivery modalities that facilitate </w:t>
      </w:r>
      <w:r w:rsidR="00162488" w:rsidRPr="00D2758E">
        <w:rPr>
          <w:rFonts w:asciiTheme="majorBidi" w:hAnsiTheme="majorBidi" w:cstheme="majorBidi"/>
        </w:rPr>
        <w:t xml:space="preserve">peer </w:t>
      </w:r>
      <w:r w:rsidR="00AD1E94" w:rsidRPr="00D2758E">
        <w:rPr>
          <w:rFonts w:asciiTheme="majorBidi" w:hAnsiTheme="majorBidi" w:cstheme="majorBidi"/>
        </w:rPr>
        <w:t xml:space="preserve">learning, </w:t>
      </w:r>
      <w:r w:rsidR="00162488" w:rsidRPr="00D2758E">
        <w:rPr>
          <w:rFonts w:asciiTheme="majorBidi" w:hAnsiTheme="majorBidi" w:cstheme="majorBidi"/>
        </w:rPr>
        <w:t>South-South</w:t>
      </w:r>
      <w:r w:rsidR="00EF2622" w:rsidRPr="00D2758E">
        <w:rPr>
          <w:rFonts w:asciiTheme="majorBidi" w:hAnsiTheme="majorBidi" w:cstheme="majorBidi"/>
        </w:rPr>
        <w:t xml:space="preserve"> cooperation</w:t>
      </w:r>
      <w:r w:rsidR="00162488" w:rsidRPr="00D2758E">
        <w:rPr>
          <w:rFonts w:asciiTheme="majorBidi" w:hAnsiTheme="majorBidi" w:cstheme="majorBidi"/>
        </w:rPr>
        <w:t xml:space="preserve"> </w:t>
      </w:r>
      <w:r w:rsidR="00452377" w:rsidRPr="00D2758E">
        <w:rPr>
          <w:rFonts w:asciiTheme="majorBidi" w:hAnsiTheme="majorBidi" w:cstheme="majorBidi"/>
        </w:rPr>
        <w:t xml:space="preserve">and the </w:t>
      </w:r>
      <w:r w:rsidR="00AD1E94" w:rsidRPr="00D2758E">
        <w:t>exchange</w:t>
      </w:r>
      <w:r w:rsidR="00AD1E94" w:rsidRPr="00D2758E">
        <w:rPr>
          <w:rFonts w:asciiTheme="majorBidi" w:hAnsiTheme="majorBidi" w:cstheme="majorBidi"/>
        </w:rPr>
        <w:t xml:space="preserve"> </w:t>
      </w:r>
      <w:r w:rsidR="00452377" w:rsidRPr="00D2758E">
        <w:rPr>
          <w:rFonts w:asciiTheme="majorBidi" w:hAnsiTheme="majorBidi" w:cstheme="majorBidi"/>
        </w:rPr>
        <w:t xml:space="preserve">of experiences and lessons learned </w:t>
      </w:r>
      <w:r w:rsidR="00411259" w:rsidRPr="00D2758E">
        <w:rPr>
          <w:rFonts w:asciiTheme="majorBidi" w:hAnsiTheme="majorBidi" w:cstheme="majorBidi"/>
        </w:rPr>
        <w:t>between</w:t>
      </w:r>
      <w:r w:rsidR="00AD1E94" w:rsidRPr="00D2758E">
        <w:rPr>
          <w:rFonts w:asciiTheme="majorBidi" w:hAnsiTheme="majorBidi" w:cstheme="majorBidi"/>
        </w:rPr>
        <w:t xml:space="preserve"> countries and regions, while remaining responsive to national and local needs.</w:t>
      </w:r>
      <w:r w:rsidR="00A21FD4" w:rsidRPr="00D2758E">
        <w:rPr>
          <w:rFonts w:asciiTheme="majorBidi" w:hAnsiTheme="majorBidi" w:cstheme="majorBidi"/>
        </w:rPr>
        <w:t xml:space="preserve"> </w:t>
      </w:r>
    </w:p>
    <w:p w14:paraId="5966E7A9" w14:textId="695E45AB" w:rsidR="00AD1E94" w:rsidRPr="00D2758E" w:rsidRDefault="00A21FD4" w:rsidP="00CD2C50">
      <w:pPr>
        <w:pStyle w:val="CBDNormalNumber"/>
        <w:rPr>
          <w:rFonts w:asciiTheme="majorBidi" w:hAnsiTheme="majorBidi" w:cstheme="majorBidi"/>
        </w:rPr>
      </w:pPr>
      <w:r w:rsidRPr="00D2758E">
        <w:rPr>
          <w:rFonts w:asciiTheme="majorBidi" w:hAnsiTheme="majorBidi" w:cstheme="majorBidi"/>
        </w:rPr>
        <w:t xml:space="preserve">Consistent with the conclusions of the scoping study, regional and global projects may be </w:t>
      </w:r>
      <w:r w:rsidR="00F57119" w:rsidRPr="00D2758E">
        <w:rPr>
          <w:rFonts w:asciiTheme="majorBidi" w:hAnsiTheme="majorBidi" w:cstheme="majorBidi"/>
        </w:rPr>
        <w:t xml:space="preserve">the most adapted </w:t>
      </w:r>
      <w:r w:rsidR="009134EB" w:rsidRPr="00D2758E">
        <w:rPr>
          <w:rFonts w:asciiTheme="majorBidi" w:hAnsiTheme="majorBidi" w:cstheme="majorBidi"/>
        </w:rPr>
        <w:t>to respond to the need for further standardi</w:t>
      </w:r>
      <w:r w:rsidR="00553548">
        <w:rPr>
          <w:rFonts w:asciiTheme="majorBidi" w:hAnsiTheme="majorBidi" w:cstheme="majorBidi"/>
        </w:rPr>
        <w:t>z</w:t>
      </w:r>
      <w:r w:rsidR="009134EB" w:rsidRPr="00D2758E">
        <w:rPr>
          <w:rFonts w:asciiTheme="majorBidi" w:hAnsiTheme="majorBidi" w:cstheme="majorBidi"/>
        </w:rPr>
        <w:t xml:space="preserve">ation of approaches and the exchanges of experiences and lessons learned at this stage in the implementation of the Nagoya Protocol.  </w:t>
      </w:r>
    </w:p>
    <w:p w14:paraId="0392E394" w14:textId="60A38E2E" w:rsidR="00230F85" w:rsidRPr="00D2758E" w:rsidRDefault="00230F85" w:rsidP="00CD2C50">
      <w:pPr>
        <w:pStyle w:val="CBDNormalNumber"/>
        <w:rPr>
          <w:rFonts w:asciiTheme="majorBidi" w:hAnsiTheme="majorBidi" w:cstheme="majorBidi"/>
        </w:rPr>
      </w:pPr>
      <w:r w:rsidRPr="00D2758E">
        <w:rPr>
          <w:rFonts w:asciiTheme="majorBidi" w:hAnsiTheme="majorBidi" w:cstheme="majorBidi"/>
        </w:rPr>
        <w:t xml:space="preserve">Other delivery modalities that enhance knowledge exchange and peer-learning activities include the systematic documentation </w:t>
      </w:r>
      <w:r w:rsidRPr="00D2758E">
        <w:t>and</w:t>
      </w:r>
      <w:r w:rsidRPr="00D2758E">
        <w:rPr>
          <w:rFonts w:asciiTheme="majorBidi" w:hAnsiTheme="majorBidi" w:cstheme="majorBidi"/>
        </w:rPr>
        <w:t xml:space="preserve"> sharing of lessons learned and good practices, including through platforms such as the Clearing‑House, to strengthen cumulative learning and improve the overall efficiency of capacity‑building investments.</w:t>
      </w:r>
    </w:p>
    <w:p w14:paraId="342CE4E2" w14:textId="69E63546" w:rsidR="00A82C89" w:rsidRPr="00D2758E" w:rsidRDefault="00230F85" w:rsidP="00CD2C50">
      <w:pPr>
        <w:pStyle w:val="CBDNormalNumber"/>
        <w:rPr>
          <w:rFonts w:asciiTheme="majorBidi" w:hAnsiTheme="majorBidi" w:cstheme="majorBidi"/>
        </w:rPr>
      </w:pPr>
      <w:r w:rsidRPr="00D2758E">
        <w:rPr>
          <w:rFonts w:asciiTheme="majorBidi" w:hAnsiTheme="majorBidi" w:cstheme="majorBidi"/>
        </w:rPr>
        <w:t xml:space="preserve">Strengthening enabling conditions for sustained capacity-building: </w:t>
      </w:r>
      <w:r w:rsidR="004B6DB1">
        <w:rPr>
          <w:rFonts w:asciiTheme="majorBidi" w:hAnsiTheme="majorBidi" w:cstheme="majorBidi"/>
        </w:rPr>
        <w:t>w</w:t>
      </w:r>
      <w:r w:rsidRPr="00D2758E">
        <w:rPr>
          <w:rFonts w:asciiTheme="majorBidi" w:hAnsiTheme="majorBidi" w:cstheme="majorBidi"/>
        </w:rPr>
        <w:t xml:space="preserve">hile </w:t>
      </w:r>
      <w:r w:rsidR="004B6DB1">
        <w:rPr>
          <w:rFonts w:asciiTheme="majorBidi" w:hAnsiTheme="majorBidi" w:cstheme="majorBidi"/>
        </w:rPr>
        <w:t>GEF</w:t>
      </w:r>
      <w:r w:rsidR="00CA7558">
        <w:rPr>
          <w:rFonts w:asciiTheme="majorBidi" w:hAnsiTheme="majorBidi" w:cstheme="majorBidi"/>
        </w:rPr>
        <w:t xml:space="preserve"> </w:t>
      </w:r>
      <w:r w:rsidRPr="00D2758E">
        <w:rPr>
          <w:rFonts w:asciiTheme="majorBidi" w:hAnsiTheme="majorBidi" w:cstheme="majorBidi"/>
        </w:rPr>
        <w:t xml:space="preserve">remains the primary source of financial support for </w:t>
      </w:r>
      <w:r w:rsidR="00CA7558">
        <w:rPr>
          <w:rFonts w:asciiTheme="majorBidi" w:hAnsiTheme="majorBidi" w:cstheme="majorBidi"/>
        </w:rPr>
        <w:t xml:space="preserve">access and benefit-sharing </w:t>
      </w:r>
      <w:r w:rsidRPr="00D2758E">
        <w:rPr>
          <w:rFonts w:asciiTheme="majorBidi" w:hAnsiTheme="majorBidi" w:cstheme="majorBidi"/>
        </w:rPr>
        <w:t>capacity‑building, there is scope to further maximi</w:t>
      </w:r>
      <w:r w:rsidR="00521FF0">
        <w:rPr>
          <w:rFonts w:asciiTheme="majorBidi" w:hAnsiTheme="majorBidi" w:cstheme="majorBidi"/>
        </w:rPr>
        <w:t>z</w:t>
      </w:r>
      <w:r w:rsidRPr="00D2758E">
        <w:rPr>
          <w:rFonts w:asciiTheme="majorBidi" w:hAnsiTheme="majorBidi" w:cstheme="majorBidi"/>
        </w:rPr>
        <w:t>e the impact of th</w:t>
      </w:r>
      <w:r w:rsidR="00CA7558">
        <w:rPr>
          <w:rFonts w:asciiTheme="majorBidi" w:hAnsiTheme="majorBidi" w:cstheme="majorBidi"/>
        </w:rPr>
        <w:t>at</w:t>
      </w:r>
      <w:r w:rsidRPr="00D2758E">
        <w:rPr>
          <w:rFonts w:asciiTheme="majorBidi" w:hAnsiTheme="majorBidi" w:cstheme="majorBidi"/>
        </w:rPr>
        <w:t xml:space="preserve"> investment through stronger coordination and collective action. </w:t>
      </w:r>
      <w:r w:rsidR="000C3972" w:rsidRPr="00D2758E">
        <w:rPr>
          <w:rFonts w:asciiTheme="majorBidi" w:hAnsiTheme="majorBidi" w:cstheme="majorBidi"/>
        </w:rPr>
        <w:t xml:space="preserve">Closer collaboration among </w:t>
      </w:r>
      <w:r w:rsidR="007221D3">
        <w:rPr>
          <w:rFonts w:asciiTheme="majorBidi" w:hAnsiTheme="majorBidi" w:cstheme="majorBidi"/>
        </w:rPr>
        <w:t>GEF</w:t>
      </w:r>
      <w:r w:rsidR="000C3972" w:rsidRPr="00D2758E">
        <w:rPr>
          <w:rFonts w:asciiTheme="majorBidi" w:hAnsiTheme="majorBidi" w:cstheme="majorBidi"/>
        </w:rPr>
        <w:t xml:space="preserve">, implementing agencies, beneficiary Parties and the Secretariat of the Convention on Biological Diversity could help ensure that resources are deployed in a more </w:t>
      </w:r>
      <w:r w:rsidR="000C3972" w:rsidRPr="00D2758E">
        <w:t>strategic</w:t>
      </w:r>
      <w:r w:rsidR="000C3972" w:rsidRPr="00D2758E">
        <w:rPr>
          <w:rFonts w:asciiTheme="majorBidi" w:hAnsiTheme="majorBidi" w:cstheme="majorBidi"/>
        </w:rPr>
        <w:t xml:space="preserve">, complementary and results‑oriented manner, better aligned with the long‑term and incremental nature of </w:t>
      </w:r>
      <w:r w:rsidR="007221D3">
        <w:rPr>
          <w:rFonts w:asciiTheme="majorBidi" w:hAnsiTheme="majorBidi" w:cstheme="majorBidi"/>
        </w:rPr>
        <w:t xml:space="preserve">access and benefit-sharing </w:t>
      </w:r>
      <w:r w:rsidR="000C3972" w:rsidRPr="00D2758E">
        <w:rPr>
          <w:rFonts w:asciiTheme="majorBidi" w:hAnsiTheme="majorBidi" w:cstheme="majorBidi"/>
        </w:rPr>
        <w:t>implementation.</w:t>
      </w:r>
    </w:p>
    <w:p w14:paraId="31B41D9A" w14:textId="50AF5F9E" w:rsidR="00771108" w:rsidRPr="00D2758E" w:rsidRDefault="00A82E37" w:rsidP="00CD2C50">
      <w:pPr>
        <w:pStyle w:val="CBDNormalNumber"/>
        <w:rPr>
          <w:rFonts w:asciiTheme="majorBidi" w:hAnsiTheme="majorBidi" w:cstheme="majorBidi"/>
        </w:rPr>
      </w:pPr>
      <w:r>
        <w:rPr>
          <w:rFonts w:asciiTheme="majorBidi" w:hAnsiTheme="majorBidi" w:cstheme="majorBidi"/>
        </w:rPr>
        <w:t>Moreover</w:t>
      </w:r>
      <w:r w:rsidR="00D23064" w:rsidRPr="00D2758E">
        <w:rPr>
          <w:rFonts w:asciiTheme="majorBidi" w:hAnsiTheme="majorBidi" w:cstheme="majorBidi"/>
        </w:rPr>
        <w:t xml:space="preserve">, </w:t>
      </w:r>
      <w:r w:rsidR="00037EE5" w:rsidRPr="00D2758E">
        <w:rPr>
          <w:rFonts w:asciiTheme="majorBidi" w:hAnsiTheme="majorBidi" w:cstheme="majorBidi"/>
        </w:rPr>
        <w:t>expanding the range o</w:t>
      </w:r>
      <w:r w:rsidR="006F34B9" w:rsidRPr="00D2758E">
        <w:rPr>
          <w:rFonts w:asciiTheme="majorBidi" w:hAnsiTheme="majorBidi" w:cstheme="majorBidi"/>
        </w:rPr>
        <w:t xml:space="preserve">f actors engaged in both financing and </w:t>
      </w:r>
      <w:r w:rsidR="008E56AA" w:rsidRPr="00D2758E">
        <w:rPr>
          <w:rFonts w:asciiTheme="majorBidi" w:hAnsiTheme="majorBidi" w:cstheme="majorBidi"/>
        </w:rPr>
        <w:t>delivering capacity-building</w:t>
      </w:r>
      <w:r w:rsidR="00771108" w:rsidRPr="00D2758E">
        <w:rPr>
          <w:rFonts w:asciiTheme="majorBidi" w:hAnsiTheme="majorBidi" w:cstheme="majorBidi"/>
        </w:rPr>
        <w:t xml:space="preserve"> </w:t>
      </w:r>
      <w:r w:rsidR="00F84788" w:rsidRPr="00D2758E">
        <w:rPr>
          <w:rFonts w:asciiTheme="majorBidi" w:hAnsiTheme="majorBidi" w:cstheme="majorBidi"/>
        </w:rPr>
        <w:t xml:space="preserve">could further strengthen existing capacities. </w:t>
      </w:r>
      <w:r w:rsidR="00DB5BF8" w:rsidRPr="00D2758E">
        <w:rPr>
          <w:rFonts w:asciiTheme="majorBidi" w:hAnsiTheme="majorBidi" w:cstheme="majorBidi"/>
        </w:rPr>
        <w:t>For example, c</w:t>
      </w:r>
      <w:r w:rsidR="00771108" w:rsidRPr="00D2758E">
        <w:rPr>
          <w:rFonts w:asciiTheme="majorBidi" w:hAnsiTheme="majorBidi" w:cstheme="majorBidi"/>
        </w:rPr>
        <w:t xml:space="preserve">ollaboration with </w:t>
      </w:r>
      <w:r w:rsidR="00197BD7">
        <w:rPr>
          <w:rFonts w:asciiTheme="majorBidi" w:hAnsiTheme="majorBidi" w:cstheme="majorBidi"/>
        </w:rPr>
        <w:t>t</w:t>
      </w:r>
      <w:r w:rsidR="00771108" w:rsidRPr="00D2758E">
        <w:rPr>
          <w:rFonts w:asciiTheme="majorBidi" w:hAnsiTheme="majorBidi" w:cstheme="majorBidi"/>
        </w:rPr>
        <w:t xml:space="preserve">echnical and </w:t>
      </w:r>
      <w:r w:rsidR="00197BD7">
        <w:rPr>
          <w:rFonts w:asciiTheme="majorBidi" w:hAnsiTheme="majorBidi" w:cstheme="majorBidi"/>
        </w:rPr>
        <w:t>s</w:t>
      </w:r>
      <w:r w:rsidR="00771108" w:rsidRPr="00D2758E">
        <w:rPr>
          <w:rFonts w:asciiTheme="majorBidi" w:hAnsiTheme="majorBidi" w:cstheme="majorBidi"/>
        </w:rPr>
        <w:t xml:space="preserve">cientific </w:t>
      </w:r>
      <w:r w:rsidR="00197BD7">
        <w:rPr>
          <w:rFonts w:asciiTheme="majorBidi" w:hAnsiTheme="majorBidi" w:cstheme="majorBidi"/>
        </w:rPr>
        <w:t>c</w:t>
      </w:r>
      <w:r w:rsidR="00771108" w:rsidRPr="00D2758E">
        <w:rPr>
          <w:rFonts w:asciiTheme="majorBidi" w:hAnsiTheme="majorBidi" w:cstheme="majorBidi"/>
        </w:rPr>
        <w:t xml:space="preserve">ooperation </w:t>
      </w:r>
      <w:r w:rsidR="00197BD7">
        <w:rPr>
          <w:rFonts w:asciiTheme="majorBidi" w:hAnsiTheme="majorBidi" w:cstheme="majorBidi"/>
        </w:rPr>
        <w:t>support c</w:t>
      </w:r>
      <w:r w:rsidR="00771108" w:rsidRPr="00D2758E">
        <w:rPr>
          <w:rFonts w:asciiTheme="majorBidi" w:hAnsiTheme="majorBidi" w:cstheme="majorBidi"/>
        </w:rPr>
        <w:t>entres</w:t>
      </w:r>
      <w:r w:rsidR="008A695F" w:rsidRPr="00D2758E">
        <w:rPr>
          <w:rStyle w:val="FootnoteReference"/>
          <w:rFonts w:asciiTheme="majorBidi" w:hAnsiTheme="majorBidi" w:cstheme="majorBidi"/>
        </w:rPr>
        <w:footnoteReference w:id="72"/>
      </w:r>
      <w:r w:rsidR="00771108" w:rsidRPr="00D2758E">
        <w:rPr>
          <w:rFonts w:asciiTheme="majorBidi" w:hAnsiTheme="majorBidi" w:cstheme="majorBidi"/>
        </w:rPr>
        <w:t xml:space="preserve"> </w:t>
      </w:r>
      <w:r w:rsidR="00A455FA" w:rsidRPr="00D2758E">
        <w:rPr>
          <w:rFonts w:asciiTheme="majorBidi" w:hAnsiTheme="majorBidi" w:cstheme="majorBidi"/>
        </w:rPr>
        <w:t>could support the delivery of capacity‑building</w:t>
      </w:r>
      <w:r w:rsidR="00545FBD" w:rsidRPr="00D2758E">
        <w:rPr>
          <w:rFonts w:asciiTheme="majorBidi" w:hAnsiTheme="majorBidi" w:cstheme="majorBidi"/>
        </w:rPr>
        <w:t xml:space="preserve"> at national, regional and global scales</w:t>
      </w:r>
      <w:r w:rsidR="005D0C53">
        <w:rPr>
          <w:rFonts w:asciiTheme="majorBidi" w:hAnsiTheme="majorBidi" w:cstheme="majorBidi"/>
        </w:rPr>
        <w:t>, w</w:t>
      </w:r>
      <w:r w:rsidR="007D23B7" w:rsidRPr="00D2758E">
        <w:rPr>
          <w:rFonts w:asciiTheme="majorBidi" w:hAnsiTheme="majorBidi" w:cstheme="majorBidi"/>
        </w:rPr>
        <w:t xml:space="preserve">hile </w:t>
      </w:r>
      <w:r w:rsidR="007D23B7" w:rsidRPr="00D2758E">
        <w:t>s</w:t>
      </w:r>
      <w:r w:rsidR="00771108" w:rsidRPr="00D2758E">
        <w:t>upporting</w:t>
      </w:r>
      <w:r w:rsidR="00771108" w:rsidRPr="00D2758E">
        <w:rPr>
          <w:rFonts w:asciiTheme="majorBidi" w:hAnsiTheme="majorBidi" w:cstheme="majorBidi"/>
        </w:rPr>
        <w:t xml:space="preserve"> and enhancing the capacity of institutions already working on </w:t>
      </w:r>
      <w:r w:rsidR="00B151B4">
        <w:rPr>
          <w:rFonts w:asciiTheme="majorBidi" w:hAnsiTheme="majorBidi" w:cstheme="majorBidi"/>
        </w:rPr>
        <w:t xml:space="preserve">access and benefit sharing </w:t>
      </w:r>
      <w:r w:rsidR="00771108" w:rsidRPr="00D2758E">
        <w:rPr>
          <w:rFonts w:asciiTheme="majorBidi" w:hAnsiTheme="majorBidi" w:cstheme="majorBidi"/>
        </w:rPr>
        <w:t>may help broaden implementation options, reinforce institutional sustainability and improve the reach and effectiveness of capacity</w:t>
      </w:r>
      <w:r w:rsidR="00771108" w:rsidRPr="00D2758E">
        <w:rPr>
          <w:rFonts w:asciiTheme="majorBidi" w:hAnsiTheme="majorBidi" w:cstheme="majorBidi"/>
        </w:rPr>
        <w:noBreakHyphen/>
        <w:t>building support.</w:t>
      </w:r>
    </w:p>
    <w:p w14:paraId="032B4E4A" w14:textId="06544DD2" w:rsidR="00636335" w:rsidRPr="00D2758E" w:rsidRDefault="00636335" w:rsidP="00CD2C50">
      <w:pPr>
        <w:pStyle w:val="CBDNormalNumber"/>
        <w:rPr>
          <w:rFonts w:asciiTheme="majorBidi" w:hAnsiTheme="majorBidi" w:cstheme="majorBidi"/>
        </w:rPr>
      </w:pPr>
      <w:proofErr w:type="gramStart"/>
      <w:r w:rsidRPr="00D2758E">
        <w:rPr>
          <w:rFonts w:asciiTheme="majorBidi" w:hAnsiTheme="majorBidi" w:cstheme="majorBidi"/>
        </w:rPr>
        <w:t>In order to</w:t>
      </w:r>
      <w:proofErr w:type="gramEnd"/>
      <w:r w:rsidRPr="00D2758E">
        <w:rPr>
          <w:rFonts w:asciiTheme="majorBidi" w:hAnsiTheme="majorBidi" w:cstheme="majorBidi"/>
        </w:rPr>
        <w:t xml:space="preserve"> support the sustainability of capacity-building efforts, </w:t>
      </w:r>
      <w:r w:rsidR="00F47EE4" w:rsidRPr="00D2758E">
        <w:rPr>
          <w:rFonts w:asciiTheme="majorBidi" w:hAnsiTheme="majorBidi" w:cstheme="majorBidi"/>
        </w:rPr>
        <w:t xml:space="preserve">greater emphasis could be placed </w:t>
      </w:r>
      <w:r w:rsidR="00BA0F7D" w:rsidRPr="00D2758E">
        <w:rPr>
          <w:rFonts w:asciiTheme="majorBidi" w:hAnsiTheme="majorBidi" w:cstheme="majorBidi"/>
        </w:rPr>
        <w:t xml:space="preserve">on </w:t>
      </w:r>
      <w:r w:rsidR="00CC4526" w:rsidRPr="00D2758E">
        <w:rPr>
          <w:rFonts w:asciiTheme="majorBidi" w:hAnsiTheme="majorBidi" w:cstheme="majorBidi"/>
        </w:rPr>
        <w:t xml:space="preserve">strengthening national capacities related to fundraising, project development, financial planning and resource </w:t>
      </w:r>
      <w:r w:rsidR="00CC4526" w:rsidRPr="00D2758E">
        <w:t>mobili</w:t>
      </w:r>
      <w:r w:rsidR="00553548">
        <w:t>z</w:t>
      </w:r>
      <w:r w:rsidR="00CC4526" w:rsidRPr="00D2758E">
        <w:t>ation</w:t>
      </w:r>
      <w:r w:rsidR="00CC4526" w:rsidRPr="00D2758E">
        <w:rPr>
          <w:rFonts w:asciiTheme="majorBidi" w:hAnsiTheme="majorBidi" w:cstheme="majorBidi"/>
        </w:rPr>
        <w:t>. Enhancing th</w:t>
      </w:r>
      <w:r w:rsidR="00A779FF">
        <w:rPr>
          <w:rFonts w:asciiTheme="majorBidi" w:hAnsiTheme="majorBidi" w:cstheme="majorBidi"/>
        </w:rPr>
        <w:t>o</w:t>
      </w:r>
      <w:r w:rsidR="00CC4526" w:rsidRPr="00D2758E">
        <w:rPr>
          <w:rFonts w:asciiTheme="majorBidi" w:hAnsiTheme="majorBidi" w:cstheme="majorBidi"/>
        </w:rPr>
        <w:t xml:space="preserve">se capacities may help Parties better access, manage and sustain financial support for </w:t>
      </w:r>
      <w:r w:rsidR="00475753" w:rsidRPr="00475753">
        <w:rPr>
          <w:rFonts w:asciiTheme="majorBidi" w:hAnsiTheme="majorBidi" w:cstheme="majorBidi"/>
        </w:rPr>
        <w:t>access and benefit</w:t>
      </w:r>
      <w:r w:rsidR="00997FA4">
        <w:rPr>
          <w:rFonts w:asciiTheme="majorBidi" w:hAnsiTheme="majorBidi" w:cstheme="majorBidi"/>
        </w:rPr>
        <w:t>-</w:t>
      </w:r>
      <w:r w:rsidR="00475753" w:rsidRPr="00475753">
        <w:rPr>
          <w:rFonts w:asciiTheme="majorBidi" w:hAnsiTheme="majorBidi" w:cstheme="majorBidi"/>
        </w:rPr>
        <w:t xml:space="preserve">sharing </w:t>
      </w:r>
      <w:r w:rsidR="00CC4526" w:rsidRPr="00D2758E">
        <w:rPr>
          <w:rFonts w:asciiTheme="majorBidi" w:hAnsiTheme="majorBidi" w:cstheme="majorBidi"/>
        </w:rPr>
        <w:t>capacity‑building over time, while reducing reliance on short‑term and project‑specific external assistance.</w:t>
      </w:r>
    </w:p>
    <w:p w14:paraId="54A840AF" w14:textId="5AE9C6FD" w:rsidR="00AC3A57" w:rsidRPr="00D2758E" w:rsidRDefault="00475753" w:rsidP="00CD2C50">
      <w:pPr>
        <w:pStyle w:val="CBDNormalNumber"/>
        <w:rPr>
          <w:rFonts w:asciiTheme="majorBidi" w:hAnsiTheme="majorBidi" w:cstheme="majorBidi"/>
        </w:rPr>
      </w:pPr>
      <w:r>
        <w:rPr>
          <w:rFonts w:asciiTheme="majorBidi" w:hAnsiTheme="majorBidi" w:cstheme="majorBidi"/>
        </w:rPr>
        <w:t>C</w:t>
      </w:r>
      <w:r w:rsidR="00AC3A57" w:rsidRPr="00D2758E">
        <w:rPr>
          <w:rFonts w:asciiTheme="majorBidi" w:hAnsiTheme="majorBidi" w:cstheme="majorBidi"/>
        </w:rPr>
        <w:t xml:space="preserve">onsistent with the scoping study’s call to change the narrative around </w:t>
      </w:r>
      <w:r>
        <w:rPr>
          <w:rFonts w:asciiTheme="majorBidi" w:hAnsiTheme="majorBidi" w:cstheme="majorBidi"/>
        </w:rPr>
        <w:t>access and benefit</w:t>
      </w:r>
      <w:r w:rsidR="00693C74">
        <w:rPr>
          <w:rFonts w:asciiTheme="majorBidi" w:hAnsiTheme="majorBidi" w:cstheme="majorBidi"/>
        </w:rPr>
        <w:t>-sharing</w:t>
      </w:r>
      <w:r w:rsidR="00AC3A57" w:rsidRPr="00D2758E">
        <w:rPr>
          <w:rFonts w:asciiTheme="majorBidi" w:hAnsiTheme="majorBidi" w:cstheme="majorBidi"/>
        </w:rPr>
        <w:t xml:space="preserve">, capacity‑building </w:t>
      </w:r>
      <w:r w:rsidR="00F813CB" w:rsidRPr="00D2758E">
        <w:rPr>
          <w:rFonts w:asciiTheme="majorBidi" w:hAnsiTheme="majorBidi" w:cstheme="majorBidi"/>
        </w:rPr>
        <w:t xml:space="preserve">under </w:t>
      </w:r>
      <w:r w:rsidR="00F813CB" w:rsidRPr="00D2758E">
        <w:t>the</w:t>
      </w:r>
      <w:r w:rsidR="00F813CB" w:rsidRPr="00D2758E">
        <w:rPr>
          <w:rFonts w:asciiTheme="majorBidi" w:hAnsiTheme="majorBidi" w:cstheme="majorBidi"/>
        </w:rPr>
        <w:t xml:space="preserve"> Nagoya Protocol </w:t>
      </w:r>
      <w:r w:rsidR="00AC3A57" w:rsidRPr="00D2758E">
        <w:rPr>
          <w:rFonts w:asciiTheme="majorBidi" w:hAnsiTheme="majorBidi" w:cstheme="majorBidi"/>
        </w:rPr>
        <w:t xml:space="preserve">could be </w:t>
      </w:r>
      <w:r w:rsidR="00693C74" w:rsidRPr="00D2758E">
        <w:rPr>
          <w:rFonts w:asciiTheme="majorBidi" w:hAnsiTheme="majorBidi" w:cstheme="majorBidi"/>
        </w:rPr>
        <w:t>increasingl</w:t>
      </w:r>
      <w:r w:rsidR="00693C74">
        <w:rPr>
          <w:rFonts w:asciiTheme="majorBidi" w:hAnsiTheme="majorBidi" w:cstheme="majorBidi"/>
        </w:rPr>
        <w:t>y</w:t>
      </w:r>
      <w:r w:rsidR="00693C74" w:rsidRPr="00D2758E">
        <w:rPr>
          <w:rFonts w:asciiTheme="majorBidi" w:hAnsiTheme="majorBidi" w:cstheme="majorBidi"/>
        </w:rPr>
        <w:t xml:space="preserve"> </w:t>
      </w:r>
      <w:r w:rsidR="00AC3A57" w:rsidRPr="00D2758E">
        <w:rPr>
          <w:rFonts w:asciiTheme="majorBidi" w:hAnsiTheme="majorBidi" w:cstheme="majorBidi"/>
        </w:rPr>
        <w:t xml:space="preserve">mainstreamed within broader biodiversity and sustainable development agendas. Integrating </w:t>
      </w:r>
      <w:r w:rsidR="00CA5C8B">
        <w:rPr>
          <w:rFonts w:asciiTheme="majorBidi" w:hAnsiTheme="majorBidi" w:cstheme="majorBidi"/>
        </w:rPr>
        <w:t xml:space="preserve">access and benefit-sharing </w:t>
      </w:r>
      <w:r w:rsidR="00AC3A57" w:rsidRPr="00D2758E">
        <w:rPr>
          <w:rFonts w:asciiTheme="majorBidi" w:hAnsiTheme="majorBidi" w:cstheme="majorBidi"/>
        </w:rPr>
        <w:lastRenderedPageBreak/>
        <w:t>capacity‑building into wider biodiversity planning, financing and implementation processes may help raise its visibility, strengthen political support and enhance its contribution to broader biodiversity objectives.</w:t>
      </w:r>
    </w:p>
    <w:p w14:paraId="4E55FE2E" w14:textId="7649B3E1" w:rsidR="0056552E" w:rsidRPr="00D2758E" w:rsidRDefault="004D631D" w:rsidP="004D631D">
      <w:pPr>
        <w:pStyle w:val="CBDH3"/>
      </w:pPr>
      <w:r>
        <w:t>2.</w:t>
      </w:r>
      <w:r>
        <w:tab/>
      </w:r>
      <w:r w:rsidR="0056552E" w:rsidRPr="00D2758E">
        <w:t>Financial resources (Article 25) and resource mobilization</w:t>
      </w:r>
      <w:r w:rsidR="00176952" w:rsidRPr="00D2758E">
        <w:rPr>
          <w:rStyle w:val="FootnoteReference"/>
        </w:rPr>
        <w:footnoteReference w:id="73"/>
      </w:r>
    </w:p>
    <w:p w14:paraId="60CC3FB8" w14:textId="0E599F17" w:rsidR="002B5CDF" w:rsidRPr="00D2758E" w:rsidRDefault="004D631D" w:rsidP="004D631D">
      <w:pPr>
        <w:pStyle w:val="CBDH4"/>
      </w:pPr>
      <w:r>
        <w:t>(a)</w:t>
      </w:r>
      <w:r>
        <w:tab/>
      </w:r>
      <w:r w:rsidR="002B5CDF" w:rsidRPr="00D2758E">
        <w:t xml:space="preserve">Progress made in implementation and updated indicator data </w:t>
      </w:r>
    </w:p>
    <w:p w14:paraId="6BEED88D" w14:textId="37ABAB68" w:rsidR="00B8175E" w:rsidRPr="00D2758E" w:rsidRDefault="009E51AA" w:rsidP="00CD2C50">
      <w:pPr>
        <w:pStyle w:val="CBDNormalNumber"/>
        <w:rPr>
          <w:rFonts w:asciiTheme="majorBidi" w:hAnsiTheme="majorBidi" w:cstheme="majorBidi"/>
        </w:rPr>
      </w:pPr>
      <w:r w:rsidRPr="00D2758E">
        <w:rPr>
          <w:rFonts w:asciiTheme="majorBidi" w:hAnsiTheme="majorBidi" w:cstheme="majorBidi"/>
        </w:rPr>
        <w:t>As table</w:t>
      </w:r>
      <w:r w:rsidR="00B8175E" w:rsidRPr="00D2758E">
        <w:rPr>
          <w:rFonts w:asciiTheme="majorBidi" w:hAnsiTheme="majorBidi" w:cstheme="majorBidi"/>
        </w:rPr>
        <w:t xml:space="preserve"> 10</w:t>
      </w:r>
      <w:r w:rsidRPr="00D2758E">
        <w:rPr>
          <w:rFonts w:asciiTheme="majorBidi" w:hAnsiTheme="majorBidi" w:cstheme="majorBidi"/>
        </w:rPr>
        <w:t xml:space="preserve"> below demonstrate</w:t>
      </w:r>
      <w:r w:rsidR="00E41FDB" w:rsidRPr="00D2758E">
        <w:rPr>
          <w:rFonts w:asciiTheme="majorBidi" w:hAnsiTheme="majorBidi" w:cstheme="majorBidi"/>
        </w:rPr>
        <w:t>s</w:t>
      </w:r>
      <w:r w:rsidR="00CA5C8B">
        <w:rPr>
          <w:rFonts w:asciiTheme="majorBidi" w:hAnsiTheme="majorBidi" w:cstheme="majorBidi"/>
        </w:rPr>
        <w:t>,</w:t>
      </w:r>
      <w:r w:rsidRPr="00D2758E">
        <w:rPr>
          <w:rFonts w:asciiTheme="majorBidi" w:hAnsiTheme="majorBidi" w:cstheme="majorBidi"/>
        </w:rPr>
        <w:t xml:space="preserve"> there has been good progress on the mobilization of financial resources.</w:t>
      </w:r>
      <w:r w:rsidR="006A7EC4" w:rsidRPr="00D2758E">
        <w:t xml:space="preserve"> </w:t>
      </w:r>
      <w:r w:rsidR="006A7EC4" w:rsidRPr="00D2758E">
        <w:rPr>
          <w:rFonts w:asciiTheme="majorBidi" w:hAnsiTheme="majorBidi" w:cstheme="majorBidi"/>
        </w:rPr>
        <w:t xml:space="preserve">An increasing proportion of Parties report having accessed financial resources for implementation and a growing number have established mechanisms for allocating national budgetary resources. </w:t>
      </w:r>
    </w:p>
    <w:p w14:paraId="47AAD2D5" w14:textId="72F42283" w:rsidR="006A7EC4" w:rsidRPr="00D2758E" w:rsidRDefault="006A7EC4" w:rsidP="00CD2C50">
      <w:pPr>
        <w:pStyle w:val="CBDNormalNumber"/>
        <w:rPr>
          <w:rFonts w:asciiTheme="majorBidi" w:hAnsiTheme="majorBidi" w:cstheme="majorBidi"/>
        </w:rPr>
      </w:pPr>
      <w:r w:rsidRPr="00D2758E">
        <w:rPr>
          <w:rFonts w:asciiTheme="majorBidi" w:hAnsiTheme="majorBidi" w:cstheme="majorBidi"/>
        </w:rPr>
        <w:t xml:space="preserve">International public finance, predominantly through GEF, continues to represent the principal source of funding for </w:t>
      </w:r>
      <w:r w:rsidR="00CA5C8B">
        <w:rPr>
          <w:rFonts w:asciiTheme="majorBidi" w:hAnsiTheme="majorBidi" w:cstheme="majorBidi"/>
        </w:rPr>
        <w:t xml:space="preserve">access and benefit sharing </w:t>
      </w:r>
      <w:r w:rsidRPr="00D2758E">
        <w:rPr>
          <w:rFonts w:asciiTheme="majorBidi" w:hAnsiTheme="majorBidi" w:cstheme="majorBidi"/>
        </w:rPr>
        <w:t>implementation.</w:t>
      </w:r>
      <w:r w:rsidR="00B8175E" w:rsidRPr="00D2758E">
        <w:rPr>
          <w:rFonts w:asciiTheme="majorBidi" w:hAnsiTheme="majorBidi" w:cstheme="majorBidi"/>
        </w:rPr>
        <w:t xml:space="preserve"> </w:t>
      </w:r>
      <w:r w:rsidR="00FB01A4" w:rsidRPr="00D2758E">
        <w:rPr>
          <w:rFonts w:asciiTheme="majorBidi" w:hAnsiTheme="majorBidi" w:cstheme="majorBidi"/>
        </w:rPr>
        <w:t xml:space="preserve">This </w:t>
      </w:r>
      <w:r w:rsidR="008D10B2">
        <w:rPr>
          <w:rFonts w:asciiTheme="majorBidi" w:hAnsiTheme="majorBidi" w:cstheme="majorBidi"/>
        </w:rPr>
        <w:t>has been</w:t>
      </w:r>
      <w:r w:rsidR="00B8175E" w:rsidRPr="00D2758E">
        <w:rPr>
          <w:rFonts w:asciiTheme="majorBidi" w:hAnsiTheme="majorBidi" w:cstheme="majorBidi"/>
        </w:rPr>
        <w:t xml:space="preserve"> complemented by a limited number of bilateral donors, notably through development cooperation agencies</w:t>
      </w:r>
      <w:r w:rsidR="00FB01A4" w:rsidRPr="00D2758E">
        <w:rPr>
          <w:rFonts w:asciiTheme="majorBidi" w:hAnsiTheme="majorBidi" w:cstheme="majorBidi"/>
        </w:rPr>
        <w:t xml:space="preserve"> (</w:t>
      </w:r>
      <w:r w:rsidR="008D10B2" w:rsidRPr="008D10B2">
        <w:rPr>
          <w:rFonts w:asciiTheme="majorBidi" w:hAnsiTheme="majorBidi" w:cstheme="majorBidi"/>
        </w:rPr>
        <w:t xml:space="preserve">the German Agency for International Cooperation/Federal Ministry for Economic Cooperation and Development </w:t>
      </w:r>
      <w:r w:rsidR="00FB01A4" w:rsidRPr="00D2758E">
        <w:rPr>
          <w:rFonts w:asciiTheme="majorBidi" w:hAnsiTheme="majorBidi" w:cstheme="majorBidi"/>
        </w:rPr>
        <w:t>being the second most common donor).</w:t>
      </w:r>
      <w:r w:rsidR="00B8175E" w:rsidRPr="00D2758E">
        <w:rPr>
          <w:rFonts w:asciiTheme="majorBidi" w:hAnsiTheme="majorBidi" w:cstheme="majorBidi"/>
        </w:rPr>
        <w:t xml:space="preserve"> Outside these sources, alternative and innovative financing mechanisms remain limited in scale.</w:t>
      </w:r>
    </w:p>
    <w:p w14:paraId="144166CE" w14:textId="43D8FDC1" w:rsidR="00B8175E" w:rsidRPr="00D2758E" w:rsidRDefault="00B50DBF" w:rsidP="00CD2C50">
      <w:pPr>
        <w:pStyle w:val="CBDNormalNumber"/>
        <w:rPr>
          <w:rFonts w:asciiTheme="majorBidi" w:hAnsiTheme="majorBidi" w:cstheme="majorBidi"/>
        </w:rPr>
      </w:pPr>
      <w:r w:rsidRPr="00D2758E">
        <w:rPr>
          <w:rFonts w:asciiTheme="majorBidi" w:hAnsiTheme="majorBidi" w:cstheme="majorBidi"/>
        </w:rPr>
        <w:t>Regarding</w:t>
      </w:r>
      <w:r w:rsidR="00B8175E" w:rsidRPr="00D2758E">
        <w:rPr>
          <w:rFonts w:asciiTheme="majorBidi" w:hAnsiTheme="majorBidi" w:cstheme="majorBidi"/>
        </w:rPr>
        <w:t xml:space="preserve"> human resources, national reports indicate an average of approximately four staff members dedicated to </w:t>
      </w:r>
      <w:r w:rsidR="002B48DA">
        <w:rPr>
          <w:rFonts w:asciiTheme="majorBidi" w:hAnsiTheme="majorBidi" w:cstheme="majorBidi"/>
        </w:rPr>
        <w:t xml:space="preserve">access and benefit-sharing </w:t>
      </w:r>
      <w:r w:rsidR="00B8175E" w:rsidRPr="00D2758E">
        <w:rPr>
          <w:rFonts w:asciiTheme="majorBidi" w:hAnsiTheme="majorBidi" w:cstheme="majorBidi"/>
        </w:rPr>
        <w:t xml:space="preserve">implementation. In many cases, these functions are undertaken on a part-time basis or combined with </w:t>
      </w:r>
      <w:r w:rsidR="00B8175E" w:rsidRPr="00D2758E">
        <w:t>responsibilities</w:t>
      </w:r>
      <w:r w:rsidR="00B8175E" w:rsidRPr="00D2758E">
        <w:rPr>
          <w:rFonts w:asciiTheme="majorBidi" w:hAnsiTheme="majorBidi" w:cstheme="majorBidi"/>
        </w:rPr>
        <w:t xml:space="preserve"> under other biodiversity-related instruments. High staff turnover, reliance on project-based positions and limited institutional memory continue to undermine continuity and effectiveness, </w:t>
      </w:r>
      <w:proofErr w:type="gramStart"/>
      <w:r w:rsidR="00813F7F">
        <w:rPr>
          <w:rFonts w:asciiTheme="majorBidi" w:hAnsiTheme="majorBidi" w:cstheme="majorBidi"/>
        </w:rPr>
        <w:t xml:space="preserve">in </w:t>
      </w:r>
      <w:r w:rsidR="00B8175E" w:rsidRPr="00D2758E">
        <w:rPr>
          <w:rFonts w:asciiTheme="majorBidi" w:hAnsiTheme="majorBidi" w:cstheme="majorBidi"/>
        </w:rPr>
        <w:t>particular in</w:t>
      </w:r>
      <w:proofErr w:type="gramEnd"/>
      <w:r w:rsidR="00B8175E" w:rsidRPr="00D2758E">
        <w:rPr>
          <w:rFonts w:asciiTheme="majorBidi" w:hAnsiTheme="majorBidi" w:cstheme="majorBidi"/>
        </w:rPr>
        <w:t xml:space="preserve"> administrative, monitoring and compliance-related functions.</w:t>
      </w:r>
    </w:p>
    <w:p w14:paraId="35124E06" w14:textId="675C1CF7" w:rsidR="003B5DE1" w:rsidRPr="00D2758E" w:rsidRDefault="00B8175E" w:rsidP="00CD2C50">
      <w:pPr>
        <w:pStyle w:val="CBDNormalNumber"/>
        <w:rPr>
          <w:rFonts w:asciiTheme="majorBidi" w:hAnsiTheme="majorBidi" w:cstheme="majorBidi"/>
        </w:rPr>
      </w:pPr>
      <w:r w:rsidRPr="00D2758E">
        <w:rPr>
          <w:rFonts w:asciiTheme="majorBidi" w:hAnsiTheme="majorBidi" w:cstheme="majorBidi"/>
        </w:rPr>
        <w:t xml:space="preserve">National reports consistently indicate that combining domestic public resources with international project-based financing has been one of the most effective approaches to sustaining </w:t>
      </w:r>
      <w:r w:rsidR="002B48DA">
        <w:rPr>
          <w:rFonts w:asciiTheme="majorBidi" w:hAnsiTheme="majorBidi" w:cstheme="majorBidi"/>
        </w:rPr>
        <w:t xml:space="preserve">access and benefit-sharing </w:t>
      </w:r>
      <w:r w:rsidRPr="00D2758E">
        <w:rPr>
          <w:rFonts w:asciiTheme="majorBidi" w:hAnsiTheme="majorBidi" w:cstheme="majorBidi"/>
        </w:rPr>
        <w:t>implementation. Where Parties have established clear legal and institutional frameworks, they are better positioned to mobili</w:t>
      </w:r>
      <w:r w:rsidR="00521FF0">
        <w:rPr>
          <w:rFonts w:asciiTheme="majorBidi" w:hAnsiTheme="majorBidi" w:cstheme="majorBidi"/>
        </w:rPr>
        <w:t>z</w:t>
      </w:r>
      <w:r w:rsidRPr="00D2758E">
        <w:rPr>
          <w:rFonts w:asciiTheme="majorBidi" w:hAnsiTheme="majorBidi" w:cstheme="majorBidi"/>
        </w:rPr>
        <w:t>e financial resources and, in some cases, facilitate limited private-sector engagement through benefit-sharing arrangements.</w:t>
      </w:r>
    </w:p>
    <w:p w14:paraId="754BFF2B" w14:textId="53D02A89" w:rsidR="007B2917" w:rsidRPr="00D2758E" w:rsidRDefault="007B2917" w:rsidP="004D631D">
      <w:pPr>
        <w:pStyle w:val="CBDTableTitle"/>
      </w:pPr>
      <w:r w:rsidRPr="004D631D">
        <w:rPr>
          <w:b w:val="0"/>
          <w:bCs/>
        </w:rPr>
        <w:t>Table 10</w:t>
      </w:r>
      <w:r w:rsidRPr="00D2758E">
        <w:t xml:space="preserve"> </w:t>
      </w:r>
      <w:r w:rsidR="004D631D">
        <w:br/>
      </w:r>
      <w:r w:rsidRPr="00D2758E">
        <w:t>Indicators to measure progress by Parties in mobilization financial resources</w:t>
      </w:r>
    </w:p>
    <w:tbl>
      <w:tblPr>
        <w:tblW w:w="9138" w:type="dxa"/>
        <w:tblInd w:w="56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803"/>
        <w:gridCol w:w="1829"/>
        <w:gridCol w:w="1506"/>
      </w:tblGrid>
      <w:tr w:rsidR="007B2917" w:rsidRPr="00590A7F" w14:paraId="2405DA76" w14:textId="77777777" w:rsidTr="006B066D">
        <w:trPr>
          <w:cantSplit/>
        </w:trPr>
        <w:tc>
          <w:tcPr>
            <w:tcW w:w="5803" w:type="dxa"/>
            <w:tcBorders>
              <w:top w:val="single" w:sz="4" w:space="0" w:color="auto"/>
              <w:left w:val="single" w:sz="4" w:space="0" w:color="auto"/>
              <w:bottom w:val="single" w:sz="4" w:space="0" w:color="auto"/>
              <w:right w:val="single" w:sz="4" w:space="0" w:color="auto"/>
            </w:tcBorders>
            <w:tcMar>
              <w:top w:w="29" w:type="dxa"/>
              <w:left w:w="115" w:type="dxa"/>
              <w:bottom w:w="29" w:type="dxa"/>
              <w:right w:w="115" w:type="dxa"/>
            </w:tcMar>
            <w:vAlign w:val="bottom"/>
            <w:hideMark/>
          </w:tcPr>
          <w:p w14:paraId="7F88F919" w14:textId="77777777" w:rsidR="007B2917" w:rsidRPr="006B066D" w:rsidRDefault="007B2917" w:rsidP="006B066D">
            <w:pPr>
              <w:suppressLineNumbers/>
              <w:suppressAutoHyphens/>
              <w:kinsoku w:val="0"/>
              <w:overflowPunct w:val="0"/>
              <w:autoSpaceDE w:val="0"/>
              <w:autoSpaceDN w:val="0"/>
              <w:adjustRightInd w:val="0"/>
              <w:snapToGrid w:val="0"/>
              <w:ind w:left="314" w:hanging="360"/>
              <w:jc w:val="left"/>
              <w:rPr>
                <w:rFonts w:asciiTheme="majorBidi" w:hAnsiTheme="majorBidi" w:cstheme="majorBidi"/>
                <w:i/>
                <w:iCs/>
                <w:kern w:val="22"/>
                <w:sz w:val="20"/>
                <w:szCs w:val="20"/>
              </w:rPr>
            </w:pPr>
            <w:r w:rsidRPr="006B066D">
              <w:rPr>
                <w:rFonts w:asciiTheme="majorBidi" w:hAnsiTheme="majorBidi" w:cstheme="majorBidi"/>
                <w:i/>
                <w:iCs/>
                <w:kern w:val="22"/>
                <w:sz w:val="20"/>
                <w:szCs w:val="20"/>
              </w:rPr>
              <w:t>Framework of indicators</w:t>
            </w:r>
          </w:p>
        </w:tc>
        <w:tc>
          <w:tcPr>
            <w:tcW w:w="1829" w:type="dxa"/>
            <w:tcBorders>
              <w:top w:val="single" w:sz="4" w:space="0" w:color="auto"/>
              <w:left w:val="single" w:sz="4" w:space="0" w:color="auto"/>
              <w:bottom w:val="single" w:sz="4" w:space="0" w:color="auto"/>
              <w:right w:val="single" w:sz="4" w:space="0" w:color="auto"/>
            </w:tcBorders>
            <w:tcMar>
              <w:top w:w="29" w:type="dxa"/>
              <w:left w:w="115" w:type="dxa"/>
              <w:bottom w:w="29" w:type="dxa"/>
              <w:right w:w="115" w:type="dxa"/>
            </w:tcMar>
            <w:vAlign w:val="bottom"/>
            <w:hideMark/>
          </w:tcPr>
          <w:p w14:paraId="44C92440" w14:textId="73FCBECE" w:rsidR="007B2917" w:rsidRPr="006B066D" w:rsidRDefault="007B2917" w:rsidP="006B066D">
            <w:pPr>
              <w:suppressLineNumbers/>
              <w:suppressAutoHyphens/>
              <w:kinsoku w:val="0"/>
              <w:overflowPunct w:val="0"/>
              <w:autoSpaceDE w:val="0"/>
              <w:autoSpaceDN w:val="0"/>
              <w:adjustRightInd w:val="0"/>
              <w:snapToGrid w:val="0"/>
              <w:jc w:val="right"/>
              <w:rPr>
                <w:rFonts w:asciiTheme="majorBidi" w:hAnsiTheme="majorBidi" w:cstheme="majorBidi"/>
                <w:i/>
                <w:iCs/>
                <w:kern w:val="22"/>
                <w:sz w:val="20"/>
                <w:szCs w:val="20"/>
              </w:rPr>
            </w:pPr>
            <w:r w:rsidRPr="006B066D">
              <w:rPr>
                <w:rFonts w:asciiTheme="majorBidi" w:hAnsiTheme="majorBidi" w:cstheme="majorBidi"/>
                <w:i/>
                <w:iCs/>
                <w:kern w:val="22"/>
                <w:sz w:val="20"/>
                <w:szCs w:val="20"/>
              </w:rPr>
              <w:t xml:space="preserve">Reference point (as </w:t>
            </w:r>
            <w:r w:rsidR="00590A7F" w:rsidRPr="006B066D">
              <w:rPr>
                <w:rFonts w:asciiTheme="majorBidi" w:hAnsiTheme="majorBidi" w:cstheme="majorBidi"/>
                <w:i/>
                <w:iCs/>
                <w:kern w:val="22"/>
                <w:sz w:val="20"/>
                <w:szCs w:val="20"/>
              </w:rPr>
              <w:t xml:space="preserve">at </w:t>
            </w:r>
            <w:r w:rsidRPr="006B066D">
              <w:rPr>
                <w:rFonts w:asciiTheme="majorBidi" w:hAnsiTheme="majorBidi" w:cstheme="majorBidi"/>
                <w:i/>
                <w:iCs/>
                <w:kern w:val="22"/>
                <w:sz w:val="20"/>
                <w:szCs w:val="20"/>
              </w:rPr>
              <w:t>22 February 2018)</w:t>
            </w:r>
          </w:p>
        </w:tc>
        <w:tc>
          <w:tcPr>
            <w:tcW w:w="1506" w:type="dxa"/>
            <w:tcBorders>
              <w:top w:val="single" w:sz="4" w:space="0" w:color="auto"/>
              <w:left w:val="single" w:sz="4" w:space="0" w:color="auto"/>
              <w:bottom w:val="single" w:sz="4" w:space="0" w:color="auto"/>
              <w:right w:val="single" w:sz="4" w:space="0" w:color="auto"/>
            </w:tcBorders>
            <w:vAlign w:val="bottom"/>
          </w:tcPr>
          <w:p w14:paraId="738081F0" w14:textId="719AF477" w:rsidR="007B2917" w:rsidRPr="006B066D" w:rsidRDefault="00E56FBC" w:rsidP="006B066D">
            <w:pPr>
              <w:suppressLineNumbers/>
              <w:suppressAutoHyphens/>
              <w:kinsoku w:val="0"/>
              <w:overflowPunct w:val="0"/>
              <w:autoSpaceDE w:val="0"/>
              <w:autoSpaceDN w:val="0"/>
              <w:adjustRightInd w:val="0"/>
              <w:snapToGrid w:val="0"/>
              <w:jc w:val="right"/>
              <w:rPr>
                <w:rFonts w:asciiTheme="majorBidi" w:hAnsiTheme="majorBidi" w:cstheme="majorBidi"/>
                <w:i/>
                <w:iCs/>
                <w:kern w:val="22"/>
                <w:sz w:val="20"/>
                <w:szCs w:val="20"/>
              </w:rPr>
            </w:pPr>
            <w:r>
              <w:rPr>
                <w:rFonts w:asciiTheme="majorBidi" w:hAnsiTheme="majorBidi" w:cstheme="majorBidi"/>
                <w:i/>
                <w:iCs/>
                <w:kern w:val="22"/>
                <w:sz w:val="20"/>
                <w:szCs w:val="20"/>
              </w:rPr>
              <w:t>P</w:t>
            </w:r>
            <w:r w:rsidR="005A0466">
              <w:rPr>
                <w:rFonts w:asciiTheme="majorBidi" w:hAnsiTheme="majorBidi" w:cstheme="majorBidi"/>
                <w:i/>
                <w:iCs/>
                <w:kern w:val="22"/>
                <w:sz w:val="20"/>
                <w:szCs w:val="20"/>
              </w:rPr>
              <w:t>r</w:t>
            </w:r>
            <w:r>
              <w:rPr>
                <w:rFonts w:asciiTheme="majorBidi" w:hAnsiTheme="majorBidi" w:cstheme="majorBidi"/>
                <w:i/>
                <w:iCs/>
                <w:kern w:val="22"/>
                <w:sz w:val="20"/>
                <w:szCs w:val="20"/>
              </w:rPr>
              <w:t>ogress as a</w:t>
            </w:r>
            <w:r w:rsidR="005A0466">
              <w:rPr>
                <w:rFonts w:asciiTheme="majorBidi" w:hAnsiTheme="majorBidi" w:cstheme="majorBidi"/>
                <w:i/>
                <w:iCs/>
                <w:kern w:val="22"/>
                <w:sz w:val="20"/>
                <w:szCs w:val="20"/>
              </w:rPr>
              <w:t xml:space="preserve">t </w:t>
            </w:r>
            <w:r w:rsidR="007B2917" w:rsidRPr="006B066D">
              <w:rPr>
                <w:rFonts w:asciiTheme="majorBidi" w:hAnsiTheme="majorBidi" w:cstheme="majorBidi"/>
                <w:i/>
                <w:iCs/>
                <w:kern w:val="22"/>
                <w:sz w:val="20"/>
                <w:szCs w:val="20"/>
              </w:rPr>
              <w:t>9 March 2026</w:t>
            </w:r>
          </w:p>
        </w:tc>
      </w:tr>
      <w:tr w:rsidR="007B2917" w:rsidRPr="00D2758E" w14:paraId="18EF153B" w14:textId="77777777" w:rsidTr="006B066D">
        <w:trPr>
          <w:cantSplit/>
        </w:trPr>
        <w:tc>
          <w:tcPr>
            <w:tcW w:w="5803" w:type="dxa"/>
            <w:tcBorders>
              <w:top w:val="single" w:sz="4" w:space="0" w:color="auto"/>
              <w:left w:val="single" w:sz="4" w:space="0" w:color="auto"/>
              <w:bottom w:val="single" w:sz="4" w:space="0" w:color="auto"/>
              <w:right w:val="single" w:sz="4" w:space="0" w:color="auto"/>
            </w:tcBorders>
            <w:tcMar>
              <w:top w:w="29" w:type="dxa"/>
              <w:left w:w="115" w:type="dxa"/>
              <w:bottom w:w="29" w:type="dxa"/>
              <w:right w:w="115" w:type="dxa"/>
            </w:tcMar>
            <w:hideMark/>
          </w:tcPr>
          <w:p w14:paraId="0F9AA787" w14:textId="77777777" w:rsidR="007B2917" w:rsidRPr="00D2758E" w:rsidRDefault="007B2917" w:rsidP="006B066D">
            <w:pPr>
              <w:suppressLineNumbers/>
              <w:suppressAutoHyphens/>
              <w:kinsoku w:val="0"/>
              <w:overflowPunct w:val="0"/>
              <w:autoSpaceDE w:val="0"/>
              <w:autoSpaceDN w:val="0"/>
              <w:adjustRightInd w:val="0"/>
              <w:snapToGrid w:val="0"/>
              <w:jc w:val="left"/>
              <w:rPr>
                <w:rFonts w:asciiTheme="majorBidi" w:hAnsiTheme="majorBidi" w:cstheme="majorBidi"/>
                <w:kern w:val="22"/>
                <w:sz w:val="20"/>
                <w:szCs w:val="20"/>
              </w:rPr>
            </w:pPr>
            <w:r w:rsidRPr="00D2758E">
              <w:rPr>
                <w:rFonts w:asciiTheme="majorBidi" w:hAnsiTheme="majorBidi" w:cstheme="majorBidi"/>
                <w:kern w:val="22"/>
                <w:sz w:val="20"/>
                <w:szCs w:val="20"/>
              </w:rPr>
              <w:t>Number and percentage of Parties that made financial resources available to other Parties</w:t>
            </w:r>
          </w:p>
        </w:tc>
        <w:tc>
          <w:tcPr>
            <w:tcW w:w="1829" w:type="dxa"/>
            <w:tcBorders>
              <w:top w:val="single" w:sz="4" w:space="0" w:color="auto"/>
              <w:left w:val="single" w:sz="4" w:space="0" w:color="auto"/>
              <w:bottom w:val="single" w:sz="4" w:space="0" w:color="auto"/>
              <w:right w:val="single" w:sz="4" w:space="0" w:color="auto"/>
            </w:tcBorders>
            <w:tcMar>
              <w:top w:w="29" w:type="dxa"/>
              <w:left w:w="115" w:type="dxa"/>
              <w:bottom w:w="29" w:type="dxa"/>
              <w:right w:w="115" w:type="dxa"/>
            </w:tcMar>
            <w:vAlign w:val="bottom"/>
            <w:hideMark/>
          </w:tcPr>
          <w:p w14:paraId="3B19A489" w14:textId="4230DA66" w:rsidR="007B2917" w:rsidRPr="00D2758E" w:rsidRDefault="007B2917" w:rsidP="006B066D">
            <w:pPr>
              <w:suppressLineNumbers/>
              <w:suppressAutoHyphens/>
              <w:kinsoku w:val="0"/>
              <w:overflowPunct w:val="0"/>
              <w:autoSpaceDE w:val="0"/>
              <w:autoSpaceDN w:val="0"/>
              <w:adjustRightInd w:val="0"/>
              <w:snapToGrid w:val="0"/>
              <w:jc w:val="right"/>
              <w:rPr>
                <w:rFonts w:asciiTheme="majorBidi" w:hAnsiTheme="majorBidi" w:cstheme="majorBidi"/>
                <w:kern w:val="22"/>
                <w:sz w:val="20"/>
                <w:szCs w:val="20"/>
              </w:rPr>
            </w:pPr>
            <w:r w:rsidRPr="00D2758E">
              <w:rPr>
                <w:rFonts w:asciiTheme="majorBidi" w:hAnsiTheme="majorBidi" w:cstheme="majorBidi"/>
                <w:kern w:val="22"/>
                <w:sz w:val="20"/>
                <w:szCs w:val="20"/>
              </w:rPr>
              <w:t>13 (12</w:t>
            </w:r>
            <w:r w:rsidR="0077346B">
              <w:rPr>
                <w:rFonts w:asciiTheme="majorBidi" w:hAnsiTheme="majorBidi" w:cstheme="majorBidi"/>
                <w:kern w:val="22"/>
                <w:sz w:val="20"/>
                <w:szCs w:val="20"/>
              </w:rPr>
              <w:t xml:space="preserve"> per cent</w:t>
            </w:r>
            <w:r w:rsidRPr="00D2758E">
              <w:rPr>
                <w:rFonts w:asciiTheme="majorBidi" w:hAnsiTheme="majorBidi" w:cstheme="majorBidi"/>
                <w:kern w:val="22"/>
                <w:sz w:val="20"/>
                <w:szCs w:val="20"/>
              </w:rPr>
              <w:t>)</w:t>
            </w:r>
          </w:p>
        </w:tc>
        <w:tc>
          <w:tcPr>
            <w:tcW w:w="1506" w:type="dxa"/>
            <w:vAlign w:val="bottom"/>
          </w:tcPr>
          <w:p w14:paraId="61C9E1FA" w14:textId="673754BE" w:rsidR="007B2917" w:rsidRPr="00D2758E" w:rsidRDefault="007B2917" w:rsidP="006B066D">
            <w:pPr>
              <w:suppressLineNumbers/>
              <w:suppressAutoHyphens/>
              <w:kinsoku w:val="0"/>
              <w:overflowPunct w:val="0"/>
              <w:autoSpaceDE w:val="0"/>
              <w:autoSpaceDN w:val="0"/>
              <w:adjustRightInd w:val="0"/>
              <w:snapToGrid w:val="0"/>
              <w:jc w:val="right"/>
              <w:rPr>
                <w:rFonts w:asciiTheme="majorBidi" w:hAnsiTheme="majorBidi" w:cstheme="majorBidi"/>
                <w:kern w:val="22"/>
                <w:sz w:val="20"/>
                <w:szCs w:val="20"/>
              </w:rPr>
            </w:pPr>
            <w:r w:rsidRPr="00D2758E">
              <w:rPr>
                <w:rFonts w:asciiTheme="majorBidi" w:hAnsiTheme="majorBidi" w:cstheme="majorBidi"/>
                <w:kern w:val="22"/>
                <w:sz w:val="20"/>
                <w:szCs w:val="20"/>
              </w:rPr>
              <w:t>13 (9</w:t>
            </w:r>
            <w:r w:rsidR="0077346B">
              <w:rPr>
                <w:rFonts w:asciiTheme="majorBidi" w:hAnsiTheme="majorBidi" w:cstheme="majorBidi"/>
                <w:kern w:val="22"/>
                <w:sz w:val="20"/>
                <w:szCs w:val="20"/>
              </w:rPr>
              <w:t xml:space="preserve"> per cent</w:t>
            </w:r>
            <w:r w:rsidRPr="00D2758E">
              <w:rPr>
                <w:rFonts w:asciiTheme="majorBidi" w:hAnsiTheme="majorBidi" w:cstheme="majorBidi"/>
                <w:kern w:val="22"/>
                <w:sz w:val="20"/>
                <w:szCs w:val="20"/>
              </w:rPr>
              <w:t>)</w:t>
            </w:r>
          </w:p>
        </w:tc>
      </w:tr>
      <w:tr w:rsidR="007B2917" w:rsidRPr="00D2758E" w14:paraId="29126CF1" w14:textId="77777777" w:rsidTr="006B066D">
        <w:trPr>
          <w:cantSplit/>
        </w:trPr>
        <w:tc>
          <w:tcPr>
            <w:tcW w:w="5803" w:type="dxa"/>
            <w:tcBorders>
              <w:top w:val="single" w:sz="4" w:space="0" w:color="auto"/>
              <w:left w:val="single" w:sz="4" w:space="0" w:color="auto"/>
              <w:bottom w:val="single" w:sz="4" w:space="0" w:color="auto"/>
              <w:right w:val="single" w:sz="4" w:space="0" w:color="auto"/>
            </w:tcBorders>
            <w:tcMar>
              <w:top w:w="29" w:type="dxa"/>
              <w:left w:w="115" w:type="dxa"/>
              <w:bottom w:w="29" w:type="dxa"/>
              <w:right w:w="115" w:type="dxa"/>
            </w:tcMar>
            <w:hideMark/>
          </w:tcPr>
          <w:p w14:paraId="270E3102" w14:textId="77777777" w:rsidR="007B2917" w:rsidRPr="00D2758E" w:rsidRDefault="007B2917" w:rsidP="006B066D">
            <w:pPr>
              <w:suppressLineNumbers/>
              <w:suppressAutoHyphens/>
              <w:kinsoku w:val="0"/>
              <w:overflowPunct w:val="0"/>
              <w:autoSpaceDE w:val="0"/>
              <w:autoSpaceDN w:val="0"/>
              <w:adjustRightInd w:val="0"/>
              <w:snapToGrid w:val="0"/>
              <w:jc w:val="left"/>
              <w:rPr>
                <w:rFonts w:asciiTheme="majorBidi" w:hAnsiTheme="majorBidi" w:cstheme="majorBidi"/>
                <w:kern w:val="22"/>
                <w:sz w:val="20"/>
                <w:szCs w:val="20"/>
              </w:rPr>
            </w:pPr>
            <w:r w:rsidRPr="00D2758E">
              <w:rPr>
                <w:rFonts w:asciiTheme="majorBidi" w:hAnsiTheme="majorBidi" w:cstheme="majorBidi"/>
                <w:kern w:val="22"/>
                <w:sz w:val="20"/>
                <w:szCs w:val="20"/>
              </w:rPr>
              <w:t>Number and percentage of Parties that received financial resources from other Parties or financial institutions for the purposes of implementation of the Protocol as provided in Article 25</w:t>
            </w:r>
          </w:p>
        </w:tc>
        <w:tc>
          <w:tcPr>
            <w:tcW w:w="1829" w:type="dxa"/>
            <w:tcBorders>
              <w:top w:val="single" w:sz="4" w:space="0" w:color="auto"/>
              <w:left w:val="single" w:sz="4" w:space="0" w:color="auto"/>
              <w:bottom w:val="single" w:sz="4" w:space="0" w:color="auto"/>
              <w:right w:val="single" w:sz="4" w:space="0" w:color="auto"/>
            </w:tcBorders>
            <w:tcMar>
              <w:top w:w="29" w:type="dxa"/>
              <w:left w:w="115" w:type="dxa"/>
              <w:bottom w:w="29" w:type="dxa"/>
              <w:right w:w="115" w:type="dxa"/>
            </w:tcMar>
            <w:vAlign w:val="bottom"/>
            <w:hideMark/>
          </w:tcPr>
          <w:p w14:paraId="667AD285" w14:textId="50BAE71F" w:rsidR="007B2917" w:rsidRPr="00D2758E" w:rsidRDefault="007B2917" w:rsidP="006B066D">
            <w:pPr>
              <w:suppressLineNumbers/>
              <w:suppressAutoHyphens/>
              <w:kinsoku w:val="0"/>
              <w:overflowPunct w:val="0"/>
              <w:autoSpaceDE w:val="0"/>
              <w:autoSpaceDN w:val="0"/>
              <w:adjustRightInd w:val="0"/>
              <w:snapToGrid w:val="0"/>
              <w:jc w:val="right"/>
              <w:rPr>
                <w:rFonts w:asciiTheme="majorBidi" w:hAnsiTheme="majorBidi" w:cstheme="majorBidi"/>
                <w:kern w:val="22"/>
                <w:sz w:val="20"/>
                <w:szCs w:val="20"/>
              </w:rPr>
            </w:pPr>
            <w:r w:rsidRPr="00D2758E">
              <w:rPr>
                <w:rFonts w:asciiTheme="majorBidi" w:hAnsiTheme="majorBidi" w:cstheme="majorBidi"/>
                <w:kern w:val="22"/>
                <w:sz w:val="20"/>
                <w:szCs w:val="20"/>
              </w:rPr>
              <w:t>35 (33</w:t>
            </w:r>
            <w:r w:rsidR="00B74B51">
              <w:rPr>
                <w:rFonts w:asciiTheme="majorBidi" w:hAnsiTheme="majorBidi" w:cstheme="majorBidi"/>
                <w:kern w:val="22"/>
                <w:sz w:val="20"/>
                <w:szCs w:val="20"/>
              </w:rPr>
              <w:t xml:space="preserve"> per cent</w:t>
            </w:r>
            <w:r w:rsidRPr="00D2758E">
              <w:rPr>
                <w:rFonts w:asciiTheme="majorBidi" w:hAnsiTheme="majorBidi" w:cstheme="majorBidi"/>
                <w:kern w:val="22"/>
                <w:sz w:val="20"/>
                <w:szCs w:val="20"/>
              </w:rPr>
              <w:t>)</w:t>
            </w:r>
          </w:p>
        </w:tc>
        <w:tc>
          <w:tcPr>
            <w:tcW w:w="1506" w:type="dxa"/>
            <w:vAlign w:val="bottom"/>
          </w:tcPr>
          <w:p w14:paraId="10EB2C62" w14:textId="2D4171E5" w:rsidR="007B2917" w:rsidRPr="00D2758E" w:rsidRDefault="007B2917" w:rsidP="006B066D">
            <w:pPr>
              <w:suppressLineNumbers/>
              <w:suppressAutoHyphens/>
              <w:kinsoku w:val="0"/>
              <w:overflowPunct w:val="0"/>
              <w:autoSpaceDE w:val="0"/>
              <w:autoSpaceDN w:val="0"/>
              <w:adjustRightInd w:val="0"/>
              <w:snapToGrid w:val="0"/>
              <w:jc w:val="right"/>
              <w:rPr>
                <w:rFonts w:asciiTheme="majorBidi" w:hAnsiTheme="majorBidi" w:cstheme="majorBidi"/>
                <w:kern w:val="22"/>
                <w:sz w:val="20"/>
                <w:szCs w:val="20"/>
              </w:rPr>
            </w:pPr>
            <w:r w:rsidRPr="00D2758E">
              <w:rPr>
                <w:rFonts w:asciiTheme="majorBidi" w:hAnsiTheme="majorBidi" w:cstheme="majorBidi"/>
                <w:kern w:val="22"/>
                <w:sz w:val="20"/>
                <w:szCs w:val="20"/>
              </w:rPr>
              <w:t>59 (61</w:t>
            </w:r>
            <w:r w:rsidR="00B74B51">
              <w:rPr>
                <w:rFonts w:asciiTheme="majorBidi" w:hAnsiTheme="majorBidi" w:cstheme="majorBidi"/>
                <w:kern w:val="22"/>
                <w:sz w:val="20"/>
                <w:szCs w:val="20"/>
              </w:rPr>
              <w:t xml:space="preserve"> per cent</w:t>
            </w:r>
            <w:r w:rsidRPr="00D2758E">
              <w:rPr>
                <w:rFonts w:asciiTheme="majorBidi" w:hAnsiTheme="majorBidi" w:cstheme="majorBidi"/>
                <w:kern w:val="22"/>
                <w:sz w:val="20"/>
                <w:szCs w:val="20"/>
              </w:rPr>
              <w:t>)</w:t>
            </w:r>
          </w:p>
        </w:tc>
      </w:tr>
      <w:tr w:rsidR="007B2917" w:rsidRPr="00D2758E" w14:paraId="23509D4B" w14:textId="77777777" w:rsidTr="006B066D">
        <w:trPr>
          <w:cantSplit/>
        </w:trPr>
        <w:tc>
          <w:tcPr>
            <w:tcW w:w="5803" w:type="dxa"/>
            <w:tcBorders>
              <w:top w:val="single" w:sz="4" w:space="0" w:color="auto"/>
              <w:left w:val="single" w:sz="4" w:space="0" w:color="auto"/>
              <w:bottom w:val="single" w:sz="4" w:space="0" w:color="auto"/>
              <w:right w:val="single" w:sz="4" w:space="0" w:color="auto"/>
            </w:tcBorders>
            <w:tcMar>
              <w:top w:w="29" w:type="dxa"/>
              <w:left w:w="115" w:type="dxa"/>
              <w:bottom w:w="29" w:type="dxa"/>
              <w:right w:w="115" w:type="dxa"/>
            </w:tcMar>
            <w:hideMark/>
          </w:tcPr>
          <w:p w14:paraId="42EA1C03" w14:textId="77777777" w:rsidR="007B2917" w:rsidRPr="00D2758E" w:rsidRDefault="007B2917" w:rsidP="006B066D">
            <w:pPr>
              <w:suppressLineNumbers/>
              <w:suppressAutoHyphens/>
              <w:kinsoku w:val="0"/>
              <w:overflowPunct w:val="0"/>
              <w:autoSpaceDE w:val="0"/>
              <w:autoSpaceDN w:val="0"/>
              <w:adjustRightInd w:val="0"/>
              <w:snapToGrid w:val="0"/>
              <w:jc w:val="left"/>
              <w:rPr>
                <w:rFonts w:asciiTheme="majorBidi" w:hAnsiTheme="majorBidi" w:cstheme="majorBidi"/>
                <w:kern w:val="22"/>
                <w:sz w:val="20"/>
                <w:szCs w:val="20"/>
              </w:rPr>
            </w:pPr>
            <w:r w:rsidRPr="00D2758E">
              <w:rPr>
                <w:rFonts w:asciiTheme="majorBidi" w:hAnsiTheme="majorBidi" w:cstheme="majorBidi"/>
                <w:kern w:val="22"/>
                <w:sz w:val="20"/>
                <w:szCs w:val="20"/>
              </w:rPr>
              <w:t>Number and percentage of Parties that established a mechanism for budgetary allocations of funds for the implementation of the Nagoya Protocol</w:t>
            </w:r>
          </w:p>
        </w:tc>
        <w:tc>
          <w:tcPr>
            <w:tcW w:w="1829" w:type="dxa"/>
            <w:tcBorders>
              <w:top w:val="single" w:sz="4" w:space="0" w:color="auto"/>
              <w:left w:val="single" w:sz="4" w:space="0" w:color="auto"/>
              <w:bottom w:val="single" w:sz="4" w:space="0" w:color="auto"/>
              <w:right w:val="single" w:sz="4" w:space="0" w:color="auto"/>
            </w:tcBorders>
            <w:tcMar>
              <w:top w:w="29" w:type="dxa"/>
              <w:left w:w="115" w:type="dxa"/>
              <w:bottom w:w="29" w:type="dxa"/>
              <w:right w:w="115" w:type="dxa"/>
            </w:tcMar>
            <w:vAlign w:val="bottom"/>
            <w:hideMark/>
          </w:tcPr>
          <w:p w14:paraId="2A417D5A" w14:textId="42BB2BAB" w:rsidR="007B2917" w:rsidRPr="00D2758E" w:rsidRDefault="007B2917" w:rsidP="006B066D">
            <w:pPr>
              <w:suppressLineNumbers/>
              <w:suppressAutoHyphens/>
              <w:kinsoku w:val="0"/>
              <w:overflowPunct w:val="0"/>
              <w:autoSpaceDE w:val="0"/>
              <w:autoSpaceDN w:val="0"/>
              <w:adjustRightInd w:val="0"/>
              <w:snapToGrid w:val="0"/>
              <w:jc w:val="right"/>
              <w:rPr>
                <w:rFonts w:asciiTheme="majorBidi" w:hAnsiTheme="majorBidi" w:cstheme="majorBidi"/>
                <w:kern w:val="22"/>
                <w:sz w:val="20"/>
                <w:szCs w:val="20"/>
              </w:rPr>
            </w:pPr>
            <w:r w:rsidRPr="00D2758E">
              <w:rPr>
                <w:rFonts w:asciiTheme="majorBidi" w:hAnsiTheme="majorBidi" w:cstheme="majorBidi"/>
                <w:kern w:val="22"/>
                <w:sz w:val="20"/>
                <w:szCs w:val="20"/>
              </w:rPr>
              <w:t>24 (23</w:t>
            </w:r>
            <w:r w:rsidR="00B74B51">
              <w:rPr>
                <w:rFonts w:asciiTheme="majorBidi" w:hAnsiTheme="majorBidi" w:cstheme="majorBidi"/>
                <w:kern w:val="22"/>
                <w:sz w:val="20"/>
                <w:szCs w:val="20"/>
              </w:rPr>
              <w:t xml:space="preserve"> per cent</w:t>
            </w:r>
            <w:r w:rsidRPr="00D2758E">
              <w:rPr>
                <w:rFonts w:asciiTheme="majorBidi" w:hAnsiTheme="majorBidi" w:cstheme="majorBidi"/>
                <w:kern w:val="22"/>
                <w:sz w:val="20"/>
                <w:szCs w:val="20"/>
              </w:rPr>
              <w:t>)</w:t>
            </w:r>
          </w:p>
        </w:tc>
        <w:tc>
          <w:tcPr>
            <w:tcW w:w="1506" w:type="dxa"/>
            <w:vAlign w:val="bottom"/>
          </w:tcPr>
          <w:p w14:paraId="2D72AC81" w14:textId="218711EB" w:rsidR="007B2917" w:rsidRPr="00D2758E" w:rsidRDefault="007B2917" w:rsidP="006B066D">
            <w:pPr>
              <w:suppressLineNumbers/>
              <w:suppressAutoHyphens/>
              <w:kinsoku w:val="0"/>
              <w:overflowPunct w:val="0"/>
              <w:autoSpaceDE w:val="0"/>
              <w:autoSpaceDN w:val="0"/>
              <w:adjustRightInd w:val="0"/>
              <w:snapToGrid w:val="0"/>
              <w:jc w:val="right"/>
              <w:rPr>
                <w:rFonts w:asciiTheme="majorBidi" w:hAnsiTheme="majorBidi" w:cstheme="majorBidi"/>
                <w:kern w:val="22"/>
                <w:sz w:val="20"/>
                <w:szCs w:val="20"/>
              </w:rPr>
            </w:pPr>
            <w:r w:rsidRPr="00D2758E">
              <w:rPr>
                <w:rFonts w:asciiTheme="majorBidi" w:hAnsiTheme="majorBidi" w:cstheme="majorBidi"/>
                <w:kern w:val="22"/>
                <w:sz w:val="20"/>
                <w:szCs w:val="20"/>
              </w:rPr>
              <w:t>44 (31</w:t>
            </w:r>
            <w:r w:rsidR="00B74B51">
              <w:rPr>
                <w:rFonts w:asciiTheme="majorBidi" w:hAnsiTheme="majorBidi" w:cstheme="majorBidi"/>
                <w:kern w:val="22"/>
                <w:sz w:val="20"/>
                <w:szCs w:val="20"/>
              </w:rPr>
              <w:t xml:space="preserve"> per cent</w:t>
            </w:r>
            <w:r w:rsidRPr="00D2758E">
              <w:rPr>
                <w:rFonts w:asciiTheme="majorBidi" w:hAnsiTheme="majorBidi" w:cstheme="majorBidi"/>
                <w:kern w:val="22"/>
                <w:sz w:val="20"/>
                <w:szCs w:val="20"/>
              </w:rPr>
              <w:t>)</w:t>
            </w:r>
          </w:p>
        </w:tc>
      </w:tr>
      <w:tr w:rsidR="007B2917" w:rsidRPr="00D2758E" w14:paraId="57E78099" w14:textId="77777777" w:rsidTr="006B066D">
        <w:trPr>
          <w:cantSplit/>
        </w:trPr>
        <w:tc>
          <w:tcPr>
            <w:tcW w:w="5803" w:type="dxa"/>
            <w:tcBorders>
              <w:top w:val="single" w:sz="4" w:space="0" w:color="auto"/>
              <w:left w:val="single" w:sz="4" w:space="0" w:color="auto"/>
              <w:bottom w:val="single" w:sz="4" w:space="0" w:color="auto"/>
              <w:right w:val="single" w:sz="4" w:space="0" w:color="auto"/>
            </w:tcBorders>
            <w:tcMar>
              <w:top w:w="29" w:type="dxa"/>
              <w:left w:w="115" w:type="dxa"/>
              <w:bottom w:w="29" w:type="dxa"/>
              <w:right w:w="115" w:type="dxa"/>
            </w:tcMar>
            <w:hideMark/>
          </w:tcPr>
          <w:p w14:paraId="66AF0436" w14:textId="77777777" w:rsidR="007B2917" w:rsidRPr="00D2758E" w:rsidRDefault="007B2917" w:rsidP="006B066D">
            <w:pPr>
              <w:suppressLineNumbers/>
              <w:suppressAutoHyphens/>
              <w:kinsoku w:val="0"/>
              <w:overflowPunct w:val="0"/>
              <w:autoSpaceDE w:val="0"/>
              <w:autoSpaceDN w:val="0"/>
              <w:adjustRightInd w:val="0"/>
              <w:snapToGrid w:val="0"/>
              <w:jc w:val="left"/>
              <w:rPr>
                <w:rFonts w:asciiTheme="majorBidi" w:hAnsiTheme="majorBidi" w:cstheme="majorBidi"/>
                <w:kern w:val="22"/>
                <w:sz w:val="20"/>
                <w:szCs w:val="20"/>
              </w:rPr>
            </w:pPr>
            <w:r w:rsidRPr="00D2758E">
              <w:rPr>
                <w:rFonts w:asciiTheme="majorBidi" w:hAnsiTheme="majorBidi" w:cstheme="majorBidi"/>
                <w:kern w:val="22"/>
                <w:sz w:val="20"/>
                <w:szCs w:val="20"/>
              </w:rPr>
              <w:t>Average number of full-time staff working to administer functions directly related to the implementation of the Nagoya Protocol in each Party</w:t>
            </w:r>
          </w:p>
        </w:tc>
        <w:tc>
          <w:tcPr>
            <w:tcW w:w="1829" w:type="dxa"/>
            <w:tcBorders>
              <w:top w:val="single" w:sz="4" w:space="0" w:color="auto"/>
              <w:left w:val="single" w:sz="4" w:space="0" w:color="auto"/>
              <w:bottom w:val="single" w:sz="4" w:space="0" w:color="auto"/>
              <w:right w:val="single" w:sz="4" w:space="0" w:color="auto"/>
            </w:tcBorders>
            <w:tcMar>
              <w:top w:w="29" w:type="dxa"/>
              <w:left w:w="115" w:type="dxa"/>
              <w:bottom w:w="29" w:type="dxa"/>
              <w:right w:w="115" w:type="dxa"/>
            </w:tcMar>
            <w:vAlign w:val="bottom"/>
            <w:hideMark/>
          </w:tcPr>
          <w:p w14:paraId="63416DC5" w14:textId="77777777" w:rsidR="007B2917" w:rsidRPr="00D2758E" w:rsidRDefault="007B2917" w:rsidP="006B066D">
            <w:pPr>
              <w:suppressLineNumbers/>
              <w:suppressAutoHyphens/>
              <w:kinsoku w:val="0"/>
              <w:overflowPunct w:val="0"/>
              <w:autoSpaceDE w:val="0"/>
              <w:autoSpaceDN w:val="0"/>
              <w:adjustRightInd w:val="0"/>
              <w:snapToGrid w:val="0"/>
              <w:jc w:val="right"/>
              <w:rPr>
                <w:rFonts w:asciiTheme="majorBidi" w:eastAsia="Calibri" w:hAnsiTheme="majorBidi" w:cstheme="majorBidi"/>
                <w:kern w:val="22"/>
                <w:sz w:val="20"/>
                <w:szCs w:val="20"/>
              </w:rPr>
            </w:pPr>
            <w:r w:rsidRPr="00D2758E">
              <w:rPr>
                <w:rFonts w:asciiTheme="majorBidi" w:hAnsiTheme="majorBidi" w:cstheme="majorBidi"/>
                <w:kern w:val="22"/>
                <w:sz w:val="20"/>
                <w:szCs w:val="20"/>
              </w:rPr>
              <w:t>Not conclusive data</w:t>
            </w:r>
          </w:p>
        </w:tc>
        <w:tc>
          <w:tcPr>
            <w:tcW w:w="1506" w:type="dxa"/>
            <w:vAlign w:val="bottom"/>
          </w:tcPr>
          <w:p w14:paraId="601D1CD2" w14:textId="77777777" w:rsidR="007B2917" w:rsidRPr="00D2758E" w:rsidRDefault="007B2917" w:rsidP="006B066D">
            <w:pPr>
              <w:suppressLineNumbers/>
              <w:suppressAutoHyphens/>
              <w:kinsoku w:val="0"/>
              <w:overflowPunct w:val="0"/>
              <w:autoSpaceDE w:val="0"/>
              <w:autoSpaceDN w:val="0"/>
              <w:adjustRightInd w:val="0"/>
              <w:snapToGrid w:val="0"/>
              <w:jc w:val="right"/>
              <w:rPr>
                <w:rFonts w:asciiTheme="majorBidi" w:hAnsiTheme="majorBidi" w:cstheme="majorBidi"/>
                <w:kern w:val="22"/>
                <w:sz w:val="20"/>
                <w:szCs w:val="20"/>
              </w:rPr>
            </w:pPr>
            <w:r w:rsidRPr="00D2758E">
              <w:rPr>
                <w:rFonts w:asciiTheme="majorBidi" w:hAnsiTheme="majorBidi" w:cstheme="majorBidi"/>
                <w:kern w:val="22"/>
                <w:sz w:val="20"/>
                <w:szCs w:val="20"/>
              </w:rPr>
              <w:t>4</w:t>
            </w:r>
          </w:p>
        </w:tc>
      </w:tr>
    </w:tbl>
    <w:p w14:paraId="4D26675D" w14:textId="06485CD4" w:rsidR="002B5CDF" w:rsidRPr="00D2758E" w:rsidRDefault="004D631D" w:rsidP="004D631D">
      <w:pPr>
        <w:pStyle w:val="CBDH4"/>
        <w:rPr>
          <w:rFonts w:eastAsia="Aptos"/>
          <w:kern w:val="2"/>
          <w:sz w:val="24"/>
          <w14:ligatures w14:val="standardContextual"/>
        </w:rPr>
      </w:pPr>
      <w:r>
        <w:t>(b)</w:t>
      </w:r>
      <w:r>
        <w:tab/>
      </w:r>
      <w:r w:rsidR="005A2913" w:rsidRPr="00D2758E">
        <w:t>Challenges in implementation and root causes</w:t>
      </w:r>
    </w:p>
    <w:p w14:paraId="25448247" w14:textId="1ADCEDEF" w:rsidR="00C11EC5" w:rsidRPr="00D2758E" w:rsidRDefault="003319B5" w:rsidP="00CD2C50">
      <w:pPr>
        <w:pStyle w:val="CBDNormalNumber"/>
        <w:rPr>
          <w:rFonts w:asciiTheme="majorBidi" w:hAnsiTheme="majorBidi" w:cstheme="majorBidi"/>
        </w:rPr>
      </w:pPr>
      <w:r w:rsidRPr="00D2758E">
        <w:rPr>
          <w:rFonts w:asciiTheme="majorBidi" w:hAnsiTheme="majorBidi" w:cstheme="majorBidi"/>
        </w:rPr>
        <w:t xml:space="preserve">Adequate, predictable and sustainable financial resources remain a central determinant of effective implementation of the Nagoya Protocol. </w:t>
      </w:r>
      <w:r w:rsidR="00486557" w:rsidRPr="00D2758E">
        <w:rPr>
          <w:rFonts w:asciiTheme="majorBidi" w:hAnsiTheme="majorBidi" w:cstheme="majorBidi"/>
        </w:rPr>
        <w:t>All available information indicates</w:t>
      </w:r>
      <w:r w:rsidRPr="00D2758E">
        <w:rPr>
          <w:rFonts w:asciiTheme="majorBidi" w:hAnsiTheme="majorBidi" w:cstheme="majorBidi"/>
        </w:rPr>
        <w:t xml:space="preserve"> that</w:t>
      </w:r>
      <w:r w:rsidR="003D1DC3">
        <w:rPr>
          <w:rFonts w:asciiTheme="majorBidi" w:hAnsiTheme="majorBidi" w:cstheme="majorBidi"/>
        </w:rPr>
        <w:t>,</w:t>
      </w:r>
      <w:r w:rsidRPr="00D2758E">
        <w:rPr>
          <w:rFonts w:asciiTheme="majorBidi" w:hAnsiTheme="majorBidi" w:cstheme="majorBidi"/>
        </w:rPr>
        <w:t xml:space="preserve"> while measurable progress has been made in mobili</w:t>
      </w:r>
      <w:r w:rsidR="003D1DC3">
        <w:rPr>
          <w:rFonts w:asciiTheme="majorBidi" w:hAnsiTheme="majorBidi" w:cstheme="majorBidi"/>
        </w:rPr>
        <w:t>z</w:t>
      </w:r>
      <w:r w:rsidRPr="00D2758E">
        <w:rPr>
          <w:rFonts w:asciiTheme="majorBidi" w:hAnsiTheme="majorBidi" w:cstheme="majorBidi"/>
        </w:rPr>
        <w:t xml:space="preserve">ing support for </w:t>
      </w:r>
      <w:r w:rsidR="003D1DC3">
        <w:rPr>
          <w:rFonts w:asciiTheme="majorBidi" w:hAnsiTheme="majorBidi" w:cstheme="majorBidi"/>
        </w:rPr>
        <w:t>access and benefit sharing,</w:t>
      </w:r>
      <w:r w:rsidR="005651A8">
        <w:rPr>
          <w:rFonts w:asciiTheme="majorBidi" w:hAnsiTheme="majorBidi" w:cstheme="majorBidi"/>
        </w:rPr>
        <w:t xml:space="preserve"> </w:t>
      </w:r>
      <w:r w:rsidRPr="00D2758E">
        <w:rPr>
          <w:rFonts w:asciiTheme="majorBidi" w:hAnsiTheme="majorBidi" w:cstheme="majorBidi"/>
        </w:rPr>
        <w:t xml:space="preserve">persistent </w:t>
      </w:r>
      <w:r w:rsidRPr="00D2758E">
        <w:rPr>
          <w:rFonts w:asciiTheme="majorBidi" w:hAnsiTheme="majorBidi" w:cstheme="majorBidi"/>
        </w:rPr>
        <w:lastRenderedPageBreak/>
        <w:t>structural challenges continue to constrain long-term implementation and compliance</w:t>
      </w:r>
      <w:r w:rsidR="00486557" w:rsidRPr="00D2758E">
        <w:rPr>
          <w:rFonts w:asciiTheme="majorBidi" w:hAnsiTheme="majorBidi" w:cstheme="majorBidi"/>
        </w:rPr>
        <w:t>.</w:t>
      </w:r>
      <w:r w:rsidR="00CF0354" w:rsidRPr="00D2758E">
        <w:rPr>
          <w:rFonts w:asciiTheme="majorBidi" w:hAnsiTheme="majorBidi" w:cstheme="majorBidi"/>
        </w:rPr>
        <w:t xml:space="preserve"> Th</w:t>
      </w:r>
      <w:r w:rsidR="005651A8">
        <w:rPr>
          <w:rFonts w:asciiTheme="majorBidi" w:hAnsiTheme="majorBidi" w:cstheme="majorBidi"/>
        </w:rPr>
        <w:t>o</w:t>
      </w:r>
      <w:r w:rsidR="00CF0354" w:rsidRPr="00D2758E">
        <w:rPr>
          <w:rFonts w:asciiTheme="majorBidi" w:hAnsiTheme="majorBidi" w:cstheme="majorBidi"/>
        </w:rPr>
        <w:t xml:space="preserve">se </w:t>
      </w:r>
      <w:r w:rsidR="005651A8">
        <w:rPr>
          <w:rFonts w:asciiTheme="majorBidi" w:hAnsiTheme="majorBidi" w:cstheme="majorBidi"/>
        </w:rPr>
        <w:t>challenge</w:t>
      </w:r>
      <w:r w:rsidR="00C20ADF">
        <w:rPr>
          <w:rFonts w:asciiTheme="majorBidi" w:hAnsiTheme="majorBidi" w:cstheme="majorBidi"/>
        </w:rPr>
        <w:t>s</w:t>
      </w:r>
      <w:r w:rsidR="005651A8">
        <w:rPr>
          <w:rFonts w:asciiTheme="majorBidi" w:hAnsiTheme="majorBidi" w:cstheme="majorBidi"/>
        </w:rPr>
        <w:t xml:space="preserve"> </w:t>
      </w:r>
      <w:r w:rsidR="00CF0354" w:rsidRPr="00D2758E">
        <w:rPr>
          <w:rFonts w:asciiTheme="majorBidi" w:hAnsiTheme="majorBidi" w:cstheme="majorBidi"/>
        </w:rPr>
        <w:t>include:</w:t>
      </w:r>
    </w:p>
    <w:p w14:paraId="77BB4324" w14:textId="09C6F659" w:rsidR="00CF0354" w:rsidRPr="00D2758E" w:rsidRDefault="00C11EC5" w:rsidP="00A558F3">
      <w:pPr>
        <w:pStyle w:val="CBDNormalNumber"/>
        <w:numPr>
          <w:ilvl w:val="1"/>
          <w:numId w:val="7"/>
        </w:numPr>
      </w:pPr>
      <w:r w:rsidRPr="00D2758E">
        <w:rPr>
          <w:rFonts w:eastAsia="Aptos"/>
        </w:rPr>
        <w:t>Low prioriti</w:t>
      </w:r>
      <w:r w:rsidR="00553548">
        <w:rPr>
          <w:rFonts w:eastAsia="Aptos"/>
        </w:rPr>
        <w:t>z</w:t>
      </w:r>
      <w:r w:rsidRPr="00D2758E">
        <w:rPr>
          <w:rFonts w:eastAsia="Aptos"/>
        </w:rPr>
        <w:t xml:space="preserve">ation of </w:t>
      </w:r>
      <w:r w:rsidR="00A3189F">
        <w:rPr>
          <w:rFonts w:eastAsia="Aptos"/>
        </w:rPr>
        <w:t xml:space="preserve">access and benefit sharing </w:t>
      </w:r>
      <w:r w:rsidRPr="00D2758E">
        <w:rPr>
          <w:rFonts w:eastAsia="Aptos"/>
        </w:rPr>
        <w:t xml:space="preserve">within national budgetary frameworks and international </w:t>
      </w:r>
      <w:r w:rsidRPr="00D2758E">
        <w:t>financing</w:t>
      </w:r>
      <w:r w:rsidRPr="00D2758E">
        <w:rPr>
          <w:rFonts w:eastAsia="Aptos"/>
        </w:rPr>
        <w:t xml:space="preserve"> agendas;</w:t>
      </w:r>
    </w:p>
    <w:p w14:paraId="14A68F9D" w14:textId="30E5577A" w:rsidR="00CF0354" w:rsidRPr="00D2758E" w:rsidRDefault="00C11EC5" w:rsidP="00A558F3">
      <w:pPr>
        <w:pStyle w:val="CBDNormalNumber"/>
        <w:numPr>
          <w:ilvl w:val="1"/>
          <w:numId w:val="7"/>
        </w:numPr>
      </w:pPr>
      <w:r w:rsidRPr="00D2758E">
        <w:rPr>
          <w:rFonts w:eastAsia="Aptos"/>
        </w:rPr>
        <w:t>Chronic public finance constraints and competition with broader biodiversity, climate and development priorities;</w:t>
      </w:r>
    </w:p>
    <w:p w14:paraId="431929CD" w14:textId="77777777" w:rsidR="00CF0354" w:rsidRPr="00D2758E" w:rsidRDefault="00C11EC5" w:rsidP="00A558F3">
      <w:pPr>
        <w:pStyle w:val="CBDNormalNumber"/>
        <w:numPr>
          <w:ilvl w:val="1"/>
          <w:numId w:val="7"/>
        </w:numPr>
      </w:pPr>
      <w:r w:rsidRPr="00D2758E">
        <w:t>Heavy reliance on short-term, donor-driven projects, resulting in fragmented and time-bound interventions</w:t>
      </w:r>
      <w:r w:rsidRPr="00D2758E">
        <w:rPr>
          <w:rFonts w:eastAsia="Aptos"/>
        </w:rPr>
        <w:t>;</w:t>
      </w:r>
    </w:p>
    <w:p w14:paraId="3E4DB97F" w14:textId="69599E10" w:rsidR="00CF0354" w:rsidRPr="00D2758E" w:rsidRDefault="00C11EC5" w:rsidP="00A558F3">
      <w:pPr>
        <w:pStyle w:val="CBDNormalNumber"/>
        <w:numPr>
          <w:ilvl w:val="1"/>
          <w:numId w:val="7"/>
        </w:numPr>
      </w:pPr>
      <w:r w:rsidRPr="00D2758E">
        <w:t xml:space="preserve">Limited technical, scientific, legal and valuation capacity, reducing the ability to develop robust, bankable </w:t>
      </w:r>
      <w:r w:rsidR="007969BC">
        <w:t xml:space="preserve">access and benefit-sharing </w:t>
      </w:r>
      <w:r w:rsidRPr="00D2758E">
        <w:t>initiatives or attract private investment;</w:t>
      </w:r>
    </w:p>
    <w:p w14:paraId="594C6921" w14:textId="2E11B53D" w:rsidR="00C11EC5" w:rsidRPr="00D2758E" w:rsidRDefault="00C11EC5" w:rsidP="00A558F3">
      <w:pPr>
        <w:pStyle w:val="CBDNormalNumber"/>
        <w:numPr>
          <w:ilvl w:val="1"/>
          <w:numId w:val="7"/>
        </w:numPr>
        <w:rPr>
          <w:rFonts w:eastAsia="Aptos"/>
        </w:rPr>
      </w:pPr>
      <w:r w:rsidRPr="00D2758E">
        <w:t>Complex funding application and reporting requirements, combined with limited national capacity for fundraising, project design and financial management</w:t>
      </w:r>
      <w:r w:rsidR="00F42789">
        <w:t>;</w:t>
      </w:r>
    </w:p>
    <w:p w14:paraId="701B7B9E" w14:textId="393A9AE9" w:rsidR="00891B7B" w:rsidRPr="00D2758E" w:rsidRDefault="000C129C" w:rsidP="00A558F3">
      <w:pPr>
        <w:pStyle w:val="CBDNormalNumber"/>
        <w:numPr>
          <w:ilvl w:val="1"/>
          <w:numId w:val="7"/>
        </w:numPr>
        <w:rPr>
          <w:rFonts w:eastAsia="Aptos"/>
        </w:rPr>
      </w:pPr>
      <w:r>
        <w:t>C</w:t>
      </w:r>
      <w:r w:rsidR="008F75C7" w:rsidRPr="00D2758E">
        <w:t>ontinued dependence on G</w:t>
      </w:r>
      <w:r w:rsidR="00A35EC1" w:rsidRPr="00D2758E">
        <w:t>EF as the primary source of international funding for access and benefit</w:t>
      </w:r>
      <w:r>
        <w:t xml:space="preserve"> </w:t>
      </w:r>
      <w:r w:rsidR="00A35EC1" w:rsidRPr="00D2758E">
        <w:t>sharing, combin</w:t>
      </w:r>
      <w:r w:rsidR="00021332" w:rsidRPr="00D2758E">
        <w:t xml:space="preserve">ed with a relatively small, decreasing and undiversified donor base beyond GEF, </w:t>
      </w:r>
      <w:r w:rsidR="00771C05">
        <w:t xml:space="preserve">which </w:t>
      </w:r>
      <w:r w:rsidR="00021332" w:rsidRPr="00D2758E">
        <w:t>limits the predic</w:t>
      </w:r>
      <w:r w:rsidR="005A4C39" w:rsidRPr="00D2758E">
        <w:t xml:space="preserve">tability, scale and sustainability of </w:t>
      </w:r>
      <w:r w:rsidR="003A32CC" w:rsidRPr="00D2758E">
        <w:t>financial support</w:t>
      </w:r>
      <w:r w:rsidR="007C1890" w:rsidRPr="00D2758E">
        <w:t xml:space="preserve"> for long</w:t>
      </w:r>
      <w:r w:rsidR="00223172" w:rsidRPr="00D2758E">
        <w:t>-term imple</w:t>
      </w:r>
      <w:r w:rsidR="00683D2A" w:rsidRPr="00D2758E">
        <w:t>mentation</w:t>
      </w:r>
      <w:r w:rsidR="00F42789">
        <w:t>.</w:t>
      </w:r>
    </w:p>
    <w:p w14:paraId="4A1DC372" w14:textId="41E02C1E" w:rsidR="00C11EC5" w:rsidRPr="00D2758E" w:rsidRDefault="00C11EC5" w:rsidP="00CD2C50">
      <w:pPr>
        <w:pStyle w:val="CBDNormalNumber"/>
        <w:rPr>
          <w:rFonts w:asciiTheme="majorBidi" w:hAnsiTheme="majorBidi" w:cstheme="majorBidi"/>
        </w:rPr>
      </w:pPr>
      <w:r w:rsidRPr="00D2758E">
        <w:rPr>
          <w:rFonts w:asciiTheme="majorBidi" w:hAnsiTheme="majorBidi" w:cstheme="majorBidi"/>
        </w:rPr>
        <w:t>T</w:t>
      </w:r>
      <w:r w:rsidR="008563AF">
        <w:rPr>
          <w:rFonts w:asciiTheme="majorBidi" w:hAnsiTheme="majorBidi" w:cstheme="majorBidi"/>
        </w:rPr>
        <w:t>hose</w:t>
      </w:r>
      <w:r w:rsidRPr="00D2758E">
        <w:rPr>
          <w:rFonts w:asciiTheme="majorBidi" w:hAnsiTheme="majorBidi" w:cstheme="majorBidi"/>
        </w:rPr>
        <w:t xml:space="preserve"> challenges are underpinned by </w:t>
      </w:r>
      <w:r w:rsidR="00EC7B44" w:rsidRPr="00D2758E">
        <w:rPr>
          <w:rFonts w:asciiTheme="majorBidi" w:hAnsiTheme="majorBidi" w:cstheme="majorBidi"/>
        </w:rPr>
        <w:t xml:space="preserve">a range of </w:t>
      </w:r>
      <w:r w:rsidRPr="00D2758E">
        <w:rPr>
          <w:rFonts w:asciiTheme="majorBidi" w:hAnsiTheme="majorBidi" w:cstheme="majorBidi"/>
        </w:rPr>
        <w:t xml:space="preserve">structural factors, including fragmented institutional mandates, limited awareness of </w:t>
      </w:r>
      <w:r w:rsidR="008563AF">
        <w:rPr>
          <w:rFonts w:asciiTheme="majorBidi" w:hAnsiTheme="majorBidi" w:cstheme="majorBidi"/>
        </w:rPr>
        <w:t xml:space="preserve">access and benefit sharing </w:t>
      </w:r>
      <w:r w:rsidRPr="00D2758E">
        <w:rPr>
          <w:rFonts w:asciiTheme="majorBidi" w:hAnsiTheme="majorBidi" w:cstheme="majorBidi"/>
        </w:rPr>
        <w:t>among political and financial decision</w:t>
      </w:r>
      <w:r w:rsidR="008563AF">
        <w:rPr>
          <w:rFonts w:asciiTheme="majorBidi" w:hAnsiTheme="majorBidi" w:cstheme="majorBidi"/>
        </w:rPr>
        <w:t xml:space="preserve"> </w:t>
      </w:r>
      <w:r w:rsidRPr="00D2758E">
        <w:rPr>
          <w:rFonts w:asciiTheme="majorBidi" w:hAnsiTheme="majorBidi" w:cstheme="majorBidi"/>
        </w:rPr>
        <w:t xml:space="preserve">makers and the inherent time lag between </w:t>
      </w:r>
      <w:r w:rsidR="00727C6C">
        <w:rPr>
          <w:rFonts w:asciiTheme="majorBidi" w:hAnsiTheme="majorBidi" w:cstheme="majorBidi"/>
        </w:rPr>
        <w:t xml:space="preserve">access and benefit sharing </w:t>
      </w:r>
      <w:r w:rsidRPr="00D2758E">
        <w:rPr>
          <w:rFonts w:asciiTheme="majorBidi" w:hAnsiTheme="majorBidi" w:cstheme="majorBidi"/>
        </w:rPr>
        <w:t xml:space="preserve">regulatory processes and the generation of benefits. This temporal mismatch renders </w:t>
      </w:r>
      <w:r w:rsidR="00A176BA">
        <w:rPr>
          <w:rFonts w:asciiTheme="majorBidi" w:hAnsiTheme="majorBidi" w:cstheme="majorBidi"/>
        </w:rPr>
        <w:t xml:space="preserve">access and benefit-sharing </w:t>
      </w:r>
      <w:r w:rsidRPr="00D2758E">
        <w:rPr>
          <w:rFonts w:asciiTheme="majorBidi" w:hAnsiTheme="majorBidi" w:cstheme="majorBidi"/>
        </w:rPr>
        <w:t xml:space="preserve">implementation poorly </w:t>
      </w:r>
      <w:r w:rsidRPr="00D2758E">
        <w:t>aligned</w:t>
      </w:r>
      <w:r w:rsidRPr="00D2758E">
        <w:rPr>
          <w:rFonts w:asciiTheme="majorBidi" w:hAnsiTheme="majorBidi" w:cstheme="majorBidi"/>
        </w:rPr>
        <w:t xml:space="preserve"> with conventional short-term project and funding cycles</w:t>
      </w:r>
      <w:r w:rsidR="00EC7B44" w:rsidRPr="00D2758E">
        <w:rPr>
          <w:rFonts w:asciiTheme="majorBidi" w:hAnsiTheme="majorBidi" w:cstheme="majorBidi"/>
        </w:rPr>
        <w:t xml:space="preserve"> and is further compounded by the high concentration of international funding within a limited number of sources, notably GEF</w:t>
      </w:r>
      <w:r w:rsidR="004802B4" w:rsidRPr="00D2758E">
        <w:rPr>
          <w:rFonts w:asciiTheme="majorBidi" w:hAnsiTheme="majorBidi" w:cstheme="majorBidi"/>
        </w:rPr>
        <w:t xml:space="preserve">, resulting in constrained </w:t>
      </w:r>
      <w:r w:rsidR="00A5506C" w:rsidRPr="00D2758E">
        <w:rPr>
          <w:rFonts w:asciiTheme="majorBidi" w:hAnsiTheme="majorBidi" w:cstheme="majorBidi"/>
        </w:rPr>
        <w:t>predictability, scale and continuity of financi</w:t>
      </w:r>
      <w:r w:rsidR="00647A8C" w:rsidRPr="00D2758E">
        <w:rPr>
          <w:rFonts w:asciiTheme="majorBidi" w:hAnsiTheme="majorBidi" w:cstheme="majorBidi"/>
        </w:rPr>
        <w:t>al support.</w:t>
      </w:r>
    </w:p>
    <w:p w14:paraId="764C7576" w14:textId="28A0A47F" w:rsidR="00C11EC5" w:rsidRPr="00D2758E" w:rsidRDefault="00C11EC5" w:rsidP="00CD2C50">
      <w:pPr>
        <w:pStyle w:val="CBDNormalNumber"/>
        <w:rPr>
          <w:rFonts w:asciiTheme="majorBidi" w:hAnsiTheme="majorBidi" w:cstheme="majorBidi"/>
        </w:rPr>
      </w:pPr>
      <w:r w:rsidRPr="00D2758E">
        <w:rPr>
          <w:rFonts w:asciiTheme="majorBidi" w:hAnsiTheme="majorBidi" w:cstheme="majorBidi"/>
        </w:rPr>
        <w:t xml:space="preserve">Most capacity-building activities supporting </w:t>
      </w:r>
      <w:r w:rsidR="00A176BA">
        <w:rPr>
          <w:rFonts w:asciiTheme="majorBidi" w:hAnsiTheme="majorBidi" w:cstheme="majorBidi"/>
        </w:rPr>
        <w:t>access and benefit-sharing</w:t>
      </w:r>
      <w:r w:rsidRPr="00D2758E">
        <w:rPr>
          <w:rFonts w:asciiTheme="majorBidi" w:hAnsiTheme="majorBidi" w:cstheme="majorBidi"/>
        </w:rPr>
        <w:t xml:space="preserve"> implementation continue to rely on external funding. While such support has delivered tangible outcomes, its temporary nature poses challenges for sustaining skills, institutional </w:t>
      </w:r>
      <w:r w:rsidRPr="00D2758E">
        <w:t>arrangements</w:t>
      </w:r>
      <w:r w:rsidRPr="00D2758E">
        <w:rPr>
          <w:rFonts w:asciiTheme="majorBidi" w:hAnsiTheme="majorBidi" w:cstheme="majorBidi"/>
        </w:rPr>
        <w:t xml:space="preserve"> and systems over time. One-off training initiatives are increasingly insufficient in a context where </w:t>
      </w:r>
      <w:r w:rsidR="00301DDA">
        <w:rPr>
          <w:rFonts w:asciiTheme="majorBidi" w:hAnsiTheme="majorBidi" w:cstheme="majorBidi"/>
        </w:rPr>
        <w:t>access and benefit</w:t>
      </w:r>
      <w:r w:rsidR="00A234F8">
        <w:rPr>
          <w:rFonts w:asciiTheme="majorBidi" w:hAnsiTheme="majorBidi" w:cstheme="majorBidi"/>
        </w:rPr>
        <w:t>-</w:t>
      </w:r>
      <w:r w:rsidR="00301DDA">
        <w:rPr>
          <w:rFonts w:asciiTheme="majorBidi" w:hAnsiTheme="majorBidi" w:cstheme="majorBidi"/>
        </w:rPr>
        <w:t xml:space="preserve">sharing </w:t>
      </w:r>
      <w:r w:rsidRPr="00D2758E">
        <w:rPr>
          <w:rFonts w:asciiTheme="majorBidi" w:hAnsiTheme="majorBidi" w:cstheme="majorBidi"/>
        </w:rPr>
        <w:t>implementation requires continuous adaptation to evolving legal, scientific and technological developments.</w:t>
      </w:r>
    </w:p>
    <w:p w14:paraId="6E433397" w14:textId="35D3583B" w:rsidR="00C11EC5" w:rsidRPr="00D2758E" w:rsidRDefault="00C11EC5" w:rsidP="006B066D">
      <w:pPr>
        <w:pStyle w:val="CBDNormalNumber"/>
        <w:rPr>
          <w:rFonts w:asciiTheme="majorBidi" w:hAnsiTheme="majorBidi" w:cstheme="majorBidi"/>
        </w:rPr>
      </w:pPr>
      <w:r w:rsidRPr="00D2758E">
        <w:rPr>
          <w:rFonts w:asciiTheme="majorBidi" w:hAnsiTheme="majorBidi" w:cstheme="majorBidi"/>
        </w:rPr>
        <w:t>Global and regional initiatives have prove</w:t>
      </w:r>
      <w:r w:rsidR="00301DDA">
        <w:rPr>
          <w:rFonts w:asciiTheme="majorBidi" w:hAnsiTheme="majorBidi" w:cstheme="majorBidi"/>
        </w:rPr>
        <w:t>d</w:t>
      </w:r>
      <w:r w:rsidRPr="00D2758E">
        <w:rPr>
          <w:rFonts w:asciiTheme="majorBidi" w:hAnsiTheme="majorBidi" w:cstheme="majorBidi"/>
        </w:rPr>
        <w:t xml:space="preserve"> particularly effective in promoting standardi</w:t>
      </w:r>
      <w:r w:rsidR="00521FF0">
        <w:rPr>
          <w:rFonts w:asciiTheme="majorBidi" w:hAnsiTheme="majorBidi" w:cstheme="majorBidi"/>
        </w:rPr>
        <w:t>z</w:t>
      </w:r>
      <w:r w:rsidRPr="00D2758E">
        <w:rPr>
          <w:rFonts w:asciiTheme="majorBidi" w:hAnsiTheme="majorBidi" w:cstheme="majorBidi"/>
        </w:rPr>
        <w:t xml:space="preserve">ed approaches, peer learning and the exchange of experience. At the same time, the number of </w:t>
      </w:r>
      <w:r w:rsidR="00D34F01" w:rsidRPr="00D2758E">
        <w:rPr>
          <w:rFonts w:asciiTheme="majorBidi" w:hAnsiTheme="majorBidi" w:cstheme="majorBidi"/>
        </w:rPr>
        <w:t>projects</w:t>
      </w:r>
      <w:r w:rsidR="00D34F01">
        <w:rPr>
          <w:rFonts w:asciiTheme="majorBidi" w:hAnsiTheme="majorBidi" w:cstheme="majorBidi"/>
        </w:rPr>
        <w:t xml:space="preserve"> </w:t>
      </w:r>
      <w:r w:rsidR="00D34F01" w:rsidRPr="00D2758E">
        <w:rPr>
          <w:rFonts w:asciiTheme="majorBidi" w:hAnsiTheme="majorBidi" w:cstheme="majorBidi"/>
        </w:rPr>
        <w:t>specific</w:t>
      </w:r>
      <w:r w:rsidR="00D34F01">
        <w:rPr>
          <w:rFonts w:asciiTheme="majorBidi" w:hAnsiTheme="majorBidi" w:cstheme="majorBidi"/>
        </w:rPr>
        <w:t xml:space="preserve"> to </w:t>
      </w:r>
      <w:r w:rsidR="00EF476C">
        <w:rPr>
          <w:rFonts w:asciiTheme="majorBidi" w:hAnsiTheme="majorBidi" w:cstheme="majorBidi"/>
        </w:rPr>
        <w:t xml:space="preserve">access and benefit-sharing </w:t>
      </w:r>
      <w:r w:rsidRPr="00D2758E">
        <w:rPr>
          <w:rFonts w:asciiTheme="majorBidi" w:hAnsiTheme="majorBidi" w:cstheme="majorBidi"/>
        </w:rPr>
        <w:t>approved in recent GEF replenishment periods has declined, underscoring the importance of forthcoming funding opportunities, including under the Global Biodiversity Framework Fund and the ninth replenishment of the GEF</w:t>
      </w:r>
      <w:r w:rsidR="00EF476C">
        <w:rPr>
          <w:rFonts w:asciiTheme="majorBidi" w:hAnsiTheme="majorBidi" w:cstheme="majorBidi"/>
        </w:rPr>
        <w:t xml:space="preserve"> </w:t>
      </w:r>
      <w:r w:rsidR="00D46CD9">
        <w:rPr>
          <w:rFonts w:asciiTheme="majorBidi" w:hAnsiTheme="majorBidi" w:cstheme="majorBidi"/>
        </w:rPr>
        <w:t>T</w:t>
      </w:r>
      <w:r w:rsidR="00EF476C">
        <w:rPr>
          <w:rFonts w:asciiTheme="majorBidi" w:hAnsiTheme="majorBidi" w:cstheme="majorBidi"/>
        </w:rPr>
        <w:t xml:space="preserve">rust </w:t>
      </w:r>
      <w:r w:rsidR="00D46CD9">
        <w:rPr>
          <w:rFonts w:asciiTheme="majorBidi" w:hAnsiTheme="majorBidi" w:cstheme="majorBidi"/>
        </w:rPr>
        <w:t>F</w:t>
      </w:r>
      <w:r w:rsidR="00EF476C">
        <w:rPr>
          <w:rFonts w:asciiTheme="majorBidi" w:hAnsiTheme="majorBidi" w:cstheme="majorBidi"/>
        </w:rPr>
        <w:t>und</w:t>
      </w:r>
      <w:r w:rsidRPr="00D2758E">
        <w:rPr>
          <w:rFonts w:asciiTheme="majorBidi" w:hAnsiTheme="majorBidi" w:cstheme="majorBidi"/>
        </w:rPr>
        <w:t>.</w:t>
      </w:r>
    </w:p>
    <w:p w14:paraId="6F8C58F6" w14:textId="5C9760CF" w:rsidR="00C11EC5" w:rsidRPr="00D2758E" w:rsidRDefault="004D631D" w:rsidP="004D631D">
      <w:pPr>
        <w:pStyle w:val="CBDH4"/>
      </w:pPr>
      <w:r>
        <w:t>(c)</w:t>
      </w:r>
      <w:r>
        <w:tab/>
      </w:r>
      <w:r w:rsidR="00C35F63" w:rsidRPr="00D2758E">
        <w:t>Possible ways</w:t>
      </w:r>
      <w:r w:rsidR="00C11EC5" w:rsidRPr="00D2758E">
        <w:t xml:space="preserve"> to enhance access to financial resources and resource mobili</w:t>
      </w:r>
      <w:r w:rsidR="00553548">
        <w:t>z</w:t>
      </w:r>
      <w:r w:rsidR="00C11EC5" w:rsidRPr="00D2758E">
        <w:t>ation</w:t>
      </w:r>
      <w:r w:rsidR="00C35F63" w:rsidRPr="00D2758E">
        <w:t xml:space="preserve"> for implementation of the Protocol</w:t>
      </w:r>
    </w:p>
    <w:p w14:paraId="763DB7BF" w14:textId="14CF51E8" w:rsidR="00C11EC5" w:rsidRPr="00D2758E" w:rsidRDefault="00C11EC5" w:rsidP="00A558F3">
      <w:pPr>
        <w:pStyle w:val="CBDNormalNumber"/>
        <w:rPr>
          <w:rFonts w:asciiTheme="majorBidi" w:hAnsiTheme="majorBidi" w:cstheme="majorBidi"/>
        </w:rPr>
      </w:pPr>
      <w:r w:rsidRPr="00D2758E">
        <w:rPr>
          <w:rFonts w:asciiTheme="majorBidi" w:hAnsiTheme="majorBidi" w:cstheme="majorBidi"/>
        </w:rPr>
        <w:t xml:space="preserve">The </w:t>
      </w:r>
      <w:r w:rsidR="00C804AD" w:rsidRPr="00D2758E">
        <w:rPr>
          <w:rFonts w:asciiTheme="majorBidi" w:hAnsiTheme="majorBidi" w:cstheme="majorBidi"/>
        </w:rPr>
        <w:t>result</w:t>
      </w:r>
      <w:r w:rsidR="00D8544E" w:rsidRPr="00D2758E">
        <w:rPr>
          <w:rFonts w:asciiTheme="majorBidi" w:hAnsiTheme="majorBidi" w:cstheme="majorBidi"/>
        </w:rPr>
        <w:t xml:space="preserve"> of the analysis</w:t>
      </w:r>
      <w:r w:rsidRPr="00D2758E">
        <w:rPr>
          <w:rFonts w:asciiTheme="majorBidi" w:hAnsiTheme="majorBidi" w:cstheme="majorBidi"/>
        </w:rPr>
        <w:t xml:space="preserve"> identifies </w:t>
      </w:r>
      <w:r w:rsidRPr="00D2758E">
        <w:t>several</w:t>
      </w:r>
      <w:r w:rsidRPr="00D2758E">
        <w:rPr>
          <w:rFonts w:asciiTheme="majorBidi" w:hAnsiTheme="majorBidi" w:cstheme="majorBidi"/>
        </w:rPr>
        <w:t xml:space="preserve"> opportunities to strengthen access to financial resources and enhance resource mobili</w:t>
      </w:r>
      <w:r w:rsidR="00553548">
        <w:rPr>
          <w:rFonts w:asciiTheme="majorBidi" w:hAnsiTheme="majorBidi" w:cstheme="majorBidi"/>
        </w:rPr>
        <w:t>z</w:t>
      </w:r>
      <w:r w:rsidRPr="00D2758E">
        <w:rPr>
          <w:rFonts w:asciiTheme="majorBidi" w:hAnsiTheme="majorBidi" w:cstheme="majorBidi"/>
        </w:rPr>
        <w:t xml:space="preserve">ation in support of effective implementation of the Nagoya Protocol, including: </w:t>
      </w:r>
    </w:p>
    <w:p w14:paraId="6E974CD6" w14:textId="7085F4A4" w:rsidR="008856BC" w:rsidRPr="00D2758E" w:rsidRDefault="00C11EC5" w:rsidP="00A558F3">
      <w:pPr>
        <w:pStyle w:val="CBDNormalNumber"/>
        <w:numPr>
          <w:ilvl w:val="1"/>
          <w:numId w:val="7"/>
        </w:numPr>
        <w:rPr>
          <w:rFonts w:eastAsia="Aptos"/>
        </w:rPr>
      </w:pPr>
      <w:r w:rsidRPr="00D2758E">
        <w:rPr>
          <w:rFonts w:eastAsia="Aptos"/>
        </w:rPr>
        <w:t xml:space="preserve">Improved integration of </w:t>
      </w:r>
      <w:r w:rsidR="00D8025C">
        <w:rPr>
          <w:rFonts w:eastAsia="Aptos"/>
        </w:rPr>
        <w:t xml:space="preserve">access and benefit sharing </w:t>
      </w:r>
      <w:r w:rsidRPr="00D2758E">
        <w:rPr>
          <w:rFonts w:eastAsia="Aptos"/>
        </w:rPr>
        <w:t xml:space="preserve">into national biodiversity finance strategies aligned with the </w:t>
      </w:r>
      <w:r w:rsidRPr="00D2758E">
        <w:t>Kunming</w:t>
      </w:r>
      <w:r w:rsidRPr="00D2758E">
        <w:rPr>
          <w:rFonts w:eastAsia="Aptos"/>
        </w:rPr>
        <w:t>–Montreal Global Biodiversity Framework;</w:t>
      </w:r>
    </w:p>
    <w:p w14:paraId="66E0D9C9" w14:textId="16BE0121" w:rsidR="00D84EFA" w:rsidRPr="00D2758E" w:rsidRDefault="00D84EFA" w:rsidP="00A558F3">
      <w:pPr>
        <w:pStyle w:val="CBDNormalNumber"/>
        <w:numPr>
          <w:ilvl w:val="1"/>
          <w:numId w:val="7"/>
        </w:numPr>
        <w:rPr>
          <w:rFonts w:eastAsia="Aptos"/>
        </w:rPr>
      </w:pPr>
      <w:r w:rsidRPr="00D2758E">
        <w:t>Enhanced</w:t>
      </w:r>
      <w:r w:rsidRPr="00D2758E">
        <w:rPr>
          <w:rFonts w:eastAsia="Aptos"/>
        </w:rPr>
        <w:t xml:space="preserve"> use of </w:t>
      </w:r>
      <w:r w:rsidR="0003433E" w:rsidRPr="00D2758E">
        <w:rPr>
          <w:rFonts w:eastAsia="Aptos"/>
        </w:rPr>
        <w:t>GEF, as the financial mechanism of the Convention and the Protocol</w:t>
      </w:r>
      <w:r w:rsidR="006476E6" w:rsidRPr="00D2758E">
        <w:rPr>
          <w:rFonts w:eastAsia="Aptos"/>
        </w:rPr>
        <w:t xml:space="preserve">, to support more programmatic, longer-term and catalytic approaches to </w:t>
      </w:r>
      <w:r w:rsidR="00D8025C">
        <w:rPr>
          <w:rFonts w:eastAsia="Aptos"/>
        </w:rPr>
        <w:t>access and benefit</w:t>
      </w:r>
      <w:r w:rsidR="001A5333">
        <w:rPr>
          <w:rFonts w:eastAsia="Aptos"/>
        </w:rPr>
        <w:t xml:space="preserve">-sharing </w:t>
      </w:r>
      <w:r w:rsidR="006476E6" w:rsidRPr="00D2758E">
        <w:rPr>
          <w:rFonts w:eastAsia="Aptos"/>
        </w:rPr>
        <w:t xml:space="preserve">implementation, including through </w:t>
      </w:r>
      <w:r w:rsidR="009D51E5" w:rsidRPr="00D2758E">
        <w:rPr>
          <w:rFonts w:eastAsia="Aptos"/>
        </w:rPr>
        <w:t>increased support for regional, subregional and global initiatives</w:t>
      </w:r>
      <w:r w:rsidR="00F8550B" w:rsidRPr="00D2758E">
        <w:rPr>
          <w:rFonts w:eastAsia="Aptos"/>
        </w:rPr>
        <w:t xml:space="preserve">, </w:t>
      </w:r>
      <w:r w:rsidR="006476E6" w:rsidRPr="00D2758E">
        <w:rPr>
          <w:rFonts w:eastAsia="Aptos"/>
        </w:rPr>
        <w:t>the leveraging of co-financing, integration with broader biodiversity investments and support for s</w:t>
      </w:r>
      <w:r w:rsidR="0053575C" w:rsidRPr="00D2758E">
        <w:rPr>
          <w:rFonts w:eastAsia="Aptos"/>
        </w:rPr>
        <w:t>ystemic capacity-building beyond stand</w:t>
      </w:r>
      <w:r w:rsidR="00051885">
        <w:rPr>
          <w:rFonts w:eastAsia="Aptos"/>
        </w:rPr>
        <w:t>-</w:t>
      </w:r>
      <w:r w:rsidR="0053575C" w:rsidRPr="00D2758E">
        <w:rPr>
          <w:rFonts w:eastAsia="Aptos"/>
        </w:rPr>
        <w:t>alone projects</w:t>
      </w:r>
      <w:r w:rsidR="00D00B84">
        <w:rPr>
          <w:rFonts w:eastAsia="Aptos"/>
        </w:rPr>
        <w:t>;</w:t>
      </w:r>
    </w:p>
    <w:p w14:paraId="5C50D6AF" w14:textId="123E1C51" w:rsidR="006642C4" w:rsidRPr="00D2758E" w:rsidRDefault="00C11EC5" w:rsidP="00A558F3">
      <w:pPr>
        <w:pStyle w:val="CBDNormalNumber"/>
        <w:numPr>
          <w:ilvl w:val="1"/>
          <w:numId w:val="7"/>
        </w:numPr>
        <w:rPr>
          <w:rFonts w:eastAsia="Aptos"/>
        </w:rPr>
      </w:pPr>
      <w:r w:rsidRPr="00D2758E">
        <w:rPr>
          <w:rFonts w:eastAsia="Aptos"/>
        </w:rPr>
        <w:lastRenderedPageBreak/>
        <w:t>Increased predictability and institutionali</w:t>
      </w:r>
      <w:r w:rsidR="00553548">
        <w:rPr>
          <w:rFonts w:eastAsia="Aptos"/>
        </w:rPr>
        <w:t>z</w:t>
      </w:r>
      <w:r w:rsidRPr="00D2758E">
        <w:rPr>
          <w:rFonts w:eastAsia="Aptos"/>
        </w:rPr>
        <w:t xml:space="preserve">ation of domestic funding to support core </w:t>
      </w:r>
      <w:r w:rsidRPr="00D2758E">
        <w:t>administrative</w:t>
      </w:r>
      <w:r w:rsidRPr="00D2758E">
        <w:rPr>
          <w:rFonts w:eastAsia="Aptos"/>
        </w:rPr>
        <w:t>, monitoring and compliance functions;</w:t>
      </w:r>
    </w:p>
    <w:p w14:paraId="23A1C5D6" w14:textId="77777777" w:rsidR="006642C4" w:rsidRPr="00D2758E" w:rsidRDefault="00C11EC5" w:rsidP="00A558F3">
      <w:pPr>
        <w:pStyle w:val="CBDNormalNumber"/>
        <w:numPr>
          <w:ilvl w:val="1"/>
          <w:numId w:val="7"/>
        </w:numPr>
        <w:rPr>
          <w:rFonts w:eastAsia="Aptos"/>
        </w:rPr>
      </w:pPr>
      <w:r w:rsidRPr="00D2758E">
        <w:rPr>
          <w:rFonts w:eastAsia="Aptos"/>
        </w:rPr>
        <w:t>Strategic investment in digital permitting systems, information infrastructure and monitoring tools;</w:t>
      </w:r>
    </w:p>
    <w:p w14:paraId="231F0E49" w14:textId="313D5608" w:rsidR="00C11EC5" w:rsidRPr="00D2758E" w:rsidRDefault="00C11EC5" w:rsidP="00A558F3">
      <w:pPr>
        <w:pStyle w:val="CBDNormalNumber"/>
        <w:numPr>
          <w:ilvl w:val="1"/>
          <w:numId w:val="7"/>
        </w:numPr>
        <w:rPr>
          <w:rFonts w:eastAsia="Aptos"/>
        </w:rPr>
      </w:pPr>
      <w:r w:rsidRPr="00D2758E">
        <w:t>Strengthened</w:t>
      </w:r>
      <w:r w:rsidRPr="00D2758E">
        <w:rPr>
          <w:rFonts w:eastAsia="Aptos"/>
        </w:rPr>
        <w:t xml:space="preserve"> </w:t>
      </w:r>
      <w:r w:rsidR="00490B33">
        <w:rPr>
          <w:rFonts w:eastAsia="Aptos"/>
        </w:rPr>
        <w:t xml:space="preserve">efforts </w:t>
      </w:r>
      <w:r w:rsidR="00365AD4" w:rsidRPr="00D2758E">
        <w:rPr>
          <w:rFonts w:eastAsia="Aptos"/>
        </w:rPr>
        <w:t>to access, mobili</w:t>
      </w:r>
      <w:r w:rsidR="00521FF0">
        <w:rPr>
          <w:rFonts w:eastAsia="Aptos"/>
        </w:rPr>
        <w:t>z</w:t>
      </w:r>
      <w:r w:rsidR="00365AD4" w:rsidRPr="00D2758E">
        <w:rPr>
          <w:rFonts w:eastAsia="Aptos"/>
        </w:rPr>
        <w:t xml:space="preserve">e and effectively use financial resources in support of </w:t>
      </w:r>
      <w:r w:rsidR="008353FB">
        <w:rPr>
          <w:rFonts w:eastAsia="Aptos"/>
        </w:rPr>
        <w:t xml:space="preserve">access and benefit-sharing </w:t>
      </w:r>
      <w:r w:rsidR="00365AD4" w:rsidRPr="00D2758E">
        <w:rPr>
          <w:rFonts w:eastAsia="Aptos"/>
        </w:rPr>
        <w:t xml:space="preserve">implementation, including the development of fundable projects and the sustainability of </w:t>
      </w:r>
      <w:r w:rsidR="008353FB">
        <w:rPr>
          <w:rFonts w:eastAsia="Aptos"/>
        </w:rPr>
        <w:t xml:space="preserve">access and benefit-sharing </w:t>
      </w:r>
      <w:r w:rsidR="00365AD4" w:rsidRPr="00D2758E">
        <w:rPr>
          <w:rFonts w:eastAsia="Aptos"/>
        </w:rPr>
        <w:t>institutions.</w:t>
      </w:r>
    </w:p>
    <w:p w14:paraId="138645F9" w14:textId="24994142" w:rsidR="00C11EC5" w:rsidRPr="00D2758E" w:rsidRDefault="00FB064D" w:rsidP="00A558F3">
      <w:pPr>
        <w:pStyle w:val="CBDNormalNumber"/>
        <w:rPr>
          <w:rFonts w:asciiTheme="majorBidi" w:hAnsiTheme="majorBidi" w:cstheme="majorBidi"/>
        </w:rPr>
      </w:pPr>
      <w:r>
        <w:rPr>
          <w:rFonts w:asciiTheme="majorBidi" w:hAnsiTheme="majorBidi" w:cstheme="majorBidi"/>
        </w:rPr>
        <w:t>While e</w:t>
      </w:r>
      <w:r w:rsidR="00C11EC5" w:rsidRPr="00D2758E">
        <w:rPr>
          <w:rFonts w:asciiTheme="majorBidi" w:hAnsiTheme="majorBidi" w:cstheme="majorBidi"/>
        </w:rPr>
        <w:t xml:space="preserve">merging financing approaches, including blended and innovative finance, remain at an exploratory stage for </w:t>
      </w:r>
      <w:r>
        <w:rPr>
          <w:rFonts w:asciiTheme="majorBidi" w:hAnsiTheme="majorBidi" w:cstheme="majorBidi"/>
        </w:rPr>
        <w:t xml:space="preserve">access and benefit-sharing </w:t>
      </w:r>
      <w:r w:rsidR="00C11EC5" w:rsidRPr="00D2758E">
        <w:rPr>
          <w:rFonts w:asciiTheme="majorBidi" w:hAnsiTheme="majorBidi" w:cstheme="majorBidi"/>
        </w:rPr>
        <w:t>implementation, they may become increasingly relevant for specific activities linked to research, development and commerciali</w:t>
      </w:r>
      <w:r w:rsidR="00553548">
        <w:rPr>
          <w:rFonts w:asciiTheme="majorBidi" w:hAnsiTheme="majorBidi" w:cstheme="majorBidi"/>
        </w:rPr>
        <w:t>z</w:t>
      </w:r>
      <w:r w:rsidR="00C11EC5" w:rsidRPr="00D2758E">
        <w:rPr>
          <w:rFonts w:asciiTheme="majorBidi" w:hAnsiTheme="majorBidi" w:cstheme="majorBidi"/>
        </w:rPr>
        <w:t>ation and warrant continued monitoring and learning.</w:t>
      </w:r>
    </w:p>
    <w:p w14:paraId="58814E20" w14:textId="26694F5A" w:rsidR="00C11EC5" w:rsidRPr="00D2758E" w:rsidRDefault="00C11EC5" w:rsidP="00A558F3">
      <w:pPr>
        <w:pStyle w:val="CBDNormalNumber"/>
        <w:rPr>
          <w:rFonts w:asciiTheme="majorBidi" w:hAnsiTheme="majorBidi" w:cstheme="majorBidi"/>
        </w:rPr>
      </w:pPr>
      <w:r w:rsidRPr="00D2758E">
        <w:rPr>
          <w:rFonts w:asciiTheme="majorBidi" w:hAnsiTheme="majorBidi" w:cstheme="majorBidi"/>
        </w:rPr>
        <w:t xml:space="preserve">Looking ahead, enhanced </w:t>
      </w:r>
      <w:r w:rsidRPr="00D2758E">
        <w:t>effectiveness</w:t>
      </w:r>
      <w:r w:rsidRPr="00D2758E">
        <w:rPr>
          <w:rFonts w:asciiTheme="majorBidi" w:hAnsiTheme="majorBidi" w:cstheme="majorBidi"/>
        </w:rPr>
        <w:t xml:space="preserve"> will depend on:</w:t>
      </w:r>
    </w:p>
    <w:p w14:paraId="28FC6BD6" w14:textId="12D65AA9" w:rsidR="00FF473D" w:rsidRPr="00D2758E" w:rsidRDefault="00FF473D" w:rsidP="00A558F3">
      <w:pPr>
        <w:pStyle w:val="CBDNormalNumber"/>
        <w:numPr>
          <w:ilvl w:val="1"/>
          <w:numId w:val="7"/>
        </w:numPr>
        <w:rPr>
          <w:rFonts w:eastAsia="Aptos"/>
        </w:rPr>
      </w:pPr>
      <w:r w:rsidRPr="00D2758E">
        <w:rPr>
          <w:rFonts w:eastAsia="Aptos"/>
        </w:rPr>
        <w:t xml:space="preserve">The positioning of </w:t>
      </w:r>
      <w:r w:rsidR="002B0494">
        <w:rPr>
          <w:rFonts w:eastAsia="Aptos"/>
        </w:rPr>
        <w:t xml:space="preserve">access and benefit sharing </w:t>
      </w:r>
      <w:r w:rsidRPr="00D2758E">
        <w:rPr>
          <w:rFonts w:eastAsia="Aptos"/>
        </w:rPr>
        <w:t xml:space="preserve">as a long‑term governance priority and public infrastructure investment, rather than as a stand‑alone regulatory or project‑based activity, </w:t>
      </w:r>
      <w:proofErr w:type="gramStart"/>
      <w:r w:rsidRPr="00D2758E">
        <w:rPr>
          <w:rFonts w:eastAsia="Aptos"/>
        </w:rPr>
        <w:t>in order to</w:t>
      </w:r>
      <w:proofErr w:type="gramEnd"/>
      <w:r w:rsidRPr="00D2758E">
        <w:rPr>
          <w:rFonts w:eastAsia="Aptos"/>
        </w:rPr>
        <w:t xml:space="preserve"> anchor financing decisions in sustained institutional needs and long‑term outcomes;</w:t>
      </w:r>
    </w:p>
    <w:p w14:paraId="23D42FF0" w14:textId="08BCC652" w:rsidR="003A56C1" w:rsidRPr="00D2758E" w:rsidRDefault="003A56C1" w:rsidP="00A558F3">
      <w:pPr>
        <w:pStyle w:val="CBDNormalNumber"/>
        <w:numPr>
          <w:ilvl w:val="1"/>
          <w:numId w:val="7"/>
        </w:numPr>
        <w:rPr>
          <w:rFonts w:eastAsia="Aptos"/>
        </w:rPr>
      </w:pPr>
      <w:r w:rsidRPr="00D2758E">
        <w:rPr>
          <w:rFonts w:eastAsia="Aptos"/>
        </w:rPr>
        <w:t xml:space="preserve">Consideration of approaches that frame </w:t>
      </w:r>
      <w:r w:rsidR="002B0494">
        <w:rPr>
          <w:rFonts w:eastAsia="Aptos"/>
        </w:rPr>
        <w:t>access and benefit</w:t>
      </w:r>
      <w:r w:rsidR="008D0008">
        <w:rPr>
          <w:rFonts w:eastAsia="Aptos"/>
        </w:rPr>
        <w:t>-</w:t>
      </w:r>
      <w:r w:rsidR="002B0494">
        <w:rPr>
          <w:rFonts w:eastAsia="Aptos"/>
        </w:rPr>
        <w:t xml:space="preserve">sharing </w:t>
      </w:r>
      <w:r w:rsidRPr="00D2758E">
        <w:rPr>
          <w:rFonts w:eastAsia="Aptos"/>
        </w:rPr>
        <w:t>financing as a collective investment in legal certainty, equitable benefit</w:t>
      </w:r>
      <w:r w:rsidR="008D0008">
        <w:rPr>
          <w:rFonts w:eastAsia="Aptos"/>
        </w:rPr>
        <w:t xml:space="preserve"> </w:t>
      </w:r>
      <w:r w:rsidRPr="00D2758E">
        <w:rPr>
          <w:rFonts w:eastAsia="Aptos"/>
        </w:rPr>
        <w:t xml:space="preserve">sharing and global biodiversity governance, </w:t>
      </w:r>
      <w:r w:rsidR="00572D9E">
        <w:rPr>
          <w:rFonts w:eastAsia="Aptos"/>
        </w:rPr>
        <w:t xml:space="preserve">while </w:t>
      </w:r>
      <w:r w:rsidRPr="00D2758E">
        <w:rPr>
          <w:rFonts w:eastAsia="Aptos"/>
        </w:rPr>
        <w:t>recogni</w:t>
      </w:r>
      <w:r w:rsidR="00572D9E">
        <w:rPr>
          <w:rFonts w:eastAsia="Aptos"/>
        </w:rPr>
        <w:t>z</w:t>
      </w:r>
      <w:r w:rsidRPr="00D2758E">
        <w:rPr>
          <w:rFonts w:eastAsia="Aptos"/>
        </w:rPr>
        <w:t xml:space="preserve">ing </w:t>
      </w:r>
      <w:r w:rsidRPr="00D2758E">
        <w:t>differentiated</w:t>
      </w:r>
      <w:r w:rsidRPr="00D2758E">
        <w:rPr>
          <w:rFonts w:eastAsia="Aptos"/>
        </w:rPr>
        <w:t xml:space="preserve"> roles and capacities among Parties and the complementary contributions of user countries and other relevant actors through financial, bilateral and in‑kind forms of support, including for compliance, monitoring and transparency systems;</w:t>
      </w:r>
    </w:p>
    <w:p w14:paraId="7EAE9F89" w14:textId="4D10E2CC" w:rsidR="00FF473D" w:rsidRPr="00D2758E" w:rsidRDefault="00FF473D" w:rsidP="00A558F3">
      <w:pPr>
        <w:pStyle w:val="CBDNormalNumber"/>
        <w:numPr>
          <w:ilvl w:val="1"/>
          <w:numId w:val="7"/>
        </w:numPr>
        <w:rPr>
          <w:rFonts w:eastAsia="Aptos"/>
        </w:rPr>
      </w:pPr>
      <w:r w:rsidRPr="00D2758E">
        <w:rPr>
          <w:rFonts w:eastAsia="Aptos"/>
        </w:rPr>
        <w:t xml:space="preserve">A gradual shift in financing approaches from episodic, project‑based capacity‑building activities </w:t>
      </w:r>
      <w:r w:rsidRPr="00D2758E">
        <w:t>towards</w:t>
      </w:r>
      <w:r w:rsidRPr="00D2758E">
        <w:rPr>
          <w:rFonts w:eastAsia="Aptos"/>
        </w:rPr>
        <w:t xml:space="preserve"> sustained, long‑term support for system development, institutional capacity, monitoring and compliance, supported through coordinated and programmatic financing arrangements consistent with a shared‑responsibility approach;</w:t>
      </w:r>
    </w:p>
    <w:p w14:paraId="75917110" w14:textId="0475BBA0" w:rsidR="00FF473D" w:rsidRPr="00D2758E" w:rsidRDefault="00FF473D" w:rsidP="00A558F3">
      <w:pPr>
        <w:pStyle w:val="CBDNormalNumber"/>
        <w:numPr>
          <w:ilvl w:val="1"/>
          <w:numId w:val="7"/>
        </w:numPr>
        <w:rPr>
          <w:rFonts w:eastAsia="Aptos"/>
        </w:rPr>
      </w:pPr>
      <w:r w:rsidRPr="00D2758E">
        <w:rPr>
          <w:rFonts w:eastAsia="Aptos"/>
        </w:rPr>
        <w:t xml:space="preserve">The continued responsiveness and adequacy of the financial mechanism, including its capacity to support system‑level and long‑term investments in </w:t>
      </w:r>
      <w:r w:rsidR="00572D9E">
        <w:rPr>
          <w:rFonts w:eastAsia="Aptos"/>
        </w:rPr>
        <w:t>access and benefit sharing</w:t>
      </w:r>
      <w:r w:rsidRPr="00D2758E">
        <w:rPr>
          <w:rFonts w:eastAsia="Aptos"/>
        </w:rPr>
        <w:t xml:space="preserve"> as a core governance function, in </w:t>
      </w:r>
      <w:r w:rsidRPr="00D2758E">
        <w:t>line</w:t>
      </w:r>
      <w:r w:rsidRPr="00D2758E">
        <w:rPr>
          <w:rFonts w:eastAsia="Aptos"/>
        </w:rPr>
        <w:t xml:space="preserve"> with evolving implementation needs;</w:t>
      </w:r>
    </w:p>
    <w:p w14:paraId="33380284" w14:textId="33AB8D04" w:rsidR="00FF473D" w:rsidRPr="00D2758E" w:rsidRDefault="00FF473D" w:rsidP="00A558F3">
      <w:pPr>
        <w:pStyle w:val="CBDNormalNumber"/>
        <w:numPr>
          <w:ilvl w:val="1"/>
          <w:numId w:val="7"/>
        </w:numPr>
        <w:rPr>
          <w:rFonts w:eastAsia="Aptos"/>
        </w:rPr>
      </w:pPr>
      <w:r w:rsidRPr="00D2758E">
        <w:rPr>
          <w:rFonts w:eastAsia="Aptos"/>
        </w:rPr>
        <w:t xml:space="preserve">Greater coherence, coordination and transparency across international, bilateral and national </w:t>
      </w:r>
      <w:r w:rsidRPr="00D2758E">
        <w:t>funding</w:t>
      </w:r>
      <w:r w:rsidRPr="00D2758E">
        <w:rPr>
          <w:rFonts w:eastAsia="Aptos"/>
        </w:rPr>
        <w:t xml:space="preserve"> streams, including improved alignment of funding support with priorities emerging from the assessment and review;</w:t>
      </w:r>
    </w:p>
    <w:p w14:paraId="07A81327" w14:textId="07CC7070" w:rsidR="00FF473D" w:rsidRPr="00D2758E" w:rsidRDefault="00FF473D" w:rsidP="00A558F3">
      <w:pPr>
        <w:pStyle w:val="CBDNormalNumber"/>
        <w:numPr>
          <w:ilvl w:val="1"/>
          <w:numId w:val="7"/>
        </w:numPr>
        <w:rPr>
          <w:rFonts w:eastAsia="Aptos"/>
        </w:rPr>
      </w:pPr>
      <w:r w:rsidRPr="00D2758E">
        <w:rPr>
          <w:rFonts w:eastAsia="Aptos"/>
        </w:rPr>
        <w:t>Strengthened domestic resource mobili</w:t>
      </w:r>
      <w:r w:rsidR="00553548">
        <w:rPr>
          <w:rFonts w:eastAsia="Aptos"/>
        </w:rPr>
        <w:t>z</w:t>
      </w:r>
      <w:r w:rsidRPr="00D2758E">
        <w:rPr>
          <w:rFonts w:eastAsia="Aptos"/>
        </w:rPr>
        <w:t>ation and institutionali</w:t>
      </w:r>
      <w:r w:rsidR="00553548">
        <w:rPr>
          <w:rFonts w:eastAsia="Aptos"/>
        </w:rPr>
        <w:t>z</w:t>
      </w:r>
      <w:r w:rsidRPr="00D2758E">
        <w:rPr>
          <w:rFonts w:eastAsia="Aptos"/>
        </w:rPr>
        <w:t xml:space="preserve">ation of </w:t>
      </w:r>
      <w:r w:rsidR="00863AB6">
        <w:rPr>
          <w:rFonts w:eastAsia="Aptos"/>
        </w:rPr>
        <w:t xml:space="preserve">access and benefit-sharing </w:t>
      </w:r>
      <w:r w:rsidRPr="00D2758E">
        <w:rPr>
          <w:rFonts w:eastAsia="Aptos"/>
        </w:rPr>
        <w:t xml:space="preserve">financing, including through integration into national biodiversity finance strategies and </w:t>
      </w:r>
      <w:r w:rsidRPr="00D2758E">
        <w:t>development</w:t>
      </w:r>
      <w:r w:rsidRPr="00D2758E">
        <w:rPr>
          <w:rFonts w:eastAsia="Aptos"/>
        </w:rPr>
        <w:t xml:space="preserve"> planning frameworks, </w:t>
      </w:r>
      <w:proofErr w:type="gramStart"/>
      <w:r w:rsidRPr="00D2758E">
        <w:rPr>
          <w:rFonts w:eastAsia="Aptos"/>
        </w:rPr>
        <w:t>taking into account</w:t>
      </w:r>
      <w:proofErr w:type="gramEnd"/>
      <w:r w:rsidRPr="00D2758E">
        <w:rPr>
          <w:rFonts w:eastAsia="Aptos"/>
        </w:rPr>
        <w:t xml:space="preserve"> national circumstances and capacities; </w:t>
      </w:r>
    </w:p>
    <w:p w14:paraId="06C5458B" w14:textId="490221AC" w:rsidR="00FF473D" w:rsidRPr="00D2758E" w:rsidRDefault="00FF473D" w:rsidP="00A558F3">
      <w:pPr>
        <w:pStyle w:val="CBDNormalNumber"/>
        <w:numPr>
          <w:ilvl w:val="1"/>
          <w:numId w:val="7"/>
        </w:numPr>
        <w:rPr>
          <w:rFonts w:eastAsia="Aptos"/>
        </w:rPr>
      </w:pPr>
      <w:r w:rsidRPr="00D2758E">
        <w:rPr>
          <w:rFonts w:eastAsia="Aptos"/>
        </w:rPr>
        <w:t>Enhanced integration of financial support with system enablers, including capacity‑building and development and the A</w:t>
      </w:r>
      <w:r w:rsidR="00863AB6">
        <w:rPr>
          <w:rFonts w:eastAsia="Aptos"/>
        </w:rPr>
        <w:t>ccess and Benefit-sharing</w:t>
      </w:r>
      <w:r w:rsidRPr="00D2758E">
        <w:rPr>
          <w:rFonts w:eastAsia="Aptos"/>
        </w:rPr>
        <w:t xml:space="preserve"> Clearing‑House, by aligning investments in institutional capacity, digital tools and information systems with priorities identified </w:t>
      </w:r>
      <w:r w:rsidRPr="00D2758E">
        <w:t>through</w:t>
      </w:r>
      <w:r w:rsidRPr="00D2758E">
        <w:rPr>
          <w:rFonts w:eastAsia="Aptos"/>
        </w:rPr>
        <w:t xml:space="preserve"> the assessment and review, including through programmatic and, where appropriate, regional or global approaches</w:t>
      </w:r>
      <w:r w:rsidR="00226E03">
        <w:rPr>
          <w:rFonts w:eastAsia="Aptos"/>
        </w:rPr>
        <w:t>.</w:t>
      </w:r>
    </w:p>
    <w:p w14:paraId="5E06EC1F" w14:textId="39F85329" w:rsidR="00C11EC5" w:rsidRPr="00D2758E" w:rsidRDefault="00C11EC5" w:rsidP="00A558F3">
      <w:pPr>
        <w:pStyle w:val="CBDNormalNumber"/>
        <w:rPr>
          <w:rFonts w:asciiTheme="majorBidi" w:hAnsiTheme="majorBidi" w:cstheme="majorBidi"/>
        </w:rPr>
      </w:pPr>
      <w:r w:rsidRPr="00D2758E">
        <w:rPr>
          <w:rFonts w:asciiTheme="majorBidi" w:hAnsiTheme="majorBidi" w:cstheme="majorBidi"/>
        </w:rPr>
        <w:t>These findings underscore the importance of addressing financial resources and resource mobili</w:t>
      </w:r>
      <w:r w:rsidR="00D52836">
        <w:rPr>
          <w:rFonts w:asciiTheme="majorBidi" w:hAnsiTheme="majorBidi" w:cstheme="majorBidi"/>
        </w:rPr>
        <w:t>z</w:t>
      </w:r>
      <w:r w:rsidRPr="00D2758E">
        <w:rPr>
          <w:rFonts w:asciiTheme="majorBidi" w:hAnsiTheme="majorBidi" w:cstheme="majorBidi"/>
        </w:rPr>
        <w:t>ation not only as an implementation issue, but as a core enabler of legal certainty, compliance and the equitable and effective functioning of the access and benefit-sharing system under the Nagoya Protocol.</w:t>
      </w:r>
    </w:p>
    <w:p w14:paraId="617510E8" w14:textId="1EEE62C8" w:rsidR="0056552E" w:rsidRPr="00D2758E" w:rsidRDefault="004D631D" w:rsidP="004D631D">
      <w:pPr>
        <w:pStyle w:val="CBDH2"/>
      </w:pPr>
      <w:bookmarkStart w:id="11" w:name="_Toc228803307"/>
      <w:r>
        <w:lastRenderedPageBreak/>
        <w:t>D.</w:t>
      </w:r>
      <w:r>
        <w:tab/>
      </w:r>
      <w:r w:rsidR="0056552E" w:rsidRPr="00D2758E">
        <w:t>Assessment of effectiveness of Article 18</w:t>
      </w:r>
      <w:r w:rsidR="00362A1F" w:rsidRPr="00D2758E">
        <w:t xml:space="preserve"> (extent of implementation)</w:t>
      </w:r>
      <w:r w:rsidR="00362A1F" w:rsidRPr="00D2758E">
        <w:rPr>
          <w:rStyle w:val="FootnoteReference"/>
          <w:rFonts w:asciiTheme="majorBidi" w:hAnsiTheme="majorBidi"/>
        </w:rPr>
        <w:footnoteReference w:id="74"/>
      </w:r>
      <w:bookmarkEnd w:id="11"/>
    </w:p>
    <w:p w14:paraId="7B3AA7AA" w14:textId="4E15E9A2" w:rsidR="006A0817" w:rsidRPr="00D2758E" w:rsidRDefault="004D631D" w:rsidP="004D631D">
      <w:pPr>
        <w:pStyle w:val="CBDH3"/>
      </w:pPr>
      <w:r>
        <w:t>1.</w:t>
      </w:r>
      <w:r>
        <w:tab/>
      </w:r>
      <w:r w:rsidR="006A0817" w:rsidRPr="00D2758E">
        <w:t>Progress made in implementation and updated indicator</w:t>
      </w:r>
      <w:r w:rsidR="004A5572" w:rsidRPr="00D2758E">
        <w:t xml:space="preserve"> </w:t>
      </w:r>
      <w:r w:rsidR="006A0817" w:rsidRPr="00D2758E">
        <w:t xml:space="preserve">data </w:t>
      </w:r>
    </w:p>
    <w:p w14:paraId="35CC2E34" w14:textId="052C5B34" w:rsidR="00F0696D" w:rsidRPr="00D2758E" w:rsidRDefault="00F0696D" w:rsidP="00A558F3">
      <w:pPr>
        <w:pStyle w:val="CBDNormalNumber"/>
        <w:rPr>
          <w:rFonts w:asciiTheme="majorBidi" w:hAnsiTheme="majorBidi" w:cstheme="majorBidi"/>
        </w:rPr>
      </w:pPr>
      <w:r w:rsidRPr="00D2758E">
        <w:rPr>
          <w:rFonts w:asciiTheme="majorBidi" w:hAnsiTheme="majorBidi" w:cstheme="majorBidi"/>
        </w:rPr>
        <w:t xml:space="preserve">As the </w:t>
      </w:r>
      <w:r w:rsidRPr="00D2758E">
        <w:t>indicators</w:t>
      </w:r>
      <w:r w:rsidRPr="00D2758E">
        <w:rPr>
          <w:rFonts w:asciiTheme="majorBidi" w:hAnsiTheme="majorBidi" w:cstheme="majorBidi"/>
        </w:rPr>
        <w:t xml:space="preserve"> in table 11 below demonstrate, </w:t>
      </w:r>
      <w:r w:rsidR="00BB6EDC" w:rsidRPr="00D2758E">
        <w:rPr>
          <w:rFonts w:asciiTheme="majorBidi" w:hAnsiTheme="majorBidi" w:cstheme="majorBidi"/>
        </w:rPr>
        <w:t xml:space="preserve">good </w:t>
      </w:r>
      <w:r w:rsidRPr="00D2758E">
        <w:rPr>
          <w:rFonts w:asciiTheme="majorBidi" w:hAnsiTheme="majorBidi" w:cstheme="majorBidi"/>
        </w:rPr>
        <w:t>progress has been made in the implementation of Article 18 since the last reference point in February 2018.</w:t>
      </w:r>
      <w:r w:rsidR="006D326C" w:rsidRPr="00D2758E">
        <w:rPr>
          <w:rFonts w:asciiTheme="majorBidi" w:hAnsiTheme="majorBidi" w:cstheme="majorBidi"/>
        </w:rPr>
        <w:t xml:space="preserve"> </w:t>
      </w:r>
      <w:r w:rsidR="00096DFC" w:rsidRPr="00D2758E">
        <w:rPr>
          <w:rFonts w:asciiTheme="majorBidi" w:hAnsiTheme="majorBidi" w:cstheme="majorBidi"/>
        </w:rPr>
        <w:t>The conclusions from the first assessment and review of the Nagoya Protocol are still relevant for th</w:t>
      </w:r>
      <w:r w:rsidR="00863AB6">
        <w:rPr>
          <w:rFonts w:asciiTheme="majorBidi" w:hAnsiTheme="majorBidi" w:cstheme="majorBidi"/>
        </w:rPr>
        <w:t>at</w:t>
      </w:r>
      <w:r w:rsidR="00096DFC" w:rsidRPr="00D2758E">
        <w:rPr>
          <w:rFonts w:asciiTheme="majorBidi" w:hAnsiTheme="majorBidi" w:cstheme="majorBidi"/>
        </w:rPr>
        <w:t xml:space="preserve"> element.</w:t>
      </w:r>
      <w:r w:rsidR="00096DFC" w:rsidRPr="00D2758E">
        <w:rPr>
          <w:rStyle w:val="FootnoteReference"/>
          <w:rFonts w:asciiTheme="majorBidi" w:hAnsiTheme="majorBidi" w:cstheme="majorBidi"/>
        </w:rPr>
        <w:footnoteReference w:id="75"/>
      </w:r>
    </w:p>
    <w:p w14:paraId="7515461F" w14:textId="11B382E1" w:rsidR="00F0696D" w:rsidRPr="00D2758E" w:rsidRDefault="00F0696D" w:rsidP="00A558F3">
      <w:pPr>
        <w:pStyle w:val="CBDNormalNumber"/>
        <w:rPr>
          <w:rFonts w:asciiTheme="majorBidi" w:hAnsiTheme="majorBidi" w:cstheme="majorBidi"/>
        </w:rPr>
      </w:pPr>
      <w:r w:rsidRPr="00D2758E">
        <w:rPr>
          <w:rFonts w:asciiTheme="majorBidi" w:hAnsiTheme="majorBidi" w:cstheme="majorBidi"/>
        </w:rPr>
        <w:t>The information provided by Parties points out to a lack of experience on cases of dispute resolution in ABS.</w:t>
      </w:r>
      <w:r w:rsidR="00796A74" w:rsidRPr="00D2758E">
        <w:rPr>
          <w:rFonts w:asciiTheme="majorBidi" w:hAnsiTheme="majorBidi" w:cstheme="majorBidi"/>
        </w:rPr>
        <w:t xml:space="preserve"> As </w:t>
      </w:r>
      <w:r w:rsidR="00796A74" w:rsidRPr="00D2758E">
        <w:t>regards</w:t>
      </w:r>
      <w:r w:rsidR="00796A74" w:rsidRPr="00D2758E">
        <w:rPr>
          <w:rFonts w:asciiTheme="majorBidi" w:hAnsiTheme="majorBidi" w:cstheme="majorBidi"/>
        </w:rPr>
        <w:t xml:space="preserve"> to Article 18, paragraph 1, Parties reported that provisions on dispute resolution in mutually agreed terms could be included in ABS measures, model contractual clauses or in both. However, there are other provisions in Article 18, paragraph 2 and 3, that are often implemented at the national level through existing contractual law, private international law, and domestic measures related to access to justice laws rather than through the ABS measures. </w:t>
      </w:r>
      <w:r w:rsidR="00796A74" w:rsidRPr="00D2758E">
        <w:rPr>
          <w:rStyle w:val="FootnoteReference"/>
          <w:rFonts w:asciiTheme="majorBidi" w:hAnsiTheme="majorBidi" w:cstheme="majorBidi"/>
        </w:rPr>
        <w:footnoteReference w:id="76"/>
      </w:r>
      <w:r w:rsidR="00A129A8" w:rsidRPr="00D2758E">
        <w:rPr>
          <w:rFonts w:asciiTheme="majorBidi" w:hAnsiTheme="majorBidi" w:cstheme="majorBidi"/>
        </w:rPr>
        <w:t xml:space="preserve"> </w:t>
      </w:r>
      <w:r w:rsidR="00A129A8" w:rsidRPr="00D2758E">
        <w:t>These later aspects have shown moderate progress.</w:t>
      </w:r>
    </w:p>
    <w:p w14:paraId="4FA3D15D" w14:textId="2EB0B2ED" w:rsidR="00F0696D" w:rsidRPr="00D2758E" w:rsidRDefault="00F0696D" w:rsidP="004D631D">
      <w:pPr>
        <w:pStyle w:val="CBDTableTitle"/>
      </w:pPr>
      <w:r w:rsidRPr="004D631D">
        <w:rPr>
          <w:b w:val="0"/>
          <w:bCs/>
        </w:rPr>
        <w:t xml:space="preserve">Table </w:t>
      </w:r>
      <w:r w:rsidR="009E729F" w:rsidRPr="004D631D">
        <w:rPr>
          <w:b w:val="0"/>
          <w:bCs/>
        </w:rPr>
        <w:t>11</w:t>
      </w:r>
      <w:r w:rsidRPr="00D2758E">
        <w:t xml:space="preserve"> </w:t>
      </w:r>
      <w:r w:rsidR="004D631D">
        <w:br/>
      </w:r>
      <w:r w:rsidRPr="00D2758E">
        <w:t>Indicators to measures progress on implementation of Article 18 of the Nagoya Protocol</w:t>
      </w:r>
    </w:p>
    <w:tbl>
      <w:tblPr>
        <w:tblW w:w="9144" w:type="dxa"/>
        <w:tblInd w:w="56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803"/>
        <w:gridCol w:w="1829"/>
        <w:gridCol w:w="1512"/>
      </w:tblGrid>
      <w:tr w:rsidR="00F0696D" w:rsidRPr="00D52836" w14:paraId="02BFD4CE" w14:textId="77777777" w:rsidTr="006B066D">
        <w:trPr>
          <w:cantSplit/>
        </w:trPr>
        <w:tc>
          <w:tcPr>
            <w:tcW w:w="5803" w:type="dxa"/>
            <w:tcBorders>
              <w:top w:val="single" w:sz="4" w:space="0" w:color="auto"/>
              <w:left w:val="single" w:sz="4" w:space="0" w:color="auto"/>
              <w:bottom w:val="single" w:sz="4" w:space="0" w:color="auto"/>
              <w:right w:val="single" w:sz="4" w:space="0" w:color="auto"/>
            </w:tcBorders>
            <w:tcMar>
              <w:top w:w="29" w:type="dxa"/>
              <w:left w:w="115" w:type="dxa"/>
              <w:bottom w:w="29" w:type="dxa"/>
              <w:right w:w="115" w:type="dxa"/>
            </w:tcMar>
            <w:vAlign w:val="bottom"/>
            <w:hideMark/>
          </w:tcPr>
          <w:p w14:paraId="5AA3ADC8" w14:textId="77777777" w:rsidR="00F0696D" w:rsidRPr="006B066D" w:rsidRDefault="00F0696D" w:rsidP="006B066D">
            <w:pPr>
              <w:suppressLineNumbers/>
              <w:suppressAutoHyphens/>
              <w:kinsoku w:val="0"/>
              <w:overflowPunct w:val="0"/>
              <w:autoSpaceDE w:val="0"/>
              <w:autoSpaceDN w:val="0"/>
              <w:adjustRightInd w:val="0"/>
              <w:snapToGrid w:val="0"/>
              <w:ind w:left="314" w:hanging="360"/>
              <w:jc w:val="left"/>
              <w:rPr>
                <w:rFonts w:asciiTheme="majorBidi" w:hAnsiTheme="majorBidi" w:cstheme="majorBidi"/>
                <w:i/>
                <w:iCs/>
                <w:kern w:val="22"/>
                <w:sz w:val="20"/>
                <w:szCs w:val="20"/>
              </w:rPr>
            </w:pPr>
            <w:r w:rsidRPr="006B066D">
              <w:rPr>
                <w:rFonts w:asciiTheme="majorBidi" w:hAnsiTheme="majorBidi" w:cstheme="majorBidi"/>
                <w:i/>
                <w:iCs/>
                <w:kern w:val="22"/>
                <w:sz w:val="20"/>
                <w:szCs w:val="20"/>
              </w:rPr>
              <w:t>Framework of indicators</w:t>
            </w:r>
          </w:p>
        </w:tc>
        <w:tc>
          <w:tcPr>
            <w:tcW w:w="1829" w:type="dxa"/>
            <w:tcBorders>
              <w:top w:val="single" w:sz="4" w:space="0" w:color="auto"/>
              <w:left w:val="single" w:sz="4" w:space="0" w:color="auto"/>
              <w:bottom w:val="single" w:sz="4" w:space="0" w:color="auto"/>
              <w:right w:val="single" w:sz="4" w:space="0" w:color="auto"/>
            </w:tcBorders>
            <w:tcMar>
              <w:top w:w="29" w:type="dxa"/>
              <w:left w:w="115" w:type="dxa"/>
              <w:bottom w:w="29" w:type="dxa"/>
              <w:right w:w="115" w:type="dxa"/>
            </w:tcMar>
            <w:vAlign w:val="bottom"/>
            <w:hideMark/>
          </w:tcPr>
          <w:p w14:paraId="544EB90E" w14:textId="4BCD08FC" w:rsidR="00F0696D" w:rsidRPr="006B066D" w:rsidRDefault="00F0696D" w:rsidP="006B066D">
            <w:pPr>
              <w:suppressLineNumbers/>
              <w:suppressAutoHyphens/>
              <w:kinsoku w:val="0"/>
              <w:overflowPunct w:val="0"/>
              <w:autoSpaceDE w:val="0"/>
              <w:autoSpaceDN w:val="0"/>
              <w:adjustRightInd w:val="0"/>
              <w:snapToGrid w:val="0"/>
              <w:jc w:val="right"/>
              <w:rPr>
                <w:rFonts w:asciiTheme="majorBidi" w:eastAsia="Calibri" w:hAnsiTheme="majorBidi" w:cstheme="majorBidi"/>
                <w:i/>
                <w:iCs/>
                <w:kern w:val="22"/>
                <w:sz w:val="20"/>
                <w:szCs w:val="20"/>
              </w:rPr>
            </w:pPr>
            <w:r w:rsidRPr="006B066D">
              <w:rPr>
                <w:rFonts w:asciiTheme="majorBidi" w:eastAsia="Calibri" w:hAnsiTheme="majorBidi" w:cstheme="majorBidi"/>
                <w:i/>
                <w:iCs/>
                <w:kern w:val="22"/>
                <w:sz w:val="20"/>
                <w:szCs w:val="20"/>
              </w:rPr>
              <w:t xml:space="preserve">Reference point </w:t>
            </w:r>
            <w:r w:rsidR="00D52836">
              <w:rPr>
                <w:rFonts w:asciiTheme="majorBidi" w:eastAsia="Calibri" w:hAnsiTheme="majorBidi" w:cstheme="majorBidi"/>
                <w:i/>
                <w:iCs/>
                <w:kern w:val="22"/>
                <w:sz w:val="20"/>
                <w:szCs w:val="20"/>
              </w:rPr>
              <w:br/>
            </w:r>
            <w:r w:rsidRPr="006B066D">
              <w:rPr>
                <w:rFonts w:asciiTheme="majorBidi" w:eastAsia="Calibri" w:hAnsiTheme="majorBidi" w:cstheme="majorBidi"/>
                <w:i/>
                <w:iCs/>
                <w:kern w:val="22"/>
                <w:sz w:val="20"/>
                <w:szCs w:val="20"/>
              </w:rPr>
              <w:t xml:space="preserve">(as </w:t>
            </w:r>
            <w:r w:rsidR="00D52836">
              <w:rPr>
                <w:rFonts w:asciiTheme="majorBidi" w:eastAsia="Calibri" w:hAnsiTheme="majorBidi" w:cstheme="majorBidi"/>
                <w:i/>
                <w:iCs/>
                <w:kern w:val="22"/>
                <w:sz w:val="20"/>
                <w:szCs w:val="20"/>
              </w:rPr>
              <w:t>at</w:t>
            </w:r>
            <w:r w:rsidR="00D52836" w:rsidRPr="006B066D">
              <w:rPr>
                <w:rFonts w:asciiTheme="majorBidi" w:eastAsia="Calibri" w:hAnsiTheme="majorBidi" w:cstheme="majorBidi"/>
                <w:i/>
                <w:iCs/>
                <w:kern w:val="22"/>
                <w:sz w:val="20"/>
                <w:szCs w:val="20"/>
              </w:rPr>
              <w:t xml:space="preserve"> </w:t>
            </w:r>
            <w:r w:rsidRPr="006B066D">
              <w:rPr>
                <w:rFonts w:asciiTheme="majorBidi" w:eastAsia="Calibri" w:hAnsiTheme="majorBidi" w:cstheme="majorBidi"/>
                <w:i/>
                <w:iCs/>
                <w:kern w:val="22"/>
                <w:sz w:val="20"/>
                <w:szCs w:val="20"/>
              </w:rPr>
              <w:t>22 February 2018)</w:t>
            </w:r>
          </w:p>
        </w:tc>
        <w:tc>
          <w:tcPr>
            <w:tcW w:w="1512" w:type="dxa"/>
            <w:tcBorders>
              <w:top w:val="single" w:sz="4" w:space="0" w:color="auto"/>
              <w:left w:val="single" w:sz="4" w:space="0" w:color="auto"/>
              <w:bottom w:val="single" w:sz="4" w:space="0" w:color="auto"/>
              <w:right w:val="single" w:sz="4" w:space="0" w:color="auto"/>
            </w:tcBorders>
            <w:vAlign w:val="bottom"/>
          </w:tcPr>
          <w:p w14:paraId="6B1E4166" w14:textId="47F04656" w:rsidR="00F0696D" w:rsidRPr="006B066D" w:rsidRDefault="001E68D7" w:rsidP="006B066D">
            <w:pPr>
              <w:suppressLineNumbers/>
              <w:suppressAutoHyphens/>
              <w:kinsoku w:val="0"/>
              <w:overflowPunct w:val="0"/>
              <w:autoSpaceDE w:val="0"/>
              <w:autoSpaceDN w:val="0"/>
              <w:adjustRightInd w:val="0"/>
              <w:snapToGrid w:val="0"/>
              <w:jc w:val="right"/>
              <w:rPr>
                <w:rFonts w:asciiTheme="majorBidi" w:eastAsia="Calibri" w:hAnsiTheme="majorBidi" w:cstheme="majorBidi"/>
                <w:i/>
                <w:iCs/>
                <w:kern w:val="22"/>
                <w:sz w:val="20"/>
                <w:szCs w:val="20"/>
              </w:rPr>
            </w:pPr>
            <w:r>
              <w:rPr>
                <w:rFonts w:asciiTheme="majorBidi" w:eastAsia="Calibri" w:hAnsiTheme="majorBidi" w:cstheme="majorBidi"/>
                <w:i/>
                <w:iCs/>
                <w:kern w:val="22"/>
                <w:sz w:val="20"/>
                <w:szCs w:val="20"/>
              </w:rPr>
              <w:t xml:space="preserve">Progress </w:t>
            </w:r>
            <w:r w:rsidR="00863AB6">
              <w:rPr>
                <w:rFonts w:asciiTheme="majorBidi" w:eastAsia="Calibri" w:hAnsiTheme="majorBidi" w:cstheme="majorBidi"/>
                <w:i/>
                <w:iCs/>
                <w:kern w:val="22"/>
                <w:sz w:val="20"/>
                <w:szCs w:val="20"/>
              </w:rPr>
              <w:t>as at</w:t>
            </w:r>
            <w:r w:rsidR="00B41942">
              <w:rPr>
                <w:rFonts w:asciiTheme="majorBidi" w:eastAsia="Calibri" w:hAnsiTheme="majorBidi" w:cstheme="majorBidi"/>
                <w:i/>
                <w:iCs/>
                <w:kern w:val="22"/>
                <w:sz w:val="20"/>
                <w:szCs w:val="20"/>
              </w:rPr>
              <w:t xml:space="preserve"> </w:t>
            </w:r>
            <w:r w:rsidR="00F0696D" w:rsidRPr="006B066D">
              <w:rPr>
                <w:rFonts w:asciiTheme="majorBidi" w:eastAsia="Calibri" w:hAnsiTheme="majorBidi" w:cstheme="majorBidi"/>
                <w:i/>
                <w:iCs/>
                <w:kern w:val="22"/>
                <w:sz w:val="20"/>
                <w:szCs w:val="20"/>
              </w:rPr>
              <w:t>9 March 2026</w:t>
            </w:r>
          </w:p>
        </w:tc>
      </w:tr>
      <w:tr w:rsidR="00F0696D" w:rsidRPr="00D2758E" w14:paraId="2F8AEC4F" w14:textId="77777777" w:rsidTr="006B066D">
        <w:trPr>
          <w:cantSplit/>
        </w:trPr>
        <w:tc>
          <w:tcPr>
            <w:tcW w:w="5803" w:type="dxa"/>
            <w:tcBorders>
              <w:top w:val="single" w:sz="4" w:space="0" w:color="auto"/>
              <w:left w:val="single" w:sz="4" w:space="0" w:color="auto"/>
              <w:bottom w:val="single" w:sz="4" w:space="0" w:color="auto"/>
              <w:right w:val="single" w:sz="4" w:space="0" w:color="auto"/>
            </w:tcBorders>
            <w:tcMar>
              <w:top w:w="29" w:type="dxa"/>
              <w:left w:w="115" w:type="dxa"/>
              <w:bottom w:w="29" w:type="dxa"/>
              <w:right w:w="115" w:type="dxa"/>
            </w:tcMar>
            <w:hideMark/>
          </w:tcPr>
          <w:p w14:paraId="145381EF" w14:textId="77777777" w:rsidR="00F0696D" w:rsidRPr="00D2758E" w:rsidRDefault="00F0696D" w:rsidP="006B066D">
            <w:pPr>
              <w:suppressLineNumbers/>
              <w:suppressAutoHyphens/>
              <w:kinsoku w:val="0"/>
              <w:overflowPunct w:val="0"/>
              <w:autoSpaceDE w:val="0"/>
              <w:autoSpaceDN w:val="0"/>
              <w:adjustRightInd w:val="0"/>
              <w:snapToGrid w:val="0"/>
              <w:jc w:val="left"/>
              <w:rPr>
                <w:rFonts w:asciiTheme="majorBidi" w:hAnsiTheme="majorBidi" w:cstheme="majorBidi"/>
                <w:kern w:val="22"/>
                <w:sz w:val="20"/>
                <w:szCs w:val="20"/>
              </w:rPr>
            </w:pPr>
            <w:r w:rsidRPr="00D2758E">
              <w:rPr>
                <w:rFonts w:asciiTheme="majorBidi" w:eastAsia="Malgun Gothic" w:hAnsiTheme="majorBidi" w:cstheme="majorBidi"/>
                <w:kern w:val="22"/>
                <w:sz w:val="20"/>
                <w:szCs w:val="20"/>
              </w:rPr>
              <w:t xml:space="preserve">Number and percentage </w:t>
            </w:r>
            <w:r w:rsidRPr="00D2758E">
              <w:rPr>
                <w:rFonts w:asciiTheme="majorBidi" w:hAnsiTheme="majorBidi" w:cstheme="majorBidi"/>
                <w:kern w:val="22"/>
                <w:sz w:val="20"/>
                <w:szCs w:val="20"/>
              </w:rPr>
              <w:t>of Parties that encourage the inclusion of dispute resolution provisions in mutually agreed terms as provided in Article 18.1</w:t>
            </w:r>
          </w:p>
        </w:tc>
        <w:tc>
          <w:tcPr>
            <w:tcW w:w="1829" w:type="dxa"/>
            <w:tcBorders>
              <w:top w:val="single" w:sz="4" w:space="0" w:color="auto"/>
              <w:left w:val="single" w:sz="4" w:space="0" w:color="auto"/>
              <w:bottom w:val="single" w:sz="4" w:space="0" w:color="auto"/>
              <w:right w:val="single" w:sz="4" w:space="0" w:color="auto"/>
            </w:tcBorders>
            <w:tcMar>
              <w:top w:w="29" w:type="dxa"/>
              <w:left w:w="115" w:type="dxa"/>
              <w:bottom w:w="29" w:type="dxa"/>
              <w:right w:w="115" w:type="dxa"/>
            </w:tcMar>
            <w:vAlign w:val="bottom"/>
            <w:hideMark/>
          </w:tcPr>
          <w:p w14:paraId="62AC6FE9" w14:textId="13DE920D" w:rsidR="00F0696D" w:rsidRPr="00D2758E" w:rsidRDefault="00F0696D" w:rsidP="006B066D">
            <w:pPr>
              <w:suppressLineNumbers/>
              <w:suppressAutoHyphens/>
              <w:kinsoku w:val="0"/>
              <w:overflowPunct w:val="0"/>
              <w:autoSpaceDE w:val="0"/>
              <w:autoSpaceDN w:val="0"/>
              <w:adjustRightInd w:val="0"/>
              <w:snapToGrid w:val="0"/>
              <w:jc w:val="right"/>
              <w:rPr>
                <w:rFonts w:asciiTheme="majorBidi" w:eastAsia="Calibri" w:hAnsiTheme="majorBidi" w:cstheme="majorBidi"/>
                <w:kern w:val="22"/>
                <w:sz w:val="20"/>
                <w:szCs w:val="20"/>
              </w:rPr>
            </w:pPr>
            <w:r w:rsidRPr="00D2758E">
              <w:rPr>
                <w:rFonts w:asciiTheme="majorBidi" w:eastAsia="Calibri" w:hAnsiTheme="majorBidi" w:cstheme="majorBidi"/>
                <w:kern w:val="22"/>
                <w:sz w:val="20"/>
                <w:szCs w:val="20"/>
              </w:rPr>
              <w:t>36 (34</w:t>
            </w:r>
            <w:r w:rsidR="00B41942">
              <w:rPr>
                <w:rFonts w:asciiTheme="majorBidi" w:eastAsia="Calibri" w:hAnsiTheme="majorBidi" w:cstheme="majorBidi"/>
                <w:kern w:val="22"/>
                <w:sz w:val="20"/>
                <w:szCs w:val="20"/>
              </w:rPr>
              <w:t xml:space="preserve"> per cent</w:t>
            </w:r>
          </w:p>
        </w:tc>
        <w:tc>
          <w:tcPr>
            <w:tcW w:w="1512" w:type="dxa"/>
            <w:vAlign w:val="bottom"/>
          </w:tcPr>
          <w:p w14:paraId="0C4E366F" w14:textId="5C95C2C7" w:rsidR="00F0696D" w:rsidRPr="00D2758E" w:rsidRDefault="00F0696D" w:rsidP="006B066D">
            <w:pPr>
              <w:suppressLineNumbers/>
              <w:suppressAutoHyphens/>
              <w:kinsoku w:val="0"/>
              <w:overflowPunct w:val="0"/>
              <w:autoSpaceDE w:val="0"/>
              <w:autoSpaceDN w:val="0"/>
              <w:adjustRightInd w:val="0"/>
              <w:snapToGrid w:val="0"/>
              <w:jc w:val="right"/>
              <w:rPr>
                <w:rFonts w:asciiTheme="majorBidi" w:eastAsia="Calibri" w:hAnsiTheme="majorBidi" w:cstheme="majorBidi"/>
                <w:kern w:val="22"/>
                <w:sz w:val="20"/>
                <w:szCs w:val="20"/>
              </w:rPr>
            </w:pPr>
            <w:r w:rsidRPr="00D2758E">
              <w:rPr>
                <w:rFonts w:asciiTheme="majorBidi" w:eastAsia="Calibri" w:hAnsiTheme="majorBidi" w:cstheme="majorBidi"/>
                <w:kern w:val="22"/>
                <w:sz w:val="20"/>
                <w:szCs w:val="20"/>
              </w:rPr>
              <w:t>65 (46</w:t>
            </w:r>
            <w:r w:rsidR="00B41942">
              <w:rPr>
                <w:rFonts w:asciiTheme="majorBidi" w:eastAsia="Calibri" w:hAnsiTheme="majorBidi" w:cstheme="majorBidi"/>
                <w:kern w:val="22"/>
                <w:sz w:val="20"/>
                <w:szCs w:val="20"/>
              </w:rPr>
              <w:t xml:space="preserve"> per cent</w:t>
            </w:r>
            <w:r w:rsidRPr="00D2758E">
              <w:rPr>
                <w:rFonts w:asciiTheme="majorBidi" w:eastAsia="Calibri" w:hAnsiTheme="majorBidi" w:cstheme="majorBidi"/>
                <w:kern w:val="22"/>
                <w:sz w:val="20"/>
                <w:szCs w:val="20"/>
              </w:rPr>
              <w:t>)</w:t>
            </w:r>
          </w:p>
        </w:tc>
      </w:tr>
      <w:tr w:rsidR="00F0696D" w:rsidRPr="00D2758E" w14:paraId="5A2B9308" w14:textId="77777777" w:rsidTr="006B066D">
        <w:trPr>
          <w:cantSplit/>
        </w:trPr>
        <w:tc>
          <w:tcPr>
            <w:tcW w:w="5803" w:type="dxa"/>
            <w:tcBorders>
              <w:top w:val="single" w:sz="4" w:space="0" w:color="auto"/>
              <w:left w:val="single" w:sz="4" w:space="0" w:color="auto"/>
              <w:bottom w:val="single" w:sz="4" w:space="0" w:color="auto"/>
              <w:right w:val="single" w:sz="4" w:space="0" w:color="auto"/>
            </w:tcBorders>
            <w:tcMar>
              <w:top w:w="29" w:type="dxa"/>
              <w:left w:w="115" w:type="dxa"/>
              <w:bottom w:w="29" w:type="dxa"/>
              <w:right w:w="115" w:type="dxa"/>
            </w:tcMar>
            <w:hideMark/>
          </w:tcPr>
          <w:p w14:paraId="7F985E13" w14:textId="77777777" w:rsidR="00F0696D" w:rsidRPr="00D2758E" w:rsidRDefault="00F0696D" w:rsidP="006B066D">
            <w:pPr>
              <w:suppressLineNumbers/>
              <w:suppressAutoHyphens/>
              <w:kinsoku w:val="0"/>
              <w:overflowPunct w:val="0"/>
              <w:autoSpaceDE w:val="0"/>
              <w:autoSpaceDN w:val="0"/>
              <w:adjustRightInd w:val="0"/>
              <w:snapToGrid w:val="0"/>
              <w:jc w:val="left"/>
              <w:rPr>
                <w:rFonts w:asciiTheme="majorBidi" w:hAnsiTheme="majorBidi" w:cstheme="majorBidi"/>
                <w:kern w:val="22"/>
                <w:sz w:val="20"/>
                <w:szCs w:val="20"/>
              </w:rPr>
            </w:pPr>
            <w:r w:rsidRPr="00D2758E">
              <w:rPr>
                <w:rFonts w:asciiTheme="majorBidi" w:eastAsia="Malgun Gothic" w:hAnsiTheme="majorBidi" w:cstheme="majorBidi"/>
                <w:kern w:val="22"/>
                <w:sz w:val="20"/>
                <w:szCs w:val="20"/>
              </w:rPr>
              <w:t xml:space="preserve">Number and percentage </w:t>
            </w:r>
            <w:r w:rsidRPr="00D2758E">
              <w:rPr>
                <w:rFonts w:asciiTheme="majorBidi" w:hAnsiTheme="majorBidi" w:cstheme="majorBidi"/>
                <w:kern w:val="22"/>
                <w:sz w:val="20"/>
                <w:szCs w:val="20"/>
              </w:rPr>
              <w:t>of Parties with opportunity to seek recourse available under their legal systems in cases of disputes arising from mutually agreed terms as provided in Article 18.2</w:t>
            </w:r>
          </w:p>
        </w:tc>
        <w:tc>
          <w:tcPr>
            <w:tcW w:w="1829" w:type="dxa"/>
            <w:tcBorders>
              <w:top w:val="single" w:sz="4" w:space="0" w:color="auto"/>
              <w:left w:val="single" w:sz="4" w:space="0" w:color="auto"/>
              <w:bottom w:val="single" w:sz="4" w:space="0" w:color="auto"/>
              <w:right w:val="single" w:sz="4" w:space="0" w:color="auto"/>
            </w:tcBorders>
            <w:tcMar>
              <w:top w:w="29" w:type="dxa"/>
              <w:left w:w="115" w:type="dxa"/>
              <w:bottom w:w="29" w:type="dxa"/>
              <w:right w:w="115" w:type="dxa"/>
            </w:tcMar>
            <w:vAlign w:val="bottom"/>
            <w:hideMark/>
          </w:tcPr>
          <w:p w14:paraId="135DF4C5" w14:textId="785E4620" w:rsidR="00F0696D" w:rsidRPr="00D2758E" w:rsidRDefault="00F0696D" w:rsidP="006B066D">
            <w:pPr>
              <w:suppressLineNumbers/>
              <w:suppressAutoHyphens/>
              <w:kinsoku w:val="0"/>
              <w:overflowPunct w:val="0"/>
              <w:autoSpaceDE w:val="0"/>
              <w:autoSpaceDN w:val="0"/>
              <w:adjustRightInd w:val="0"/>
              <w:snapToGrid w:val="0"/>
              <w:jc w:val="right"/>
              <w:rPr>
                <w:rFonts w:asciiTheme="majorBidi" w:eastAsia="Calibri" w:hAnsiTheme="majorBidi" w:cstheme="majorBidi"/>
                <w:kern w:val="22"/>
                <w:sz w:val="20"/>
                <w:szCs w:val="20"/>
              </w:rPr>
            </w:pPr>
            <w:r w:rsidRPr="00D2758E">
              <w:rPr>
                <w:rFonts w:asciiTheme="majorBidi" w:eastAsia="Calibri" w:hAnsiTheme="majorBidi" w:cstheme="majorBidi"/>
                <w:kern w:val="22"/>
                <w:sz w:val="20"/>
                <w:szCs w:val="20"/>
              </w:rPr>
              <w:t>51 (49</w:t>
            </w:r>
            <w:r w:rsidR="00B41942">
              <w:rPr>
                <w:rFonts w:asciiTheme="majorBidi" w:eastAsia="Calibri" w:hAnsiTheme="majorBidi" w:cstheme="majorBidi"/>
                <w:kern w:val="22"/>
                <w:sz w:val="20"/>
                <w:szCs w:val="20"/>
              </w:rPr>
              <w:t xml:space="preserve"> per cent</w:t>
            </w:r>
            <w:r w:rsidRPr="00D2758E">
              <w:rPr>
                <w:rFonts w:asciiTheme="majorBidi" w:eastAsia="Calibri" w:hAnsiTheme="majorBidi" w:cstheme="majorBidi"/>
                <w:kern w:val="22"/>
                <w:sz w:val="20"/>
                <w:szCs w:val="20"/>
              </w:rPr>
              <w:t>)</w:t>
            </w:r>
          </w:p>
        </w:tc>
        <w:tc>
          <w:tcPr>
            <w:tcW w:w="1512" w:type="dxa"/>
            <w:vAlign w:val="bottom"/>
          </w:tcPr>
          <w:p w14:paraId="1683D268" w14:textId="53B520CD" w:rsidR="00F0696D" w:rsidRPr="00D2758E" w:rsidRDefault="00F0696D" w:rsidP="006B066D">
            <w:pPr>
              <w:suppressLineNumbers/>
              <w:suppressAutoHyphens/>
              <w:kinsoku w:val="0"/>
              <w:overflowPunct w:val="0"/>
              <w:autoSpaceDE w:val="0"/>
              <w:autoSpaceDN w:val="0"/>
              <w:adjustRightInd w:val="0"/>
              <w:snapToGrid w:val="0"/>
              <w:jc w:val="right"/>
              <w:rPr>
                <w:rFonts w:asciiTheme="majorBidi" w:eastAsia="Calibri" w:hAnsiTheme="majorBidi" w:cstheme="majorBidi"/>
                <w:kern w:val="22"/>
                <w:sz w:val="20"/>
                <w:szCs w:val="20"/>
              </w:rPr>
            </w:pPr>
            <w:r w:rsidRPr="00D2758E">
              <w:rPr>
                <w:rFonts w:asciiTheme="majorBidi" w:eastAsia="Calibri" w:hAnsiTheme="majorBidi" w:cstheme="majorBidi"/>
                <w:kern w:val="22"/>
                <w:sz w:val="20"/>
                <w:szCs w:val="20"/>
              </w:rPr>
              <w:t>83 (58</w:t>
            </w:r>
            <w:r w:rsidR="00B41942">
              <w:rPr>
                <w:rFonts w:asciiTheme="majorBidi" w:eastAsia="Calibri" w:hAnsiTheme="majorBidi" w:cstheme="majorBidi"/>
                <w:kern w:val="22"/>
                <w:sz w:val="20"/>
                <w:szCs w:val="20"/>
              </w:rPr>
              <w:t xml:space="preserve"> per cent</w:t>
            </w:r>
            <w:r w:rsidRPr="00D2758E">
              <w:rPr>
                <w:rFonts w:asciiTheme="majorBidi" w:eastAsia="Calibri" w:hAnsiTheme="majorBidi" w:cstheme="majorBidi"/>
                <w:kern w:val="22"/>
                <w:sz w:val="20"/>
                <w:szCs w:val="20"/>
              </w:rPr>
              <w:t>)</w:t>
            </w:r>
          </w:p>
        </w:tc>
      </w:tr>
      <w:tr w:rsidR="00F0696D" w:rsidRPr="00D2758E" w14:paraId="6B848F79" w14:textId="77777777" w:rsidTr="006B066D">
        <w:trPr>
          <w:cantSplit/>
        </w:trPr>
        <w:tc>
          <w:tcPr>
            <w:tcW w:w="5803" w:type="dxa"/>
            <w:tcBorders>
              <w:top w:val="single" w:sz="4" w:space="0" w:color="auto"/>
              <w:left w:val="single" w:sz="4" w:space="0" w:color="auto"/>
              <w:bottom w:val="single" w:sz="4" w:space="0" w:color="auto"/>
              <w:right w:val="single" w:sz="4" w:space="0" w:color="auto"/>
            </w:tcBorders>
            <w:tcMar>
              <w:top w:w="29" w:type="dxa"/>
              <w:left w:w="115" w:type="dxa"/>
              <w:bottom w:w="29" w:type="dxa"/>
              <w:right w:w="115" w:type="dxa"/>
            </w:tcMar>
            <w:hideMark/>
          </w:tcPr>
          <w:p w14:paraId="54B47D09" w14:textId="164FFEBF" w:rsidR="00F0696D" w:rsidRPr="00D2758E" w:rsidRDefault="00F0696D" w:rsidP="006B066D">
            <w:pPr>
              <w:suppressLineNumbers/>
              <w:suppressAutoHyphens/>
              <w:kinsoku w:val="0"/>
              <w:overflowPunct w:val="0"/>
              <w:autoSpaceDE w:val="0"/>
              <w:autoSpaceDN w:val="0"/>
              <w:adjustRightInd w:val="0"/>
              <w:snapToGrid w:val="0"/>
              <w:jc w:val="left"/>
              <w:rPr>
                <w:rFonts w:asciiTheme="majorBidi" w:hAnsiTheme="majorBidi" w:cstheme="majorBidi"/>
                <w:kern w:val="22"/>
                <w:sz w:val="20"/>
                <w:szCs w:val="20"/>
              </w:rPr>
            </w:pPr>
            <w:r w:rsidRPr="00D2758E">
              <w:rPr>
                <w:rFonts w:asciiTheme="majorBidi" w:eastAsia="Malgun Gothic" w:hAnsiTheme="majorBidi" w:cstheme="majorBidi"/>
                <w:kern w:val="22"/>
                <w:sz w:val="20"/>
                <w:szCs w:val="20"/>
              </w:rPr>
              <w:t xml:space="preserve">Number and percentage </w:t>
            </w:r>
            <w:r w:rsidRPr="00D2758E">
              <w:rPr>
                <w:rFonts w:asciiTheme="majorBidi" w:hAnsiTheme="majorBidi" w:cstheme="majorBidi"/>
                <w:kern w:val="22"/>
                <w:sz w:val="20"/>
                <w:szCs w:val="20"/>
              </w:rPr>
              <w:t>of Parties with measures regarding access to justice</w:t>
            </w:r>
          </w:p>
        </w:tc>
        <w:tc>
          <w:tcPr>
            <w:tcW w:w="1829" w:type="dxa"/>
            <w:tcBorders>
              <w:top w:val="single" w:sz="4" w:space="0" w:color="auto"/>
              <w:left w:val="single" w:sz="4" w:space="0" w:color="auto"/>
              <w:bottom w:val="single" w:sz="4" w:space="0" w:color="auto"/>
              <w:right w:val="single" w:sz="4" w:space="0" w:color="auto"/>
            </w:tcBorders>
            <w:tcMar>
              <w:top w:w="29" w:type="dxa"/>
              <w:left w:w="115" w:type="dxa"/>
              <w:bottom w:w="29" w:type="dxa"/>
              <w:right w:w="115" w:type="dxa"/>
            </w:tcMar>
            <w:vAlign w:val="bottom"/>
            <w:hideMark/>
          </w:tcPr>
          <w:p w14:paraId="2B2DA806" w14:textId="66B836F5" w:rsidR="00F0696D" w:rsidRPr="00D2758E" w:rsidRDefault="00F0696D" w:rsidP="006B066D">
            <w:pPr>
              <w:suppressLineNumbers/>
              <w:suppressAutoHyphens/>
              <w:kinsoku w:val="0"/>
              <w:overflowPunct w:val="0"/>
              <w:autoSpaceDE w:val="0"/>
              <w:autoSpaceDN w:val="0"/>
              <w:adjustRightInd w:val="0"/>
              <w:snapToGrid w:val="0"/>
              <w:jc w:val="right"/>
              <w:rPr>
                <w:rFonts w:asciiTheme="majorBidi" w:eastAsia="Calibri" w:hAnsiTheme="majorBidi" w:cstheme="majorBidi"/>
                <w:kern w:val="22"/>
                <w:sz w:val="20"/>
                <w:szCs w:val="20"/>
              </w:rPr>
            </w:pPr>
            <w:r w:rsidRPr="00D2758E">
              <w:rPr>
                <w:rFonts w:asciiTheme="majorBidi" w:eastAsia="Calibri" w:hAnsiTheme="majorBidi" w:cstheme="majorBidi"/>
                <w:kern w:val="22"/>
                <w:sz w:val="20"/>
                <w:szCs w:val="20"/>
              </w:rPr>
              <w:t>47 (45</w:t>
            </w:r>
            <w:r w:rsidR="00B41942">
              <w:rPr>
                <w:rFonts w:asciiTheme="majorBidi" w:eastAsia="Calibri" w:hAnsiTheme="majorBidi" w:cstheme="majorBidi"/>
                <w:kern w:val="22"/>
                <w:sz w:val="20"/>
                <w:szCs w:val="20"/>
              </w:rPr>
              <w:t xml:space="preserve"> per cent</w:t>
            </w:r>
            <w:r w:rsidRPr="00D2758E">
              <w:rPr>
                <w:rFonts w:asciiTheme="majorBidi" w:eastAsia="Calibri" w:hAnsiTheme="majorBidi" w:cstheme="majorBidi"/>
                <w:kern w:val="22"/>
                <w:sz w:val="20"/>
                <w:szCs w:val="20"/>
              </w:rPr>
              <w:t>)</w:t>
            </w:r>
          </w:p>
        </w:tc>
        <w:tc>
          <w:tcPr>
            <w:tcW w:w="1512" w:type="dxa"/>
            <w:vAlign w:val="bottom"/>
          </w:tcPr>
          <w:p w14:paraId="1193BB49" w14:textId="442130B7" w:rsidR="00F0696D" w:rsidRPr="00D2758E" w:rsidRDefault="00F0696D" w:rsidP="006B066D">
            <w:pPr>
              <w:suppressLineNumbers/>
              <w:suppressAutoHyphens/>
              <w:kinsoku w:val="0"/>
              <w:overflowPunct w:val="0"/>
              <w:autoSpaceDE w:val="0"/>
              <w:autoSpaceDN w:val="0"/>
              <w:adjustRightInd w:val="0"/>
              <w:snapToGrid w:val="0"/>
              <w:jc w:val="right"/>
              <w:rPr>
                <w:rFonts w:asciiTheme="majorBidi" w:eastAsia="Calibri" w:hAnsiTheme="majorBidi" w:cstheme="majorBidi"/>
                <w:kern w:val="22"/>
                <w:sz w:val="20"/>
                <w:szCs w:val="20"/>
              </w:rPr>
            </w:pPr>
            <w:r w:rsidRPr="00D2758E">
              <w:rPr>
                <w:rFonts w:asciiTheme="majorBidi" w:eastAsia="Calibri" w:hAnsiTheme="majorBidi" w:cstheme="majorBidi"/>
                <w:kern w:val="22"/>
                <w:sz w:val="20"/>
                <w:szCs w:val="20"/>
              </w:rPr>
              <w:t>84</w:t>
            </w:r>
            <w:r w:rsidR="00E80611">
              <w:rPr>
                <w:rFonts w:asciiTheme="majorBidi" w:eastAsia="Calibri" w:hAnsiTheme="majorBidi" w:cstheme="majorBidi"/>
                <w:kern w:val="22"/>
                <w:sz w:val="20"/>
                <w:szCs w:val="20"/>
              </w:rPr>
              <w:t xml:space="preserve"> </w:t>
            </w:r>
            <w:r w:rsidRPr="00D2758E">
              <w:rPr>
                <w:rFonts w:asciiTheme="majorBidi" w:eastAsia="Calibri" w:hAnsiTheme="majorBidi" w:cstheme="majorBidi"/>
                <w:kern w:val="22"/>
                <w:sz w:val="20"/>
                <w:szCs w:val="20"/>
              </w:rPr>
              <w:t>(59</w:t>
            </w:r>
            <w:r w:rsidR="00E80611">
              <w:rPr>
                <w:rFonts w:asciiTheme="majorBidi" w:eastAsia="Calibri" w:hAnsiTheme="majorBidi" w:cstheme="majorBidi"/>
                <w:kern w:val="22"/>
                <w:sz w:val="20"/>
                <w:szCs w:val="20"/>
              </w:rPr>
              <w:t xml:space="preserve"> per cent</w:t>
            </w:r>
            <w:r w:rsidRPr="00D2758E">
              <w:rPr>
                <w:rFonts w:asciiTheme="majorBidi" w:eastAsia="Calibri" w:hAnsiTheme="majorBidi" w:cstheme="majorBidi"/>
                <w:kern w:val="22"/>
                <w:sz w:val="20"/>
                <w:szCs w:val="20"/>
              </w:rPr>
              <w:t>)</w:t>
            </w:r>
          </w:p>
        </w:tc>
      </w:tr>
      <w:tr w:rsidR="00F0696D" w:rsidRPr="00D2758E" w14:paraId="3CD3C96E" w14:textId="77777777" w:rsidTr="006B066D">
        <w:trPr>
          <w:cantSplit/>
        </w:trPr>
        <w:tc>
          <w:tcPr>
            <w:tcW w:w="5803" w:type="dxa"/>
            <w:tcBorders>
              <w:top w:val="single" w:sz="4" w:space="0" w:color="auto"/>
              <w:left w:val="single" w:sz="4" w:space="0" w:color="auto"/>
              <w:bottom w:val="single" w:sz="4" w:space="0" w:color="auto"/>
              <w:right w:val="single" w:sz="4" w:space="0" w:color="auto"/>
            </w:tcBorders>
            <w:tcMar>
              <w:top w:w="29" w:type="dxa"/>
              <w:left w:w="115" w:type="dxa"/>
              <w:bottom w:w="29" w:type="dxa"/>
              <w:right w:w="115" w:type="dxa"/>
            </w:tcMar>
            <w:hideMark/>
          </w:tcPr>
          <w:p w14:paraId="5780F863" w14:textId="77777777" w:rsidR="00F0696D" w:rsidRPr="00D2758E" w:rsidRDefault="00F0696D" w:rsidP="006B066D">
            <w:pPr>
              <w:suppressLineNumbers/>
              <w:suppressAutoHyphens/>
              <w:kinsoku w:val="0"/>
              <w:overflowPunct w:val="0"/>
              <w:autoSpaceDE w:val="0"/>
              <w:autoSpaceDN w:val="0"/>
              <w:adjustRightInd w:val="0"/>
              <w:snapToGrid w:val="0"/>
              <w:jc w:val="left"/>
              <w:rPr>
                <w:rFonts w:asciiTheme="majorBidi" w:hAnsiTheme="majorBidi" w:cstheme="majorBidi"/>
                <w:kern w:val="22"/>
                <w:sz w:val="20"/>
                <w:szCs w:val="20"/>
              </w:rPr>
            </w:pPr>
            <w:r w:rsidRPr="00D2758E">
              <w:rPr>
                <w:rFonts w:asciiTheme="majorBidi" w:eastAsia="Malgun Gothic" w:hAnsiTheme="majorBidi" w:cstheme="majorBidi"/>
                <w:kern w:val="22"/>
                <w:sz w:val="20"/>
                <w:szCs w:val="20"/>
              </w:rPr>
              <w:t xml:space="preserve">Number and percentage </w:t>
            </w:r>
            <w:r w:rsidRPr="00D2758E">
              <w:rPr>
                <w:rFonts w:asciiTheme="majorBidi" w:hAnsiTheme="majorBidi" w:cstheme="majorBidi"/>
                <w:kern w:val="22"/>
                <w:sz w:val="20"/>
                <w:szCs w:val="20"/>
              </w:rPr>
              <w:t>of Parties with measures regarding utilization of mechanisms regarding mutual recognition and enforcement of foreign judgements and arbitral awards</w:t>
            </w:r>
          </w:p>
        </w:tc>
        <w:tc>
          <w:tcPr>
            <w:tcW w:w="1829" w:type="dxa"/>
            <w:tcBorders>
              <w:top w:val="single" w:sz="4" w:space="0" w:color="auto"/>
              <w:left w:val="single" w:sz="4" w:space="0" w:color="auto"/>
              <w:bottom w:val="single" w:sz="4" w:space="0" w:color="auto"/>
              <w:right w:val="single" w:sz="4" w:space="0" w:color="auto"/>
            </w:tcBorders>
            <w:tcMar>
              <w:top w:w="29" w:type="dxa"/>
              <w:left w:w="115" w:type="dxa"/>
              <w:bottom w:w="29" w:type="dxa"/>
              <w:right w:w="115" w:type="dxa"/>
            </w:tcMar>
            <w:vAlign w:val="bottom"/>
            <w:hideMark/>
          </w:tcPr>
          <w:p w14:paraId="09C5C94E" w14:textId="4856C2E8" w:rsidR="00F0696D" w:rsidRPr="00D2758E" w:rsidRDefault="00F0696D" w:rsidP="006B066D">
            <w:pPr>
              <w:suppressLineNumbers/>
              <w:suppressAutoHyphens/>
              <w:kinsoku w:val="0"/>
              <w:overflowPunct w:val="0"/>
              <w:autoSpaceDE w:val="0"/>
              <w:autoSpaceDN w:val="0"/>
              <w:adjustRightInd w:val="0"/>
              <w:snapToGrid w:val="0"/>
              <w:jc w:val="right"/>
              <w:rPr>
                <w:rFonts w:asciiTheme="majorBidi" w:eastAsia="Calibri" w:hAnsiTheme="majorBidi" w:cstheme="majorBidi"/>
                <w:kern w:val="22"/>
                <w:sz w:val="20"/>
                <w:szCs w:val="20"/>
              </w:rPr>
            </w:pPr>
            <w:r w:rsidRPr="00D2758E">
              <w:rPr>
                <w:rFonts w:asciiTheme="majorBidi" w:eastAsia="Calibri" w:hAnsiTheme="majorBidi" w:cstheme="majorBidi"/>
                <w:kern w:val="22"/>
                <w:sz w:val="20"/>
                <w:szCs w:val="20"/>
              </w:rPr>
              <w:t>38 (36</w:t>
            </w:r>
            <w:r w:rsidR="00E80611">
              <w:rPr>
                <w:rFonts w:asciiTheme="majorBidi" w:eastAsia="Calibri" w:hAnsiTheme="majorBidi" w:cstheme="majorBidi"/>
                <w:kern w:val="22"/>
                <w:sz w:val="20"/>
                <w:szCs w:val="20"/>
              </w:rPr>
              <w:t xml:space="preserve"> per cent</w:t>
            </w:r>
            <w:r w:rsidRPr="00D2758E">
              <w:rPr>
                <w:rFonts w:asciiTheme="majorBidi" w:eastAsia="Calibri" w:hAnsiTheme="majorBidi" w:cstheme="majorBidi"/>
                <w:kern w:val="22"/>
                <w:sz w:val="20"/>
                <w:szCs w:val="20"/>
              </w:rPr>
              <w:t>)</w:t>
            </w:r>
          </w:p>
        </w:tc>
        <w:tc>
          <w:tcPr>
            <w:tcW w:w="1512" w:type="dxa"/>
            <w:vAlign w:val="bottom"/>
          </w:tcPr>
          <w:p w14:paraId="03C878ED" w14:textId="438023BC" w:rsidR="00F0696D" w:rsidRPr="00D2758E" w:rsidRDefault="00F0696D" w:rsidP="006B066D">
            <w:pPr>
              <w:suppressLineNumbers/>
              <w:suppressAutoHyphens/>
              <w:kinsoku w:val="0"/>
              <w:overflowPunct w:val="0"/>
              <w:autoSpaceDE w:val="0"/>
              <w:autoSpaceDN w:val="0"/>
              <w:adjustRightInd w:val="0"/>
              <w:snapToGrid w:val="0"/>
              <w:jc w:val="right"/>
              <w:rPr>
                <w:rFonts w:asciiTheme="majorBidi" w:eastAsia="Calibri" w:hAnsiTheme="majorBidi" w:cstheme="majorBidi"/>
                <w:kern w:val="22"/>
                <w:sz w:val="20"/>
                <w:szCs w:val="20"/>
              </w:rPr>
            </w:pPr>
            <w:r w:rsidRPr="00D2758E">
              <w:rPr>
                <w:rFonts w:asciiTheme="majorBidi" w:eastAsia="Calibri" w:hAnsiTheme="majorBidi" w:cstheme="majorBidi"/>
                <w:kern w:val="22"/>
                <w:sz w:val="20"/>
                <w:szCs w:val="20"/>
              </w:rPr>
              <w:t>65 (45</w:t>
            </w:r>
            <w:r w:rsidR="00E80611">
              <w:rPr>
                <w:rFonts w:asciiTheme="majorBidi" w:eastAsia="Calibri" w:hAnsiTheme="majorBidi" w:cstheme="majorBidi"/>
                <w:kern w:val="22"/>
                <w:sz w:val="20"/>
                <w:szCs w:val="20"/>
              </w:rPr>
              <w:t xml:space="preserve"> per cent</w:t>
            </w:r>
            <w:r w:rsidRPr="00D2758E">
              <w:rPr>
                <w:rFonts w:asciiTheme="majorBidi" w:eastAsia="Calibri" w:hAnsiTheme="majorBidi" w:cstheme="majorBidi"/>
                <w:kern w:val="22"/>
                <w:sz w:val="20"/>
                <w:szCs w:val="20"/>
              </w:rPr>
              <w:t>)</w:t>
            </w:r>
          </w:p>
        </w:tc>
      </w:tr>
    </w:tbl>
    <w:p w14:paraId="7926B560" w14:textId="32A227F7" w:rsidR="00CE0520" w:rsidRPr="00D2758E" w:rsidRDefault="00061EFF" w:rsidP="00061EFF">
      <w:pPr>
        <w:pStyle w:val="CBDH3"/>
      </w:pPr>
      <w:r>
        <w:t>2.</w:t>
      </w:r>
      <w:r>
        <w:tab/>
      </w:r>
      <w:r w:rsidR="006A0817" w:rsidRPr="00D2758E">
        <w:t xml:space="preserve">Challenges, root causes and possible ways to enhance implementation of </w:t>
      </w:r>
      <w:r w:rsidR="00CE0520" w:rsidRPr="00D2758E">
        <w:t>Article 18</w:t>
      </w:r>
      <w:r w:rsidR="0072114E" w:rsidRPr="00D2758E">
        <w:t xml:space="preserve"> of the Protocol</w:t>
      </w:r>
    </w:p>
    <w:p w14:paraId="631689FE" w14:textId="438F8AE4" w:rsidR="0056552E" w:rsidRPr="00D2758E" w:rsidRDefault="002A466A" w:rsidP="00A558F3">
      <w:pPr>
        <w:pStyle w:val="CBDNormalNumber"/>
        <w:rPr>
          <w:rFonts w:asciiTheme="majorBidi" w:hAnsiTheme="majorBidi" w:cstheme="majorBidi"/>
        </w:rPr>
      </w:pPr>
      <w:r w:rsidRPr="00D2758E">
        <w:rPr>
          <w:rFonts w:asciiTheme="majorBidi" w:hAnsiTheme="majorBidi" w:cstheme="majorBidi"/>
        </w:rPr>
        <w:t>T</w:t>
      </w:r>
      <w:r w:rsidR="007F2BD0" w:rsidRPr="00D2758E">
        <w:rPr>
          <w:rFonts w:asciiTheme="majorBidi" w:hAnsiTheme="majorBidi" w:cstheme="majorBidi"/>
        </w:rPr>
        <w:t xml:space="preserve">hose developing </w:t>
      </w:r>
      <w:r w:rsidR="00074A08">
        <w:rPr>
          <w:rFonts w:asciiTheme="majorBidi" w:hAnsiTheme="majorBidi" w:cstheme="majorBidi"/>
        </w:rPr>
        <w:t xml:space="preserve">access and benefit-sharing </w:t>
      </w:r>
      <w:r w:rsidR="007F2BD0" w:rsidRPr="00D2758E">
        <w:rPr>
          <w:rFonts w:asciiTheme="majorBidi" w:hAnsiTheme="majorBidi" w:cstheme="majorBidi"/>
        </w:rPr>
        <w:t xml:space="preserve">measures and/or implementing the Protocol may not be aware of all applicable </w:t>
      </w:r>
      <w:r w:rsidR="007F2BD0" w:rsidRPr="00D2758E">
        <w:t>legislation</w:t>
      </w:r>
      <w:r w:rsidR="007F2BD0" w:rsidRPr="00D2758E">
        <w:rPr>
          <w:rFonts w:asciiTheme="majorBidi" w:hAnsiTheme="majorBidi" w:cstheme="majorBidi"/>
        </w:rPr>
        <w:t xml:space="preserve"> dealing with contractual law, private international law or domestic measures related to access to justice. </w:t>
      </w:r>
      <w:r w:rsidRPr="00D2758E">
        <w:rPr>
          <w:rFonts w:asciiTheme="majorBidi" w:hAnsiTheme="majorBidi" w:cstheme="majorBidi"/>
        </w:rPr>
        <w:t>D</w:t>
      </w:r>
      <w:r w:rsidR="007F2BD0" w:rsidRPr="00D2758E">
        <w:rPr>
          <w:rFonts w:asciiTheme="majorBidi" w:hAnsiTheme="majorBidi" w:cstheme="majorBidi"/>
        </w:rPr>
        <w:t xml:space="preserve">eveloping model contractual clauses or introducing some specific aspects in </w:t>
      </w:r>
      <w:r w:rsidR="00074A08">
        <w:rPr>
          <w:rFonts w:asciiTheme="majorBidi" w:hAnsiTheme="majorBidi" w:cstheme="majorBidi"/>
        </w:rPr>
        <w:t xml:space="preserve">access and benefit-sharing </w:t>
      </w:r>
      <w:r w:rsidR="007F2BD0" w:rsidRPr="00D2758E">
        <w:rPr>
          <w:rFonts w:asciiTheme="majorBidi" w:hAnsiTheme="majorBidi" w:cstheme="majorBidi"/>
        </w:rPr>
        <w:t xml:space="preserve">measures can </w:t>
      </w:r>
      <w:r w:rsidR="00CD255C">
        <w:rPr>
          <w:rFonts w:asciiTheme="majorBidi" w:hAnsiTheme="majorBidi" w:cstheme="majorBidi"/>
        </w:rPr>
        <w:t xml:space="preserve">strengthen </w:t>
      </w:r>
      <w:r w:rsidR="007F2BD0" w:rsidRPr="00D2758E">
        <w:rPr>
          <w:rFonts w:asciiTheme="majorBidi" w:hAnsiTheme="majorBidi" w:cstheme="majorBidi"/>
        </w:rPr>
        <w:t xml:space="preserve">the capacity of institutions implementing </w:t>
      </w:r>
      <w:r w:rsidR="009801F4">
        <w:rPr>
          <w:rFonts w:asciiTheme="majorBidi" w:hAnsiTheme="majorBidi" w:cstheme="majorBidi"/>
        </w:rPr>
        <w:t>access and benef</w:t>
      </w:r>
      <w:r w:rsidR="005467C2">
        <w:rPr>
          <w:rFonts w:asciiTheme="majorBidi" w:hAnsiTheme="majorBidi" w:cstheme="majorBidi"/>
        </w:rPr>
        <w:t xml:space="preserve">it-sharing </w:t>
      </w:r>
      <w:r w:rsidR="0011753E">
        <w:rPr>
          <w:rFonts w:asciiTheme="majorBidi" w:hAnsiTheme="majorBidi" w:cstheme="majorBidi"/>
        </w:rPr>
        <w:t xml:space="preserve">through the provision of </w:t>
      </w:r>
      <w:r w:rsidR="007F2BD0" w:rsidRPr="00D2758E">
        <w:rPr>
          <w:rFonts w:asciiTheme="majorBidi" w:hAnsiTheme="majorBidi" w:cstheme="majorBidi"/>
        </w:rPr>
        <w:t xml:space="preserve">clear guidance when </w:t>
      </w:r>
      <w:r w:rsidR="004959BB">
        <w:rPr>
          <w:rFonts w:asciiTheme="majorBidi" w:hAnsiTheme="majorBidi" w:cstheme="majorBidi"/>
        </w:rPr>
        <w:t xml:space="preserve">they are </w:t>
      </w:r>
      <w:r w:rsidR="002515E0" w:rsidRPr="00D2758E">
        <w:rPr>
          <w:rFonts w:asciiTheme="majorBidi" w:hAnsiTheme="majorBidi" w:cstheme="majorBidi"/>
        </w:rPr>
        <w:t>negotiat</w:t>
      </w:r>
      <w:r w:rsidR="002515E0">
        <w:rPr>
          <w:rFonts w:asciiTheme="majorBidi" w:hAnsiTheme="majorBidi" w:cstheme="majorBidi"/>
        </w:rPr>
        <w:t xml:space="preserve">ing </w:t>
      </w:r>
      <w:r w:rsidR="003004FB" w:rsidRPr="00D2758E">
        <w:rPr>
          <w:rFonts w:asciiTheme="majorBidi" w:hAnsiTheme="majorBidi" w:cstheme="majorBidi"/>
        </w:rPr>
        <w:t>mutually agreed terms</w:t>
      </w:r>
      <w:r w:rsidRPr="00D2758E">
        <w:rPr>
          <w:rFonts w:asciiTheme="majorBidi" w:hAnsiTheme="majorBidi" w:cstheme="majorBidi"/>
        </w:rPr>
        <w:t xml:space="preserve">. </w:t>
      </w:r>
      <w:r w:rsidR="007F2BD0" w:rsidRPr="00D2758E">
        <w:rPr>
          <w:rFonts w:asciiTheme="majorBidi" w:hAnsiTheme="majorBidi" w:cstheme="majorBidi"/>
        </w:rPr>
        <w:t>These efforts could be built on best practices for ensuring compliance with mutually agreed terms coming from other fields of legal expertise.</w:t>
      </w:r>
    </w:p>
    <w:p w14:paraId="514CF7EF" w14:textId="03D86B9C" w:rsidR="006057A0" w:rsidRPr="00D2758E" w:rsidRDefault="006057A0" w:rsidP="00A558F3">
      <w:pPr>
        <w:pStyle w:val="CBDNormalNumber"/>
        <w:rPr>
          <w:rFonts w:asciiTheme="majorBidi" w:hAnsiTheme="majorBidi" w:cstheme="majorBidi"/>
        </w:rPr>
      </w:pPr>
      <w:r w:rsidRPr="006B066D">
        <w:rPr>
          <w:rFonts w:asciiTheme="majorBidi" w:hAnsiTheme="majorBidi" w:cstheme="majorBidi"/>
        </w:rPr>
        <w:t>Information</w:t>
      </w:r>
      <w:r w:rsidRPr="00D2758E">
        <w:rPr>
          <w:rFonts w:asciiTheme="majorBidi" w:hAnsiTheme="majorBidi" w:cstheme="majorBidi"/>
        </w:rPr>
        <w:t xml:space="preserve"> contained i</w:t>
      </w:r>
      <w:r w:rsidR="00D83BC4" w:rsidRPr="00D2758E">
        <w:rPr>
          <w:rFonts w:asciiTheme="majorBidi" w:hAnsiTheme="majorBidi" w:cstheme="majorBidi"/>
        </w:rPr>
        <w:t>n the first</w:t>
      </w:r>
      <w:r w:rsidRPr="00D2758E">
        <w:rPr>
          <w:rFonts w:asciiTheme="majorBidi" w:hAnsiTheme="majorBidi" w:cstheme="majorBidi"/>
        </w:rPr>
        <w:t xml:space="preserve"> national report, as well as the exchange of experiences</w:t>
      </w:r>
      <w:r w:rsidR="00693D56">
        <w:rPr>
          <w:rFonts w:asciiTheme="majorBidi" w:hAnsiTheme="majorBidi" w:cstheme="majorBidi"/>
        </w:rPr>
        <w:t>,</w:t>
      </w:r>
      <w:r w:rsidRPr="00D2758E">
        <w:rPr>
          <w:rFonts w:asciiTheme="majorBidi" w:hAnsiTheme="majorBidi" w:cstheme="majorBidi"/>
        </w:rPr>
        <w:t xml:space="preserve"> may be</w:t>
      </w:r>
      <w:r w:rsidR="00D83BC4" w:rsidRPr="00D2758E">
        <w:rPr>
          <w:rFonts w:asciiTheme="majorBidi" w:hAnsiTheme="majorBidi" w:cstheme="majorBidi"/>
        </w:rPr>
        <w:t xml:space="preserve"> </w:t>
      </w:r>
      <w:r w:rsidRPr="00D2758E">
        <w:rPr>
          <w:rFonts w:asciiTheme="majorBidi" w:hAnsiTheme="majorBidi" w:cstheme="majorBidi"/>
        </w:rPr>
        <w:t xml:space="preserve">useful </w:t>
      </w:r>
      <w:r w:rsidR="00C07B56">
        <w:rPr>
          <w:rFonts w:asciiTheme="majorBidi" w:hAnsiTheme="majorBidi" w:cstheme="majorBidi"/>
        </w:rPr>
        <w:t>to</w:t>
      </w:r>
      <w:r w:rsidRPr="00D2758E">
        <w:rPr>
          <w:rFonts w:asciiTheme="majorBidi" w:hAnsiTheme="majorBidi" w:cstheme="majorBidi"/>
        </w:rPr>
        <w:t xml:space="preserve"> Parties </w:t>
      </w:r>
      <w:r w:rsidR="00C07B56">
        <w:rPr>
          <w:rFonts w:asciiTheme="majorBidi" w:hAnsiTheme="majorBidi" w:cstheme="majorBidi"/>
        </w:rPr>
        <w:t>in</w:t>
      </w:r>
      <w:r w:rsidRPr="00D2758E">
        <w:rPr>
          <w:rFonts w:asciiTheme="majorBidi" w:hAnsiTheme="majorBidi" w:cstheme="majorBidi"/>
        </w:rPr>
        <w:t xml:space="preserve"> understand</w:t>
      </w:r>
      <w:r w:rsidR="00C07B56">
        <w:rPr>
          <w:rFonts w:asciiTheme="majorBidi" w:hAnsiTheme="majorBidi" w:cstheme="majorBidi"/>
        </w:rPr>
        <w:t>ing</w:t>
      </w:r>
      <w:r w:rsidRPr="00D2758E">
        <w:rPr>
          <w:rFonts w:asciiTheme="majorBidi" w:hAnsiTheme="majorBidi" w:cstheme="majorBidi"/>
        </w:rPr>
        <w:t xml:space="preserve"> how the implementation of Article 18 </w:t>
      </w:r>
      <w:r w:rsidR="00232C85" w:rsidRPr="00D2758E">
        <w:rPr>
          <w:rFonts w:asciiTheme="majorBidi" w:hAnsiTheme="majorBidi" w:cstheme="majorBidi"/>
        </w:rPr>
        <w:t xml:space="preserve">of the Protocol </w:t>
      </w:r>
      <w:r w:rsidRPr="00D2758E">
        <w:rPr>
          <w:rFonts w:asciiTheme="majorBidi" w:hAnsiTheme="majorBidi" w:cstheme="majorBidi"/>
        </w:rPr>
        <w:t>can be supported.</w:t>
      </w:r>
    </w:p>
    <w:p w14:paraId="05080852" w14:textId="6DCCC3EB" w:rsidR="00393227" w:rsidRPr="00D2758E" w:rsidRDefault="00061EFF" w:rsidP="006B066D">
      <w:pPr>
        <w:pStyle w:val="CBDH2"/>
        <w:jc w:val="left"/>
      </w:pPr>
      <w:bookmarkStart w:id="12" w:name="_Toc228803308"/>
      <w:r>
        <w:lastRenderedPageBreak/>
        <w:t>E.</w:t>
      </w:r>
      <w:r>
        <w:tab/>
      </w:r>
      <w:r w:rsidR="0056552E" w:rsidRPr="00D2758E">
        <w:t xml:space="preserve">Assessment of implementation of Article 16 in </w:t>
      </w:r>
      <w:r w:rsidR="00224217">
        <w:t xml:space="preserve">the </w:t>
      </w:r>
      <w:r w:rsidR="0056552E" w:rsidRPr="00D2758E">
        <w:t>light of developments in other relevant international organizations, including the World Intellectual Property Organizatio</w:t>
      </w:r>
      <w:r w:rsidR="00A83840" w:rsidRPr="00D2758E">
        <w:t>n</w:t>
      </w:r>
      <w:r w:rsidR="005A6CEC" w:rsidRPr="00D2758E">
        <w:rPr>
          <w:rStyle w:val="FootnoteReference"/>
          <w:rFonts w:asciiTheme="majorBidi" w:hAnsiTheme="majorBidi"/>
        </w:rPr>
        <w:footnoteReference w:id="77"/>
      </w:r>
      <w:bookmarkEnd w:id="12"/>
    </w:p>
    <w:p w14:paraId="779B05B0" w14:textId="75622B25" w:rsidR="0051703A" w:rsidRPr="00D2758E" w:rsidRDefault="00061EFF" w:rsidP="00061EFF">
      <w:pPr>
        <w:pStyle w:val="CBDH3"/>
      </w:pPr>
      <w:r>
        <w:t>1.</w:t>
      </w:r>
      <w:r>
        <w:tab/>
      </w:r>
      <w:r w:rsidR="0051703A" w:rsidRPr="00D2758E">
        <w:t>Progress made in implementation and updated indicator</w:t>
      </w:r>
      <w:r w:rsidR="004A5572" w:rsidRPr="00D2758E">
        <w:t xml:space="preserve"> </w:t>
      </w:r>
      <w:r w:rsidR="0051703A" w:rsidRPr="00D2758E">
        <w:t xml:space="preserve">data </w:t>
      </w:r>
    </w:p>
    <w:p w14:paraId="2253095D" w14:textId="12079B46" w:rsidR="00CC433E" w:rsidRPr="00D2758E" w:rsidRDefault="00991E56" w:rsidP="00A558F3">
      <w:pPr>
        <w:pStyle w:val="CBDNormalNumber"/>
        <w:rPr>
          <w:rFonts w:asciiTheme="majorBidi" w:hAnsiTheme="majorBidi" w:cstheme="majorBidi"/>
        </w:rPr>
      </w:pPr>
      <w:r w:rsidRPr="00D2758E">
        <w:rPr>
          <w:rFonts w:asciiTheme="majorBidi" w:hAnsiTheme="majorBidi" w:cstheme="majorBidi"/>
        </w:rPr>
        <w:t>S</w:t>
      </w:r>
      <w:r w:rsidR="00CC433E" w:rsidRPr="00D2758E">
        <w:rPr>
          <w:rFonts w:asciiTheme="majorBidi" w:hAnsiTheme="majorBidi" w:cstheme="majorBidi"/>
        </w:rPr>
        <w:t>ignificant progress has been made on measures to implement Article 16</w:t>
      </w:r>
      <w:r w:rsidRPr="00D2758E">
        <w:rPr>
          <w:rFonts w:asciiTheme="majorBidi" w:hAnsiTheme="majorBidi" w:cstheme="majorBidi"/>
        </w:rPr>
        <w:t xml:space="preserve"> as </w:t>
      </w:r>
      <w:r w:rsidR="006579BD" w:rsidRPr="00D2758E">
        <w:t>suggest</w:t>
      </w:r>
      <w:r w:rsidR="00413A50">
        <w:t>ed</w:t>
      </w:r>
      <w:r w:rsidR="006579BD" w:rsidRPr="00D2758E">
        <w:rPr>
          <w:rFonts w:asciiTheme="majorBidi" w:hAnsiTheme="majorBidi" w:cstheme="majorBidi"/>
        </w:rPr>
        <w:t xml:space="preserve"> </w:t>
      </w:r>
      <w:r w:rsidR="006579BD">
        <w:rPr>
          <w:rFonts w:asciiTheme="majorBidi" w:hAnsiTheme="majorBidi" w:cstheme="majorBidi"/>
        </w:rPr>
        <w:t xml:space="preserve">by </w:t>
      </w:r>
      <w:r w:rsidRPr="00D2758E">
        <w:rPr>
          <w:rFonts w:asciiTheme="majorBidi" w:hAnsiTheme="majorBidi" w:cstheme="majorBidi"/>
        </w:rPr>
        <w:t>the</w:t>
      </w:r>
      <w:r w:rsidRPr="00D2758E" w:rsidDel="00E350A3">
        <w:rPr>
          <w:rFonts w:asciiTheme="majorBidi" w:hAnsiTheme="majorBidi" w:cstheme="majorBidi"/>
        </w:rPr>
        <w:t xml:space="preserve"> </w:t>
      </w:r>
      <w:r w:rsidRPr="00D2758E">
        <w:rPr>
          <w:rFonts w:asciiTheme="majorBidi" w:hAnsiTheme="majorBidi" w:cstheme="majorBidi"/>
        </w:rPr>
        <w:t>indicators in table 12 below</w:t>
      </w:r>
      <w:r w:rsidR="00CC433E" w:rsidRPr="00D2758E">
        <w:rPr>
          <w:rFonts w:asciiTheme="majorBidi" w:hAnsiTheme="majorBidi" w:cstheme="majorBidi"/>
        </w:rPr>
        <w:t>. For many Parties</w:t>
      </w:r>
      <w:r w:rsidR="00413A50">
        <w:rPr>
          <w:rFonts w:asciiTheme="majorBidi" w:hAnsiTheme="majorBidi" w:cstheme="majorBidi"/>
        </w:rPr>
        <w:t>,</w:t>
      </w:r>
      <w:r w:rsidR="00CC433E" w:rsidRPr="00D2758E">
        <w:rPr>
          <w:rFonts w:asciiTheme="majorBidi" w:hAnsiTheme="majorBidi" w:cstheme="majorBidi"/>
        </w:rPr>
        <w:t xml:space="preserve"> measures taken for implementation of Article 16 </w:t>
      </w:r>
      <w:r w:rsidR="00986F48" w:rsidRPr="00D2758E">
        <w:rPr>
          <w:rFonts w:asciiTheme="majorBidi" w:hAnsiTheme="majorBidi" w:cstheme="majorBidi"/>
        </w:rPr>
        <w:t>(</w:t>
      </w:r>
      <w:r w:rsidR="00986F48">
        <w:rPr>
          <w:rFonts w:asciiTheme="majorBidi" w:hAnsiTheme="majorBidi" w:cstheme="majorBidi"/>
        </w:rPr>
        <w:t xml:space="preserve">concerning </w:t>
      </w:r>
      <w:r w:rsidR="00986F48" w:rsidRPr="00D2758E">
        <w:rPr>
          <w:rFonts w:asciiTheme="majorBidi" w:hAnsiTheme="majorBidi" w:cstheme="majorBidi"/>
        </w:rPr>
        <w:t>genetic resources)</w:t>
      </w:r>
      <w:r w:rsidR="00986F48">
        <w:rPr>
          <w:rFonts w:asciiTheme="majorBidi" w:hAnsiTheme="majorBidi" w:cstheme="majorBidi"/>
        </w:rPr>
        <w:t xml:space="preserve"> </w:t>
      </w:r>
      <w:r w:rsidR="00CC433E" w:rsidRPr="00D2758E">
        <w:rPr>
          <w:rFonts w:asciiTheme="majorBidi" w:hAnsiTheme="majorBidi" w:cstheme="majorBidi"/>
        </w:rPr>
        <w:t xml:space="preserve">are the same as </w:t>
      </w:r>
      <w:r w:rsidR="009156FB">
        <w:rPr>
          <w:rFonts w:asciiTheme="majorBidi" w:hAnsiTheme="majorBidi" w:cstheme="majorBidi"/>
        </w:rPr>
        <w:t xml:space="preserve">those taken </w:t>
      </w:r>
      <w:r w:rsidR="00CC433E" w:rsidRPr="00D2758E">
        <w:rPr>
          <w:rFonts w:asciiTheme="majorBidi" w:hAnsiTheme="majorBidi" w:cstheme="majorBidi"/>
        </w:rPr>
        <w:t xml:space="preserve">for implementation </w:t>
      </w:r>
      <w:r w:rsidR="009156FB">
        <w:rPr>
          <w:rFonts w:asciiTheme="majorBidi" w:hAnsiTheme="majorBidi" w:cstheme="majorBidi"/>
        </w:rPr>
        <w:t xml:space="preserve">of </w:t>
      </w:r>
      <w:r w:rsidR="00CC433E" w:rsidRPr="00D2758E">
        <w:rPr>
          <w:rFonts w:asciiTheme="majorBidi" w:hAnsiTheme="majorBidi" w:cstheme="majorBidi"/>
        </w:rPr>
        <w:t>Article 15.</w:t>
      </w:r>
    </w:p>
    <w:p w14:paraId="669AF213" w14:textId="4D4803A8" w:rsidR="00CC433E" w:rsidRPr="00D2758E" w:rsidRDefault="00CC433E" w:rsidP="00A558F3">
      <w:pPr>
        <w:pStyle w:val="CBDNormalNumber"/>
        <w:rPr>
          <w:rFonts w:asciiTheme="majorBidi" w:hAnsiTheme="majorBidi" w:cstheme="majorBidi"/>
        </w:rPr>
      </w:pPr>
      <w:r w:rsidRPr="00D2758E">
        <w:rPr>
          <w:rFonts w:asciiTheme="majorBidi" w:hAnsiTheme="majorBidi" w:cstheme="majorBidi"/>
        </w:rPr>
        <w:t xml:space="preserve">Nevertheless, </w:t>
      </w:r>
      <w:r w:rsidR="00283F5C">
        <w:rPr>
          <w:rFonts w:asciiTheme="majorBidi" w:hAnsiTheme="majorBidi" w:cstheme="majorBidi"/>
        </w:rPr>
        <w:t xml:space="preserve">on the basis of </w:t>
      </w:r>
      <w:r w:rsidRPr="00D2758E">
        <w:rPr>
          <w:rFonts w:asciiTheme="majorBidi" w:hAnsiTheme="majorBidi" w:cstheme="majorBidi"/>
        </w:rPr>
        <w:t xml:space="preserve">the information provided on implementation of Article </w:t>
      </w:r>
      <w:r w:rsidR="00922B71">
        <w:rPr>
          <w:rFonts w:asciiTheme="majorBidi" w:hAnsiTheme="majorBidi" w:cstheme="majorBidi"/>
        </w:rPr>
        <w:t xml:space="preserve">16 </w:t>
      </w:r>
      <w:r w:rsidRPr="00D2758E">
        <w:rPr>
          <w:rFonts w:asciiTheme="majorBidi" w:hAnsiTheme="majorBidi" w:cstheme="majorBidi"/>
        </w:rPr>
        <w:t xml:space="preserve">together with the data </w:t>
      </w:r>
      <w:r w:rsidR="000975B4">
        <w:rPr>
          <w:rFonts w:asciiTheme="majorBidi" w:hAnsiTheme="majorBidi" w:cstheme="majorBidi"/>
        </w:rPr>
        <w:t xml:space="preserve">derived </w:t>
      </w:r>
      <w:r w:rsidRPr="00D2758E">
        <w:t>from</w:t>
      </w:r>
      <w:r w:rsidRPr="00D2758E">
        <w:rPr>
          <w:rFonts w:asciiTheme="majorBidi" w:hAnsiTheme="majorBidi" w:cstheme="majorBidi"/>
        </w:rPr>
        <w:t xml:space="preserve"> implementation of </w:t>
      </w:r>
      <w:r w:rsidR="00301545" w:rsidRPr="00D2758E">
        <w:rPr>
          <w:rFonts w:asciiTheme="majorBidi" w:hAnsiTheme="majorBidi" w:cstheme="majorBidi"/>
        </w:rPr>
        <w:t xml:space="preserve">compliance provisions </w:t>
      </w:r>
      <w:r w:rsidR="00301545">
        <w:rPr>
          <w:rFonts w:asciiTheme="majorBidi" w:hAnsiTheme="majorBidi" w:cstheme="majorBidi"/>
        </w:rPr>
        <w:t xml:space="preserve">under the </w:t>
      </w:r>
      <w:r w:rsidR="00697726" w:rsidRPr="00D2758E">
        <w:rPr>
          <w:rFonts w:asciiTheme="majorBidi" w:hAnsiTheme="majorBidi" w:cstheme="majorBidi"/>
        </w:rPr>
        <w:t>Protocol (</w:t>
      </w:r>
      <w:r w:rsidR="00487567">
        <w:rPr>
          <w:rFonts w:asciiTheme="majorBidi" w:hAnsiTheme="majorBidi" w:cstheme="majorBidi"/>
        </w:rPr>
        <w:t xml:space="preserve">see </w:t>
      </w:r>
      <w:r w:rsidR="00697726" w:rsidRPr="00D2758E">
        <w:rPr>
          <w:rFonts w:asciiTheme="majorBidi" w:hAnsiTheme="majorBidi" w:cstheme="majorBidi"/>
        </w:rPr>
        <w:t>sect</w:t>
      </w:r>
      <w:r w:rsidR="006C7778">
        <w:rPr>
          <w:rFonts w:asciiTheme="majorBidi" w:hAnsiTheme="majorBidi" w:cstheme="majorBidi"/>
        </w:rPr>
        <w:t>.</w:t>
      </w:r>
      <w:r w:rsidR="00697726" w:rsidRPr="00D2758E">
        <w:rPr>
          <w:rFonts w:asciiTheme="majorBidi" w:hAnsiTheme="majorBidi" w:cstheme="majorBidi"/>
        </w:rPr>
        <w:t xml:space="preserve"> III.A.5 above) and th</w:t>
      </w:r>
      <w:r w:rsidR="00487567">
        <w:rPr>
          <w:rFonts w:asciiTheme="majorBidi" w:hAnsiTheme="majorBidi" w:cstheme="majorBidi"/>
        </w:rPr>
        <w:t>e data</w:t>
      </w:r>
      <w:r w:rsidR="00697726" w:rsidRPr="00D2758E">
        <w:rPr>
          <w:rFonts w:asciiTheme="majorBidi" w:hAnsiTheme="majorBidi" w:cstheme="majorBidi"/>
        </w:rPr>
        <w:t xml:space="preserve"> related to indigenous peoples and local communities (</w:t>
      </w:r>
      <w:r w:rsidR="00487567">
        <w:rPr>
          <w:rFonts w:asciiTheme="majorBidi" w:hAnsiTheme="majorBidi" w:cstheme="majorBidi"/>
        </w:rPr>
        <w:t xml:space="preserve">see </w:t>
      </w:r>
      <w:r w:rsidR="00697726" w:rsidRPr="00D2758E">
        <w:rPr>
          <w:rFonts w:asciiTheme="majorBidi" w:hAnsiTheme="majorBidi" w:cstheme="majorBidi"/>
        </w:rPr>
        <w:t>sect</w:t>
      </w:r>
      <w:r w:rsidR="006C7778">
        <w:rPr>
          <w:rFonts w:asciiTheme="majorBidi" w:hAnsiTheme="majorBidi" w:cstheme="majorBidi"/>
        </w:rPr>
        <w:t>.</w:t>
      </w:r>
      <w:r w:rsidR="00697726" w:rsidRPr="00D2758E">
        <w:rPr>
          <w:rFonts w:asciiTheme="majorBidi" w:hAnsiTheme="majorBidi" w:cstheme="majorBidi"/>
        </w:rPr>
        <w:t xml:space="preserve"> III.A.7 above),</w:t>
      </w:r>
      <w:r w:rsidRPr="00D2758E">
        <w:rPr>
          <w:rFonts w:asciiTheme="majorBidi" w:hAnsiTheme="majorBidi" w:cstheme="majorBidi"/>
        </w:rPr>
        <w:t xml:space="preserve"> it </w:t>
      </w:r>
      <w:r w:rsidR="009B02D2">
        <w:rPr>
          <w:rFonts w:asciiTheme="majorBidi" w:hAnsiTheme="majorBidi" w:cstheme="majorBidi"/>
        </w:rPr>
        <w:t>may</w:t>
      </w:r>
      <w:r w:rsidRPr="00D2758E">
        <w:rPr>
          <w:rFonts w:asciiTheme="majorBidi" w:hAnsiTheme="majorBidi" w:cstheme="majorBidi"/>
        </w:rPr>
        <w:t xml:space="preserve"> be noted that</w:t>
      </w:r>
      <w:r w:rsidR="00922B71">
        <w:rPr>
          <w:rFonts w:asciiTheme="majorBidi" w:hAnsiTheme="majorBidi" w:cstheme="majorBidi"/>
        </w:rPr>
        <w:t>, al</w:t>
      </w:r>
      <w:r w:rsidRPr="00D2758E">
        <w:rPr>
          <w:rFonts w:asciiTheme="majorBidi" w:hAnsiTheme="majorBidi" w:cstheme="majorBidi"/>
        </w:rPr>
        <w:t>though many Parties have put measures in place, th</w:t>
      </w:r>
      <w:r w:rsidR="009B02D2">
        <w:rPr>
          <w:rFonts w:asciiTheme="majorBidi" w:hAnsiTheme="majorBidi" w:cstheme="majorBidi"/>
        </w:rPr>
        <w:t>ose</w:t>
      </w:r>
      <w:r w:rsidR="00301545">
        <w:rPr>
          <w:rFonts w:asciiTheme="majorBidi" w:hAnsiTheme="majorBidi" w:cstheme="majorBidi"/>
        </w:rPr>
        <w:t xml:space="preserve"> </w:t>
      </w:r>
      <w:r w:rsidR="009B02D2">
        <w:rPr>
          <w:rFonts w:asciiTheme="majorBidi" w:hAnsiTheme="majorBidi" w:cstheme="majorBidi"/>
        </w:rPr>
        <w:t xml:space="preserve">measures </w:t>
      </w:r>
      <w:r w:rsidRPr="00D2758E">
        <w:rPr>
          <w:rFonts w:asciiTheme="majorBidi" w:hAnsiTheme="majorBidi" w:cstheme="majorBidi"/>
        </w:rPr>
        <w:t>are often not fully operationali</w:t>
      </w:r>
      <w:r w:rsidR="00521FF0">
        <w:rPr>
          <w:rFonts w:asciiTheme="majorBidi" w:hAnsiTheme="majorBidi" w:cstheme="majorBidi"/>
        </w:rPr>
        <w:t>z</w:t>
      </w:r>
      <w:r w:rsidRPr="00D2758E">
        <w:rPr>
          <w:rFonts w:asciiTheme="majorBidi" w:hAnsiTheme="majorBidi" w:cstheme="majorBidi"/>
        </w:rPr>
        <w:t>ed or there is a general lack of practical experience in implementation.</w:t>
      </w:r>
    </w:p>
    <w:p w14:paraId="25AF60AB" w14:textId="0CD45BDE" w:rsidR="00CC433E" w:rsidRPr="00D2758E" w:rsidRDefault="00CC433E" w:rsidP="00A558F3">
      <w:pPr>
        <w:pStyle w:val="CBDNormalNumber"/>
        <w:rPr>
          <w:rFonts w:asciiTheme="majorBidi" w:hAnsiTheme="majorBidi" w:cstheme="majorBidi"/>
        </w:rPr>
      </w:pPr>
      <w:r w:rsidRPr="00D2758E">
        <w:rPr>
          <w:rFonts w:asciiTheme="majorBidi" w:hAnsiTheme="majorBidi" w:cstheme="majorBidi"/>
        </w:rPr>
        <w:t xml:space="preserve">According to the information provided in the reports, experience addressing cases of non-compliance with measures </w:t>
      </w:r>
      <w:r w:rsidR="004D502D">
        <w:rPr>
          <w:rFonts w:asciiTheme="majorBidi" w:hAnsiTheme="majorBidi" w:cstheme="majorBidi"/>
        </w:rPr>
        <w:t>related to</w:t>
      </w:r>
      <w:r w:rsidRPr="00D2758E">
        <w:rPr>
          <w:rFonts w:asciiTheme="majorBidi" w:hAnsiTheme="majorBidi" w:cstheme="majorBidi"/>
        </w:rPr>
        <w:t xml:space="preserve"> access to associated traditional knowledge seems merely anecdotal. </w:t>
      </w:r>
    </w:p>
    <w:p w14:paraId="49F39028" w14:textId="0C094D9A" w:rsidR="00CC433E" w:rsidRPr="00D2758E" w:rsidRDefault="00CC433E" w:rsidP="00A558F3">
      <w:pPr>
        <w:pStyle w:val="CBDNormalNumber"/>
        <w:rPr>
          <w:rFonts w:asciiTheme="majorBidi" w:hAnsiTheme="majorBidi" w:cstheme="majorBidi"/>
        </w:rPr>
      </w:pPr>
      <w:r w:rsidRPr="00D2758E">
        <w:rPr>
          <w:rFonts w:asciiTheme="majorBidi" w:hAnsiTheme="majorBidi" w:cstheme="majorBidi"/>
        </w:rPr>
        <w:t>Regarding progress made at the World Intellectual Property Organization</w:t>
      </w:r>
      <w:r w:rsidR="009408F1">
        <w:rPr>
          <w:rFonts w:asciiTheme="majorBidi" w:hAnsiTheme="majorBidi" w:cstheme="majorBidi"/>
        </w:rPr>
        <w:t xml:space="preserve"> (WIPO)</w:t>
      </w:r>
      <w:r w:rsidRPr="00D2758E">
        <w:rPr>
          <w:rFonts w:asciiTheme="majorBidi" w:hAnsiTheme="majorBidi" w:cstheme="majorBidi"/>
        </w:rPr>
        <w:t>, the Treaty on Intellectual Property, Genetic Resources and Associated Traditional Knowledge was adopted on 24 May 2024.</w:t>
      </w:r>
      <w:r w:rsidR="00232C85" w:rsidRPr="00D2758E">
        <w:rPr>
          <w:rStyle w:val="FootnoteReference"/>
          <w:rFonts w:asciiTheme="majorBidi" w:hAnsiTheme="majorBidi" w:cstheme="majorBidi"/>
        </w:rPr>
        <w:footnoteReference w:id="78"/>
      </w:r>
      <w:r w:rsidRPr="00D2758E">
        <w:rPr>
          <w:rFonts w:asciiTheme="majorBidi" w:hAnsiTheme="majorBidi" w:cstheme="majorBidi"/>
        </w:rPr>
        <w:t xml:space="preserve"> Three Parties have ratified the treaty so far. </w:t>
      </w:r>
    </w:p>
    <w:p w14:paraId="1FEE2779" w14:textId="082E5678" w:rsidR="00CC433E" w:rsidRPr="00D2758E" w:rsidRDefault="00CC433E" w:rsidP="00A558F3">
      <w:pPr>
        <w:pStyle w:val="CBDNormalNumber"/>
        <w:rPr>
          <w:rFonts w:asciiTheme="majorBidi" w:hAnsiTheme="majorBidi" w:cstheme="majorBidi"/>
        </w:rPr>
      </w:pPr>
      <w:r w:rsidRPr="00D2758E">
        <w:rPr>
          <w:rFonts w:asciiTheme="majorBidi" w:hAnsiTheme="majorBidi" w:cstheme="majorBidi"/>
        </w:rPr>
        <w:t xml:space="preserve">The Intergovernmental Committee on Intellectual Property and Genetic Resources, Traditional Knowledge and Folklore will continue its work </w:t>
      </w:r>
      <w:r w:rsidR="00EA484F">
        <w:rPr>
          <w:rFonts w:asciiTheme="majorBidi" w:hAnsiTheme="majorBidi" w:cstheme="majorBidi"/>
        </w:rPr>
        <w:t>on</w:t>
      </w:r>
      <w:r w:rsidRPr="00D2758E">
        <w:rPr>
          <w:rFonts w:asciiTheme="majorBidi" w:hAnsiTheme="majorBidi" w:cstheme="majorBidi"/>
        </w:rPr>
        <w:t xml:space="preserve"> protect</w:t>
      </w:r>
      <w:r w:rsidR="00EA484F">
        <w:rPr>
          <w:rFonts w:asciiTheme="majorBidi" w:hAnsiTheme="majorBidi" w:cstheme="majorBidi"/>
        </w:rPr>
        <w:t>ing</w:t>
      </w:r>
      <w:r w:rsidRPr="00D2758E" w:rsidDel="0014171D">
        <w:rPr>
          <w:rFonts w:asciiTheme="majorBidi" w:hAnsiTheme="majorBidi" w:cstheme="majorBidi"/>
        </w:rPr>
        <w:t xml:space="preserve"> </w:t>
      </w:r>
      <w:r w:rsidRPr="00D2758E">
        <w:rPr>
          <w:rFonts w:asciiTheme="majorBidi" w:hAnsiTheme="majorBidi" w:cstheme="majorBidi"/>
        </w:rPr>
        <w:t xml:space="preserve">traditional knowledge and traditional cultural </w:t>
      </w:r>
      <w:r w:rsidRPr="00D2758E">
        <w:t>expressions</w:t>
      </w:r>
      <w:r w:rsidR="00EA484F">
        <w:t xml:space="preserve">. </w:t>
      </w:r>
      <w:r w:rsidR="00EA484F" w:rsidRPr="006B066D">
        <w:rPr>
          <w:rFonts w:asciiTheme="majorBidi" w:hAnsiTheme="majorBidi" w:cstheme="majorBidi"/>
        </w:rPr>
        <w:t>Further</w:t>
      </w:r>
      <w:r w:rsidR="00EA484F">
        <w:t xml:space="preserve">, </w:t>
      </w:r>
      <w:r w:rsidRPr="00D2758E">
        <w:rPr>
          <w:rFonts w:asciiTheme="majorBidi" w:hAnsiTheme="majorBidi" w:cstheme="majorBidi"/>
        </w:rPr>
        <w:t>in 2027</w:t>
      </w:r>
      <w:r w:rsidR="00EA484F">
        <w:rPr>
          <w:rFonts w:asciiTheme="majorBidi" w:hAnsiTheme="majorBidi" w:cstheme="majorBidi"/>
        </w:rPr>
        <w:t>,</w:t>
      </w:r>
      <w:r w:rsidRPr="00D2758E">
        <w:rPr>
          <w:rFonts w:asciiTheme="majorBidi" w:hAnsiTheme="majorBidi" w:cstheme="majorBidi"/>
        </w:rPr>
        <w:t xml:space="preserve"> the </w:t>
      </w:r>
      <w:r w:rsidR="008E12C2">
        <w:rPr>
          <w:rFonts w:asciiTheme="majorBidi" w:hAnsiTheme="majorBidi" w:cstheme="majorBidi"/>
        </w:rPr>
        <w:t xml:space="preserve">WIPO </w:t>
      </w:r>
      <w:r w:rsidRPr="00D2758E">
        <w:rPr>
          <w:rFonts w:asciiTheme="majorBidi" w:hAnsiTheme="majorBidi" w:cstheme="majorBidi"/>
        </w:rPr>
        <w:t>General Assembly will take stock of progress made and decide whether to convene a diplomatic conference and/or continue negotiations. The decision will be based on the maturity of the text(s), including levels of agreement on objectives, scope and nature of the instrument(s).</w:t>
      </w:r>
    </w:p>
    <w:p w14:paraId="0E6D17BD" w14:textId="74B7F409" w:rsidR="00CC433E" w:rsidRPr="00D2758E" w:rsidRDefault="00CC433E" w:rsidP="00061EFF">
      <w:pPr>
        <w:pStyle w:val="CBDTableTitle"/>
      </w:pPr>
      <w:r w:rsidRPr="00061EFF">
        <w:rPr>
          <w:b w:val="0"/>
          <w:bCs/>
        </w:rPr>
        <w:t xml:space="preserve">Table </w:t>
      </w:r>
      <w:r w:rsidR="00697726" w:rsidRPr="00061EFF">
        <w:rPr>
          <w:b w:val="0"/>
          <w:bCs/>
        </w:rPr>
        <w:t>12</w:t>
      </w:r>
      <w:r w:rsidRPr="00D2758E">
        <w:t xml:space="preserve"> </w:t>
      </w:r>
      <w:r w:rsidR="00061EFF">
        <w:br/>
      </w:r>
      <w:r w:rsidRPr="00D2758E">
        <w:t>Indicators to measure progress in implementation of Article 16 of the Protocol</w:t>
      </w:r>
    </w:p>
    <w:tbl>
      <w:tblPr>
        <w:tblW w:w="9144" w:type="dxa"/>
        <w:tblInd w:w="56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803"/>
        <w:gridCol w:w="1829"/>
        <w:gridCol w:w="1512"/>
      </w:tblGrid>
      <w:tr w:rsidR="00CC433E" w:rsidRPr="00F91AE7" w14:paraId="7D43F613" w14:textId="77777777" w:rsidTr="006B066D">
        <w:trPr>
          <w:cantSplit/>
        </w:trPr>
        <w:tc>
          <w:tcPr>
            <w:tcW w:w="5803" w:type="dxa"/>
            <w:tcBorders>
              <w:top w:val="single" w:sz="4" w:space="0" w:color="auto"/>
              <w:left w:val="single" w:sz="4" w:space="0" w:color="auto"/>
              <w:bottom w:val="single" w:sz="4" w:space="0" w:color="auto"/>
              <w:right w:val="single" w:sz="4" w:space="0" w:color="auto"/>
            </w:tcBorders>
            <w:tcMar>
              <w:top w:w="29" w:type="dxa"/>
              <w:left w:w="115" w:type="dxa"/>
              <w:bottom w:w="29" w:type="dxa"/>
              <w:right w:w="115" w:type="dxa"/>
            </w:tcMar>
            <w:vAlign w:val="bottom"/>
            <w:hideMark/>
          </w:tcPr>
          <w:p w14:paraId="0A346BC8" w14:textId="77777777" w:rsidR="00CC433E" w:rsidRPr="006B066D" w:rsidRDefault="00CC433E" w:rsidP="006B066D">
            <w:pPr>
              <w:suppressLineNumbers/>
              <w:suppressAutoHyphens/>
              <w:kinsoku w:val="0"/>
              <w:overflowPunct w:val="0"/>
              <w:autoSpaceDE w:val="0"/>
              <w:autoSpaceDN w:val="0"/>
              <w:adjustRightInd w:val="0"/>
              <w:snapToGrid w:val="0"/>
              <w:ind w:left="314" w:hanging="360"/>
              <w:jc w:val="left"/>
              <w:rPr>
                <w:rFonts w:asciiTheme="majorBidi" w:eastAsia="Malgun Gothic" w:hAnsiTheme="majorBidi" w:cstheme="majorBidi"/>
                <w:i/>
                <w:iCs/>
                <w:kern w:val="22"/>
                <w:sz w:val="20"/>
                <w:szCs w:val="20"/>
              </w:rPr>
            </w:pPr>
            <w:r w:rsidRPr="006B066D">
              <w:rPr>
                <w:rFonts w:asciiTheme="majorBidi" w:eastAsia="Malgun Gothic" w:hAnsiTheme="majorBidi" w:cstheme="majorBidi"/>
                <w:i/>
                <w:iCs/>
                <w:kern w:val="22"/>
                <w:sz w:val="20"/>
                <w:szCs w:val="20"/>
              </w:rPr>
              <w:t>Framework of indicators</w:t>
            </w:r>
          </w:p>
        </w:tc>
        <w:tc>
          <w:tcPr>
            <w:tcW w:w="1829" w:type="dxa"/>
            <w:tcBorders>
              <w:top w:val="single" w:sz="4" w:space="0" w:color="auto"/>
              <w:left w:val="single" w:sz="4" w:space="0" w:color="auto"/>
              <w:bottom w:val="single" w:sz="4" w:space="0" w:color="auto"/>
              <w:right w:val="single" w:sz="4" w:space="0" w:color="auto"/>
            </w:tcBorders>
            <w:tcMar>
              <w:top w:w="29" w:type="dxa"/>
              <w:left w:w="115" w:type="dxa"/>
              <w:bottom w:w="29" w:type="dxa"/>
              <w:right w:w="115" w:type="dxa"/>
            </w:tcMar>
            <w:vAlign w:val="bottom"/>
            <w:hideMark/>
          </w:tcPr>
          <w:p w14:paraId="18177B06" w14:textId="5019FCAF" w:rsidR="00CC433E" w:rsidRPr="006B066D" w:rsidRDefault="00CC433E" w:rsidP="006B066D">
            <w:pPr>
              <w:suppressLineNumbers/>
              <w:suppressAutoHyphens/>
              <w:kinsoku w:val="0"/>
              <w:overflowPunct w:val="0"/>
              <w:autoSpaceDE w:val="0"/>
              <w:autoSpaceDN w:val="0"/>
              <w:adjustRightInd w:val="0"/>
              <w:snapToGrid w:val="0"/>
              <w:jc w:val="right"/>
              <w:rPr>
                <w:rFonts w:asciiTheme="majorBidi" w:hAnsiTheme="majorBidi" w:cstheme="majorBidi"/>
                <w:i/>
                <w:iCs/>
                <w:kern w:val="22"/>
                <w:sz w:val="20"/>
                <w:szCs w:val="20"/>
              </w:rPr>
            </w:pPr>
            <w:r w:rsidRPr="006B066D">
              <w:rPr>
                <w:rFonts w:asciiTheme="majorBidi" w:hAnsiTheme="majorBidi" w:cstheme="majorBidi"/>
                <w:i/>
                <w:iCs/>
                <w:kern w:val="22"/>
                <w:sz w:val="20"/>
                <w:szCs w:val="20"/>
              </w:rPr>
              <w:t xml:space="preserve">Reference point </w:t>
            </w:r>
            <w:r w:rsidR="00F91AE7">
              <w:rPr>
                <w:rFonts w:asciiTheme="majorBidi" w:hAnsiTheme="majorBidi" w:cstheme="majorBidi"/>
                <w:i/>
                <w:iCs/>
                <w:kern w:val="22"/>
                <w:sz w:val="20"/>
                <w:szCs w:val="20"/>
              </w:rPr>
              <w:br/>
            </w:r>
            <w:r w:rsidRPr="006B066D">
              <w:rPr>
                <w:rFonts w:asciiTheme="majorBidi" w:hAnsiTheme="majorBidi" w:cstheme="majorBidi"/>
                <w:i/>
                <w:iCs/>
                <w:kern w:val="22"/>
                <w:sz w:val="20"/>
                <w:szCs w:val="20"/>
              </w:rPr>
              <w:t xml:space="preserve">(as </w:t>
            </w:r>
            <w:r w:rsidR="00F91AE7">
              <w:rPr>
                <w:rFonts w:asciiTheme="majorBidi" w:hAnsiTheme="majorBidi" w:cstheme="majorBidi"/>
                <w:i/>
                <w:iCs/>
                <w:kern w:val="22"/>
                <w:sz w:val="20"/>
                <w:szCs w:val="20"/>
              </w:rPr>
              <w:t>at</w:t>
            </w:r>
            <w:r w:rsidR="00F91AE7" w:rsidRPr="006B066D">
              <w:rPr>
                <w:rFonts w:asciiTheme="majorBidi" w:hAnsiTheme="majorBidi" w:cstheme="majorBidi"/>
                <w:i/>
                <w:iCs/>
                <w:kern w:val="22"/>
                <w:sz w:val="20"/>
                <w:szCs w:val="20"/>
              </w:rPr>
              <w:t xml:space="preserve"> </w:t>
            </w:r>
            <w:r w:rsidRPr="006B066D">
              <w:rPr>
                <w:rFonts w:asciiTheme="majorBidi" w:hAnsiTheme="majorBidi" w:cstheme="majorBidi"/>
                <w:i/>
                <w:iCs/>
                <w:kern w:val="22"/>
                <w:sz w:val="20"/>
                <w:szCs w:val="20"/>
              </w:rPr>
              <w:t>22 February 2018)</w:t>
            </w:r>
          </w:p>
        </w:tc>
        <w:tc>
          <w:tcPr>
            <w:tcW w:w="1512" w:type="dxa"/>
            <w:tcBorders>
              <w:top w:val="single" w:sz="4" w:space="0" w:color="auto"/>
              <w:left w:val="single" w:sz="4" w:space="0" w:color="auto"/>
              <w:bottom w:val="single" w:sz="4" w:space="0" w:color="auto"/>
              <w:right w:val="single" w:sz="4" w:space="0" w:color="auto"/>
            </w:tcBorders>
            <w:vAlign w:val="bottom"/>
          </w:tcPr>
          <w:p w14:paraId="57D764D4" w14:textId="506DE6BB" w:rsidR="00CC433E" w:rsidRPr="006B066D" w:rsidRDefault="00C21D63" w:rsidP="006B066D">
            <w:pPr>
              <w:suppressLineNumbers/>
              <w:suppressAutoHyphens/>
              <w:kinsoku w:val="0"/>
              <w:overflowPunct w:val="0"/>
              <w:autoSpaceDE w:val="0"/>
              <w:autoSpaceDN w:val="0"/>
              <w:adjustRightInd w:val="0"/>
              <w:snapToGrid w:val="0"/>
              <w:jc w:val="right"/>
              <w:rPr>
                <w:rFonts w:asciiTheme="majorBidi" w:hAnsiTheme="majorBidi" w:cstheme="majorBidi"/>
                <w:i/>
                <w:iCs/>
                <w:kern w:val="22"/>
                <w:sz w:val="20"/>
                <w:szCs w:val="20"/>
              </w:rPr>
            </w:pPr>
            <w:r>
              <w:rPr>
                <w:rFonts w:asciiTheme="majorBidi" w:hAnsiTheme="majorBidi" w:cstheme="majorBidi"/>
                <w:i/>
                <w:iCs/>
                <w:kern w:val="22"/>
                <w:sz w:val="20"/>
                <w:szCs w:val="20"/>
              </w:rPr>
              <w:t xml:space="preserve">Progress </w:t>
            </w:r>
            <w:r w:rsidR="00C55085">
              <w:rPr>
                <w:rFonts w:asciiTheme="majorBidi" w:hAnsiTheme="majorBidi" w:cstheme="majorBidi"/>
                <w:i/>
                <w:iCs/>
                <w:kern w:val="22"/>
                <w:sz w:val="20"/>
                <w:szCs w:val="20"/>
              </w:rPr>
              <w:t xml:space="preserve">as at </w:t>
            </w:r>
            <w:r w:rsidR="00CC433E" w:rsidRPr="006B066D">
              <w:rPr>
                <w:rFonts w:asciiTheme="majorBidi" w:hAnsiTheme="majorBidi" w:cstheme="majorBidi"/>
                <w:i/>
                <w:iCs/>
                <w:kern w:val="22"/>
                <w:sz w:val="20"/>
                <w:szCs w:val="20"/>
              </w:rPr>
              <w:t>9 March 2026</w:t>
            </w:r>
          </w:p>
        </w:tc>
      </w:tr>
      <w:tr w:rsidR="00CC433E" w:rsidRPr="00D2758E" w14:paraId="17AE4740" w14:textId="77777777" w:rsidTr="006B066D">
        <w:trPr>
          <w:cantSplit/>
        </w:trPr>
        <w:tc>
          <w:tcPr>
            <w:tcW w:w="5803" w:type="dxa"/>
            <w:tcBorders>
              <w:top w:val="single" w:sz="4" w:space="0" w:color="auto"/>
              <w:left w:val="single" w:sz="4" w:space="0" w:color="auto"/>
              <w:bottom w:val="single" w:sz="4" w:space="0" w:color="auto"/>
              <w:right w:val="single" w:sz="4" w:space="0" w:color="auto"/>
            </w:tcBorders>
            <w:tcMar>
              <w:top w:w="29" w:type="dxa"/>
              <w:left w:w="115" w:type="dxa"/>
              <w:bottom w:w="29" w:type="dxa"/>
              <w:right w:w="115" w:type="dxa"/>
            </w:tcMar>
            <w:hideMark/>
          </w:tcPr>
          <w:p w14:paraId="334427AC" w14:textId="0FFFAE1A" w:rsidR="00CC433E" w:rsidRPr="00D2758E" w:rsidRDefault="00CC433E" w:rsidP="006B066D">
            <w:pPr>
              <w:suppressLineNumbers/>
              <w:suppressAutoHyphens/>
              <w:kinsoku w:val="0"/>
              <w:overflowPunct w:val="0"/>
              <w:autoSpaceDE w:val="0"/>
              <w:autoSpaceDN w:val="0"/>
              <w:adjustRightInd w:val="0"/>
              <w:snapToGrid w:val="0"/>
              <w:jc w:val="left"/>
              <w:rPr>
                <w:rFonts w:eastAsia="Malgun Gothic"/>
                <w:sz w:val="20"/>
                <w:szCs w:val="20"/>
              </w:rPr>
            </w:pPr>
            <w:r w:rsidRPr="00D2758E">
              <w:rPr>
                <w:rFonts w:asciiTheme="majorBidi" w:eastAsia="Malgun Gothic" w:hAnsiTheme="majorBidi" w:cstheme="majorBidi"/>
                <w:kern w:val="22"/>
                <w:sz w:val="20"/>
                <w:szCs w:val="20"/>
              </w:rPr>
              <w:t>Number and percentage of Parties that have taken appropriate, effective and proportionate legislative, administrative or policy measures to implement Article 16</w:t>
            </w:r>
            <w:r w:rsidR="00BA1017">
              <w:rPr>
                <w:rFonts w:asciiTheme="majorBidi" w:eastAsia="Malgun Gothic" w:hAnsiTheme="majorBidi" w:cstheme="majorBidi"/>
                <w:kern w:val="22"/>
                <w:sz w:val="20"/>
                <w:szCs w:val="20"/>
              </w:rPr>
              <w:t xml:space="preserve"> (</w:t>
            </w:r>
            <w:r w:rsidRPr="00D2758E">
              <w:rPr>
                <w:rFonts w:asciiTheme="majorBidi" w:eastAsia="Malgun Gothic" w:hAnsiTheme="majorBidi" w:cstheme="majorBidi"/>
                <w:kern w:val="22"/>
                <w:sz w:val="20"/>
                <w:szCs w:val="20"/>
              </w:rPr>
              <w:t>1</w:t>
            </w:r>
            <w:r w:rsidR="00BA1017">
              <w:rPr>
                <w:rFonts w:asciiTheme="majorBidi" w:eastAsia="Malgun Gothic" w:hAnsiTheme="majorBidi" w:cstheme="majorBidi"/>
                <w:kern w:val="22"/>
                <w:sz w:val="20"/>
                <w:szCs w:val="20"/>
              </w:rPr>
              <w:t>)</w:t>
            </w:r>
            <w:r w:rsidRPr="00D2758E">
              <w:rPr>
                <w:rFonts w:asciiTheme="majorBidi" w:eastAsia="Malgun Gothic" w:hAnsiTheme="majorBidi" w:cstheme="majorBidi"/>
                <w:kern w:val="22"/>
                <w:sz w:val="20"/>
                <w:szCs w:val="20"/>
              </w:rPr>
              <w:t xml:space="preserve"> (traditional knowledge associated with genetic resources)</w:t>
            </w:r>
          </w:p>
        </w:tc>
        <w:tc>
          <w:tcPr>
            <w:tcW w:w="1829" w:type="dxa"/>
            <w:tcBorders>
              <w:top w:val="single" w:sz="4" w:space="0" w:color="auto"/>
              <w:left w:val="single" w:sz="4" w:space="0" w:color="auto"/>
              <w:bottom w:val="single" w:sz="4" w:space="0" w:color="auto"/>
              <w:right w:val="single" w:sz="4" w:space="0" w:color="auto"/>
            </w:tcBorders>
            <w:tcMar>
              <w:top w:w="29" w:type="dxa"/>
              <w:left w:w="115" w:type="dxa"/>
              <w:bottom w:w="29" w:type="dxa"/>
              <w:right w:w="115" w:type="dxa"/>
            </w:tcMar>
            <w:vAlign w:val="bottom"/>
            <w:hideMark/>
          </w:tcPr>
          <w:p w14:paraId="58B2B332" w14:textId="5EC6DDD5" w:rsidR="00CC433E" w:rsidRPr="00D2758E" w:rsidRDefault="00941A43" w:rsidP="006B066D">
            <w:pPr>
              <w:jc w:val="right"/>
              <w:rPr>
                <w:sz w:val="20"/>
                <w:szCs w:val="20"/>
              </w:rPr>
            </w:pPr>
            <w:r w:rsidRPr="00D2758E">
              <w:rPr>
                <w:sz w:val="20"/>
                <w:szCs w:val="20"/>
              </w:rPr>
              <w:t>33 (</w:t>
            </w:r>
            <w:r w:rsidR="00CC433E" w:rsidRPr="00D2758E">
              <w:rPr>
                <w:sz w:val="20"/>
                <w:szCs w:val="20"/>
              </w:rPr>
              <w:t>31</w:t>
            </w:r>
            <w:r w:rsidR="00C55085">
              <w:rPr>
                <w:sz w:val="20"/>
                <w:szCs w:val="20"/>
              </w:rPr>
              <w:t xml:space="preserve"> per cent</w:t>
            </w:r>
            <w:r w:rsidR="00CC433E" w:rsidRPr="00D2758E">
              <w:rPr>
                <w:sz w:val="20"/>
                <w:szCs w:val="20"/>
              </w:rPr>
              <w:t>)</w:t>
            </w:r>
          </w:p>
        </w:tc>
        <w:tc>
          <w:tcPr>
            <w:tcW w:w="1512" w:type="dxa"/>
            <w:vAlign w:val="bottom"/>
          </w:tcPr>
          <w:p w14:paraId="5A916A77" w14:textId="0E390BAC" w:rsidR="00CC433E" w:rsidRPr="00D2758E" w:rsidRDefault="00F6096D" w:rsidP="006B066D">
            <w:pPr>
              <w:jc w:val="right"/>
              <w:rPr>
                <w:sz w:val="20"/>
                <w:szCs w:val="20"/>
              </w:rPr>
            </w:pPr>
            <w:r w:rsidRPr="00D2758E">
              <w:rPr>
                <w:sz w:val="20"/>
                <w:szCs w:val="20"/>
              </w:rPr>
              <w:t>71 (</w:t>
            </w:r>
            <w:r w:rsidR="00CC433E" w:rsidRPr="00D2758E">
              <w:rPr>
                <w:sz w:val="20"/>
                <w:szCs w:val="20"/>
              </w:rPr>
              <w:t>50</w:t>
            </w:r>
            <w:r w:rsidR="00C55085">
              <w:rPr>
                <w:sz w:val="20"/>
                <w:szCs w:val="20"/>
              </w:rPr>
              <w:t xml:space="preserve"> per cent</w:t>
            </w:r>
            <w:r w:rsidR="00CC433E" w:rsidRPr="00D2758E">
              <w:rPr>
                <w:sz w:val="20"/>
                <w:szCs w:val="20"/>
              </w:rPr>
              <w:t>)</w:t>
            </w:r>
          </w:p>
        </w:tc>
      </w:tr>
    </w:tbl>
    <w:p w14:paraId="13F02AEF" w14:textId="77777777" w:rsidR="00CC433E" w:rsidRPr="00D2758E" w:rsidRDefault="00CC433E" w:rsidP="00C7580A"/>
    <w:p w14:paraId="113621EF" w14:textId="1522A40E" w:rsidR="0051703A" w:rsidRPr="00D2758E" w:rsidRDefault="00061EFF" w:rsidP="00061EFF">
      <w:pPr>
        <w:pStyle w:val="CBDH3"/>
      </w:pPr>
      <w:r>
        <w:t>2.</w:t>
      </w:r>
      <w:r>
        <w:tab/>
      </w:r>
      <w:r w:rsidR="0051703A" w:rsidRPr="00D2758E">
        <w:t>Challenges, root causes and possible ways to enhance implementation of the Nagoya Protocol</w:t>
      </w:r>
      <w:r w:rsidR="00342F5D" w:rsidRPr="00D2758E">
        <w:t xml:space="preserve"> in </w:t>
      </w:r>
      <w:r w:rsidR="00224217">
        <w:t xml:space="preserve">the </w:t>
      </w:r>
      <w:r w:rsidR="00342F5D" w:rsidRPr="00D2758E">
        <w:t xml:space="preserve">light of </w:t>
      </w:r>
      <w:r w:rsidR="008E0258" w:rsidRPr="00D2758E">
        <w:t>developments in other relevant international organizations</w:t>
      </w:r>
    </w:p>
    <w:p w14:paraId="56C25DA7" w14:textId="010D7085" w:rsidR="003573F7" w:rsidRPr="00D2758E" w:rsidRDefault="006A74D8" w:rsidP="00A558F3">
      <w:pPr>
        <w:pStyle w:val="CBDNormalNumber"/>
        <w:rPr>
          <w:rFonts w:asciiTheme="majorBidi" w:hAnsiTheme="majorBidi" w:cstheme="majorBidi"/>
        </w:rPr>
      </w:pPr>
      <w:r w:rsidRPr="00D2758E">
        <w:rPr>
          <w:rFonts w:asciiTheme="majorBidi" w:hAnsiTheme="majorBidi" w:cstheme="majorBidi"/>
        </w:rPr>
        <w:t xml:space="preserve">The challenges </w:t>
      </w:r>
      <w:r w:rsidR="002C1D96">
        <w:rPr>
          <w:rFonts w:asciiTheme="majorBidi" w:hAnsiTheme="majorBidi" w:cstheme="majorBidi"/>
        </w:rPr>
        <w:t xml:space="preserve">related </w:t>
      </w:r>
      <w:r w:rsidRPr="00D2758E">
        <w:rPr>
          <w:rFonts w:asciiTheme="majorBidi" w:hAnsiTheme="majorBidi" w:cstheme="majorBidi"/>
        </w:rPr>
        <w:t xml:space="preserve">to </w:t>
      </w:r>
      <w:r w:rsidR="006811C4" w:rsidRPr="00D2758E">
        <w:rPr>
          <w:rFonts w:asciiTheme="majorBidi" w:hAnsiTheme="majorBidi" w:cstheme="majorBidi"/>
        </w:rPr>
        <w:t xml:space="preserve">implementing </w:t>
      </w:r>
      <w:r w:rsidR="00C55085">
        <w:rPr>
          <w:rFonts w:asciiTheme="majorBidi" w:hAnsiTheme="majorBidi" w:cstheme="majorBidi"/>
        </w:rPr>
        <w:t xml:space="preserve">access and benefit-sharing </w:t>
      </w:r>
      <w:r w:rsidR="005B329E" w:rsidRPr="00D2758E">
        <w:rPr>
          <w:rFonts w:asciiTheme="majorBidi" w:hAnsiTheme="majorBidi" w:cstheme="majorBidi"/>
        </w:rPr>
        <w:t xml:space="preserve">measures related to </w:t>
      </w:r>
      <w:r w:rsidR="00386245" w:rsidRPr="00D2758E">
        <w:rPr>
          <w:rFonts w:asciiTheme="majorBidi" w:hAnsiTheme="majorBidi" w:cstheme="majorBidi"/>
        </w:rPr>
        <w:t>traditional</w:t>
      </w:r>
      <w:r w:rsidR="004955EA" w:rsidRPr="00D2758E">
        <w:rPr>
          <w:rFonts w:asciiTheme="majorBidi" w:hAnsiTheme="majorBidi" w:cstheme="majorBidi"/>
        </w:rPr>
        <w:t xml:space="preserve"> knowledge associated with genetic resources, as laid out in Article 16, are similar to those </w:t>
      </w:r>
      <w:r w:rsidR="002D0B8E">
        <w:rPr>
          <w:rFonts w:asciiTheme="majorBidi" w:hAnsiTheme="majorBidi" w:cstheme="majorBidi"/>
        </w:rPr>
        <w:t xml:space="preserve">related to </w:t>
      </w:r>
      <w:r w:rsidR="00053E34" w:rsidRPr="00D2758E">
        <w:rPr>
          <w:rFonts w:asciiTheme="majorBidi" w:hAnsiTheme="majorBidi" w:cstheme="majorBidi"/>
        </w:rPr>
        <w:t>implementing the Protocol</w:t>
      </w:r>
      <w:r w:rsidR="00334E90" w:rsidRPr="00D2758E">
        <w:rPr>
          <w:rFonts w:asciiTheme="majorBidi" w:hAnsiTheme="majorBidi" w:cstheme="majorBidi"/>
        </w:rPr>
        <w:t xml:space="preserve"> </w:t>
      </w:r>
      <w:r w:rsidR="00B77E54" w:rsidRPr="00D2758E">
        <w:rPr>
          <w:rFonts w:asciiTheme="majorBidi" w:hAnsiTheme="majorBidi" w:cstheme="majorBidi"/>
        </w:rPr>
        <w:t>to cover genetic resources</w:t>
      </w:r>
      <w:r w:rsidR="00F454CC" w:rsidRPr="00D2758E">
        <w:rPr>
          <w:rFonts w:asciiTheme="majorBidi" w:hAnsiTheme="majorBidi" w:cstheme="majorBidi"/>
        </w:rPr>
        <w:t xml:space="preserve"> (</w:t>
      </w:r>
      <w:r w:rsidR="002C1D96">
        <w:rPr>
          <w:rFonts w:asciiTheme="majorBidi" w:hAnsiTheme="majorBidi" w:cstheme="majorBidi"/>
        </w:rPr>
        <w:t xml:space="preserve">see </w:t>
      </w:r>
      <w:r w:rsidR="00F454CC" w:rsidRPr="00D2758E">
        <w:t>sect</w:t>
      </w:r>
      <w:r w:rsidR="002C1D96">
        <w:t>.</w:t>
      </w:r>
      <w:r w:rsidR="00F454CC" w:rsidRPr="00D2758E">
        <w:rPr>
          <w:rFonts w:asciiTheme="majorBidi" w:hAnsiTheme="majorBidi" w:cstheme="majorBidi"/>
        </w:rPr>
        <w:t xml:space="preserve"> III.A.5 above) and </w:t>
      </w:r>
      <w:r w:rsidR="009368F2" w:rsidRPr="00D2758E">
        <w:rPr>
          <w:rFonts w:asciiTheme="majorBidi" w:hAnsiTheme="majorBidi" w:cstheme="majorBidi"/>
        </w:rPr>
        <w:t xml:space="preserve">those identified </w:t>
      </w:r>
      <w:r w:rsidR="004C262E" w:rsidRPr="00D2758E">
        <w:rPr>
          <w:rFonts w:asciiTheme="majorBidi" w:hAnsiTheme="majorBidi" w:cstheme="majorBidi"/>
        </w:rPr>
        <w:t xml:space="preserve">for implementing the </w:t>
      </w:r>
      <w:r w:rsidR="00C03CF9" w:rsidRPr="00D2758E">
        <w:rPr>
          <w:rFonts w:asciiTheme="majorBidi" w:hAnsiTheme="majorBidi" w:cstheme="majorBidi"/>
        </w:rPr>
        <w:t xml:space="preserve">provisions of the Protocol </w:t>
      </w:r>
      <w:r w:rsidR="00F24B93">
        <w:rPr>
          <w:rFonts w:asciiTheme="majorBidi" w:hAnsiTheme="majorBidi" w:cstheme="majorBidi"/>
        </w:rPr>
        <w:t xml:space="preserve">related to </w:t>
      </w:r>
      <w:r w:rsidR="000B63E6" w:rsidRPr="00D2758E">
        <w:rPr>
          <w:rFonts w:asciiTheme="majorBidi" w:hAnsiTheme="majorBidi" w:cstheme="majorBidi"/>
        </w:rPr>
        <w:t>indigenous peoples and local communities (</w:t>
      </w:r>
      <w:r w:rsidR="002C1D96">
        <w:rPr>
          <w:rFonts w:asciiTheme="majorBidi" w:hAnsiTheme="majorBidi" w:cstheme="majorBidi"/>
        </w:rPr>
        <w:t xml:space="preserve">see </w:t>
      </w:r>
      <w:r w:rsidR="000B63E6" w:rsidRPr="00D2758E">
        <w:rPr>
          <w:rFonts w:asciiTheme="majorBidi" w:hAnsiTheme="majorBidi" w:cstheme="majorBidi"/>
        </w:rPr>
        <w:t>sect</w:t>
      </w:r>
      <w:r w:rsidR="002C1D96">
        <w:rPr>
          <w:rFonts w:asciiTheme="majorBidi" w:hAnsiTheme="majorBidi" w:cstheme="majorBidi"/>
        </w:rPr>
        <w:t>.</w:t>
      </w:r>
      <w:r w:rsidR="000B63E6" w:rsidRPr="00D2758E">
        <w:rPr>
          <w:rFonts w:asciiTheme="majorBidi" w:hAnsiTheme="majorBidi" w:cstheme="majorBidi"/>
        </w:rPr>
        <w:t xml:space="preserve"> III.A.7 above). </w:t>
      </w:r>
    </w:p>
    <w:p w14:paraId="59BB485F" w14:textId="16674846" w:rsidR="00794BE3" w:rsidRPr="00D2758E" w:rsidRDefault="00B74595" w:rsidP="00A558F3">
      <w:pPr>
        <w:pStyle w:val="CBDNormalNumber"/>
        <w:rPr>
          <w:rFonts w:asciiTheme="majorBidi" w:hAnsiTheme="majorBidi" w:cstheme="majorBidi"/>
        </w:rPr>
      </w:pPr>
      <w:r w:rsidRPr="00D2758E">
        <w:rPr>
          <w:rFonts w:asciiTheme="majorBidi" w:hAnsiTheme="majorBidi" w:cstheme="majorBidi"/>
        </w:rPr>
        <w:t xml:space="preserve">Both are areas where Parties require additional support to implement the Protocol and </w:t>
      </w:r>
      <w:r w:rsidR="00513327">
        <w:rPr>
          <w:rFonts w:asciiTheme="majorBidi" w:hAnsiTheme="majorBidi" w:cstheme="majorBidi"/>
        </w:rPr>
        <w:t>en</w:t>
      </w:r>
      <w:r w:rsidRPr="00D2758E">
        <w:rPr>
          <w:rFonts w:asciiTheme="majorBidi" w:hAnsiTheme="majorBidi" w:cstheme="majorBidi"/>
        </w:rPr>
        <w:t xml:space="preserve">sure that benefits are shared </w:t>
      </w:r>
      <w:r w:rsidRPr="00D2758E">
        <w:t>with</w:t>
      </w:r>
      <w:r w:rsidRPr="00D2758E">
        <w:rPr>
          <w:rFonts w:asciiTheme="majorBidi" w:hAnsiTheme="majorBidi" w:cstheme="majorBidi"/>
        </w:rPr>
        <w:t xml:space="preserve"> indigenous peoples and local communities, as applicable.</w:t>
      </w:r>
      <w:r w:rsidR="00270ECE" w:rsidRPr="00D2758E">
        <w:rPr>
          <w:rFonts w:asciiTheme="majorBidi" w:hAnsiTheme="majorBidi" w:cstheme="majorBidi"/>
        </w:rPr>
        <w:t xml:space="preserve"> Entry into </w:t>
      </w:r>
      <w:r w:rsidR="00270ECE" w:rsidRPr="00D2758E">
        <w:rPr>
          <w:rFonts w:asciiTheme="majorBidi" w:hAnsiTheme="majorBidi" w:cstheme="majorBidi"/>
        </w:rPr>
        <w:lastRenderedPageBreak/>
        <w:t>force and implementation of the Treaty on Intellectual Property, Genetic Resources and Associated Traditional Knowledge can support these efforts.</w:t>
      </w:r>
    </w:p>
    <w:p w14:paraId="787321AE" w14:textId="48AA585C" w:rsidR="00CB2510" w:rsidRPr="00D2758E" w:rsidRDefault="00061EFF" w:rsidP="006B066D">
      <w:pPr>
        <w:pStyle w:val="CBDH2"/>
        <w:jc w:val="left"/>
        <w:rPr>
          <w:rFonts w:asciiTheme="majorBidi" w:hAnsiTheme="majorBidi"/>
        </w:rPr>
      </w:pPr>
      <w:bookmarkStart w:id="13" w:name="_Toc228803309"/>
      <w:r>
        <w:t>F.</w:t>
      </w:r>
      <w:r>
        <w:tab/>
      </w:r>
      <w:r w:rsidR="004E203F" w:rsidRPr="00D2758E">
        <w:t>Stocktaking of the use of model contractual clauses, codes of conduct, guidelines, best practices and standards, as well as the customary laws, community protocols and procedures of indigenous peoples and local communities</w:t>
      </w:r>
      <w:r w:rsidR="004E203F" w:rsidRPr="00D2758E">
        <w:rPr>
          <w:rStyle w:val="FootnoteReference"/>
          <w:rFonts w:hint="eastAsia"/>
        </w:rPr>
        <w:footnoteReference w:id="79"/>
      </w:r>
      <w:bookmarkEnd w:id="13"/>
      <w:r w:rsidR="004E203F" w:rsidRPr="00D2758E">
        <w:rPr>
          <w:rFonts w:asciiTheme="majorBidi" w:hAnsiTheme="majorBidi" w:hint="eastAsia"/>
        </w:rPr>
        <w:t xml:space="preserve"> </w:t>
      </w:r>
    </w:p>
    <w:p w14:paraId="06AAE5DE" w14:textId="6FA1C3FC" w:rsidR="0056552E" w:rsidRPr="00D2758E" w:rsidRDefault="00061EFF" w:rsidP="00061EFF">
      <w:pPr>
        <w:pStyle w:val="CBDH3"/>
      </w:pPr>
      <w:r>
        <w:t>1.</w:t>
      </w:r>
      <w:r>
        <w:tab/>
      </w:r>
      <w:r w:rsidR="0056552E" w:rsidRPr="00D2758E">
        <w:t>Community protocols and procedures of indigenous peoples and local communities</w:t>
      </w:r>
    </w:p>
    <w:p w14:paraId="1A1D16F2" w14:textId="64F0081B" w:rsidR="004469A6" w:rsidRPr="00D2758E" w:rsidRDefault="00061EFF" w:rsidP="00061EFF">
      <w:pPr>
        <w:pStyle w:val="CBDH4"/>
      </w:pPr>
      <w:r>
        <w:t>(a)</w:t>
      </w:r>
      <w:r>
        <w:tab/>
      </w:r>
      <w:r w:rsidR="00D66729" w:rsidRPr="00D2758E">
        <w:t xml:space="preserve">Progress made in implementation and updated </w:t>
      </w:r>
      <w:r w:rsidR="00BE72EB" w:rsidRPr="00D2758E">
        <w:t xml:space="preserve">indicator </w:t>
      </w:r>
      <w:r w:rsidR="00D66729" w:rsidRPr="00D2758E">
        <w:t>data</w:t>
      </w:r>
    </w:p>
    <w:p w14:paraId="31385230" w14:textId="3445BE47" w:rsidR="00801EAD" w:rsidRPr="00D2758E" w:rsidRDefault="005063BA" w:rsidP="00A558F3">
      <w:pPr>
        <w:pStyle w:val="CBDNormalNumber"/>
        <w:rPr>
          <w:rFonts w:asciiTheme="majorBidi" w:hAnsiTheme="majorBidi" w:cstheme="majorBidi"/>
        </w:rPr>
      </w:pPr>
      <w:r w:rsidRPr="00D2758E">
        <w:rPr>
          <w:rFonts w:asciiTheme="majorBidi" w:hAnsiTheme="majorBidi" w:cstheme="majorBidi"/>
        </w:rPr>
        <w:t xml:space="preserve">The indicators </w:t>
      </w:r>
      <w:r w:rsidR="004E203F" w:rsidRPr="00D2758E">
        <w:rPr>
          <w:rFonts w:asciiTheme="majorBidi" w:hAnsiTheme="majorBidi" w:cstheme="majorBidi"/>
        </w:rPr>
        <w:t xml:space="preserve">included in table 13 </w:t>
      </w:r>
      <w:r w:rsidRPr="00D2758E">
        <w:rPr>
          <w:rFonts w:asciiTheme="majorBidi" w:hAnsiTheme="majorBidi" w:cstheme="majorBidi"/>
        </w:rPr>
        <w:t xml:space="preserve">below show </w:t>
      </w:r>
      <w:r w:rsidR="001E46D2" w:rsidRPr="00D2758E">
        <w:rPr>
          <w:rFonts w:asciiTheme="majorBidi" w:hAnsiTheme="majorBidi" w:cstheme="majorBidi"/>
        </w:rPr>
        <w:t xml:space="preserve">a </w:t>
      </w:r>
      <w:r w:rsidRPr="00D2758E">
        <w:rPr>
          <w:rFonts w:asciiTheme="majorBidi" w:hAnsiTheme="majorBidi" w:cstheme="majorBidi"/>
        </w:rPr>
        <w:t xml:space="preserve">significant increase in the number of community protocols </w:t>
      </w:r>
      <w:r w:rsidR="008917F3" w:rsidRPr="00D2758E">
        <w:rPr>
          <w:rFonts w:asciiTheme="majorBidi" w:hAnsiTheme="majorBidi" w:cstheme="majorBidi"/>
        </w:rPr>
        <w:t>(from 3 to 48)</w:t>
      </w:r>
      <w:r w:rsidR="009E56DF">
        <w:rPr>
          <w:rFonts w:asciiTheme="majorBidi" w:hAnsiTheme="majorBidi" w:cstheme="majorBidi"/>
        </w:rPr>
        <w:t xml:space="preserve"> </w:t>
      </w:r>
      <w:r w:rsidRPr="00D2758E">
        <w:t>published</w:t>
      </w:r>
      <w:r w:rsidRPr="00D2758E">
        <w:rPr>
          <w:rFonts w:asciiTheme="majorBidi" w:hAnsiTheme="majorBidi" w:cstheme="majorBidi"/>
        </w:rPr>
        <w:t xml:space="preserve"> </w:t>
      </w:r>
      <w:r w:rsidR="008917F3">
        <w:rPr>
          <w:rFonts w:asciiTheme="majorBidi" w:hAnsiTheme="majorBidi" w:cstheme="majorBidi"/>
        </w:rPr>
        <w:t>o</w:t>
      </w:r>
      <w:r w:rsidRPr="00D2758E">
        <w:rPr>
          <w:rFonts w:asciiTheme="majorBidi" w:hAnsiTheme="majorBidi" w:cstheme="majorBidi"/>
        </w:rPr>
        <w:t xml:space="preserve">n the </w:t>
      </w:r>
      <w:proofErr w:type="gramStart"/>
      <w:r w:rsidRPr="00D2758E">
        <w:rPr>
          <w:rFonts w:asciiTheme="majorBidi" w:hAnsiTheme="majorBidi" w:cstheme="majorBidi"/>
        </w:rPr>
        <w:t>Clearing-House</w:t>
      </w:r>
      <w:proofErr w:type="gramEnd"/>
      <w:r w:rsidRPr="00D2758E">
        <w:rPr>
          <w:rFonts w:asciiTheme="majorBidi" w:hAnsiTheme="majorBidi" w:cstheme="majorBidi"/>
        </w:rPr>
        <w:t xml:space="preserve"> since the last assessment and review</w:t>
      </w:r>
      <w:r w:rsidR="008917F3">
        <w:rPr>
          <w:rFonts w:asciiTheme="majorBidi" w:hAnsiTheme="majorBidi" w:cstheme="majorBidi"/>
        </w:rPr>
        <w:t>,</w:t>
      </w:r>
      <w:r w:rsidRPr="00D2758E">
        <w:rPr>
          <w:rFonts w:asciiTheme="majorBidi" w:hAnsiTheme="majorBidi" w:cstheme="majorBidi"/>
        </w:rPr>
        <w:t xml:space="preserve"> in 2018. </w:t>
      </w:r>
      <w:r w:rsidR="00101253" w:rsidRPr="00D2758E">
        <w:rPr>
          <w:rFonts w:asciiTheme="majorBidi" w:hAnsiTheme="majorBidi" w:cstheme="majorBidi"/>
        </w:rPr>
        <w:t>the</w:t>
      </w:r>
      <w:r w:rsidR="008751C6">
        <w:rPr>
          <w:rFonts w:asciiTheme="majorBidi" w:hAnsiTheme="majorBidi" w:cstheme="majorBidi"/>
        </w:rPr>
        <w:t>y</w:t>
      </w:r>
      <w:r w:rsidR="00101253" w:rsidRPr="00D2758E">
        <w:rPr>
          <w:rFonts w:asciiTheme="majorBidi" w:hAnsiTheme="majorBidi" w:cstheme="majorBidi"/>
        </w:rPr>
        <w:t xml:space="preserve"> were developed</w:t>
      </w:r>
      <w:r w:rsidR="00535193">
        <w:rPr>
          <w:rFonts w:asciiTheme="majorBidi" w:hAnsiTheme="majorBidi" w:cstheme="majorBidi"/>
        </w:rPr>
        <w:t>, h</w:t>
      </w:r>
      <w:r w:rsidR="00535193" w:rsidRPr="00D2758E">
        <w:rPr>
          <w:rFonts w:asciiTheme="majorBidi" w:hAnsiTheme="majorBidi" w:cstheme="majorBidi"/>
        </w:rPr>
        <w:t xml:space="preserve">owever, </w:t>
      </w:r>
      <w:r w:rsidR="00101253" w:rsidRPr="00D2758E">
        <w:rPr>
          <w:rFonts w:asciiTheme="majorBidi" w:hAnsiTheme="majorBidi" w:cstheme="majorBidi"/>
        </w:rPr>
        <w:t xml:space="preserve">in </w:t>
      </w:r>
      <w:r w:rsidR="008751C6">
        <w:rPr>
          <w:rFonts w:asciiTheme="majorBidi" w:hAnsiTheme="majorBidi" w:cstheme="majorBidi"/>
        </w:rPr>
        <w:t xml:space="preserve">a </w:t>
      </w:r>
      <w:r w:rsidR="00101253" w:rsidRPr="00D2758E">
        <w:rPr>
          <w:rFonts w:asciiTheme="majorBidi" w:hAnsiTheme="majorBidi" w:cstheme="majorBidi"/>
        </w:rPr>
        <w:t>relative</w:t>
      </w:r>
      <w:r w:rsidR="00535193">
        <w:rPr>
          <w:rFonts w:asciiTheme="majorBidi" w:hAnsiTheme="majorBidi" w:cstheme="majorBidi"/>
        </w:rPr>
        <w:t>ly</w:t>
      </w:r>
      <w:r w:rsidR="00101253" w:rsidRPr="00D2758E">
        <w:rPr>
          <w:rFonts w:asciiTheme="majorBidi" w:hAnsiTheme="majorBidi" w:cstheme="majorBidi"/>
        </w:rPr>
        <w:t xml:space="preserve"> </w:t>
      </w:r>
      <w:r w:rsidR="008751C6">
        <w:rPr>
          <w:rFonts w:asciiTheme="majorBidi" w:hAnsiTheme="majorBidi" w:cstheme="majorBidi"/>
        </w:rPr>
        <w:t>small</w:t>
      </w:r>
      <w:r w:rsidR="00101253" w:rsidRPr="00D2758E">
        <w:rPr>
          <w:rFonts w:asciiTheme="majorBidi" w:hAnsiTheme="majorBidi" w:cstheme="majorBidi"/>
        </w:rPr>
        <w:t xml:space="preserve"> number of countries (14) and in the context </w:t>
      </w:r>
      <w:r w:rsidR="009E56DF" w:rsidRPr="00D2758E">
        <w:rPr>
          <w:rFonts w:asciiTheme="majorBidi" w:hAnsiTheme="majorBidi" w:cstheme="majorBidi"/>
        </w:rPr>
        <w:t xml:space="preserve">mostly </w:t>
      </w:r>
      <w:r w:rsidR="00101253" w:rsidRPr="00D2758E">
        <w:rPr>
          <w:rFonts w:asciiTheme="majorBidi" w:hAnsiTheme="majorBidi" w:cstheme="majorBidi"/>
        </w:rPr>
        <w:t>of cooperation or capacity-building projects.</w:t>
      </w:r>
      <w:r w:rsidR="00FD7D0D" w:rsidRPr="00D2758E">
        <w:rPr>
          <w:rStyle w:val="FootnoteReference"/>
          <w:rFonts w:asciiTheme="majorBidi" w:hAnsiTheme="majorBidi" w:cstheme="majorBidi"/>
        </w:rPr>
        <w:footnoteReference w:id="80"/>
      </w:r>
    </w:p>
    <w:p w14:paraId="6588544A" w14:textId="07EC9CD7" w:rsidR="00916992" w:rsidRPr="00D2758E" w:rsidRDefault="00875DFF" w:rsidP="00A558F3">
      <w:pPr>
        <w:pStyle w:val="CBDNormalNumber"/>
        <w:rPr>
          <w:rFonts w:asciiTheme="majorBidi" w:hAnsiTheme="majorBidi" w:cstheme="majorBidi"/>
        </w:rPr>
      </w:pPr>
      <w:r>
        <w:rPr>
          <w:rFonts w:asciiTheme="majorBidi" w:hAnsiTheme="majorBidi" w:cstheme="majorBidi"/>
        </w:rPr>
        <w:t>Through t</w:t>
      </w:r>
      <w:r w:rsidR="00374544" w:rsidRPr="00D2758E">
        <w:rPr>
          <w:rFonts w:asciiTheme="majorBidi" w:hAnsiTheme="majorBidi" w:cstheme="majorBidi"/>
        </w:rPr>
        <w:t xml:space="preserve">he </w:t>
      </w:r>
      <w:proofErr w:type="gramStart"/>
      <w:r w:rsidR="00374544" w:rsidRPr="00D2758E">
        <w:t>Clearing</w:t>
      </w:r>
      <w:r w:rsidR="00374544" w:rsidRPr="00D2758E">
        <w:rPr>
          <w:rFonts w:asciiTheme="majorBidi" w:hAnsiTheme="majorBidi" w:cstheme="majorBidi"/>
        </w:rPr>
        <w:t>-House</w:t>
      </w:r>
      <w:proofErr w:type="gramEnd"/>
      <w:r>
        <w:rPr>
          <w:rFonts w:asciiTheme="majorBidi" w:hAnsiTheme="majorBidi" w:cstheme="majorBidi"/>
        </w:rPr>
        <w:t>,</w:t>
      </w:r>
      <w:r w:rsidR="00374544" w:rsidRPr="00D2758E">
        <w:rPr>
          <w:rFonts w:asciiTheme="majorBidi" w:hAnsiTheme="majorBidi" w:cstheme="majorBidi"/>
        </w:rPr>
        <w:t xml:space="preserve"> </w:t>
      </w:r>
      <w:r w:rsidR="00535193" w:rsidRPr="00D2758E">
        <w:rPr>
          <w:rFonts w:asciiTheme="majorBidi" w:hAnsiTheme="majorBidi" w:cstheme="majorBidi"/>
        </w:rPr>
        <w:t>countries</w:t>
      </w:r>
      <w:r w:rsidR="00535193">
        <w:rPr>
          <w:rFonts w:asciiTheme="majorBidi" w:hAnsiTheme="majorBidi" w:cstheme="majorBidi"/>
        </w:rPr>
        <w:t xml:space="preserve"> are </w:t>
      </w:r>
      <w:r w:rsidR="009A6BFB">
        <w:rPr>
          <w:rFonts w:asciiTheme="majorBidi" w:hAnsiTheme="majorBidi" w:cstheme="majorBidi"/>
        </w:rPr>
        <w:t>offer</w:t>
      </w:r>
      <w:r w:rsidR="00535193">
        <w:rPr>
          <w:rFonts w:asciiTheme="majorBidi" w:hAnsiTheme="majorBidi" w:cstheme="majorBidi"/>
        </w:rPr>
        <w:t xml:space="preserve">ed </w:t>
      </w:r>
      <w:r w:rsidR="00374544" w:rsidRPr="00D2758E">
        <w:rPr>
          <w:rFonts w:asciiTheme="majorBidi" w:hAnsiTheme="majorBidi" w:cstheme="majorBidi"/>
        </w:rPr>
        <w:t>the possibility of publishing community protocols as national records</w:t>
      </w:r>
      <w:r w:rsidR="006427C7">
        <w:rPr>
          <w:rFonts w:asciiTheme="majorBidi" w:hAnsiTheme="majorBidi" w:cstheme="majorBidi"/>
        </w:rPr>
        <w:t xml:space="preserve"> and</w:t>
      </w:r>
      <w:r w:rsidR="00374544" w:rsidRPr="00D2758E">
        <w:rPr>
          <w:rFonts w:asciiTheme="majorBidi" w:hAnsiTheme="majorBidi" w:cstheme="majorBidi"/>
        </w:rPr>
        <w:t xml:space="preserve"> therefore as part of the</w:t>
      </w:r>
      <w:r w:rsidR="006427C7">
        <w:rPr>
          <w:rFonts w:asciiTheme="majorBidi" w:hAnsiTheme="majorBidi" w:cstheme="majorBidi"/>
        </w:rPr>
        <w:t>ir</w:t>
      </w:r>
      <w:r w:rsidR="00374544" w:rsidRPr="00D2758E">
        <w:rPr>
          <w:rFonts w:asciiTheme="majorBidi" w:hAnsiTheme="majorBidi" w:cstheme="majorBidi"/>
        </w:rPr>
        <w:t xml:space="preserve"> national framework and profile. </w:t>
      </w:r>
      <w:r w:rsidR="00D13431">
        <w:rPr>
          <w:rFonts w:asciiTheme="majorBidi" w:hAnsiTheme="majorBidi" w:cstheme="majorBidi"/>
        </w:rPr>
        <w:t>To</w:t>
      </w:r>
      <w:r w:rsidR="00374544" w:rsidRPr="00D2758E">
        <w:rPr>
          <w:rFonts w:asciiTheme="majorBidi" w:hAnsiTheme="majorBidi" w:cstheme="majorBidi"/>
        </w:rPr>
        <w:t xml:space="preserve"> date, no country has made use of this </w:t>
      </w:r>
      <w:r w:rsidR="00D13431">
        <w:rPr>
          <w:rFonts w:asciiTheme="majorBidi" w:hAnsiTheme="majorBidi" w:cstheme="majorBidi"/>
        </w:rPr>
        <w:t>option</w:t>
      </w:r>
      <w:r w:rsidR="00374544" w:rsidRPr="00D2758E">
        <w:rPr>
          <w:rFonts w:asciiTheme="majorBidi" w:hAnsiTheme="majorBidi" w:cstheme="majorBidi"/>
        </w:rPr>
        <w:t>.</w:t>
      </w:r>
    </w:p>
    <w:p w14:paraId="5DE5242E" w14:textId="2951D093" w:rsidR="005063BA" w:rsidRPr="00D2758E" w:rsidRDefault="005063BA" w:rsidP="00A558F3">
      <w:pPr>
        <w:pStyle w:val="CBDNormalNumber"/>
        <w:rPr>
          <w:rFonts w:asciiTheme="majorBidi" w:hAnsiTheme="majorBidi" w:cstheme="majorBidi"/>
        </w:rPr>
      </w:pPr>
      <w:r w:rsidRPr="00D2758E">
        <w:rPr>
          <w:rFonts w:asciiTheme="majorBidi" w:hAnsiTheme="majorBidi" w:cstheme="majorBidi"/>
        </w:rPr>
        <w:t xml:space="preserve">Developing and implementing community protocols </w:t>
      </w:r>
      <w:r w:rsidR="00F863AC">
        <w:rPr>
          <w:rFonts w:asciiTheme="majorBidi" w:hAnsiTheme="majorBidi" w:cstheme="majorBidi"/>
        </w:rPr>
        <w:t xml:space="preserve">constitute </w:t>
      </w:r>
      <w:r w:rsidRPr="00D2758E">
        <w:rPr>
          <w:rFonts w:asciiTheme="majorBidi" w:hAnsiTheme="majorBidi" w:cstheme="majorBidi"/>
        </w:rPr>
        <w:t xml:space="preserve">a key element in </w:t>
      </w:r>
      <w:r w:rsidR="00434240">
        <w:rPr>
          <w:rFonts w:asciiTheme="majorBidi" w:hAnsiTheme="majorBidi" w:cstheme="majorBidi"/>
        </w:rPr>
        <w:t xml:space="preserve">putting </w:t>
      </w:r>
      <w:r w:rsidRPr="00D2758E">
        <w:rPr>
          <w:rFonts w:asciiTheme="majorBidi" w:hAnsiTheme="majorBidi" w:cstheme="majorBidi"/>
        </w:rPr>
        <w:t xml:space="preserve">the provisions of the Nagoya Protocol </w:t>
      </w:r>
      <w:r w:rsidRPr="00D2758E">
        <w:t>related</w:t>
      </w:r>
      <w:r w:rsidRPr="00D2758E">
        <w:rPr>
          <w:rFonts w:asciiTheme="majorBidi" w:hAnsiTheme="majorBidi" w:cstheme="majorBidi"/>
        </w:rPr>
        <w:t xml:space="preserve"> to </w:t>
      </w:r>
      <w:r w:rsidR="004E203F" w:rsidRPr="00D2758E">
        <w:rPr>
          <w:rFonts w:asciiTheme="majorBidi" w:hAnsiTheme="majorBidi" w:cstheme="majorBidi"/>
        </w:rPr>
        <w:t xml:space="preserve">indigenous peoples and local communities </w:t>
      </w:r>
      <w:r w:rsidRPr="00D2758E">
        <w:rPr>
          <w:rFonts w:asciiTheme="majorBidi" w:hAnsiTheme="majorBidi" w:cstheme="majorBidi"/>
        </w:rPr>
        <w:t>into practice in a participatory and context</w:t>
      </w:r>
      <w:r w:rsidR="00C23BAD">
        <w:rPr>
          <w:rFonts w:asciiTheme="majorBidi" w:hAnsiTheme="majorBidi" w:cstheme="majorBidi"/>
        </w:rPr>
        <w:t>-</w:t>
      </w:r>
      <w:r w:rsidRPr="00D2758E">
        <w:rPr>
          <w:rFonts w:asciiTheme="majorBidi" w:hAnsiTheme="majorBidi" w:cstheme="majorBidi"/>
        </w:rPr>
        <w:t xml:space="preserve">specific manner. For </w:t>
      </w:r>
      <w:r w:rsidR="004E203F" w:rsidRPr="00D2758E">
        <w:rPr>
          <w:rFonts w:asciiTheme="majorBidi" w:hAnsiTheme="majorBidi" w:cstheme="majorBidi"/>
        </w:rPr>
        <w:t xml:space="preserve">indigenous peoples and local communities </w:t>
      </w:r>
      <w:r w:rsidRPr="00D2758E">
        <w:rPr>
          <w:rFonts w:asciiTheme="majorBidi" w:hAnsiTheme="majorBidi" w:cstheme="majorBidi"/>
        </w:rPr>
        <w:t xml:space="preserve">seeking to engage in </w:t>
      </w:r>
      <w:r w:rsidR="00FA3DB5">
        <w:rPr>
          <w:rFonts w:asciiTheme="majorBidi" w:hAnsiTheme="majorBidi" w:cstheme="majorBidi"/>
        </w:rPr>
        <w:t xml:space="preserve">access and benefit-sharing </w:t>
      </w:r>
      <w:r w:rsidRPr="00D2758E">
        <w:rPr>
          <w:rFonts w:asciiTheme="majorBidi" w:hAnsiTheme="majorBidi" w:cstheme="majorBidi"/>
        </w:rPr>
        <w:t xml:space="preserve">processes, the development of community protocols is often a critical first step, as </w:t>
      </w:r>
      <w:r w:rsidR="000C5364">
        <w:rPr>
          <w:rFonts w:asciiTheme="majorBidi" w:hAnsiTheme="majorBidi" w:cstheme="majorBidi"/>
        </w:rPr>
        <w:t>this</w:t>
      </w:r>
      <w:r w:rsidRPr="00D2758E">
        <w:rPr>
          <w:rFonts w:asciiTheme="majorBidi" w:hAnsiTheme="majorBidi" w:cstheme="majorBidi"/>
        </w:rPr>
        <w:t xml:space="preserve"> enables</w:t>
      </w:r>
      <w:r w:rsidRPr="00D2758E" w:rsidDel="00F409B2">
        <w:rPr>
          <w:rFonts w:asciiTheme="majorBidi" w:hAnsiTheme="majorBidi" w:cstheme="majorBidi"/>
        </w:rPr>
        <w:t xml:space="preserve"> </w:t>
      </w:r>
      <w:r w:rsidRPr="00D2758E">
        <w:rPr>
          <w:rFonts w:asciiTheme="majorBidi" w:hAnsiTheme="majorBidi" w:cstheme="majorBidi"/>
        </w:rPr>
        <w:t>communities to articulate their values, customary practices and aspirations and communicate th</w:t>
      </w:r>
      <w:r w:rsidR="00B42ADA">
        <w:rPr>
          <w:rFonts w:asciiTheme="majorBidi" w:hAnsiTheme="majorBidi" w:cstheme="majorBidi"/>
        </w:rPr>
        <w:t>o</w:t>
      </w:r>
      <w:r w:rsidRPr="00D2758E">
        <w:rPr>
          <w:rFonts w:asciiTheme="majorBidi" w:hAnsiTheme="majorBidi" w:cstheme="majorBidi"/>
        </w:rPr>
        <w:t xml:space="preserve">se </w:t>
      </w:r>
      <w:r w:rsidR="00B42ADA">
        <w:rPr>
          <w:rFonts w:asciiTheme="majorBidi" w:hAnsiTheme="majorBidi" w:cstheme="majorBidi"/>
        </w:rPr>
        <w:t xml:space="preserve">values, practices and aspirations </w:t>
      </w:r>
      <w:r w:rsidRPr="00D2758E">
        <w:rPr>
          <w:rFonts w:asciiTheme="majorBidi" w:hAnsiTheme="majorBidi" w:cstheme="majorBidi"/>
        </w:rPr>
        <w:t>effectively to users and government authorities.</w:t>
      </w:r>
    </w:p>
    <w:p w14:paraId="3AA9E0A3" w14:textId="0C1C0266" w:rsidR="005063BA" w:rsidRPr="00D2758E" w:rsidRDefault="005063BA" w:rsidP="00A558F3">
      <w:pPr>
        <w:pStyle w:val="CBDNormalNumber"/>
        <w:rPr>
          <w:rFonts w:asciiTheme="majorBidi" w:hAnsiTheme="majorBidi" w:cstheme="majorBidi"/>
        </w:rPr>
      </w:pPr>
      <w:r w:rsidRPr="00D2758E">
        <w:rPr>
          <w:rFonts w:asciiTheme="majorBidi" w:hAnsiTheme="majorBidi" w:cstheme="majorBidi"/>
        </w:rPr>
        <w:t xml:space="preserve">Community protocols can support </w:t>
      </w:r>
      <w:r w:rsidR="0014435C">
        <w:rPr>
          <w:rFonts w:asciiTheme="majorBidi" w:hAnsiTheme="majorBidi" w:cstheme="majorBidi"/>
        </w:rPr>
        <w:t>G</w:t>
      </w:r>
      <w:r w:rsidRPr="00D2758E">
        <w:rPr>
          <w:rFonts w:asciiTheme="majorBidi" w:hAnsiTheme="majorBidi" w:cstheme="majorBidi"/>
        </w:rPr>
        <w:t xml:space="preserve">overnments in implementing the provisions of the Protocol </w:t>
      </w:r>
      <w:r w:rsidR="004E203F" w:rsidRPr="00D2758E">
        <w:rPr>
          <w:rFonts w:asciiTheme="majorBidi" w:hAnsiTheme="majorBidi" w:cstheme="majorBidi"/>
        </w:rPr>
        <w:t xml:space="preserve">related to indigenous peoples and local communities </w:t>
      </w:r>
      <w:r w:rsidRPr="00D2758E">
        <w:rPr>
          <w:rFonts w:asciiTheme="majorBidi" w:hAnsiTheme="majorBidi" w:cstheme="majorBidi"/>
        </w:rPr>
        <w:t xml:space="preserve">and provide greater clarity and legal certainty for potential users regarding the conditions under which access to genetic resources and/or associated traditional knowledge held by </w:t>
      </w:r>
      <w:r w:rsidR="004E203F" w:rsidRPr="00D2758E">
        <w:rPr>
          <w:rFonts w:asciiTheme="majorBidi" w:hAnsiTheme="majorBidi" w:cstheme="majorBidi"/>
        </w:rPr>
        <w:t xml:space="preserve">indigenous peoples and local communities </w:t>
      </w:r>
      <w:r w:rsidRPr="00D2758E">
        <w:rPr>
          <w:rFonts w:asciiTheme="majorBidi" w:hAnsiTheme="majorBidi" w:cstheme="majorBidi"/>
        </w:rPr>
        <w:t xml:space="preserve">may be granted. </w:t>
      </w:r>
    </w:p>
    <w:p w14:paraId="77228FF3" w14:textId="2994AF90" w:rsidR="005063BA" w:rsidRPr="00D2758E" w:rsidRDefault="005063BA" w:rsidP="00755898">
      <w:pPr>
        <w:pStyle w:val="CBDTableTitle"/>
      </w:pPr>
      <w:r w:rsidRPr="00755898">
        <w:rPr>
          <w:b w:val="0"/>
          <w:bCs/>
        </w:rPr>
        <w:t>Table 13</w:t>
      </w:r>
      <w:r w:rsidRPr="0038691C">
        <w:rPr>
          <w:b w:val="0"/>
          <w:bCs/>
        </w:rPr>
        <w:t xml:space="preserve"> </w:t>
      </w:r>
      <w:r w:rsidR="00755898">
        <w:br/>
      </w:r>
      <w:r w:rsidRPr="00D2758E">
        <w:t>Indicators to measure progress on community protocols</w:t>
      </w:r>
    </w:p>
    <w:tbl>
      <w:tblPr>
        <w:tblW w:w="9144" w:type="dxa"/>
        <w:tblInd w:w="56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803"/>
        <w:gridCol w:w="1829"/>
        <w:gridCol w:w="1512"/>
      </w:tblGrid>
      <w:tr w:rsidR="005063BA" w:rsidRPr="00106138" w14:paraId="468D6ECB" w14:textId="77777777" w:rsidTr="006B066D">
        <w:trPr>
          <w:cantSplit/>
        </w:trPr>
        <w:tc>
          <w:tcPr>
            <w:tcW w:w="5803" w:type="dxa"/>
            <w:tcBorders>
              <w:top w:val="single" w:sz="4" w:space="0" w:color="auto"/>
              <w:left w:val="single" w:sz="4" w:space="0" w:color="auto"/>
              <w:bottom w:val="single" w:sz="4" w:space="0" w:color="auto"/>
              <w:right w:val="single" w:sz="4" w:space="0" w:color="auto"/>
            </w:tcBorders>
            <w:tcMar>
              <w:top w:w="29" w:type="dxa"/>
              <w:left w:w="115" w:type="dxa"/>
              <w:bottom w:w="29" w:type="dxa"/>
              <w:right w:w="115" w:type="dxa"/>
            </w:tcMar>
            <w:vAlign w:val="bottom"/>
            <w:hideMark/>
          </w:tcPr>
          <w:p w14:paraId="03F9450F" w14:textId="77777777" w:rsidR="005063BA" w:rsidRPr="006B066D" w:rsidRDefault="005063BA" w:rsidP="006B066D">
            <w:pPr>
              <w:suppressLineNumbers/>
              <w:suppressAutoHyphens/>
              <w:kinsoku w:val="0"/>
              <w:overflowPunct w:val="0"/>
              <w:autoSpaceDE w:val="0"/>
              <w:autoSpaceDN w:val="0"/>
              <w:adjustRightInd w:val="0"/>
              <w:snapToGrid w:val="0"/>
              <w:ind w:left="314" w:hanging="360"/>
              <w:jc w:val="left"/>
              <w:rPr>
                <w:rFonts w:asciiTheme="majorBidi" w:hAnsiTheme="majorBidi" w:cstheme="majorBidi"/>
                <w:i/>
                <w:iCs/>
                <w:kern w:val="22"/>
                <w:sz w:val="20"/>
                <w:szCs w:val="20"/>
              </w:rPr>
            </w:pPr>
            <w:r w:rsidRPr="006B066D">
              <w:rPr>
                <w:rFonts w:asciiTheme="majorBidi" w:hAnsiTheme="majorBidi" w:cstheme="majorBidi"/>
                <w:i/>
                <w:iCs/>
                <w:kern w:val="22"/>
                <w:sz w:val="20"/>
                <w:szCs w:val="20"/>
              </w:rPr>
              <w:t>Framework of indicators</w:t>
            </w:r>
          </w:p>
        </w:tc>
        <w:tc>
          <w:tcPr>
            <w:tcW w:w="1829" w:type="dxa"/>
            <w:tcBorders>
              <w:top w:val="single" w:sz="4" w:space="0" w:color="auto"/>
              <w:left w:val="single" w:sz="4" w:space="0" w:color="auto"/>
              <w:bottom w:val="single" w:sz="4" w:space="0" w:color="auto"/>
              <w:right w:val="single" w:sz="4" w:space="0" w:color="auto"/>
            </w:tcBorders>
            <w:tcMar>
              <w:top w:w="29" w:type="dxa"/>
              <w:left w:w="115" w:type="dxa"/>
              <w:bottom w:w="29" w:type="dxa"/>
              <w:right w:w="115" w:type="dxa"/>
            </w:tcMar>
            <w:vAlign w:val="bottom"/>
            <w:hideMark/>
          </w:tcPr>
          <w:p w14:paraId="0CDAF398" w14:textId="481FFD1B" w:rsidR="005063BA" w:rsidRPr="006B066D" w:rsidRDefault="005063BA" w:rsidP="006B066D">
            <w:pPr>
              <w:suppressLineNumbers/>
              <w:suppressAutoHyphens/>
              <w:kinsoku w:val="0"/>
              <w:overflowPunct w:val="0"/>
              <w:autoSpaceDE w:val="0"/>
              <w:autoSpaceDN w:val="0"/>
              <w:adjustRightInd w:val="0"/>
              <w:snapToGrid w:val="0"/>
              <w:jc w:val="right"/>
              <w:rPr>
                <w:rFonts w:asciiTheme="majorBidi" w:hAnsiTheme="majorBidi" w:cstheme="majorBidi"/>
                <w:i/>
                <w:iCs/>
                <w:kern w:val="22"/>
                <w:sz w:val="20"/>
                <w:szCs w:val="20"/>
              </w:rPr>
            </w:pPr>
            <w:r w:rsidRPr="006B066D">
              <w:rPr>
                <w:rFonts w:asciiTheme="majorBidi" w:hAnsiTheme="majorBidi" w:cstheme="majorBidi"/>
                <w:i/>
                <w:iCs/>
                <w:kern w:val="22"/>
                <w:sz w:val="20"/>
                <w:szCs w:val="20"/>
              </w:rPr>
              <w:t xml:space="preserve">Reference point </w:t>
            </w:r>
            <w:r w:rsidR="00106138">
              <w:rPr>
                <w:rFonts w:asciiTheme="majorBidi" w:hAnsiTheme="majorBidi" w:cstheme="majorBidi"/>
                <w:i/>
                <w:iCs/>
                <w:kern w:val="22"/>
                <w:sz w:val="20"/>
                <w:szCs w:val="20"/>
              </w:rPr>
              <w:br/>
            </w:r>
            <w:r w:rsidRPr="006B066D">
              <w:rPr>
                <w:rFonts w:asciiTheme="majorBidi" w:hAnsiTheme="majorBidi" w:cstheme="majorBidi"/>
                <w:i/>
                <w:iCs/>
                <w:kern w:val="22"/>
                <w:sz w:val="20"/>
                <w:szCs w:val="20"/>
              </w:rPr>
              <w:t xml:space="preserve">(as </w:t>
            </w:r>
            <w:r w:rsidR="00106138">
              <w:rPr>
                <w:rFonts w:asciiTheme="majorBidi" w:hAnsiTheme="majorBidi" w:cstheme="majorBidi"/>
                <w:i/>
                <w:iCs/>
                <w:kern w:val="22"/>
                <w:sz w:val="20"/>
                <w:szCs w:val="20"/>
              </w:rPr>
              <w:t>at</w:t>
            </w:r>
            <w:r w:rsidR="00106138" w:rsidRPr="006B066D">
              <w:rPr>
                <w:rFonts w:asciiTheme="majorBidi" w:hAnsiTheme="majorBidi" w:cstheme="majorBidi"/>
                <w:i/>
                <w:iCs/>
                <w:kern w:val="22"/>
                <w:sz w:val="20"/>
                <w:szCs w:val="20"/>
              </w:rPr>
              <w:t xml:space="preserve"> </w:t>
            </w:r>
            <w:r w:rsidRPr="006B066D">
              <w:rPr>
                <w:rFonts w:asciiTheme="majorBidi" w:hAnsiTheme="majorBidi" w:cstheme="majorBidi"/>
                <w:i/>
                <w:iCs/>
                <w:kern w:val="22"/>
                <w:sz w:val="20"/>
                <w:szCs w:val="20"/>
              </w:rPr>
              <w:t>22 February 2018)</w:t>
            </w:r>
          </w:p>
        </w:tc>
        <w:tc>
          <w:tcPr>
            <w:tcW w:w="1512" w:type="dxa"/>
            <w:tcBorders>
              <w:top w:val="single" w:sz="4" w:space="0" w:color="auto"/>
              <w:left w:val="single" w:sz="4" w:space="0" w:color="auto"/>
              <w:bottom w:val="single" w:sz="4" w:space="0" w:color="auto"/>
              <w:right w:val="single" w:sz="4" w:space="0" w:color="auto"/>
            </w:tcBorders>
            <w:vAlign w:val="bottom"/>
          </w:tcPr>
          <w:p w14:paraId="46BFC8F6" w14:textId="3EFC28B7" w:rsidR="005063BA" w:rsidRPr="006B066D" w:rsidRDefault="000869AC" w:rsidP="006B066D">
            <w:pPr>
              <w:suppressLineNumbers/>
              <w:suppressAutoHyphens/>
              <w:kinsoku w:val="0"/>
              <w:overflowPunct w:val="0"/>
              <w:autoSpaceDE w:val="0"/>
              <w:autoSpaceDN w:val="0"/>
              <w:adjustRightInd w:val="0"/>
              <w:snapToGrid w:val="0"/>
              <w:jc w:val="right"/>
              <w:rPr>
                <w:rFonts w:asciiTheme="majorBidi" w:hAnsiTheme="majorBidi" w:cstheme="majorBidi"/>
                <w:i/>
                <w:iCs/>
                <w:kern w:val="22"/>
                <w:sz w:val="20"/>
                <w:szCs w:val="20"/>
              </w:rPr>
            </w:pPr>
            <w:r>
              <w:rPr>
                <w:rFonts w:asciiTheme="majorBidi" w:hAnsiTheme="majorBidi" w:cstheme="majorBidi"/>
                <w:i/>
                <w:iCs/>
                <w:kern w:val="22"/>
                <w:sz w:val="20"/>
                <w:szCs w:val="20"/>
              </w:rPr>
              <w:t xml:space="preserve">Progress as at </w:t>
            </w:r>
            <w:r w:rsidR="005063BA" w:rsidRPr="006B066D">
              <w:rPr>
                <w:rFonts w:asciiTheme="majorBidi" w:hAnsiTheme="majorBidi" w:cstheme="majorBidi"/>
                <w:i/>
                <w:iCs/>
                <w:kern w:val="22"/>
                <w:sz w:val="20"/>
                <w:szCs w:val="20"/>
              </w:rPr>
              <w:t>9 March 2026</w:t>
            </w:r>
          </w:p>
        </w:tc>
      </w:tr>
      <w:tr w:rsidR="005063BA" w:rsidRPr="00D2758E" w14:paraId="76DC58B7" w14:textId="77777777" w:rsidTr="006B066D">
        <w:trPr>
          <w:cantSplit/>
        </w:trPr>
        <w:tc>
          <w:tcPr>
            <w:tcW w:w="5803" w:type="dxa"/>
            <w:tcBorders>
              <w:top w:val="single" w:sz="4" w:space="0" w:color="auto"/>
              <w:left w:val="single" w:sz="4" w:space="0" w:color="auto"/>
              <w:bottom w:val="single" w:sz="4" w:space="0" w:color="auto"/>
              <w:right w:val="single" w:sz="4" w:space="0" w:color="auto"/>
            </w:tcBorders>
            <w:tcMar>
              <w:top w:w="29" w:type="dxa"/>
              <w:left w:w="115" w:type="dxa"/>
              <w:bottom w:w="29" w:type="dxa"/>
              <w:right w:w="115" w:type="dxa"/>
            </w:tcMar>
            <w:hideMark/>
          </w:tcPr>
          <w:p w14:paraId="3AE02B07" w14:textId="77777777" w:rsidR="005063BA" w:rsidRPr="00D2758E" w:rsidRDefault="005063BA" w:rsidP="006B066D">
            <w:pPr>
              <w:suppressLineNumbers/>
              <w:suppressAutoHyphens/>
              <w:kinsoku w:val="0"/>
              <w:overflowPunct w:val="0"/>
              <w:autoSpaceDE w:val="0"/>
              <w:autoSpaceDN w:val="0"/>
              <w:adjustRightInd w:val="0"/>
              <w:snapToGrid w:val="0"/>
              <w:ind w:left="22"/>
              <w:jc w:val="left"/>
              <w:rPr>
                <w:rFonts w:asciiTheme="majorBidi" w:hAnsiTheme="majorBidi" w:cstheme="majorBidi"/>
                <w:kern w:val="22"/>
                <w:sz w:val="20"/>
                <w:szCs w:val="20"/>
              </w:rPr>
            </w:pPr>
            <w:r w:rsidRPr="00D2758E">
              <w:rPr>
                <w:rFonts w:asciiTheme="majorBidi" w:eastAsia="Malgun Gothic" w:hAnsiTheme="majorBidi" w:cstheme="majorBidi"/>
                <w:kern w:val="22"/>
                <w:sz w:val="20"/>
                <w:szCs w:val="20"/>
              </w:rPr>
              <w:t xml:space="preserve">Number </w:t>
            </w:r>
            <w:r w:rsidRPr="00D2758E">
              <w:rPr>
                <w:rFonts w:asciiTheme="majorBidi" w:hAnsiTheme="majorBidi" w:cstheme="majorBidi"/>
                <w:kern w:val="22"/>
                <w:sz w:val="20"/>
                <w:szCs w:val="20"/>
              </w:rPr>
              <w:t xml:space="preserve">of indigenous peoples and local communities’ community protocols and procedures </w:t>
            </w:r>
            <w:r w:rsidRPr="00D2758E">
              <w:rPr>
                <w:rFonts w:asciiTheme="majorBidi" w:eastAsia="Malgun Gothic" w:hAnsiTheme="majorBidi" w:cstheme="majorBidi"/>
                <w:kern w:val="22"/>
                <w:sz w:val="20"/>
                <w:szCs w:val="20"/>
              </w:rPr>
              <w:t>developed</w:t>
            </w:r>
          </w:p>
        </w:tc>
        <w:tc>
          <w:tcPr>
            <w:tcW w:w="1829" w:type="dxa"/>
            <w:tcBorders>
              <w:top w:val="single" w:sz="4" w:space="0" w:color="auto"/>
              <w:left w:val="single" w:sz="4" w:space="0" w:color="auto"/>
              <w:bottom w:val="single" w:sz="4" w:space="0" w:color="auto"/>
              <w:right w:val="single" w:sz="4" w:space="0" w:color="auto"/>
            </w:tcBorders>
            <w:tcMar>
              <w:top w:w="29" w:type="dxa"/>
              <w:left w:w="115" w:type="dxa"/>
              <w:bottom w:w="29" w:type="dxa"/>
              <w:right w:w="115" w:type="dxa"/>
            </w:tcMar>
            <w:vAlign w:val="bottom"/>
            <w:hideMark/>
          </w:tcPr>
          <w:p w14:paraId="44DF77BF" w14:textId="77777777" w:rsidR="005063BA" w:rsidRPr="00D2758E" w:rsidRDefault="005063BA" w:rsidP="006B066D">
            <w:pPr>
              <w:suppressLineNumbers/>
              <w:suppressAutoHyphens/>
              <w:kinsoku w:val="0"/>
              <w:overflowPunct w:val="0"/>
              <w:autoSpaceDE w:val="0"/>
              <w:autoSpaceDN w:val="0"/>
              <w:adjustRightInd w:val="0"/>
              <w:snapToGrid w:val="0"/>
              <w:jc w:val="right"/>
              <w:rPr>
                <w:rFonts w:asciiTheme="majorBidi" w:hAnsiTheme="majorBidi" w:cstheme="majorBidi"/>
                <w:kern w:val="22"/>
                <w:sz w:val="20"/>
                <w:szCs w:val="20"/>
              </w:rPr>
            </w:pPr>
            <w:r w:rsidRPr="00D2758E">
              <w:rPr>
                <w:rFonts w:asciiTheme="majorBidi" w:hAnsiTheme="majorBidi" w:cstheme="majorBidi"/>
                <w:kern w:val="22"/>
                <w:sz w:val="20"/>
                <w:szCs w:val="20"/>
              </w:rPr>
              <w:t>Not conclusive data</w:t>
            </w:r>
          </w:p>
        </w:tc>
        <w:tc>
          <w:tcPr>
            <w:tcW w:w="1512" w:type="dxa"/>
            <w:tcBorders>
              <w:top w:val="single" w:sz="4" w:space="0" w:color="auto"/>
            </w:tcBorders>
            <w:vAlign w:val="bottom"/>
          </w:tcPr>
          <w:p w14:paraId="4C01A9CF" w14:textId="77777777" w:rsidR="005063BA" w:rsidRPr="00D2758E" w:rsidRDefault="005063BA" w:rsidP="006B066D">
            <w:pPr>
              <w:suppressLineNumbers/>
              <w:suppressAutoHyphens/>
              <w:kinsoku w:val="0"/>
              <w:overflowPunct w:val="0"/>
              <w:autoSpaceDE w:val="0"/>
              <w:autoSpaceDN w:val="0"/>
              <w:adjustRightInd w:val="0"/>
              <w:snapToGrid w:val="0"/>
              <w:jc w:val="right"/>
              <w:rPr>
                <w:rFonts w:asciiTheme="majorBidi" w:hAnsiTheme="majorBidi" w:cstheme="majorBidi"/>
                <w:kern w:val="22"/>
                <w:sz w:val="20"/>
                <w:szCs w:val="20"/>
              </w:rPr>
            </w:pPr>
            <w:r w:rsidRPr="00D2758E">
              <w:rPr>
                <w:rFonts w:asciiTheme="majorBidi" w:hAnsiTheme="majorBidi" w:cstheme="majorBidi"/>
                <w:kern w:val="22"/>
                <w:sz w:val="20"/>
                <w:szCs w:val="20"/>
              </w:rPr>
              <w:t>48</w:t>
            </w:r>
          </w:p>
        </w:tc>
      </w:tr>
      <w:tr w:rsidR="005063BA" w:rsidRPr="00D2758E" w14:paraId="41BFC65B" w14:textId="77777777" w:rsidTr="006B066D">
        <w:trPr>
          <w:cantSplit/>
        </w:trPr>
        <w:tc>
          <w:tcPr>
            <w:tcW w:w="5803" w:type="dxa"/>
            <w:tcBorders>
              <w:top w:val="single" w:sz="4" w:space="0" w:color="auto"/>
              <w:left w:val="single" w:sz="4" w:space="0" w:color="auto"/>
              <w:bottom w:val="single" w:sz="4" w:space="0" w:color="auto"/>
              <w:right w:val="single" w:sz="4" w:space="0" w:color="auto"/>
            </w:tcBorders>
            <w:tcMar>
              <w:top w:w="29" w:type="dxa"/>
              <w:left w:w="115" w:type="dxa"/>
              <w:bottom w:w="29" w:type="dxa"/>
              <w:right w:w="115" w:type="dxa"/>
            </w:tcMar>
            <w:hideMark/>
          </w:tcPr>
          <w:p w14:paraId="7E44619B" w14:textId="1B498992" w:rsidR="005063BA" w:rsidRPr="00D2758E" w:rsidRDefault="005063BA" w:rsidP="006B066D">
            <w:pPr>
              <w:suppressLineNumbers/>
              <w:suppressAutoHyphens/>
              <w:kinsoku w:val="0"/>
              <w:overflowPunct w:val="0"/>
              <w:autoSpaceDE w:val="0"/>
              <w:autoSpaceDN w:val="0"/>
              <w:adjustRightInd w:val="0"/>
              <w:snapToGrid w:val="0"/>
              <w:ind w:left="22"/>
              <w:jc w:val="left"/>
              <w:rPr>
                <w:rFonts w:asciiTheme="majorBidi" w:hAnsiTheme="majorBidi" w:cstheme="majorBidi"/>
                <w:kern w:val="22"/>
                <w:sz w:val="20"/>
                <w:szCs w:val="20"/>
              </w:rPr>
            </w:pPr>
            <w:r w:rsidRPr="00D2758E">
              <w:rPr>
                <w:rFonts w:asciiTheme="majorBidi" w:hAnsiTheme="majorBidi" w:cstheme="majorBidi"/>
                <w:kern w:val="22"/>
                <w:sz w:val="20"/>
                <w:szCs w:val="20"/>
              </w:rPr>
              <w:t xml:space="preserve">Number of indigenous peoples and local communities’ customary laws, community protocols and procedures </w:t>
            </w:r>
            <w:r w:rsidRPr="00D2758E">
              <w:rPr>
                <w:rFonts w:asciiTheme="majorBidi" w:eastAsia="Malgun Gothic" w:hAnsiTheme="majorBidi" w:cstheme="majorBidi"/>
                <w:kern w:val="22"/>
                <w:sz w:val="20"/>
                <w:szCs w:val="20"/>
              </w:rPr>
              <w:t>made available as reference records</w:t>
            </w:r>
            <w:r w:rsidRPr="00D2758E">
              <w:rPr>
                <w:rFonts w:asciiTheme="majorBidi" w:hAnsiTheme="majorBidi" w:cstheme="majorBidi"/>
                <w:kern w:val="22"/>
                <w:sz w:val="20"/>
                <w:szCs w:val="20"/>
              </w:rPr>
              <w:t xml:space="preserve"> in the A</w:t>
            </w:r>
            <w:r w:rsidR="001D4E57">
              <w:rPr>
                <w:rFonts w:asciiTheme="majorBidi" w:hAnsiTheme="majorBidi" w:cstheme="majorBidi"/>
                <w:kern w:val="22"/>
                <w:sz w:val="20"/>
                <w:szCs w:val="20"/>
              </w:rPr>
              <w:t>c</w:t>
            </w:r>
            <w:r w:rsidR="00A234F8">
              <w:rPr>
                <w:rFonts w:asciiTheme="majorBidi" w:hAnsiTheme="majorBidi" w:cstheme="majorBidi"/>
                <w:kern w:val="22"/>
                <w:sz w:val="20"/>
                <w:szCs w:val="20"/>
              </w:rPr>
              <w:t>c</w:t>
            </w:r>
            <w:r w:rsidR="001D4E57">
              <w:rPr>
                <w:rFonts w:asciiTheme="majorBidi" w:hAnsiTheme="majorBidi" w:cstheme="majorBidi"/>
                <w:kern w:val="22"/>
                <w:sz w:val="20"/>
                <w:szCs w:val="20"/>
              </w:rPr>
              <w:t>ess and Benefit-sharing</w:t>
            </w:r>
            <w:r w:rsidRPr="00D2758E">
              <w:rPr>
                <w:rFonts w:asciiTheme="majorBidi" w:hAnsiTheme="majorBidi" w:cstheme="majorBidi"/>
                <w:kern w:val="22"/>
                <w:sz w:val="20"/>
                <w:szCs w:val="20"/>
              </w:rPr>
              <w:t xml:space="preserve"> Clearing-</w:t>
            </w:r>
            <w:proofErr w:type="spellStart"/>
            <w:r w:rsidRPr="00D2758E">
              <w:rPr>
                <w:rFonts w:asciiTheme="majorBidi" w:hAnsiTheme="majorBidi" w:cstheme="majorBidi"/>
                <w:kern w:val="22"/>
                <w:sz w:val="20"/>
                <w:szCs w:val="20"/>
              </w:rPr>
              <w:t>House</w:t>
            </w:r>
            <w:r w:rsidR="001404A0" w:rsidRPr="006B066D">
              <w:rPr>
                <w:rFonts w:asciiTheme="majorBidi" w:hAnsiTheme="majorBidi" w:cstheme="majorBidi"/>
                <w:i/>
                <w:iCs/>
                <w:kern w:val="22"/>
                <w:sz w:val="20"/>
                <w:szCs w:val="20"/>
                <w:vertAlign w:val="superscript"/>
              </w:rPr>
              <w:t>a</w:t>
            </w:r>
            <w:proofErr w:type="spellEnd"/>
          </w:p>
        </w:tc>
        <w:tc>
          <w:tcPr>
            <w:tcW w:w="1829" w:type="dxa"/>
            <w:tcBorders>
              <w:top w:val="single" w:sz="4" w:space="0" w:color="auto"/>
              <w:left w:val="single" w:sz="4" w:space="0" w:color="auto"/>
              <w:bottom w:val="single" w:sz="4" w:space="0" w:color="auto"/>
              <w:right w:val="single" w:sz="4" w:space="0" w:color="auto"/>
            </w:tcBorders>
            <w:tcMar>
              <w:top w:w="29" w:type="dxa"/>
              <w:left w:w="115" w:type="dxa"/>
              <w:bottom w:w="29" w:type="dxa"/>
              <w:right w:w="115" w:type="dxa"/>
            </w:tcMar>
            <w:vAlign w:val="bottom"/>
            <w:hideMark/>
          </w:tcPr>
          <w:p w14:paraId="206184B3" w14:textId="77777777" w:rsidR="005063BA" w:rsidRPr="00D2758E" w:rsidRDefault="005063BA" w:rsidP="006B066D">
            <w:pPr>
              <w:suppressLineNumbers/>
              <w:suppressAutoHyphens/>
              <w:kinsoku w:val="0"/>
              <w:overflowPunct w:val="0"/>
              <w:autoSpaceDE w:val="0"/>
              <w:autoSpaceDN w:val="0"/>
              <w:adjustRightInd w:val="0"/>
              <w:snapToGrid w:val="0"/>
              <w:jc w:val="right"/>
              <w:rPr>
                <w:rFonts w:asciiTheme="majorBidi" w:hAnsiTheme="majorBidi" w:cstheme="majorBidi"/>
                <w:kern w:val="22"/>
                <w:sz w:val="20"/>
                <w:szCs w:val="20"/>
              </w:rPr>
            </w:pPr>
            <w:r w:rsidRPr="00D2758E">
              <w:rPr>
                <w:rFonts w:asciiTheme="majorBidi" w:hAnsiTheme="majorBidi" w:cstheme="majorBidi"/>
                <w:kern w:val="22"/>
                <w:sz w:val="20"/>
                <w:szCs w:val="20"/>
              </w:rPr>
              <w:t>3</w:t>
            </w:r>
          </w:p>
        </w:tc>
        <w:tc>
          <w:tcPr>
            <w:tcW w:w="1512" w:type="dxa"/>
            <w:vAlign w:val="bottom"/>
          </w:tcPr>
          <w:p w14:paraId="582C9793" w14:textId="4B52207F" w:rsidR="005063BA" w:rsidRPr="00D2758E" w:rsidRDefault="005063BA" w:rsidP="006B066D">
            <w:pPr>
              <w:suppressLineNumbers/>
              <w:suppressAutoHyphens/>
              <w:kinsoku w:val="0"/>
              <w:overflowPunct w:val="0"/>
              <w:autoSpaceDE w:val="0"/>
              <w:autoSpaceDN w:val="0"/>
              <w:adjustRightInd w:val="0"/>
              <w:snapToGrid w:val="0"/>
              <w:jc w:val="right"/>
              <w:rPr>
                <w:rFonts w:asciiTheme="majorBidi" w:hAnsiTheme="majorBidi" w:cstheme="majorBidi"/>
                <w:kern w:val="22"/>
                <w:sz w:val="20"/>
                <w:szCs w:val="20"/>
              </w:rPr>
            </w:pPr>
            <w:r w:rsidRPr="00D2758E">
              <w:rPr>
                <w:rFonts w:asciiTheme="majorBidi" w:hAnsiTheme="majorBidi" w:cstheme="majorBidi"/>
                <w:kern w:val="22"/>
                <w:sz w:val="20"/>
                <w:szCs w:val="20"/>
              </w:rPr>
              <w:t>44 (92</w:t>
            </w:r>
            <w:r w:rsidR="006512ED">
              <w:rPr>
                <w:rFonts w:asciiTheme="majorBidi" w:hAnsiTheme="majorBidi" w:cstheme="majorBidi"/>
                <w:kern w:val="22"/>
                <w:sz w:val="20"/>
                <w:szCs w:val="20"/>
              </w:rPr>
              <w:t xml:space="preserve"> per cent</w:t>
            </w:r>
            <w:r w:rsidRPr="00D2758E">
              <w:rPr>
                <w:rFonts w:asciiTheme="majorBidi" w:hAnsiTheme="majorBidi" w:cstheme="majorBidi"/>
                <w:kern w:val="22"/>
                <w:sz w:val="20"/>
                <w:szCs w:val="20"/>
              </w:rPr>
              <w:t>)</w:t>
            </w:r>
          </w:p>
        </w:tc>
      </w:tr>
    </w:tbl>
    <w:p w14:paraId="6D886C4C" w14:textId="0689EFC2" w:rsidR="00D66729" w:rsidRPr="006B066D" w:rsidRDefault="001404A0" w:rsidP="006B066D">
      <w:pPr>
        <w:ind w:left="993" w:hanging="284"/>
        <w:rPr>
          <w:sz w:val="18"/>
          <w:szCs w:val="18"/>
          <w:highlight w:val="yellow"/>
        </w:rPr>
      </w:pPr>
      <w:r w:rsidRPr="006B066D">
        <w:rPr>
          <w:i/>
          <w:iCs/>
          <w:vertAlign w:val="superscript"/>
        </w:rPr>
        <w:t>a</w:t>
      </w:r>
      <w:r>
        <w:tab/>
      </w:r>
      <w:r w:rsidRPr="006B066D">
        <w:rPr>
          <w:sz w:val="18"/>
          <w:szCs w:val="18"/>
        </w:rPr>
        <w:t>The indicator has been modified to clarify that it considers information submitted as reference records in the record category “community protocols and procedures and customary law”.</w:t>
      </w:r>
    </w:p>
    <w:p w14:paraId="25AF7E52" w14:textId="54C4CC5B" w:rsidR="00D66729" w:rsidRPr="00D2758E" w:rsidRDefault="00755898" w:rsidP="00755898">
      <w:pPr>
        <w:pStyle w:val="CBDH4"/>
      </w:pPr>
      <w:r>
        <w:t>(b)</w:t>
      </w:r>
      <w:r>
        <w:tab/>
      </w:r>
      <w:r w:rsidR="00D66729" w:rsidRPr="00D2758E">
        <w:t xml:space="preserve">Challenges, root causes and possible ways to enhance </w:t>
      </w:r>
      <w:r w:rsidR="00FB2295" w:rsidRPr="00D2758E">
        <w:t xml:space="preserve">the use of community protocols </w:t>
      </w:r>
      <w:r w:rsidR="00732E64" w:rsidRPr="00D2758E">
        <w:t>to support</w:t>
      </w:r>
      <w:r w:rsidR="004455FB" w:rsidRPr="00D2758E">
        <w:t xml:space="preserve"> the impl</w:t>
      </w:r>
      <w:r w:rsidR="00D66729" w:rsidRPr="00D2758E">
        <w:t>ementation of the Nagoya Protocol.</w:t>
      </w:r>
    </w:p>
    <w:p w14:paraId="1937179B" w14:textId="07AE347C" w:rsidR="00963035" w:rsidRPr="00D2758E" w:rsidRDefault="00963035" w:rsidP="00A558F3">
      <w:pPr>
        <w:pStyle w:val="CBDNormalNumber"/>
        <w:rPr>
          <w:rFonts w:asciiTheme="majorBidi" w:hAnsiTheme="majorBidi" w:cstheme="majorBidi"/>
        </w:rPr>
      </w:pPr>
      <w:r w:rsidRPr="00D2758E">
        <w:rPr>
          <w:rFonts w:asciiTheme="majorBidi" w:hAnsiTheme="majorBidi" w:cstheme="majorBidi"/>
        </w:rPr>
        <w:t xml:space="preserve">Much of the work </w:t>
      </w:r>
      <w:r w:rsidR="006437F9">
        <w:rPr>
          <w:rFonts w:asciiTheme="majorBidi" w:hAnsiTheme="majorBidi" w:cstheme="majorBidi"/>
        </w:rPr>
        <w:t>undertaken</w:t>
      </w:r>
      <w:r w:rsidR="00D41D51">
        <w:rPr>
          <w:rFonts w:asciiTheme="majorBidi" w:hAnsiTheme="majorBidi" w:cstheme="majorBidi"/>
        </w:rPr>
        <w:t xml:space="preserve"> </w:t>
      </w:r>
      <w:r w:rsidRPr="00D2758E">
        <w:rPr>
          <w:rFonts w:asciiTheme="majorBidi" w:hAnsiTheme="majorBidi" w:cstheme="majorBidi"/>
        </w:rPr>
        <w:t xml:space="preserve">to support the development and implementation of community protocols seems to have been </w:t>
      </w:r>
      <w:r w:rsidR="006437F9">
        <w:rPr>
          <w:rFonts w:asciiTheme="majorBidi" w:hAnsiTheme="majorBidi" w:cstheme="majorBidi"/>
        </w:rPr>
        <w:t>carried out</w:t>
      </w:r>
      <w:r w:rsidRPr="00D2758E">
        <w:rPr>
          <w:rFonts w:asciiTheme="majorBidi" w:hAnsiTheme="majorBidi" w:cstheme="majorBidi"/>
        </w:rPr>
        <w:t xml:space="preserve"> through capacity-building projects and initiatives. For instance, many of </w:t>
      </w:r>
      <w:r w:rsidR="00EF709C" w:rsidRPr="00D2758E">
        <w:rPr>
          <w:rFonts w:asciiTheme="majorBidi" w:hAnsiTheme="majorBidi" w:cstheme="majorBidi"/>
        </w:rPr>
        <w:t xml:space="preserve">those </w:t>
      </w:r>
      <w:r w:rsidRPr="00D2758E">
        <w:rPr>
          <w:rFonts w:asciiTheme="majorBidi" w:hAnsiTheme="majorBidi" w:cstheme="majorBidi"/>
        </w:rPr>
        <w:t xml:space="preserve">currently published </w:t>
      </w:r>
      <w:r w:rsidR="006437F9">
        <w:rPr>
          <w:rFonts w:asciiTheme="majorBidi" w:hAnsiTheme="majorBidi" w:cstheme="majorBidi"/>
        </w:rPr>
        <w:t>o</w:t>
      </w:r>
      <w:r w:rsidRPr="00D2758E">
        <w:rPr>
          <w:rFonts w:asciiTheme="majorBidi" w:hAnsiTheme="majorBidi" w:cstheme="majorBidi"/>
        </w:rPr>
        <w:t xml:space="preserve">n the </w:t>
      </w:r>
      <w:proofErr w:type="gramStart"/>
      <w:r w:rsidRPr="00D2758E">
        <w:rPr>
          <w:rFonts w:asciiTheme="majorBidi" w:hAnsiTheme="majorBidi" w:cstheme="majorBidi"/>
        </w:rPr>
        <w:t>Clearing-House</w:t>
      </w:r>
      <w:proofErr w:type="gramEnd"/>
      <w:r w:rsidRPr="00D2758E">
        <w:rPr>
          <w:rFonts w:asciiTheme="majorBidi" w:hAnsiTheme="majorBidi" w:cstheme="majorBidi"/>
        </w:rPr>
        <w:t xml:space="preserve"> are the </w:t>
      </w:r>
      <w:r w:rsidR="00B90C51">
        <w:rPr>
          <w:rFonts w:asciiTheme="majorBidi" w:hAnsiTheme="majorBidi" w:cstheme="majorBidi"/>
        </w:rPr>
        <w:t>outcomes</w:t>
      </w:r>
      <w:r w:rsidRPr="00D2758E">
        <w:rPr>
          <w:rFonts w:asciiTheme="majorBidi" w:hAnsiTheme="majorBidi" w:cstheme="majorBidi"/>
        </w:rPr>
        <w:t xml:space="preserve"> of different</w:t>
      </w:r>
      <w:r w:rsidR="00EF709C" w:rsidRPr="00D2758E">
        <w:rPr>
          <w:rFonts w:asciiTheme="majorBidi" w:hAnsiTheme="majorBidi" w:cstheme="majorBidi"/>
        </w:rPr>
        <w:t xml:space="preserve"> </w:t>
      </w:r>
      <w:r w:rsidRPr="00D2758E">
        <w:rPr>
          <w:rFonts w:asciiTheme="majorBidi" w:hAnsiTheme="majorBidi" w:cstheme="majorBidi"/>
        </w:rPr>
        <w:t>projects</w:t>
      </w:r>
      <w:r w:rsidR="00EF709C" w:rsidRPr="00D2758E">
        <w:rPr>
          <w:rFonts w:asciiTheme="majorBidi" w:hAnsiTheme="majorBidi" w:cstheme="majorBidi"/>
        </w:rPr>
        <w:t xml:space="preserve"> funded by </w:t>
      </w:r>
      <w:r w:rsidR="00323B43">
        <w:rPr>
          <w:rFonts w:asciiTheme="majorBidi" w:hAnsiTheme="majorBidi" w:cstheme="majorBidi"/>
        </w:rPr>
        <w:t>GEF</w:t>
      </w:r>
      <w:r w:rsidRPr="00D2758E">
        <w:rPr>
          <w:rFonts w:asciiTheme="majorBidi" w:hAnsiTheme="majorBidi" w:cstheme="majorBidi"/>
        </w:rPr>
        <w:t xml:space="preserve">. Without additional resources, Parties and indigenous peoples and local communities do not </w:t>
      </w:r>
      <w:r w:rsidRPr="00D2758E">
        <w:t>generally</w:t>
      </w:r>
      <w:r w:rsidRPr="00D2758E">
        <w:rPr>
          <w:rFonts w:asciiTheme="majorBidi" w:hAnsiTheme="majorBidi" w:cstheme="majorBidi"/>
        </w:rPr>
        <w:t xml:space="preserve"> </w:t>
      </w:r>
      <w:r w:rsidR="004F0722">
        <w:rPr>
          <w:rFonts w:asciiTheme="majorBidi" w:hAnsiTheme="majorBidi" w:cstheme="majorBidi"/>
        </w:rPr>
        <w:t>maintain</w:t>
      </w:r>
      <w:r w:rsidRPr="00D2758E">
        <w:rPr>
          <w:rFonts w:asciiTheme="majorBidi" w:hAnsiTheme="majorBidi" w:cstheme="majorBidi"/>
        </w:rPr>
        <w:t xml:space="preserve"> the capacity to conduct </w:t>
      </w:r>
      <w:r w:rsidR="009B3788">
        <w:rPr>
          <w:rFonts w:asciiTheme="majorBidi" w:hAnsiTheme="majorBidi" w:cstheme="majorBidi"/>
        </w:rPr>
        <w:t>such</w:t>
      </w:r>
      <w:r w:rsidR="004F0722">
        <w:rPr>
          <w:rFonts w:asciiTheme="majorBidi" w:hAnsiTheme="majorBidi" w:cstheme="majorBidi"/>
        </w:rPr>
        <w:t xml:space="preserve"> </w:t>
      </w:r>
      <w:r w:rsidRPr="00D2758E">
        <w:rPr>
          <w:rFonts w:asciiTheme="majorBidi" w:hAnsiTheme="majorBidi" w:cstheme="majorBidi"/>
        </w:rPr>
        <w:t>work.</w:t>
      </w:r>
      <w:r w:rsidR="005771B7" w:rsidRPr="00D2758E">
        <w:rPr>
          <w:rFonts w:asciiTheme="majorBidi" w:hAnsiTheme="majorBidi" w:cstheme="majorBidi"/>
        </w:rPr>
        <w:t xml:space="preserve"> Community protocols are </w:t>
      </w:r>
      <w:r w:rsidR="005771B7" w:rsidRPr="00D2758E">
        <w:rPr>
          <w:rFonts w:asciiTheme="majorBidi" w:hAnsiTheme="majorBidi" w:cstheme="majorBidi"/>
        </w:rPr>
        <w:lastRenderedPageBreak/>
        <w:t xml:space="preserve">being developed and used in a variety of contexts, including but not limited to </w:t>
      </w:r>
      <w:r w:rsidR="008C270F">
        <w:rPr>
          <w:rFonts w:asciiTheme="majorBidi" w:hAnsiTheme="majorBidi" w:cstheme="majorBidi"/>
        </w:rPr>
        <w:t>access and benefit sharing</w:t>
      </w:r>
      <w:r w:rsidR="005771B7" w:rsidRPr="00D2758E">
        <w:rPr>
          <w:rFonts w:asciiTheme="majorBidi" w:hAnsiTheme="majorBidi" w:cstheme="majorBidi"/>
        </w:rPr>
        <w:t xml:space="preserve">. Incorporating </w:t>
      </w:r>
      <w:r w:rsidR="008C270F">
        <w:rPr>
          <w:rFonts w:asciiTheme="majorBidi" w:hAnsiTheme="majorBidi" w:cstheme="majorBidi"/>
        </w:rPr>
        <w:t xml:space="preserve">access and benefit sharing </w:t>
      </w:r>
      <w:r w:rsidR="005771B7" w:rsidRPr="00D2758E">
        <w:rPr>
          <w:rFonts w:asciiTheme="majorBidi" w:hAnsiTheme="majorBidi" w:cstheme="majorBidi"/>
        </w:rPr>
        <w:t xml:space="preserve">elements in existing community protocols dealing with resource or land management or </w:t>
      </w:r>
      <w:proofErr w:type="spellStart"/>
      <w:r w:rsidR="005771B7" w:rsidRPr="00D2758E">
        <w:rPr>
          <w:rFonts w:asciiTheme="majorBidi" w:hAnsiTheme="majorBidi" w:cstheme="majorBidi"/>
        </w:rPr>
        <w:t>biotrade</w:t>
      </w:r>
      <w:proofErr w:type="spellEnd"/>
      <w:r w:rsidR="005771B7" w:rsidRPr="00D2758E">
        <w:rPr>
          <w:rFonts w:asciiTheme="majorBidi" w:hAnsiTheme="majorBidi" w:cstheme="majorBidi"/>
        </w:rPr>
        <w:t xml:space="preserve"> may facilitate the process.</w:t>
      </w:r>
    </w:p>
    <w:p w14:paraId="756EFEF7" w14:textId="29189966" w:rsidR="00390A40" w:rsidRPr="00D2758E" w:rsidRDefault="00390A40" w:rsidP="00A558F3">
      <w:pPr>
        <w:pStyle w:val="CBDNormalNumber"/>
        <w:rPr>
          <w:rFonts w:asciiTheme="majorBidi" w:hAnsiTheme="majorBidi" w:cstheme="majorBidi"/>
        </w:rPr>
      </w:pPr>
      <w:r w:rsidRPr="00D2758E">
        <w:rPr>
          <w:rFonts w:asciiTheme="majorBidi" w:hAnsiTheme="majorBidi" w:cstheme="majorBidi"/>
        </w:rPr>
        <w:t xml:space="preserve">While community protocols have been developed by communities in </w:t>
      </w:r>
      <w:proofErr w:type="gramStart"/>
      <w:r w:rsidRPr="00D2758E">
        <w:rPr>
          <w:rFonts w:asciiTheme="majorBidi" w:hAnsiTheme="majorBidi" w:cstheme="majorBidi"/>
        </w:rPr>
        <w:t>a number of</w:t>
      </w:r>
      <w:proofErr w:type="gramEnd"/>
      <w:r w:rsidRPr="00D2758E">
        <w:rPr>
          <w:rFonts w:asciiTheme="majorBidi" w:hAnsiTheme="majorBidi" w:cstheme="majorBidi"/>
        </w:rPr>
        <w:t xml:space="preserve"> countries</w:t>
      </w:r>
      <w:r w:rsidR="00094D20">
        <w:rPr>
          <w:rFonts w:asciiTheme="majorBidi" w:hAnsiTheme="majorBidi" w:cstheme="majorBidi"/>
        </w:rPr>
        <w:t>,</w:t>
      </w:r>
      <w:r w:rsidRPr="00D2758E">
        <w:rPr>
          <w:rFonts w:asciiTheme="majorBidi" w:hAnsiTheme="majorBidi" w:cstheme="majorBidi"/>
        </w:rPr>
        <w:t xml:space="preserve"> their official recognition by </w:t>
      </w:r>
      <w:r w:rsidR="002B7DCC">
        <w:rPr>
          <w:rFonts w:asciiTheme="majorBidi" w:hAnsiTheme="majorBidi" w:cstheme="majorBidi"/>
        </w:rPr>
        <w:t>access and benefit-sharing n</w:t>
      </w:r>
      <w:r w:rsidRPr="00D2758E">
        <w:rPr>
          <w:rFonts w:asciiTheme="majorBidi" w:hAnsiTheme="majorBidi" w:cstheme="majorBidi"/>
        </w:rPr>
        <w:t xml:space="preserve">ational authorities </w:t>
      </w:r>
      <w:r w:rsidR="00946EA5">
        <w:rPr>
          <w:rFonts w:asciiTheme="majorBidi" w:hAnsiTheme="majorBidi" w:cstheme="majorBidi"/>
        </w:rPr>
        <w:t>is variable</w:t>
      </w:r>
      <w:r w:rsidR="00241AFF">
        <w:rPr>
          <w:rFonts w:asciiTheme="majorBidi" w:hAnsiTheme="majorBidi" w:cstheme="majorBidi"/>
        </w:rPr>
        <w:t xml:space="preserve"> </w:t>
      </w:r>
      <w:r w:rsidRPr="00D2758E">
        <w:rPr>
          <w:rFonts w:asciiTheme="majorBidi" w:hAnsiTheme="majorBidi" w:cstheme="majorBidi"/>
        </w:rPr>
        <w:t xml:space="preserve">from country to </w:t>
      </w:r>
      <w:r w:rsidR="00590D5C">
        <w:rPr>
          <w:rFonts w:asciiTheme="majorBidi" w:hAnsiTheme="majorBidi" w:cstheme="majorBidi"/>
        </w:rPr>
        <w:t>country</w:t>
      </w:r>
      <w:r w:rsidRPr="00D2758E">
        <w:rPr>
          <w:rFonts w:asciiTheme="majorBidi" w:hAnsiTheme="majorBidi" w:cstheme="majorBidi"/>
        </w:rPr>
        <w:t xml:space="preserve">. </w:t>
      </w:r>
      <w:r w:rsidR="00241AFF">
        <w:rPr>
          <w:rFonts w:asciiTheme="majorBidi" w:hAnsiTheme="majorBidi" w:cstheme="majorBidi"/>
        </w:rPr>
        <w:t xml:space="preserve">Moreover, </w:t>
      </w:r>
      <w:r w:rsidRPr="00D2758E">
        <w:rPr>
          <w:rFonts w:asciiTheme="majorBidi" w:hAnsiTheme="majorBidi" w:cstheme="majorBidi"/>
        </w:rPr>
        <w:t xml:space="preserve">while they may be officially </w:t>
      </w:r>
      <w:r w:rsidRPr="00D2758E">
        <w:t>recogni</w:t>
      </w:r>
      <w:r w:rsidR="00521FF0">
        <w:t>z</w:t>
      </w:r>
      <w:r w:rsidRPr="00D2758E">
        <w:t>ed</w:t>
      </w:r>
      <w:r w:rsidRPr="00D2758E">
        <w:rPr>
          <w:rFonts w:asciiTheme="majorBidi" w:hAnsiTheme="majorBidi" w:cstheme="majorBidi"/>
        </w:rPr>
        <w:t xml:space="preserve"> by government, their application may be inconsistent. In other countries, although no national </w:t>
      </w:r>
      <w:r w:rsidR="00B76181">
        <w:rPr>
          <w:rFonts w:asciiTheme="majorBidi" w:hAnsiTheme="majorBidi" w:cstheme="majorBidi"/>
        </w:rPr>
        <w:t xml:space="preserve">access and </w:t>
      </w:r>
      <w:r w:rsidR="009C2A21">
        <w:rPr>
          <w:rFonts w:asciiTheme="majorBidi" w:hAnsiTheme="majorBidi" w:cstheme="majorBidi"/>
        </w:rPr>
        <w:t xml:space="preserve">benefit-sharing </w:t>
      </w:r>
      <w:r w:rsidRPr="00D2758E">
        <w:rPr>
          <w:rFonts w:asciiTheme="majorBidi" w:hAnsiTheme="majorBidi" w:cstheme="majorBidi"/>
        </w:rPr>
        <w:t xml:space="preserve">framework has yet been established, community protocols </w:t>
      </w:r>
      <w:r w:rsidR="009C2A21">
        <w:rPr>
          <w:rFonts w:asciiTheme="majorBidi" w:hAnsiTheme="majorBidi" w:cstheme="majorBidi"/>
        </w:rPr>
        <w:t>that</w:t>
      </w:r>
      <w:r w:rsidR="009C2A21" w:rsidRPr="00D2758E">
        <w:rPr>
          <w:rFonts w:asciiTheme="majorBidi" w:hAnsiTheme="majorBidi" w:cstheme="majorBidi"/>
        </w:rPr>
        <w:t xml:space="preserve"> cover access to genetic resources and associated traditional knowledge </w:t>
      </w:r>
      <w:r w:rsidRPr="00D2758E">
        <w:rPr>
          <w:rFonts w:asciiTheme="majorBidi" w:hAnsiTheme="majorBidi" w:cstheme="majorBidi"/>
        </w:rPr>
        <w:t>have been established by different communities</w:t>
      </w:r>
      <w:r w:rsidR="00963035" w:rsidRPr="00D2758E">
        <w:rPr>
          <w:rFonts w:asciiTheme="majorBidi" w:hAnsiTheme="majorBidi" w:cstheme="majorBidi"/>
        </w:rPr>
        <w:t xml:space="preserve">. </w:t>
      </w:r>
      <w:r w:rsidR="0005270A">
        <w:rPr>
          <w:rFonts w:asciiTheme="majorBidi" w:hAnsiTheme="majorBidi" w:cstheme="majorBidi"/>
        </w:rPr>
        <w:t>The fact that g</w:t>
      </w:r>
      <w:r w:rsidRPr="00D2758E">
        <w:rPr>
          <w:rFonts w:asciiTheme="majorBidi" w:hAnsiTheme="majorBidi" w:cstheme="majorBidi"/>
        </w:rPr>
        <w:t>overnment authorities may not be aware of th</w:t>
      </w:r>
      <w:r w:rsidR="0005270A">
        <w:rPr>
          <w:rFonts w:asciiTheme="majorBidi" w:hAnsiTheme="majorBidi" w:cstheme="majorBidi"/>
        </w:rPr>
        <w:t>o</w:t>
      </w:r>
      <w:r w:rsidRPr="00D2758E">
        <w:rPr>
          <w:rFonts w:asciiTheme="majorBidi" w:hAnsiTheme="majorBidi" w:cstheme="majorBidi"/>
        </w:rPr>
        <w:t>se</w:t>
      </w:r>
      <w:r w:rsidR="0005270A">
        <w:rPr>
          <w:rFonts w:asciiTheme="majorBidi" w:hAnsiTheme="majorBidi" w:cstheme="majorBidi"/>
        </w:rPr>
        <w:t xml:space="preserve"> protocols</w:t>
      </w:r>
      <w:r w:rsidR="00EA1390">
        <w:rPr>
          <w:rFonts w:asciiTheme="majorBidi" w:hAnsiTheme="majorBidi" w:cstheme="majorBidi"/>
        </w:rPr>
        <w:t xml:space="preserve"> can </w:t>
      </w:r>
      <w:r w:rsidR="006E5FB7">
        <w:rPr>
          <w:rFonts w:asciiTheme="majorBidi" w:hAnsiTheme="majorBidi" w:cstheme="majorBidi"/>
        </w:rPr>
        <w:t xml:space="preserve">make </w:t>
      </w:r>
      <w:r w:rsidR="00EA1390">
        <w:rPr>
          <w:rFonts w:asciiTheme="majorBidi" w:hAnsiTheme="majorBidi" w:cstheme="majorBidi"/>
        </w:rPr>
        <w:t xml:space="preserve">the search for </w:t>
      </w:r>
      <w:r w:rsidR="00EA1390" w:rsidRPr="00D2758E">
        <w:rPr>
          <w:rFonts w:asciiTheme="majorBidi" w:hAnsiTheme="majorBidi" w:cstheme="majorBidi"/>
        </w:rPr>
        <w:t>information about them</w:t>
      </w:r>
      <w:r w:rsidR="00063984">
        <w:rPr>
          <w:rFonts w:asciiTheme="majorBidi" w:hAnsiTheme="majorBidi" w:cstheme="majorBidi"/>
        </w:rPr>
        <w:t xml:space="preserve"> </w:t>
      </w:r>
      <w:r w:rsidRPr="00D2758E">
        <w:rPr>
          <w:rFonts w:asciiTheme="majorBidi" w:hAnsiTheme="majorBidi" w:cstheme="majorBidi"/>
        </w:rPr>
        <w:t>a challenge for users.</w:t>
      </w:r>
      <w:r w:rsidR="00963035" w:rsidRPr="00D2758E">
        <w:rPr>
          <w:rFonts w:asciiTheme="majorBidi" w:hAnsiTheme="majorBidi" w:cstheme="majorBidi"/>
        </w:rPr>
        <w:t xml:space="preserve"> </w:t>
      </w:r>
    </w:p>
    <w:p w14:paraId="1488936B" w14:textId="382B3D1E" w:rsidR="00F0420C" w:rsidRPr="00D2758E" w:rsidRDefault="00F0420C" w:rsidP="00A558F3">
      <w:pPr>
        <w:pStyle w:val="CBDNormalNumber"/>
        <w:rPr>
          <w:rFonts w:asciiTheme="majorBidi" w:hAnsiTheme="majorBidi" w:cstheme="majorBidi"/>
        </w:rPr>
      </w:pPr>
      <w:r w:rsidRPr="00D2758E">
        <w:rPr>
          <w:rFonts w:asciiTheme="majorBidi" w:hAnsiTheme="majorBidi" w:cstheme="majorBidi"/>
        </w:rPr>
        <w:t xml:space="preserve">Sharing information on community protocols through the </w:t>
      </w:r>
      <w:proofErr w:type="gramStart"/>
      <w:r w:rsidRPr="00D2758E">
        <w:rPr>
          <w:rFonts w:asciiTheme="majorBidi" w:hAnsiTheme="majorBidi" w:cstheme="majorBidi"/>
        </w:rPr>
        <w:t>Clearing-House</w:t>
      </w:r>
      <w:proofErr w:type="gramEnd"/>
      <w:r w:rsidRPr="00D2758E">
        <w:rPr>
          <w:rFonts w:asciiTheme="majorBidi" w:hAnsiTheme="majorBidi" w:cstheme="majorBidi"/>
        </w:rPr>
        <w:t xml:space="preserve"> helps potential users understand how to access traditional knowledge associated with genetic resources within a community. </w:t>
      </w:r>
      <w:r w:rsidR="00FE2A82">
        <w:rPr>
          <w:rFonts w:asciiTheme="majorBidi" w:hAnsiTheme="majorBidi" w:cstheme="majorBidi"/>
        </w:rPr>
        <w:t xml:space="preserve">Further, </w:t>
      </w:r>
      <w:r w:rsidRPr="00D2758E">
        <w:rPr>
          <w:rFonts w:asciiTheme="majorBidi" w:hAnsiTheme="majorBidi" w:cstheme="majorBidi"/>
        </w:rPr>
        <w:t xml:space="preserve">Parties </w:t>
      </w:r>
      <w:r w:rsidRPr="00D2758E">
        <w:t>can</w:t>
      </w:r>
      <w:r w:rsidRPr="00D2758E">
        <w:rPr>
          <w:rFonts w:asciiTheme="majorBidi" w:hAnsiTheme="majorBidi" w:cstheme="majorBidi"/>
        </w:rPr>
        <w:t xml:space="preserve"> publish th</w:t>
      </w:r>
      <w:r w:rsidR="002000F9">
        <w:rPr>
          <w:rFonts w:asciiTheme="majorBidi" w:hAnsiTheme="majorBidi" w:cstheme="majorBidi"/>
        </w:rPr>
        <w:t>at</w:t>
      </w:r>
      <w:r w:rsidRPr="00D2758E">
        <w:rPr>
          <w:rFonts w:asciiTheme="majorBidi" w:hAnsiTheme="majorBidi" w:cstheme="majorBidi"/>
        </w:rPr>
        <w:t xml:space="preserve"> information </w:t>
      </w:r>
      <w:r w:rsidR="00A26CDF" w:rsidRPr="00D2758E">
        <w:rPr>
          <w:rFonts w:asciiTheme="majorBidi" w:hAnsiTheme="majorBidi" w:cstheme="majorBidi"/>
        </w:rPr>
        <w:t xml:space="preserve">as part of </w:t>
      </w:r>
      <w:r w:rsidR="008A2BF2" w:rsidRPr="00D2758E">
        <w:rPr>
          <w:rFonts w:asciiTheme="majorBidi" w:hAnsiTheme="majorBidi" w:cstheme="majorBidi"/>
        </w:rPr>
        <w:t>Clearing-House</w:t>
      </w:r>
      <w:r w:rsidR="008A2BF2" w:rsidRPr="00D2758E" w:rsidDel="008A2BF2">
        <w:rPr>
          <w:rFonts w:asciiTheme="majorBidi" w:hAnsiTheme="majorBidi" w:cstheme="majorBidi"/>
        </w:rPr>
        <w:t xml:space="preserve"> </w:t>
      </w:r>
      <w:r w:rsidR="00A26CDF" w:rsidRPr="00D2758E">
        <w:rPr>
          <w:rFonts w:asciiTheme="majorBidi" w:hAnsiTheme="majorBidi" w:cstheme="majorBidi"/>
        </w:rPr>
        <w:t>national records</w:t>
      </w:r>
      <w:r w:rsidR="00A376F1">
        <w:rPr>
          <w:rFonts w:asciiTheme="majorBidi" w:hAnsiTheme="majorBidi" w:cstheme="majorBidi"/>
        </w:rPr>
        <w:t xml:space="preserve"> </w:t>
      </w:r>
      <w:r w:rsidR="00A26CDF" w:rsidRPr="00D2758E">
        <w:rPr>
          <w:rFonts w:asciiTheme="majorBidi" w:hAnsiTheme="majorBidi" w:cstheme="majorBidi"/>
        </w:rPr>
        <w:t xml:space="preserve">as </w:t>
      </w:r>
      <w:r w:rsidR="00FE2A82">
        <w:rPr>
          <w:rFonts w:asciiTheme="majorBidi" w:hAnsiTheme="majorBidi" w:cstheme="majorBidi"/>
        </w:rPr>
        <w:t xml:space="preserve">a means </w:t>
      </w:r>
      <w:r w:rsidR="00A376F1">
        <w:rPr>
          <w:rFonts w:asciiTheme="majorBidi" w:hAnsiTheme="majorBidi" w:cstheme="majorBidi"/>
        </w:rPr>
        <w:t xml:space="preserve">of facilitating </w:t>
      </w:r>
      <w:r w:rsidR="00A26CDF" w:rsidRPr="00D2758E">
        <w:rPr>
          <w:rFonts w:asciiTheme="majorBidi" w:hAnsiTheme="majorBidi" w:cstheme="majorBidi"/>
        </w:rPr>
        <w:t xml:space="preserve">recognition of these tools as </w:t>
      </w:r>
      <w:r w:rsidR="006865D8">
        <w:rPr>
          <w:rFonts w:asciiTheme="majorBidi" w:hAnsiTheme="majorBidi" w:cstheme="majorBidi"/>
        </w:rPr>
        <w:t xml:space="preserve">a component </w:t>
      </w:r>
      <w:r w:rsidR="00A26CDF" w:rsidRPr="00D2758E">
        <w:rPr>
          <w:rFonts w:asciiTheme="majorBidi" w:hAnsiTheme="majorBidi" w:cstheme="majorBidi"/>
        </w:rPr>
        <w:t xml:space="preserve">of the national </w:t>
      </w:r>
      <w:r w:rsidR="008A2BF2">
        <w:rPr>
          <w:rFonts w:asciiTheme="majorBidi" w:hAnsiTheme="majorBidi" w:cstheme="majorBidi"/>
        </w:rPr>
        <w:t xml:space="preserve">access and benefit-sharing </w:t>
      </w:r>
      <w:r w:rsidR="00A26CDF" w:rsidRPr="00D2758E">
        <w:rPr>
          <w:rFonts w:asciiTheme="majorBidi" w:hAnsiTheme="majorBidi" w:cstheme="majorBidi"/>
        </w:rPr>
        <w:t>framework</w:t>
      </w:r>
      <w:r w:rsidRPr="00D2758E">
        <w:rPr>
          <w:rFonts w:asciiTheme="majorBidi" w:hAnsiTheme="majorBidi" w:cstheme="majorBidi"/>
        </w:rPr>
        <w:t>.</w:t>
      </w:r>
    </w:p>
    <w:p w14:paraId="568C2CC9" w14:textId="09ADA1ED" w:rsidR="00F0420C" w:rsidRPr="00D2758E" w:rsidRDefault="00F0420C" w:rsidP="00A558F3">
      <w:pPr>
        <w:pStyle w:val="CBDNormalNumber"/>
        <w:rPr>
          <w:rFonts w:asciiTheme="majorBidi" w:hAnsiTheme="majorBidi" w:cstheme="majorBidi"/>
        </w:rPr>
      </w:pPr>
      <w:r w:rsidRPr="00D2758E">
        <w:rPr>
          <w:rFonts w:asciiTheme="majorBidi" w:hAnsiTheme="majorBidi" w:cstheme="majorBidi"/>
        </w:rPr>
        <w:t xml:space="preserve">Sharing existing </w:t>
      </w:r>
      <w:r w:rsidRPr="00D2758E">
        <w:t>experiences</w:t>
      </w:r>
      <w:r w:rsidRPr="00D2758E">
        <w:rPr>
          <w:rFonts w:asciiTheme="majorBidi" w:hAnsiTheme="majorBidi" w:cstheme="majorBidi"/>
        </w:rPr>
        <w:t xml:space="preserve"> and lessons learned from the development and implementation of community protocols and procedures could be useful for those working on the development of protocols or th</w:t>
      </w:r>
      <w:r w:rsidR="00F10F8F">
        <w:rPr>
          <w:rFonts w:asciiTheme="majorBidi" w:hAnsiTheme="majorBidi" w:cstheme="majorBidi"/>
        </w:rPr>
        <w:t xml:space="preserve">ose who </w:t>
      </w:r>
      <w:r w:rsidRPr="00D2758E">
        <w:rPr>
          <w:rFonts w:asciiTheme="majorBidi" w:hAnsiTheme="majorBidi" w:cstheme="majorBidi"/>
        </w:rPr>
        <w:t xml:space="preserve">are planning to do so. </w:t>
      </w:r>
    </w:p>
    <w:p w14:paraId="7CBA720D" w14:textId="7AAF1103" w:rsidR="005C2C9B" w:rsidRPr="00D2758E" w:rsidRDefault="0038691C" w:rsidP="0038691C">
      <w:pPr>
        <w:pStyle w:val="CBDH3"/>
      </w:pPr>
      <w:r>
        <w:t>2.</w:t>
      </w:r>
      <w:r>
        <w:tab/>
      </w:r>
      <w:r w:rsidR="0056552E" w:rsidRPr="00D2758E">
        <w:t xml:space="preserve">Model contractual clauses and codes of conduct, guidelines, best practices and standards </w:t>
      </w:r>
      <w:r w:rsidR="005C2C9B" w:rsidRPr="00D2758E">
        <w:t>(</w:t>
      </w:r>
      <w:r w:rsidR="007829C7" w:rsidRPr="00D2758E">
        <w:t>Article</w:t>
      </w:r>
      <w:r>
        <w:t>s</w:t>
      </w:r>
      <w:r w:rsidR="007829C7" w:rsidRPr="00D2758E">
        <w:t xml:space="preserve"> 19 and 20</w:t>
      </w:r>
      <w:r w:rsidR="005C2C9B" w:rsidRPr="00D2758E">
        <w:t>)</w:t>
      </w:r>
      <w:r w:rsidR="006C633B" w:rsidRPr="00D2758E">
        <w:rPr>
          <w:rStyle w:val="FootnoteReference"/>
          <w:rFonts w:hint="eastAsia"/>
        </w:rPr>
        <w:footnoteReference w:id="81"/>
      </w:r>
      <w:r w:rsidR="005C2C9B" w:rsidRPr="00D2758E">
        <w:t xml:space="preserve"> </w:t>
      </w:r>
    </w:p>
    <w:p w14:paraId="26EE9F23" w14:textId="21169717" w:rsidR="00D66729" w:rsidRPr="00D2758E" w:rsidRDefault="0038691C" w:rsidP="0038691C">
      <w:pPr>
        <w:pStyle w:val="CBDH4"/>
      </w:pPr>
      <w:r>
        <w:t>(a)</w:t>
      </w:r>
      <w:r>
        <w:tab/>
      </w:r>
      <w:r w:rsidR="00D66729" w:rsidRPr="00D2758E">
        <w:t xml:space="preserve">Progress made in implementation and updated </w:t>
      </w:r>
      <w:r w:rsidR="00BE72EB" w:rsidRPr="00D2758E">
        <w:t xml:space="preserve">indicator </w:t>
      </w:r>
      <w:r w:rsidR="00D66729" w:rsidRPr="00D2758E">
        <w:t>data</w:t>
      </w:r>
    </w:p>
    <w:p w14:paraId="629E7381" w14:textId="46941FB2" w:rsidR="00FD37AC" w:rsidRPr="00D2758E" w:rsidRDefault="004672EB" w:rsidP="00A558F3">
      <w:pPr>
        <w:pStyle w:val="CBDNormalNumber"/>
        <w:rPr>
          <w:rFonts w:asciiTheme="majorBidi" w:hAnsiTheme="majorBidi" w:cstheme="majorBidi"/>
        </w:rPr>
      </w:pPr>
      <w:r w:rsidRPr="00D2758E">
        <w:rPr>
          <w:rFonts w:asciiTheme="majorBidi" w:hAnsiTheme="majorBidi" w:cstheme="majorBidi"/>
        </w:rPr>
        <w:t xml:space="preserve">User organizations and networks play an important role in addressing the needs of their members by developing tools that </w:t>
      </w:r>
      <w:r w:rsidR="00002858">
        <w:rPr>
          <w:rFonts w:asciiTheme="majorBidi" w:hAnsiTheme="majorBidi" w:cstheme="majorBidi"/>
        </w:rPr>
        <w:t xml:space="preserve">offer </w:t>
      </w:r>
      <w:r w:rsidRPr="00D2758E">
        <w:rPr>
          <w:rFonts w:asciiTheme="majorBidi" w:hAnsiTheme="majorBidi" w:cstheme="majorBidi"/>
        </w:rPr>
        <w:t xml:space="preserve">clarity on how </w:t>
      </w:r>
      <w:r w:rsidR="00002858">
        <w:rPr>
          <w:rFonts w:asciiTheme="majorBidi" w:hAnsiTheme="majorBidi" w:cstheme="majorBidi"/>
        </w:rPr>
        <w:t>access and benefit sharing</w:t>
      </w:r>
      <w:r w:rsidRPr="00D2758E">
        <w:rPr>
          <w:rFonts w:asciiTheme="majorBidi" w:hAnsiTheme="majorBidi" w:cstheme="majorBidi"/>
        </w:rPr>
        <w:t xml:space="preserve"> can be incorporated in their practice and assisting member organizations </w:t>
      </w:r>
      <w:r w:rsidR="00320D60">
        <w:rPr>
          <w:rFonts w:asciiTheme="majorBidi" w:hAnsiTheme="majorBidi" w:cstheme="majorBidi"/>
        </w:rPr>
        <w:t>in</w:t>
      </w:r>
      <w:r w:rsidRPr="00D2758E">
        <w:rPr>
          <w:rFonts w:asciiTheme="majorBidi" w:hAnsiTheme="majorBidi" w:cstheme="majorBidi"/>
        </w:rPr>
        <w:t xml:space="preserve"> comply</w:t>
      </w:r>
      <w:r w:rsidR="00320D60">
        <w:rPr>
          <w:rFonts w:asciiTheme="majorBidi" w:hAnsiTheme="majorBidi" w:cstheme="majorBidi"/>
        </w:rPr>
        <w:t>ing</w:t>
      </w:r>
      <w:r w:rsidRPr="00D2758E">
        <w:rPr>
          <w:rFonts w:asciiTheme="majorBidi" w:hAnsiTheme="majorBidi" w:cstheme="majorBidi"/>
        </w:rPr>
        <w:t xml:space="preserve"> with </w:t>
      </w:r>
      <w:r w:rsidR="00661697" w:rsidRPr="00661697">
        <w:rPr>
          <w:rFonts w:asciiTheme="majorBidi" w:hAnsiTheme="majorBidi" w:cstheme="majorBidi"/>
        </w:rPr>
        <w:t>access and benefit</w:t>
      </w:r>
      <w:r w:rsidR="00661697">
        <w:rPr>
          <w:rFonts w:asciiTheme="majorBidi" w:hAnsiTheme="majorBidi" w:cstheme="majorBidi"/>
        </w:rPr>
        <w:t>-</w:t>
      </w:r>
      <w:r w:rsidR="00661697" w:rsidRPr="00661697">
        <w:rPr>
          <w:rFonts w:asciiTheme="majorBidi" w:hAnsiTheme="majorBidi" w:cstheme="majorBidi"/>
        </w:rPr>
        <w:t>sharing</w:t>
      </w:r>
      <w:r w:rsidR="00661697">
        <w:rPr>
          <w:rFonts w:asciiTheme="majorBidi" w:hAnsiTheme="majorBidi" w:cstheme="majorBidi"/>
        </w:rPr>
        <w:t xml:space="preserve"> </w:t>
      </w:r>
      <w:r w:rsidRPr="00D2758E">
        <w:rPr>
          <w:rFonts w:asciiTheme="majorBidi" w:hAnsiTheme="majorBidi" w:cstheme="majorBidi"/>
        </w:rPr>
        <w:t xml:space="preserve">requirements. </w:t>
      </w:r>
      <w:r w:rsidR="00FD37AC" w:rsidRPr="00D2758E">
        <w:rPr>
          <w:rFonts w:asciiTheme="majorBidi" w:hAnsiTheme="majorBidi" w:cstheme="majorBidi"/>
        </w:rPr>
        <w:t>Model contractual clauses and codes of conduct, guidelines, best practices and standards</w:t>
      </w:r>
      <w:r w:rsidR="006C1DF9" w:rsidRPr="00D2758E">
        <w:rPr>
          <w:rFonts w:asciiTheme="majorBidi" w:hAnsiTheme="majorBidi" w:cstheme="majorBidi"/>
        </w:rPr>
        <w:t xml:space="preserve"> </w:t>
      </w:r>
      <w:r w:rsidR="00955254" w:rsidRPr="00D2758E">
        <w:rPr>
          <w:rFonts w:asciiTheme="majorBidi" w:hAnsiTheme="majorBidi" w:cstheme="majorBidi"/>
        </w:rPr>
        <w:t>are some of those tools.</w:t>
      </w:r>
      <w:r w:rsidR="000D312C" w:rsidRPr="00D2758E">
        <w:rPr>
          <w:rStyle w:val="FootnoteReference"/>
          <w:rFonts w:asciiTheme="majorBidi" w:hAnsiTheme="majorBidi" w:cstheme="majorBidi"/>
        </w:rPr>
        <w:footnoteReference w:id="82"/>
      </w:r>
    </w:p>
    <w:p w14:paraId="777561CA" w14:textId="601A03BE" w:rsidR="006C1DF9" w:rsidRPr="00D2758E" w:rsidRDefault="00955254" w:rsidP="00A558F3">
      <w:pPr>
        <w:pStyle w:val="CBDNormalNumber"/>
        <w:rPr>
          <w:rFonts w:asciiTheme="majorBidi" w:hAnsiTheme="majorBidi" w:cstheme="majorBidi"/>
        </w:rPr>
      </w:pPr>
      <w:r w:rsidRPr="00D2758E">
        <w:rPr>
          <w:rFonts w:asciiTheme="majorBidi" w:hAnsiTheme="majorBidi" w:cstheme="majorBidi"/>
        </w:rPr>
        <w:t>A</w:t>
      </w:r>
      <w:r w:rsidR="00E862C3" w:rsidRPr="00D2758E">
        <w:rPr>
          <w:rFonts w:asciiTheme="majorBidi" w:hAnsiTheme="majorBidi" w:cstheme="majorBidi"/>
        </w:rPr>
        <w:t>s</w:t>
      </w:r>
      <w:r w:rsidR="006C1DF9" w:rsidRPr="00D2758E">
        <w:rPr>
          <w:rFonts w:asciiTheme="majorBidi" w:hAnsiTheme="majorBidi" w:cstheme="majorBidi"/>
        </w:rPr>
        <w:t xml:space="preserve"> </w:t>
      </w:r>
      <w:r w:rsidR="00DC292A">
        <w:rPr>
          <w:rFonts w:asciiTheme="majorBidi" w:hAnsiTheme="majorBidi" w:cstheme="majorBidi"/>
        </w:rPr>
        <w:t xml:space="preserve">a </w:t>
      </w:r>
      <w:r w:rsidR="006C1DF9" w:rsidRPr="00D2758E">
        <w:rPr>
          <w:rFonts w:asciiTheme="majorBidi" w:hAnsiTheme="majorBidi" w:cstheme="majorBidi"/>
        </w:rPr>
        <w:t>result of changes made in the methodology applied</w:t>
      </w:r>
      <w:r w:rsidR="006C1DF9" w:rsidRPr="00D2758E">
        <w:rPr>
          <w:rFonts w:asciiTheme="majorBidi" w:hAnsiTheme="majorBidi" w:cstheme="majorBidi"/>
          <w:vertAlign w:val="superscript"/>
        </w:rPr>
        <w:footnoteReference w:id="83"/>
      </w:r>
      <w:r w:rsidR="00F32294" w:rsidRPr="00D2758E">
        <w:rPr>
          <w:rFonts w:asciiTheme="majorBidi" w:hAnsiTheme="majorBidi" w:cstheme="majorBidi"/>
        </w:rPr>
        <w:t>,</w:t>
      </w:r>
      <w:r w:rsidR="006C1DF9" w:rsidRPr="00D2758E">
        <w:rPr>
          <w:rFonts w:asciiTheme="majorBidi" w:hAnsiTheme="majorBidi" w:cstheme="majorBidi"/>
        </w:rPr>
        <w:t xml:space="preserve"> the results </w:t>
      </w:r>
      <w:r w:rsidR="009F1149">
        <w:rPr>
          <w:rFonts w:asciiTheme="majorBidi" w:hAnsiTheme="majorBidi" w:cstheme="majorBidi"/>
        </w:rPr>
        <w:t xml:space="preserve">emerging </w:t>
      </w:r>
      <w:r w:rsidR="006C1DF9" w:rsidRPr="00D2758E">
        <w:rPr>
          <w:rFonts w:asciiTheme="majorBidi" w:hAnsiTheme="majorBidi" w:cstheme="majorBidi"/>
        </w:rPr>
        <w:t xml:space="preserve">from this stocktaking exercise are not directly </w:t>
      </w:r>
      <w:r w:rsidR="006C1DF9" w:rsidRPr="00D2758E">
        <w:t>comparable</w:t>
      </w:r>
      <w:r w:rsidR="006C1DF9" w:rsidRPr="00D2758E">
        <w:rPr>
          <w:rFonts w:asciiTheme="majorBidi" w:hAnsiTheme="majorBidi" w:cstheme="majorBidi"/>
        </w:rPr>
        <w:t xml:space="preserve"> with those from the 2018 reference point (see table </w:t>
      </w:r>
      <w:r w:rsidR="007829C7" w:rsidRPr="00D2758E">
        <w:rPr>
          <w:rFonts w:asciiTheme="majorBidi" w:hAnsiTheme="majorBidi" w:cstheme="majorBidi"/>
        </w:rPr>
        <w:t xml:space="preserve">14 </w:t>
      </w:r>
      <w:r w:rsidR="006C1DF9" w:rsidRPr="00D2758E">
        <w:rPr>
          <w:rFonts w:asciiTheme="majorBidi" w:hAnsiTheme="majorBidi" w:cstheme="majorBidi"/>
        </w:rPr>
        <w:t xml:space="preserve">below). In addition, some documents encompass multiple types of tools (for </w:t>
      </w:r>
      <w:r w:rsidR="007F55F6">
        <w:rPr>
          <w:rFonts w:asciiTheme="majorBidi" w:hAnsiTheme="majorBidi" w:cstheme="majorBidi"/>
        </w:rPr>
        <w:t xml:space="preserve">example, </w:t>
      </w:r>
      <w:r w:rsidR="00431BE8">
        <w:rPr>
          <w:rFonts w:asciiTheme="majorBidi" w:hAnsiTheme="majorBidi" w:cstheme="majorBidi"/>
        </w:rPr>
        <w:t>a</w:t>
      </w:r>
      <w:r w:rsidR="006C1DF9" w:rsidRPr="00D2758E">
        <w:rPr>
          <w:rFonts w:asciiTheme="majorBidi" w:hAnsiTheme="majorBidi" w:cstheme="majorBidi"/>
        </w:rPr>
        <w:t xml:space="preserve"> single document may include both </w:t>
      </w:r>
      <w:r w:rsidR="00431BE8">
        <w:rPr>
          <w:rFonts w:asciiTheme="majorBidi" w:hAnsiTheme="majorBidi" w:cstheme="majorBidi"/>
        </w:rPr>
        <w:t xml:space="preserve">access and benefit-sharing </w:t>
      </w:r>
      <w:r w:rsidR="006C1DF9" w:rsidRPr="00D2758E">
        <w:rPr>
          <w:rFonts w:asciiTheme="majorBidi" w:hAnsiTheme="majorBidi" w:cstheme="majorBidi"/>
        </w:rPr>
        <w:t xml:space="preserve">standards and model contractual clauses). </w:t>
      </w:r>
      <w:r w:rsidR="00431BE8">
        <w:rPr>
          <w:rFonts w:asciiTheme="majorBidi" w:hAnsiTheme="majorBidi" w:cstheme="majorBidi"/>
        </w:rPr>
        <w:t>T</w:t>
      </w:r>
      <w:r w:rsidR="006C1DF9" w:rsidRPr="00D2758E">
        <w:rPr>
          <w:rFonts w:asciiTheme="majorBidi" w:hAnsiTheme="majorBidi" w:cstheme="majorBidi"/>
        </w:rPr>
        <w:t xml:space="preserve">here is </w:t>
      </w:r>
      <w:r w:rsidR="00431BE8">
        <w:rPr>
          <w:rFonts w:asciiTheme="majorBidi" w:hAnsiTheme="majorBidi" w:cstheme="majorBidi"/>
        </w:rPr>
        <w:t>t</w:t>
      </w:r>
      <w:r w:rsidR="00431BE8" w:rsidRPr="00D2758E">
        <w:rPr>
          <w:rFonts w:asciiTheme="majorBidi" w:hAnsiTheme="majorBidi" w:cstheme="majorBidi"/>
        </w:rPr>
        <w:t>herefore</w:t>
      </w:r>
      <w:r w:rsidR="00431BE8">
        <w:rPr>
          <w:rFonts w:asciiTheme="majorBidi" w:hAnsiTheme="majorBidi" w:cstheme="majorBidi"/>
        </w:rPr>
        <w:t xml:space="preserve"> </w:t>
      </w:r>
      <w:r w:rsidR="006C1DF9" w:rsidRPr="00D2758E">
        <w:rPr>
          <w:rFonts w:asciiTheme="majorBidi" w:hAnsiTheme="majorBidi" w:cstheme="majorBidi"/>
        </w:rPr>
        <w:t xml:space="preserve">an overlap </w:t>
      </w:r>
      <w:r w:rsidR="0088159C">
        <w:rPr>
          <w:rFonts w:asciiTheme="majorBidi" w:hAnsiTheme="majorBidi" w:cstheme="majorBidi"/>
        </w:rPr>
        <w:t>of</w:t>
      </w:r>
      <w:r w:rsidR="006C1DF9" w:rsidRPr="00D2758E">
        <w:rPr>
          <w:rFonts w:asciiTheme="majorBidi" w:hAnsiTheme="majorBidi" w:cstheme="majorBidi"/>
        </w:rPr>
        <w:t xml:space="preserve"> tools reported under Article 19 and those reported under Article 20. </w:t>
      </w:r>
    </w:p>
    <w:p w14:paraId="3BE8FC7E" w14:textId="610E7014" w:rsidR="00364EB7" w:rsidRPr="00D2758E" w:rsidRDefault="009A3DEC" w:rsidP="00A558F3">
      <w:pPr>
        <w:pStyle w:val="CBDNormalNumber"/>
        <w:rPr>
          <w:rFonts w:asciiTheme="majorBidi" w:hAnsiTheme="majorBidi" w:cstheme="majorBidi"/>
        </w:rPr>
      </w:pPr>
      <w:r w:rsidRPr="00D2758E">
        <w:t xml:space="preserve">In addition to </w:t>
      </w:r>
      <w:r w:rsidR="0088159C" w:rsidRPr="00D2758E">
        <w:t xml:space="preserve">tools </w:t>
      </w:r>
      <w:r w:rsidR="00A66D45">
        <w:t xml:space="preserve">under </w:t>
      </w:r>
      <w:r w:rsidRPr="00D2758E">
        <w:t>Article</w:t>
      </w:r>
      <w:r w:rsidR="00A66D45">
        <w:t>s</w:t>
      </w:r>
      <w:r w:rsidRPr="00D2758E">
        <w:t xml:space="preserve"> 19 and 20, </w:t>
      </w:r>
      <w:proofErr w:type="gramStart"/>
      <w:r w:rsidRPr="00D2758E">
        <w:t>a</w:t>
      </w:r>
      <w:r w:rsidR="004672EB" w:rsidRPr="00D2758E">
        <w:t xml:space="preserve"> number of</w:t>
      </w:r>
      <w:proofErr w:type="gramEnd"/>
      <w:r w:rsidR="004672EB" w:rsidRPr="00D2758E">
        <w:t xml:space="preserve"> approaches and </w:t>
      </w:r>
      <w:r w:rsidRPr="00D2758E">
        <w:t xml:space="preserve">resources </w:t>
      </w:r>
      <w:r w:rsidR="004672EB" w:rsidRPr="00D2758E">
        <w:t xml:space="preserve">have been </w:t>
      </w:r>
      <w:r w:rsidRPr="00D2758E">
        <w:t xml:space="preserve">developed by users’ organizations and other relevant actors </w:t>
      </w:r>
      <w:r w:rsidR="004672EB" w:rsidRPr="00D2758E">
        <w:t xml:space="preserve">to ensure compliance with national legal </w:t>
      </w:r>
      <w:r w:rsidR="000062B4" w:rsidRPr="000062B4">
        <w:t xml:space="preserve">access and benefit-sharing </w:t>
      </w:r>
      <w:r w:rsidR="004672EB" w:rsidRPr="00D2758E">
        <w:t>requirements of both provider and user</w:t>
      </w:r>
      <w:r w:rsidRPr="00D2758E">
        <w:t xml:space="preserve"> countries.</w:t>
      </w:r>
      <w:r w:rsidR="004672EB" w:rsidRPr="00D2758E">
        <w:t xml:space="preserve"> </w:t>
      </w:r>
      <w:r w:rsidRPr="00D2758E">
        <w:t>Th</w:t>
      </w:r>
      <w:r w:rsidR="00AA7293">
        <w:t>ese</w:t>
      </w:r>
      <w:r w:rsidRPr="00D2758E">
        <w:t xml:space="preserve"> </w:t>
      </w:r>
      <w:r w:rsidR="006C1DF9" w:rsidRPr="00D2758E">
        <w:t>includ</w:t>
      </w:r>
      <w:r w:rsidR="00346F38" w:rsidRPr="00D2758E">
        <w:t>e</w:t>
      </w:r>
      <w:r w:rsidR="006C1DF9" w:rsidRPr="00D2758E">
        <w:t xml:space="preserve"> internal online systems</w:t>
      </w:r>
      <w:r w:rsidR="007D2D8A" w:rsidRPr="00D2758E">
        <w:t xml:space="preserve"> </w:t>
      </w:r>
      <w:r w:rsidR="007D2D8A" w:rsidRPr="006B066D">
        <w:rPr>
          <w:rFonts w:asciiTheme="majorBidi" w:hAnsiTheme="majorBidi" w:cstheme="majorBidi"/>
        </w:rPr>
        <w:t>and</w:t>
      </w:r>
      <w:r w:rsidR="007D2D8A" w:rsidRPr="00D2758E">
        <w:t xml:space="preserve"> databases on national </w:t>
      </w:r>
      <w:r w:rsidR="00D941CE" w:rsidRPr="00D941CE">
        <w:t xml:space="preserve">access and benefit-sharing </w:t>
      </w:r>
      <w:r w:rsidR="00473391" w:rsidRPr="00D2758E">
        <w:t>measures, checklists</w:t>
      </w:r>
      <w:r w:rsidR="006C1DF9" w:rsidRPr="00D2758E">
        <w:t xml:space="preserve">, </w:t>
      </w:r>
      <w:r w:rsidR="007D2D8A" w:rsidRPr="00D2758E">
        <w:t xml:space="preserve">internal </w:t>
      </w:r>
      <w:r w:rsidR="00D941CE" w:rsidRPr="00D941CE">
        <w:t xml:space="preserve">access and benefit-sharing </w:t>
      </w:r>
      <w:r w:rsidR="007D2D8A" w:rsidRPr="00D2758E">
        <w:t xml:space="preserve">due diligence systems and standard operating procedures, including clear workflows and documentation protocols, internal awareness-raising and </w:t>
      </w:r>
      <w:r w:rsidR="006C1DF9" w:rsidRPr="00D2758E">
        <w:t>training</w:t>
      </w:r>
      <w:r w:rsidR="00321A6B">
        <w:t xml:space="preserve"> session</w:t>
      </w:r>
      <w:r w:rsidR="006C1DF9" w:rsidRPr="00D2758E">
        <w:t>s</w:t>
      </w:r>
      <w:r w:rsidR="00321A6B">
        <w:t xml:space="preserve"> and</w:t>
      </w:r>
      <w:r w:rsidR="006C1DF9" w:rsidRPr="00D2758E">
        <w:t xml:space="preserve"> </w:t>
      </w:r>
      <w:r w:rsidR="006C1DF9" w:rsidRPr="00D2758E">
        <w:lastRenderedPageBreak/>
        <w:t>advisory services</w:t>
      </w:r>
      <w:r w:rsidR="00AF7C6A" w:rsidRPr="00D2758E">
        <w:t>.</w:t>
      </w:r>
      <w:r w:rsidR="005A5D90" w:rsidRPr="00D2758E">
        <w:t xml:space="preserve"> </w:t>
      </w:r>
      <w:r w:rsidR="008241C5" w:rsidRPr="00D2758E">
        <w:t>Smaller institutions with more limited resources have benefited from external legal and technical support</w:t>
      </w:r>
      <w:r w:rsidR="00364EB7" w:rsidRPr="00D2758E">
        <w:t>.</w:t>
      </w:r>
      <w:r w:rsidR="008241C5" w:rsidRPr="00D2758E">
        <w:rPr>
          <w:rStyle w:val="FootnoteReference"/>
        </w:rPr>
        <w:footnoteReference w:id="84"/>
      </w:r>
      <w:r w:rsidR="00364EB7" w:rsidRPr="00D2758E">
        <w:rPr>
          <w:rFonts w:asciiTheme="majorBidi" w:hAnsiTheme="majorBidi" w:cstheme="majorBidi"/>
        </w:rPr>
        <w:t xml:space="preserve"> </w:t>
      </w:r>
    </w:p>
    <w:p w14:paraId="0239775B" w14:textId="3E1883AA" w:rsidR="008241C5" w:rsidRPr="00D2758E" w:rsidRDefault="00364EB7" w:rsidP="00A558F3">
      <w:pPr>
        <w:pStyle w:val="CBDNormalNumber"/>
        <w:rPr>
          <w:rFonts w:asciiTheme="majorBidi" w:hAnsiTheme="majorBidi" w:cstheme="majorBidi"/>
        </w:rPr>
      </w:pPr>
      <w:r w:rsidRPr="00D2758E">
        <w:rPr>
          <w:rFonts w:asciiTheme="majorBidi" w:hAnsiTheme="majorBidi" w:cstheme="majorBidi"/>
        </w:rPr>
        <w:t xml:space="preserve">In the first </w:t>
      </w:r>
      <w:r w:rsidRPr="00D2758E">
        <w:t>national</w:t>
      </w:r>
      <w:r w:rsidRPr="00D2758E">
        <w:rPr>
          <w:rFonts w:asciiTheme="majorBidi" w:hAnsiTheme="majorBidi" w:cstheme="majorBidi"/>
        </w:rPr>
        <w:t xml:space="preserve"> reports, </w:t>
      </w:r>
      <w:r w:rsidR="008E2F32">
        <w:rPr>
          <w:rFonts w:asciiTheme="majorBidi" w:hAnsiTheme="majorBidi" w:cstheme="majorBidi"/>
        </w:rPr>
        <w:t xml:space="preserve">62 </w:t>
      </w:r>
      <w:r w:rsidRPr="00D2758E">
        <w:rPr>
          <w:rFonts w:asciiTheme="majorBidi" w:hAnsiTheme="majorBidi" w:cstheme="majorBidi"/>
        </w:rPr>
        <w:t>Parties (43</w:t>
      </w:r>
      <w:r w:rsidR="001A6AC1">
        <w:rPr>
          <w:rFonts w:asciiTheme="majorBidi" w:hAnsiTheme="majorBidi" w:cstheme="majorBidi"/>
        </w:rPr>
        <w:t xml:space="preserve"> per cent</w:t>
      </w:r>
      <w:r w:rsidRPr="00D2758E">
        <w:rPr>
          <w:rFonts w:asciiTheme="majorBidi" w:hAnsiTheme="majorBidi" w:cstheme="majorBidi"/>
        </w:rPr>
        <w:t>) reported that their country ha</w:t>
      </w:r>
      <w:r w:rsidR="008E2F32">
        <w:rPr>
          <w:rFonts w:asciiTheme="majorBidi" w:hAnsiTheme="majorBidi" w:cstheme="majorBidi"/>
        </w:rPr>
        <w:t>d</w:t>
      </w:r>
      <w:r w:rsidRPr="00D2758E">
        <w:rPr>
          <w:rFonts w:asciiTheme="majorBidi" w:hAnsiTheme="majorBidi" w:cstheme="majorBidi"/>
        </w:rPr>
        <w:t xml:space="preserve"> encouraged other actors to develop, update and use model contractual clauses for mutually agreed terms</w:t>
      </w:r>
      <w:r w:rsidRPr="00D2758E">
        <w:t xml:space="preserve"> and </w:t>
      </w:r>
      <w:r w:rsidR="008E2F32">
        <w:t>68</w:t>
      </w:r>
      <w:r w:rsidRPr="00D2758E">
        <w:rPr>
          <w:rFonts w:asciiTheme="majorBidi" w:hAnsiTheme="majorBidi" w:cstheme="majorBidi"/>
        </w:rPr>
        <w:t xml:space="preserve"> Parties (48</w:t>
      </w:r>
      <w:r w:rsidR="00E900E7">
        <w:rPr>
          <w:rFonts w:asciiTheme="majorBidi" w:hAnsiTheme="majorBidi" w:cstheme="majorBidi"/>
        </w:rPr>
        <w:t xml:space="preserve"> per cent</w:t>
      </w:r>
      <w:r w:rsidRPr="00D2758E">
        <w:rPr>
          <w:rFonts w:asciiTheme="majorBidi" w:hAnsiTheme="majorBidi" w:cstheme="majorBidi"/>
        </w:rPr>
        <w:t>) reported that their country encouraged other actors to develop, update and use of codes of conduct, guidelines and best practices or standards.</w:t>
      </w:r>
    </w:p>
    <w:p w14:paraId="19EB1B5F" w14:textId="4D7FDA90" w:rsidR="006C1DF9" w:rsidRPr="00D2758E" w:rsidRDefault="006C1DF9" w:rsidP="0004088C">
      <w:pPr>
        <w:pStyle w:val="CBDTableTitle"/>
      </w:pPr>
      <w:r w:rsidRPr="0004088C">
        <w:rPr>
          <w:b w:val="0"/>
          <w:bCs/>
        </w:rPr>
        <w:t>Table</w:t>
      </w:r>
      <w:r w:rsidR="00306691" w:rsidRPr="0004088C">
        <w:rPr>
          <w:b w:val="0"/>
          <w:bCs/>
        </w:rPr>
        <w:t xml:space="preserve"> </w:t>
      </w:r>
      <w:r w:rsidR="007829C7" w:rsidRPr="0004088C">
        <w:rPr>
          <w:b w:val="0"/>
          <w:bCs/>
        </w:rPr>
        <w:t>14</w:t>
      </w:r>
      <w:r w:rsidRPr="00D2758E">
        <w:t xml:space="preserve"> </w:t>
      </w:r>
      <w:r w:rsidR="0004088C">
        <w:br/>
      </w:r>
      <w:r w:rsidRPr="00D2758E">
        <w:t>Indicators to measure progress on Article</w:t>
      </w:r>
      <w:r w:rsidR="0004088C">
        <w:t>s</w:t>
      </w:r>
      <w:r w:rsidRPr="00D2758E">
        <w:t xml:space="preserve"> 19 and 20 of the Protocol</w:t>
      </w:r>
    </w:p>
    <w:tbl>
      <w:tblPr>
        <w:tblW w:w="8931" w:type="dxa"/>
        <w:tblInd w:w="56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803"/>
        <w:gridCol w:w="1710"/>
        <w:gridCol w:w="1418"/>
      </w:tblGrid>
      <w:tr w:rsidR="006C1DF9" w:rsidRPr="006D090E" w14:paraId="25B805B2" w14:textId="77777777" w:rsidTr="006B066D">
        <w:trPr>
          <w:cantSplit/>
        </w:trPr>
        <w:tc>
          <w:tcPr>
            <w:tcW w:w="5803" w:type="dxa"/>
            <w:tcBorders>
              <w:top w:val="single" w:sz="4" w:space="0" w:color="auto"/>
              <w:left w:val="single" w:sz="4" w:space="0" w:color="auto"/>
              <w:bottom w:val="single" w:sz="4" w:space="0" w:color="auto"/>
              <w:right w:val="single" w:sz="4" w:space="0" w:color="auto"/>
            </w:tcBorders>
            <w:tcMar>
              <w:top w:w="29" w:type="dxa"/>
              <w:left w:w="115" w:type="dxa"/>
              <w:bottom w:w="29" w:type="dxa"/>
              <w:right w:w="115" w:type="dxa"/>
            </w:tcMar>
            <w:vAlign w:val="bottom"/>
            <w:hideMark/>
          </w:tcPr>
          <w:p w14:paraId="6B85BBC3" w14:textId="77777777" w:rsidR="006C1DF9" w:rsidRPr="006B066D" w:rsidRDefault="006C1DF9" w:rsidP="006B066D">
            <w:pPr>
              <w:keepNext/>
              <w:suppressLineNumbers/>
              <w:suppressAutoHyphens/>
              <w:kinsoku w:val="0"/>
              <w:overflowPunct w:val="0"/>
              <w:autoSpaceDE w:val="0"/>
              <w:autoSpaceDN w:val="0"/>
              <w:adjustRightInd w:val="0"/>
              <w:snapToGrid w:val="0"/>
              <w:ind w:left="317" w:hanging="360"/>
              <w:jc w:val="left"/>
              <w:rPr>
                <w:rFonts w:asciiTheme="majorBidi" w:hAnsiTheme="majorBidi" w:cstheme="majorBidi"/>
                <w:i/>
                <w:iCs/>
                <w:kern w:val="22"/>
                <w:sz w:val="20"/>
                <w:szCs w:val="20"/>
              </w:rPr>
            </w:pPr>
            <w:r w:rsidRPr="006B066D">
              <w:rPr>
                <w:rFonts w:asciiTheme="majorBidi" w:hAnsiTheme="majorBidi" w:cstheme="majorBidi"/>
                <w:i/>
                <w:iCs/>
                <w:kern w:val="22"/>
                <w:sz w:val="20"/>
                <w:szCs w:val="20"/>
              </w:rPr>
              <w:t>Framework of indicators</w:t>
            </w:r>
          </w:p>
        </w:tc>
        <w:tc>
          <w:tcPr>
            <w:tcW w:w="1710" w:type="dxa"/>
            <w:tcBorders>
              <w:top w:val="single" w:sz="4" w:space="0" w:color="auto"/>
              <w:left w:val="single" w:sz="4" w:space="0" w:color="auto"/>
              <w:bottom w:val="single" w:sz="4" w:space="0" w:color="auto"/>
              <w:right w:val="single" w:sz="4" w:space="0" w:color="auto"/>
            </w:tcBorders>
            <w:tcMar>
              <w:top w:w="29" w:type="dxa"/>
              <w:left w:w="115" w:type="dxa"/>
              <w:bottom w:w="29" w:type="dxa"/>
              <w:right w:w="115" w:type="dxa"/>
            </w:tcMar>
            <w:vAlign w:val="bottom"/>
            <w:hideMark/>
          </w:tcPr>
          <w:p w14:paraId="04812726" w14:textId="3CF09CEE" w:rsidR="006C1DF9" w:rsidRPr="006B066D" w:rsidRDefault="006C1DF9" w:rsidP="006B066D">
            <w:pPr>
              <w:suppressLineNumbers/>
              <w:suppressAutoHyphens/>
              <w:kinsoku w:val="0"/>
              <w:overflowPunct w:val="0"/>
              <w:autoSpaceDE w:val="0"/>
              <w:autoSpaceDN w:val="0"/>
              <w:adjustRightInd w:val="0"/>
              <w:snapToGrid w:val="0"/>
              <w:jc w:val="right"/>
              <w:rPr>
                <w:rFonts w:asciiTheme="majorBidi" w:hAnsiTheme="majorBidi" w:cstheme="majorBidi"/>
                <w:i/>
                <w:iCs/>
                <w:kern w:val="22"/>
                <w:sz w:val="20"/>
                <w:szCs w:val="20"/>
              </w:rPr>
            </w:pPr>
            <w:r w:rsidRPr="006B066D">
              <w:rPr>
                <w:rFonts w:asciiTheme="majorBidi" w:hAnsiTheme="majorBidi" w:cstheme="majorBidi"/>
                <w:i/>
                <w:iCs/>
                <w:kern w:val="22"/>
                <w:sz w:val="20"/>
                <w:szCs w:val="20"/>
              </w:rPr>
              <w:t xml:space="preserve">Reference point </w:t>
            </w:r>
            <w:r w:rsidR="006D090E">
              <w:rPr>
                <w:rFonts w:asciiTheme="majorBidi" w:hAnsiTheme="majorBidi" w:cstheme="majorBidi"/>
                <w:i/>
                <w:iCs/>
                <w:kern w:val="22"/>
                <w:sz w:val="20"/>
                <w:szCs w:val="20"/>
              </w:rPr>
              <w:br/>
            </w:r>
            <w:r w:rsidRPr="006B066D">
              <w:rPr>
                <w:rFonts w:asciiTheme="majorBidi" w:hAnsiTheme="majorBidi" w:cstheme="majorBidi"/>
                <w:i/>
                <w:iCs/>
                <w:kern w:val="22"/>
                <w:sz w:val="20"/>
                <w:szCs w:val="20"/>
              </w:rPr>
              <w:t xml:space="preserve">(as </w:t>
            </w:r>
            <w:r w:rsidR="006D090E">
              <w:rPr>
                <w:rFonts w:asciiTheme="majorBidi" w:hAnsiTheme="majorBidi" w:cstheme="majorBidi"/>
                <w:i/>
                <w:iCs/>
                <w:kern w:val="22"/>
                <w:sz w:val="20"/>
                <w:szCs w:val="20"/>
              </w:rPr>
              <w:t>at</w:t>
            </w:r>
            <w:r w:rsidR="006D090E" w:rsidRPr="006B066D">
              <w:rPr>
                <w:rFonts w:asciiTheme="majorBidi" w:hAnsiTheme="majorBidi" w:cstheme="majorBidi"/>
                <w:i/>
                <w:iCs/>
                <w:kern w:val="22"/>
                <w:sz w:val="20"/>
                <w:szCs w:val="20"/>
              </w:rPr>
              <w:t xml:space="preserve"> </w:t>
            </w:r>
            <w:r w:rsidRPr="006B066D">
              <w:rPr>
                <w:rFonts w:asciiTheme="majorBidi" w:hAnsiTheme="majorBidi" w:cstheme="majorBidi"/>
                <w:i/>
                <w:iCs/>
                <w:kern w:val="22"/>
                <w:sz w:val="20"/>
                <w:szCs w:val="20"/>
              </w:rPr>
              <w:t>22 February 2018)</w:t>
            </w:r>
          </w:p>
        </w:tc>
        <w:tc>
          <w:tcPr>
            <w:tcW w:w="1418" w:type="dxa"/>
            <w:tcBorders>
              <w:top w:val="single" w:sz="4" w:space="0" w:color="auto"/>
              <w:left w:val="single" w:sz="4" w:space="0" w:color="auto"/>
              <w:bottom w:val="single" w:sz="4" w:space="0" w:color="auto"/>
              <w:right w:val="single" w:sz="4" w:space="0" w:color="auto"/>
            </w:tcBorders>
            <w:vAlign w:val="bottom"/>
          </w:tcPr>
          <w:p w14:paraId="69C7814B" w14:textId="61A7BFBD" w:rsidR="006C1DF9" w:rsidRPr="006B066D" w:rsidRDefault="0046505E" w:rsidP="006B066D">
            <w:pPr>
              <w:suppressLineNumbers/>
              <w:suppressAutoHyphens/>
              <w:kinsoku w:val="0"/>
              <w:overflowPunct w:val="0"/>
              <w:autoSpaceDE w:val="0"/>
              <w:autoSpaceDN w:val="0"/>
              <w:adjustRightInd w:val="0"/>
              <w:snapToGrid w:val="0"/>
              <w:jc w:val="right"/>
              <w:rPr>
                <w:rFonts w:asciiTheme="majorBidi" w:hAnsiTheme="majorBidi" w:cstheme="majorBidi"/>
                <w:i/>
                <w:iCs/>
                <w:kern w:val="22"/>
                <w:sz w:val="20"/>
                <w:szCs w:val="20"/>
              </w:rPr>
            </w:pPr>
            <w:r>
              <w:rPr>
                <w:rFonts w:asciiTheme="majorBidi" w:hAnsiTheme="majorBidi" w:cstheme="majorBidi"/>
                <w:i/>
                <w:iCs/>
                <w:kern w:val="22"/>
                <w:sz w:val="20"/>
                <w:szCs w:val="20"/>
              </w:rPr>
              <w:t xml:space="preserve">Progress </w:t>
            </w:r>
            <w:r w:rsidR="00705F2D">
              <w:rPr>
                <w:rFonts w:asciiTheme="majorBidi" w:hAnsiTheme="majorBidi" w:cstheme="majorBidi"/>
                <w:i/>
                <w:iCs/>
                <w:kern w:val="22"/>
                <w:sz w:val="20"/>
                <w:szCs w:val="20"/>
              </w:rPr>
              <w:t xml:space="preserve">as at </w:t>
            </w:r>
            <w:r w:rsidR="006C1DF9" w:rsidRPr="006B066D">
              <w:rPr>
                <w:rFonts w:asciiTheme="majorBidi" w:hAnsiTheme="majorBidi" w:cstheme="majorBidi"/>
                <w:i/>
                <w:iCs/>
                <w:kern w:val="22"/>
                <w:sz w:val="20"/>
                <w:szCs w:val="20"/>
              </w:rPr>
              <w:t>9 March 2026</w:t>
            </w:r>
          </w:p>
        </w:tc>
      </w:tr>
      <w:tr w:rsidR="006C1DF9" w:rsidRPr="00D2758E" w14:paraId="221D2260" w14:textId="77777777" w:rsidTr="006B066D">
        <w:trPr>
          <w:cantSplit/>
        </w:trPr>
        <w:tc>
          <w:tcPr>
            <w:tcW w:w="5803" w:type="dxa"/>
            <w:tcBorders>
              <w:top w:val="single" w:sz="4" w:space="0" w:color="auto"/>
              <w:left w:val="single" w:sz="4" w:space="0" w:color="auto"/>
              <w:bottom w:val="single" w:sz="4" w:space="0" w:color="auto"/>
              <w:right w:val="single" w:sz="4" w:space="0" w:color="auto"/>
            </w:tcBorders>
            <w:tcMar>
              <w:top w:w="29" w:type="dxa"/>
              <w:left w:w="115" w:type="dxa"/>
              <w:bottom w:w="29" w:type="dxa"/>
              <w:right w:w="115" w:type="dxa"/>
            </w:tcMar>
            <w:hideMark/>
          </w:tcPr>
          <w:p w14:paraId="1FBF4346" w14:textId="77777777" w:rsidR="006C1DF9" w:rsidRPr="00D2758E" w:rsidRDefault="006C1DF9" w:rsidP="006B066D">
            <w:pPr>
              <w:suppressLineNumbers/>
              <w:suppressAutoHyphens/>
              <w:kinsoku w:val="0"/>
              <w:overflowPunct w:val="0"/>
              <w:autoSpaceDE w:val="0"/>
              <w:autoSpaceDN w:val="0"/>
              <w:adjustRightInd w:val="0"/>
              <w:snapToGrid w:val="0"/>
              <w:jc w:val="left"/>
              <w:rPr>
                <w:rFonts w:asciiTheme="majorBidi" w:hAnsiTheme="majorBidi" w:cstheme="majorBidi"/>
                <w:kern w:val="22"/>
                <w:sz w:val="20"/>
                <w:szCs w:val="20"/>
              </w:rPr>
            </w:pPr>
            <w:r w:rsidRPr="00D2758E">
              <w:rPr>
                <w:rFonts w:asciiTheme="majorBidi" w:hAnsiTheme="majorBidi" w:cstheme="majorBidi"/>
                <w:kern w:val="22"/>
                <w:sz w:val="20"/>
                <w:szCs w:val="20"/>
              </w:rPr>
              <w:t xml:space="preserve">Number of model contractual clauses developed </w:t>
            </w:r>
            <w:r w:rsidRPr="00D2758E">
              <w:rPr>
                <w:rFonts w:asciiTheme="majorBidi" w:hAnsiTheme="majorBidi" w:cstheme="majorBidi"/>
                <w:i/>
                <w:iCs/>
                <w:kern w:val="22"/>
                <w:sz w:val="20"/>
                <w:szCs w:val="20"/>
              </w:rPr>
              <w:t>(change of methodology)</w:t>
            </w:r>
          </w:p>
        </w:tc>
        <w:tc>
          <w:tcPr>
            <w:tcW w:w="1710" w:type="dxa"/>
            <w:tcBorders>
              <w:top w:val="single" w:sz="4" w:space="0" w:color="auto"/>
              <w:left w:val="single" w:sz="4" w:space="0" w:color="auto"/>
              <w:bottom w:val="single" w:sz="4" w:space="0" w:color="auto"/>
              <w:right w:val="single" w:sz="4" w:space="0" w:color="auto"/>
            </w:tcBorders>
            <w:tcMar>
              <w:top w:w="29" w:type="dxa"/>
              <w:left w:w="115" w:type="dxa"/>
              <w:bottom w:w="29" w:type="dxa"/>
              <w:right w:w="115" w:type="dxa"/>
            </w:tcMar>
            <w:vAlign w:val="bottom"/>
            <w:hideMark/>
          </w:tcPr>
          <w:p w14:paraId="0784A475" w14:textId="77777777" w:rsidR="006C1DF9" w:rsidRPr="00D2758E" w:rsidRDefault="006C1DF9" w:rsidP="006B066D">
            <w:pPr>
              <w:suppressLineNumbers/>
              <w:suppressAutoHyphens/>
              <w:kinsoku w:val="0"/>
              <w:overflowPunct w:val="0"/>
              <w:autoSpaceDE w:val="0"/>
              <w:autoSpaceDN w:val="0"/>
              <w:adjustRightInd w:val="0"/>
              <w:snapToGrid w:val="0"/>
              <w:jc w:val="right"/>
              <w:rPr>
                <w:rFonts w:asciiTheme="majorBidi" w:hAnsiTheme="majorBidi" w:cstheme="majorBidi"/>
                <w:kern w:val="22"/>
                <w:sz w:val="20"/>
                <w:szCs w:val="20"/>
              </w:rPr>
            </w:pPr>
            <w:r w:rsidRPr="00D2758E">
              <w:rPr>
                <w:rFonts w:asciiTheme="majorBidi" w:hAnsiTheme="majorBidi" w:cstheme="majorBidi"/>
                <w:kern w:val="22"/>
                <w:sz w:val="20"/>
                <w:szCs w:val="20"/>
              </w:rPr>
              <w:t>29</w:t>
            </w:r>
          </w:p>
        </w:tc>
        <w:tc>
          <w:tcPr>
            <w:tcW w:w="1418" w:type="dxa"/>
            <w:tcBorders>
              <w:top w:val="single" w:sz="4" w:space="0" w:color="auto"/>
              <w:left w:val="single" w:sz="4" w:space="0" w:color="auto"/>
              <w:bottom w:val="single" w:sz="4" w:space="0" w:color="auto"/>
              <w:right w:val="single" w:sz="4" w:space="0" w:color="auto"/>
            </w:tcBorders>
            <w:vAlign w:val="bottom"/>
          </w:tcPr>
          <w:p w14:paraId="06A5CFAF" w14:textId="77777777" w:rsidR="006C1DF9" w:rsidRPr="00D2758E" w:rsidRDefault="006C1DF9" w:rsidP="006B066D">
            <w:pPr>
              <w:suppressLineNumbers/>
              <w:suppressAutoHyphens/>
              <w:kinsoku w:val="0"/>
              <w:overflowPunct w:val="0"/>
              <w:autoSpaceDE w:val="0"/>
              <w:autoSpaceDN w:val="0"/>
              <w:adjustRightInd w:val="0"/>
              <w:snapToGrid w:val="0"/>
              <w:jc w:val="right"/>
              <w:rPr>
                <w:rFonts w:asciiTheme="majorBidi" w:hAnsiTheme="majorBidi" w:cstheme="majorBidi"/>
                <w:kern w:val="22"/>
                <w:sz w:val="20"/>
                <w:szCs w:val="20"/>
              </w:rPr>
            </w:pPr>
            <w:r w:rsidRPr="00D2758E">
              <w:rPr>
                <w:rFonts w:asciiTheme="majorBidi" w:hAnsiTheme="majorBidi" w:cstheme="majorBidi"/>
                <w:kern w:val="22"/>
                <w:sz w:val="20"/>
                <w:szCs w:val="20"/>
              </w:rPr>
              <w:t>12</w:t>
            </w:r>
          </w:p>
        </w:tc>
      </w:tr>
      <w:tr w:rsidR="006C1DF9" w:rsidRPr="00D2758E" w14:paraId="30144724" w14:textId="77777777" w:rsidTr="006B066D">
        <w:trPr>
          <w:cantSplit/>
        </w:trPr>
        <w:tc>
          <w:tcPr>
            <w:tcW w:w="5803" w:type="dxa"/>
            <w:tcBorders>
              <w:top w:val="single" w:sz="4" w:space="0" w:color="auto"/>
              <w:left w:val="single" w:sz="4" w:space="0" w:color="auto"/>
              <w:bottom w:val="single" w:sz="4" w:space="0" w:color="auto"/>
              <w:right w:val="single" w:sz="4" w:space="0" w:color="auto"/>
            </w:tcBorders>
            <w:tcMar>
              <w:top w:w="29" w:type="dxa"/>
              <w:left w:w="115" w:type="dxa"/>
              <w:bottom w:w="29" w:type="dxa"/>
              <w:right w:w="115" w:type="dxa"/>
            </w:tcMar>
          </w:tcPr>
          <w:p w14:paraId="249622B2" w14:textId="1E44B1FD" w:rsidR="006C1DF9" w:rsidRPr="00D2758E" w:rsidRDefault="006C1DF9" w:rsidP="006B066D">
            <w:pPr>
              <w:suppressLineNumbers/>
              <w:suppressAutoHyphens/>
              <w:kinsoku w:val="0"/>
              <w:overflowPunct w:val="0"/>
              <w:autoSpaceDE w:val="0"/>
              <w:autoSpaceDN w:val="0"/>
              <w:adjustRightInd w:val="0"/>
              <w:snapToGrid w:val="0"/>
              <w:jc w:val="left"/>
              <w:rPr>
                <w:rFonts w:asciiTheme="majorBidi" w:hAnsiTheme="majorBidi" w:cstheme="majorBidi"/>
                <w:kern w:val="22"/>
                <w:sz w:val="20"/>
                <w:szCs w:val="20"/>
              </w:rPr>
            </w:pPr>
            <w:r w:rsidRPr="00D2758E">
              <w:rPr>
                <w:rFonts w:asciiTheme="majorBidi" w:hAnsiTheme="majorBidi" w:cstheme="majorBidi"/>
                <w:kern w:val="22"/>
                <w:sz w:val="20"/>
                <w:szCs w:val="20"/>
              </w:rPr>
              <w:t>Number of codes of conduct, guidelines, best practices</w:t>
            </w:r>
            <w:r w:rsidR="00ED312D" w:rsidRPr="00D2758E">
              <w:rPr>
                <w:rFonts w:asciiTheme="majorBidi" w:hAnsiTheme="majorBidi" w:cstheme="majorBidi"/>
                <w:kern w:val="22"/>
                <w:sz w:val="20"/>
                <w:szCs w:val="20"/>
              </w:rPr>
              <w:t xml:space="preserve"> </w:t>
            </w:r>
            <w:r w:rsidRPr="00D2758E">
              <w:rPr>
                <w:rFonts w:asciiTheme="majorBidi" w:hAnsiTheme="majorBidi" w:cstheme="majorBidi"/>
                <w:kern w:val="22"/>
                <w:sz w:val="20"/>
                <w:szCs w:val="20"/>
              </w:rPr>
              <w:t xml:space="preserve">and standards developed </w:t>
            </w:r>
            <w:r w:rsidRPr="00D2758E">
              <w:rPr>
                <w:rFonts w:asciiTheme="majorBidi" w:hAnsiTheme="majorBidi" w:cstheme="majorBidi"/>
                <w:i/>
                <w:iCs/>
                <w:kern w:val="22"/>
                <w:sz w:val="20"/>
                <w:szCs w:val="20"/>
              </w:rPr>
              <w:t>(change of methodology)</w:t>
            </w:r>
          </w:p>
        </w:tc>
        <w:tc>
          <w:tcPr>
            <w:tcW w:w="1710" w:type="dxa"/>
            <w:tcBorders>
              <w:top w:val="single" w:sz="4" w:space="0" w:color="auto"/>
              <w:left w:val="single" w:sz="4" w:space="0" w:color="auto"/>
              <w:bottom w:val="single" w:sz="4" w:space="0" w:color="auto"/>
              <w:right w:val="single" w:sz="4" w:space="0" w:color="auto"/>
            </w:tcBorders>
            <w:tcMar>
              <w:top w:w="29" w:type="dxa"/>
              <w:left w:w="115" w:type="dxa"/>
              <w:bottom w:w="29" w:type="dxa"/>
              <w:right w:w="115" w:type="dxa"/>
            </w:tcMar>
            <w:vAlign w:val="bottom"/>
          </w:tcPr>
          <w:p w14:paraId="2EBDBA24" w14:textId="77777777" w:rsidR="006C1DF9" w:rsidRPr="00D2758E" w:rsidRDefault="006C1DF9" w:rsidP="006B066D">
            <w:pPr>
              <w:suppressLineNumbers/>
              <w:suppressAutoHyphens/>
              <w:kinsoku w:val="0"/>
              <w:overflowPunct w:val="0"/>
              <w:autoSpaceDE w:val="0"/>
              <w:autoSpaceDN w:val="0"/>
              <w:adjustRightInd w:val="0"/>
              <w:snapToGrid w:val="0"/>
              <w:jc w:val="right"/>
              <w:rPr>
                <w:rFonts w:asciiTheme="majorBidi" w:hAnsiTheme="majorBidi" w:cstheme="majorBidi"/>
                <w:kern w:val="22"/>
                <w:sz w:val="20"/>
                <w:szCs w:val="20"/>
              </w:rPr>
            </w:pPr>
            <w:r w:rsidRPr="00D2758E">
              <w:rPr>
                <w:rFonts w:asciiTheme="majorBidi" w:hAnsiTheme="majorBidi" w:cstheme="majorBidi"/>
                <w:kern w:val="22"/>
                <w:sz w:val="20"/>
                <w:szCs w:val="20"/>
              </w:rPr>
              <w:t>33</w:t>
            </w:r>
          </w:p>
        </w:tc>
        <w:tc>
          <w:tcPr>
            <w:tcW w:w="1418" w:type="dxa"/>
            <w:tcBorders>
              <w:top w:val="single" w:sz="4" w:space="0" w:color="auto"/>
              <w:left w:val="single" w:sz="4" w:space="0" w:color="auto"/>
              <w:bottom w:val="single" w:sz="4" w:space="0" w:color="auto"/>
              <w:right w:val="single" w:sz="4" w:space="0" w:color="auto"/>
            </w:tcBorders>
            <w:vAlign w:val="bottom"/>
          </w:tcPr>
          <w:p w14:paraId="3F9AC8C0" w14:textId="77777777" w:rsidR="006C1DF9" w:rsidRPr="00D2758E" w:rsidRDefault="006C1DF9" w:rsidP="006B066D">
            <w:pPr>
              <w:suppressLineNumbers/>
              <w:suppressAutoHyphens/>
              <w:kinsoku w:val="0"/>
              <w:overflowPunct w:val="0"/>
              <w:autoSpaceDE w:val="0"/>
              <w:autoSpaceDN w:val="0"/>
              <w:adjustRightInd w:val="0"/>
              <w:snapToGrid w:val="0"/>
              <w:jc w:val="right"/>
              <w:rPr>
                <w:rFonts w:asciiTheme="majorBidi" w:hAnsiTheme="majorBidi" w:cstheme="majorBidi"/>
                <w:kern w:val="22"/>
                <w:sz w:val="20"/>
                <w:szCs w:val="20"/>
              </w:rPr>
            </w:pPr>
            <w:r w:rsidRPr="00D2758E">
              <w:rPr>
                <w:rFonts w:asciiTheme="majorBidi" w:hAnsiTheme="majorBidi" w:cstheme="majorBidi"/>
                <w:kern w:val="22"/>
                <w:sz w:val="20"/>
                <w:szCs w:val="20"/>
              </w:rPr>
              <w:t>29</w:t>
            </w:r>
          </w:p>
        </w:tc>
      </w:tr>
      <w:tr w:rsidR="006C1DF9" w:rsidRPr="00D2758E" w14:paraId="484B75C3" w14:textId="77777777" w:rsidTr="006B066D">
        <w:trPr>
          <w:cantSplit/>
        </w:trPr>
        <w:tc>
          <w:tcPr>
            <w:tcW w:w="5803" w:type="dxa"/>
            <w:tcBorders>
              <w:top w:val="single" w:sz="4" w:space="0" w:color="auto"/>
              <w:left w:val="single" w:sz="4" w:space="0" w:color="auto"/>
              <w:bottom w:val="single" w:sz="4" w:space="0" w:color="auto"/>
              <w:right w:val="single" w:sz="4" w:space="0" w:color="auto"/>
            </w:tcBorders>
            <w:tcMar>
              <w:top w:w="29" w:type="dxa"/>
              <w:left w:w="115" w:type="dxa"/>
              <w:bottom w:w="29" w:type="dxa"/>
              <w:right w:w="115" w:type="dxa"/>
            </w:tcMar>
            <w:hideMark/>
          </w:tcPr>
          <w:p w14:paraId="14F9FE4E" w14:textId="729E73E9" w:rsidR="006C1DF9" w:rsidRPr="00D2758E" w:rsidRDefault="006C1DF9" w:rsidP="006B066D">
            <w:pPr>
              <w:suppressLineNumbers/>
              <w:suppressAutoHyphens/>
              <w:kinsoku w:val="0"/>
              <w:overflowPunct w:val="0"/>
              <w:autoSpaceDE w:val="0"/>
              <w:autoSpaceDN w:val="0"/>
              <w:adjustRightInd w:val="0"/>
              <w:snapToGrid w:val="0"/>
              <w:jc w:val="left"/>
              <w:rPr>
                <w:rFonts w:asciiTheme="majorBidi" w:hAnsiTheme="majorBidi" w:cstheme="majorBidi"/>
                <w:kern w:val="22"/>
                <w:sz w:val="20"/>
                <w:szCs w:val="20"/>
              </w:rPr>
            </w:pPr>
            <w:r w:rsidRPr="00D2758E">
              <w:rPr>
                <w:rFonts w:asciiTheme="majorBidi" w:hAnsiTheme="majorBidi" w:cstheme="majorBidi"/>
                <w:kern w:val="22"/>
                <w:sz w:val="20"/>
                <w:szCs w:val="20"/>
              </w:rPr>
              <w:t xml:space="preserve">Number and percentage of model contractual clauses made available as reference records in the </w:t>
            </w:r>
            <w:r w:rsidR="001E7AA2">
              <w:rPr>
                <w:rFonts w:asciiTheme="majorBidi" w:hAnsiTheme="majorBidi" w:cstheme="majorBidi"/>
                <w:kern w:val="22"/>
                <w:sz w:val="20"/>
                <w:szCs w:val="20"/>
              </w:rPr>
              <w:t>Access and Benefit-sharing</w:t>
            </w:r>
            <w:r w:rsidR="001E7AA2" w:rsidRPr="00D2758E">
              <w:rPr>
                <w:rFonts w:asciiTheme="majorBidi" w:hAnsiTheme="majorBidi" w:cstheme="majorBidi"/>
                <w:kern w:val="22"/>
                <w:sz w:val="20"/>
                <w:szCs w:val="20"/>
              </w:rPr>
              <w:t xml:space="preserve"> </w:t>
            </w:r>
            <w:r w:rsidRPr="00D2758E">
              <w:rPr>
                <w:rFonts w:asciiTheme="majorBidi" w:hAnsiTheme="majorBidi" w:cstheme="majorBidi"/>
                <w:kern w:val="22"/>
                <w:sz w:val="20"/>
                <w:szCs w:val="20"/>
              </w:rPr>
              <w:t>Clearing-</w:t>
            </w:r>
            <w:proofErr w:type="spellStart"/>
            <w:r w:rsidRPr="00D2758E">
              <w:rPr>
                <w:rFonts w:asciiTheme="majorBidi" w:hAnsiTheme="majorBidi" w:cstheme="majorBidi"/>
                <w:kern w:val="22"/>
                <w:sz w:val="20"/>
                <w:szCs w:val="20"/>
              </w:rPr>
              <w:t>House</w:t>
            </w:r>
            <w:r w:rsidR="00ED7401" w:rsidRPr="006B066D">
              <w:rPr>
                <w:rFonts w:asciiTheme="majorBidi" w:hAnsiTheme="majorBidi" w:cstheme="majorBidi"/>
                <w:i/>
                <w:iCs/>
                <w:kern w:val="22"/>
                <w:sz w:val="20"/>
                <w:szCs w:val="20"/>
                <w:vertAlign w:val="superscript"/>
              </w:rPr>
              <w:t>a</w:t>
            </w:r>
            <w:proofErr w:type="spellEnd"/>
            <w:r w:rsidRPr="00D2758E">
              <w:rPr>
                <w:rFonts w:asciiTheme="majorBidi" w:hAnsiTheme="majorBidi" w:cstheme="majorBidi"/>
                <w:kern w:val="22"/>
                <w:sz w:val="20"/>
                <w:szCs w:val="20"/>
              </w:rPr>
              <w:t xml:space="preserve"> </w:t>
            </w:r>
            <w:r w:rsidRPr="00D2758E">
              <w:rPr>
                <w:rFonts w:asciiTheme="majorBidi" w:hAnsiTheme="majorBidi" w:cstheme="majorBidi"/>
                <w:i/>
                <w:iCs/>
                <w:kern w:val="22"/>
                <w:sz w:val="20"/>
                <w:szCs w:val="20"/>
              </w:rPr>
              <w:t>(change of methodology)</w:t>
            </w:r>
          </w:p>
        </w:tc>
        <w:tc>
          <w:tcPr>
            <w:tcW w:w="1710" w:type="dxa"/>
            <w:tcBorders>
              <w:top w:val="single" w:sz="4" w:space="0" w:color="auto"/>
              <w:left w:val="single" w:sz="4" w:space="0" w:color="auto"/>
              <w:bottom w:val="single" w:sz="4" w:space="0" w:color="auto"/>
              <w:right w:val="single" w:sz="4" w:space="0" w:color="auto"/>
            </w:tcBorders>
            <w:tcMar>
              <w:top w:w="29" w:type="dxa"/>
              <w:left w:w="115" w:type="dxa"/>
              <w:bottom w:w="29" w:type="dxa"/>
              <w:right w:w="115" w:type="dxa"/>
            </w:tcMar>
            <w:vAlign w:val="bottom"/>
            <w:hideMark/>
          </w:tcPr>
          <w:p w14:paraId="559DC216" w14:textId="43D1B5D1" w:rsidR="006C1DF9" w:rsidRPr="00D2758E" w:rsidRDefault="006C1DF9" w:rsidP="006B066D">
            <w:pPr>
              <w:jc w:val="right"/>
              <w:rPr>
                <w:sz w:val="20"/>
                <w:szCs w:val="20"/>
              </w:rPr>
            </w:pPr>
            <w:r w:rsidRPr="00D2758E">
              <w:rPr>
                <w:sz w:val="20"/>
                <w:szCs w:val="20"/>
              </w:rPr>
              <w:t>17 (59</w:t>
            </w:r>
            <w:r w:rsidR="00EC58D4">
              <w:rPr>
                <w:sz w:val="20"/>
                <w:szCs w:val="20"/>
              </w:rPr>
              <w:t xml:space="preserve"> per cent</w:t>
            </w:r>
            <w:r w:rsidRPr="00D2758E">
              <w:rPr>
                <w:sz w:val="20"/>
                <w:szCs w:val="20"/>
              </w:rPr>
              <w:t>)</w:t>
            </w:r>
          </w:p>
        </w:tc>
        <w:tc>
          <w:tcPr>
            <w:tcW w:w="1418" w:type="dxa"/>
            <w:tcBorders>
              <w:top w:val="single" w:sz="4" w:space="0" w:color="auto"/>
              <w:left w:val="single" w:sz="4" w:space="0" w:color="auto"/>
              <w:bottom w:val="single" w:sz="4" w:space="0" w:color="auto"/>
              <w:right w:val="single" w:sz="4" w:space="0" w:color="auto"/>
            </w:tcBorders>
            <w:vAlign w:val="bottom"/>
          </w:tcPr>
          <w:p w14:paraId="202BB856" w14:textId="5F38FCA6" w:rsidR="006C1DF9" w:rsidRPr="00D2758E" w:rsidRDefault="006C1DF9" w:rsidP="006B066D">
            <w:pPr>
              <w:jc w:val="right"/>
              <w:rPr>
                <w:sz w:val="20"/>
                <w:szCs w:val="20"/>
              </w:rPr>
            </w:pPr>
            <w:r w:rsidRPr="00D2758E">
              <w:rPr>
                <w:sz w:val="20"/>
                <w:szCs w:val="20"/>
              </w:rPr>
              <w:t>12 (100</w:t>
            </w:r>
            <w:r w:rsidR="00EC58D4">
              <w:rPr>
                <w:sz w:val="20"/>
                <w:szCs w:val="20"/>
              </w:rPr>
              <w:t xml:space="preserve"> per cent</w:t>
            </w:r>
            <w:r w:rsidRPr="00D2758E">
              <w:rPr>
                <w:sz w:val="20"/>
                <w:szCs w:val="20"/>
              </w:rPr>
              <w:t>)</w:t>
            </w:r>
          </w:p>
        </w:tc>
      </w:tr>
      <w:tr w:rsidR="006C1DF9" w:rsidRPr="00D2758E" w14:paraId="6184CFC0" w14:textId="77777777" w:rsidTr="006B066D">
        <w:trPr>
          <w:cantSplit/>
        </w:trPr>
        <w:tc>
          <w:tcPr>
            <w:tcW w:w="5803" w:type="dxa"/>
            <w:tcBorders>
              <w:top w:val="single" w:sz="4" w:space="0" w:color="auto"/>
              <w:left w:val="single" w:sz="4" w:space="0" w:color="auto"/>
              <w:bottom w:val="single" w:sz="4" w:space="0" w:color="auto"/>
              <w:right w:val="single" w:sz="4" w:space="0" w:color="auto"/>
            </w:tcBorders>
            <w:tcMar>
              <w:top w:w="29" w:type="dxa"/>
              <w:left w:w="115" w:type="dxa"/>
              <w:bottom w:w="29" w:type="dxa"/>
              <w:right w:w="115" w:type="dxa"/>
            </w:tcMar>
            <w:hideMark/>
          </w:tcPr>
          <w:p w14:paraId="11F18E5D" w14:textId="78D67E9F" w:rsidR="006C1DF9" w:rsidRPr="00D2758E" w:rsidRDefault="006C1DF9" w:rsidP="006B066D">
            <w:pPr>
              <w:suppressLineNumbers/>
              <w:suppressAutoHyphens/>
              <w:kinsoku w:val="0"/>
              <w:overflowPunct w:val="0"/>
              <w:autoSpaceDE w:val="0"/>
              <w:autoSpaceDN w:val="0"/>
              <w:adjustRightInd w:val="0"/>
              <w:snapToGrid w:val="0"/>
              <w:jc w:val="left"/>
              <w:rPr>
                <w:rFonts w:asciiTheme="majorBidi" w:hAnsiTheme="majorBidi" w:cstheme="majorBidi"/>
                <w:kern w:val="22"/>
                <w:sz w:val="20"/>
                <w:szCs w:val="20"/>
              </w:rPr>
            </w:pPr>
            <w:r w:rsidRPr="00D2758E">
              <w:rPr>
                <w:rFonts w:asciiTheme="majorBidi" w:hAnsiTheme="majorBidi" w:cstheme="majorBidi"/>
                <w:kern w:val="22"/>
                <w:sz w:val="20"/>
                <w:szCs w:val="20"/>
              </w:rPr>
              <w:t xml:space="preserve">Number and percentage of codes of conduct, guidelines, best practices and standards made available as reference records in the </w:t>
            </w:r>
            <w:r w:rsidR="00A94DF6">
              <w:rPr>
                <w:rFonts w:asciiTheme="majorBidi" w:hAnsiTheme="majorBidi" w:cstheme="majorBidi"/>
                <w:kern w:val="22"/>
                <w:sz w:val="20"/>
                <w:szCs w:val="20"/>
              </w:rPr>
              <w:t>Access and Benefit-sharing</w:t>
            </w:r>
            <w:r w:rsidR="00A94DF6" w:rsidRPr="00D2758E">
              <w:rPr>
                <w:rFonts w:asciiTheme="majorBidi" w:hAnsiTheme="majorBidi" w:cstheme="majorBidi"/>
                <w:kern w:val="22"/>
                <w:sz w:val="20"/>
                <w:szCs w:val="20"/>
              </w:rPr>
              <w:t xml:space="preserve"> </w:t>
            </w:r>
            <w:r w:rsidRPr="00D2758E">
              <w:rPr>
                <w:rFonts w:asciiTheme="majorBidi" w:hAnsiTheme="majorBidi" w:cstheme="majorBidi"/>
                <w:kern w:val="22"/>
                <w:sz w:val="20"/>
                <w:szCs w:val="20"/>
              </w:rPr>
              <w:t>Clearing-</w:t>
            </w:r>
            <w:proofErr w:type="spellStart"/>
            <w:r w:rsidRPr="00D2758E">
              <w:rPr>
                <w:rFonts w:asciiTheme="majorBidi" w:hAnsiTheme="majorBidi" w:cstheme="majorBidi"/>
                <w:kern w:val="22"/>
                <w:sz w:val="20"/>
                <w:szCs w:val="20"/>
              </w:rPr>
              <w:t>House</w:t>
            </w:r>
            <w:r w:rsidR="00ED7401" w:rsidRPr="006B066D">
              <w:rPr>
                <w:rFonts w:asciiTheme="majorBidi" w:hAnsiTheme="majorBidi" w:cstheme="majorBidi"/>
                <w:i/>
                <w:iCs/>
                <w:kern w:val="22"/>
                <w:sz w:val="20"/>
                <w:szCs w:val="20"/>
                <w:vertAlign w:val="superscript"/>
              </w:rPr>
              <w:t>b</w:t>
            </w:r>
            <w:proofErr w:type="spellEnd"/>
            <w:r w:rsidRPr="00D2758E">
              <w:rPr>
                <w:rFonts w:asciiTheme="majorBidi" w:hAnsiTheme="majorBidi" w:cstheme="majorBidi"/>
                <w:i/>
                <w:iCs/>
                <w:kern w:val="22"/>
                <w:sz w:val="20"/>
                <w:szCs w:val="20"/>
              </w:rPr>
              <w:t xml:space="preserve"> (change of methodology)</w:t>
            </w:r>
          </w:p>
        </w:tc>
        <w:tc>
          <w:tcPr>
            <w:tcW w:w="1710" w:type="dxa"/>
            <w:tcBorders>
              <w:top w:val="single" w:sz="4" w:space="0" w:color="auto"/>
              <w:left w:val="single" w:sz="4" w:space="0" w:color="auto"/>
              <w:bottom w:val="single" w:sz="4" w:space="0" w:color="auto"/>
              <w:right w:val="single" w:sz="4" w:space="0" w:color="auto"/>
            </w:tcBorders>
            <w:tcMar>
              <w:top w:w="29" w:type="dxa"/>
              <w:left w:w="115" w:type="dxa"/>
              <w:bottom w:w="29" w:type="dxa"/>
              <w:right w:w="115" w:type="dxa"/>
            </w:tcMar>
            <w:vAlign w:val="bottom"/>
            <w:hideMark/>
          </w:tcPr>
          <w:p w14:paraId="7AEF3510" w14:textId="57C48821" w:rsidR="006C1DF9" w:rsidRPr="00D2758E" w:rsidRDefault="00B44EA1" w:rsidP="006B066D">
            <w:pPr>
              <w:jc w:val="right"/>
              <w:rPr>
                <w:sz w:val="20"/>
                <w:szCs w:val="20"/>
              </w:rPr>
            </w:pPr>
            <w:r w:rsidRPr="00D2758E">
              <w:rPr>
                <w:sz w:val="20"/>
                <w:szCs w:val="20"/>
              </w:rPr>
              <w:t xml:space="preserve">25 </w:t>
            </w:r>
            <w:r w:rsidR="006C1DF9" w:rsidRPr="00D2758E">
              <w:rPr>
                <w:sz w:val="20"/>
                <w:szCs w:val="20"/>
              </w:rPr>
              <w:t>(75</w:t>
            </w:r>
            <w:r w:rsidR="00EC58D4">
              <w:rPr>
                <w:sz w:val="20"/>
                <w:szCs w:val="20"/>
              </w:rPr>
              <w:t xml:space="preserve"> per cent</w:t>
            </w:r>
            <w:r w:rsidR="006C1DF9" w:rsidRPr="00D2758E">
              <w:rPr>
                <w:sz w:val="20"/>
                <w:szCs w:val="20"/>
              </w:rPr>
              <w:t>)</w:t>
            </w:r>
          </w:p>
        </w:tc>
        <w:tc>
          <w:tcPr>
            <w:tcW w:w="1418" w:type="dxa"/>
            <w:vAlign w:val="bottom"/>
          </w:tcPr>
          <w:p w14:paraId="45D39841" w14:textId="29A74942" w:rsidR="006C1DF9" w:rsidRPr="00D2758E" w:rsidRDefault="006C1DF9" w:rsidP="006B066D">
            <w:pPr>
              <w:jc w:val="right"/>
              <w:rPr>
                <w:sz w:val="20"/>
                <w:szCs w:val="20"/>
              </w:rPr>
            </w:pPr>
            <w:r w:rsidRPr="00D2758E">
              <w:rPr>
                <w:sz w:val="20"/>
                <w:szCs w:val="20"/>
              </w:rPr>
              <w:t>29 (100</w:t>
            </w:r>
            <w:r w:rsidR="00EC58D4">
              <w:rPr>
                <w:sz w:val="20"/>
                <w:szCs w:val="20"/>
              </w:rPr>
              <w:t xml:space="preserve"> per cent</w:t>
            </w:r>
            <w:r w:rsidRPr="00D2758E">
              <w:rPr>
                <w:sz w:val="20"/>
                <w:szCs w:val="20"/>
              </w:rPr>
              <w:t>)</w:t>
            </w:r>
          </w:p>
        </w:tc>
      </w:tr>
    </w:tbl>
    <w:p w14:paraId="62CEA1B3" w14:textId="5222D7E7" w:rsidR="00EF434C" w:rsidRDefault="00ED7401" w:rsidP="00ED7401">
      <w:pPr>
        <w:ind w:left="851" w:hanging="284"/>
        <w:rPr>
          <w:bCs/>
          <w:sz w:val="18"/>
          <w:szCs w:val="18"/>
        </w:rPr>
      </w:pPr>
      <w:r w:rsidRPr="006B066D">
        <w:rPr>
          <w:bCs/>
          <w:i/>
          <w:iCs/>
          <w:sz w:val="18"/>
          <w:szCs w:val="18"/>
          <w:vertAlign w:val="superscript"/>
        </w:rPr>
        <w:t>a</w:t>
      </w:r>
      <w:r>
        <w:rPr>
          <w:b/>
        </w:rPr>
        <w:tab/>
      </w:r>
      <w:r w:rsidRPr="006B066D">
        <w:rPr>
          <w:bCs/>
          <w:sz w:val="18"/>
          <w:szCs w:val="18"/>
        </w:rPr>
        <w:t xml:space="preserve">The indicator has been modified to clarify that it measures </w:t>
      </w:r>
      <w:r w:rsidR="0016464C" w:rsidRPr="00BF3BD9">
        <w:rPr>
          <w:bCs/>
          <w:sz w:val="18"/>
          <w:szCs w:val="18"/>
        </w:rPr>
        <w:t>only</w:t>
      </w:r>
      <w:r w:rsidR="0016464C" w:rsidRPr="0016464C">
        <w:rPr>
          <w:bCs/>
          <w:sz w:val="18"/>
          <w:szCs w:val="18"/>
        </w:rPr>
        <w:t xml:space="preserve"> </w:t>
      </w:r>
      <w:r w:rsidRPr="006B066D">
        <w:rPr>
          <w:bCs/>
          <w:sz w:val="18"/>
          <w:szCs w:val="18"/>
        </w:rPr>
        <w:t xml:space="preserve">model contractual clauses submitted as reference records and does not include those that Parties have submitted as national records and constitute part of the national </w:t>
      </w:r>
      <w:r w:rsidR="00D84A68">
        <w:rPr>
          <w:bCs/>
          <w:sz w:val="18"/>
          <w:szCs w:val="18"/>
        </w:rPr>
        <w:t xml:space="preserve">access and benefit-sharing </w:t>
      </w:r>
      <w:r w:rsidRPr="006B066D">
        <w:rPr>
          <w:bCs/>
          <w:sz w:val="18"/>
          <w:szCs w:val="18"/>
        </w:rPr>
        <w:t>framework.</w:t>
      </w:r>
    </w:p>
    <w:p w14:paraId="75C0BA3D" w14:textId="38FF78F9" w:rsidR="00ED7401" w:rsidRPr="006B066D" w:rsidRDefault="00ED7401" w:rsidP="006B066D">
      <w:pPr>
        <w:ind w:left="851" w:hanging="284"/>
        <w:rPr>
          <w:bCs/>
          <w:sz w:val="18"/>
          <w:szCs w:val="18"/>
        </w:rPr>
      </w:pPr>
      <w:r w:rsidRPr="006B066D">
        <w:rPr>
          <w:bCs/>
          <w:i/>
          <w:iCs/>
          <w:sz w:val="18"/>
          <w:szCs w:val="18"/>
          <w:vertAlign w:val="superscript"/>
        </w:rPr>
        <w:t>b</w:t>
      </w:r>
      <w:r>
        <w:rPr>
          <w:bCs/>
          <w:sz w:val="18"/>
          <w:szCs w:val="18"/>
        </w:rPr>
        <w:tab/>
      </w:r>
      <w:r w:rsidRPr="00ED7401">
        <w:rPr>
          <w:bCs/>
          <w:sz w:val="18"/>
          <w:szCs w:val="18"/>
        </w:rPr>
        <w:t xml:space="preserve">The indicator has been modified to clarify that it measures </w:t>
      </w:r>
      <w:r w:rsidR="00D84A68" w:rsidRPr="00ED7401">
        <w:rPr>
          <w:bCs/>
          <w:sz w:val="18"/>
          <w:szCs w:val="18"/>
        </w:rPr>
        <w:t xml:space="preserve">only </w:t>
      </w:r>
      <w:r w:rsidRPr="00ED7401">
        <w:rPr>
          <w:bCs/>
          <w:sz w:val="18"/>
          <w:szCs w:val="18"/>
        </w:rPr>
        <w:t xml:space="preserve">codes of conduct, guidelines, best practices and standards made available as reference records and does not include guidelines or other documents submitted by Parties as national records and that constitute part of the national </w:t>
      </w:r>
      <w:r w:rsidR="0065191D">
        <w:rPr>
          <w:bCs/>
          <w:sz w:val="18"/>
          <w:szCs w:val="18"/>
        </w:rPr>
        <w:t xml:space="preserve">access and benefit-sharing </w:t>
      </w:r>
      <w:r w:rsidRPr="00ED7401">
        <w:rPr>
          <w:bCs/>
          <w:sz w:val="18"/>
          <w:szCs w:val="18"/>
        </w:rPr>
        <w:t>framework.</w:t>
      </w:r>
    </w:p>
    <w:p w14:paraId="2B5BD377" w14:textId="65345FC7" w:rsidR="00D66729" w:rsidRPr="00D2758E" w:rsidRDefault="0004088C" w:rsidP="0004088C">
      <w:pPr>
        <w:pStyle w:val="CBDH4"/>
      </w:pPr>
      <w:r>
        <w:t>(b)</w:t>
      </w:r>
      <w:r>
        <w:tab/>
      </w:r>
      <w:r w:rsidR="00D66729" w:rsidRPr="00D2758E">
        <w:t xml:space="preserve">Challenges, root causes and possible ways to enhance </w:t>
      </w:r>
      <w:r w:rsidR="0089109B" w:rsidRPr="00D2758E">
        <w:t xml:space="preserve">the use of </w:t>
      </w:r>
      <w:r w:rsidR="00713405" w:rsidRPr="00D2758E">
        <w:t xml:space="preserve">model contractual clauses and codes of conduct, guidelines, best practices and standards to support the </w:t>
      </w:r>
      <w:r w:rsidR="00D66729" w:rsidRPr="00D2758E">
        <w:t>implementation of the Nagoya Protocol</w:t>
      </w:r>
    </w:p>
    <w:p w14:paraId="36AE771B" w14:textId="01EEAA3A" w:rsidR="00425E5D" w:rsidRPr="00D2758E" w:rsidRDefault="00EB2C37" w:rsidP="00A558F3">
      <w:pPr>
        <w:pStyle w:val="CBDNormalNumber"/>
        <w:rPr>
          <w:rFonts w:asciiTheme="majorBidi" w:hAnsiTheme="majorBidi" w:cstheme="majorBidi"/>
        </w:rPr>
      </w:pPr>
      <w:r w:rsidRPr="00D2758E">
        <w:rPr>
          <w:rFonts w:asciiTheme="majorBidi" w:hAnsiTheme="majorBidi" w:cstheme="majorBidi"/>
        </w:rPr>
        <w:t>With a view to support</w:t>
      </w:r>
      <w:r w:rsidR="008815A2">
        <w:rPr>
          <w:rFonts w:asciiTheme="majorBidi" w:hAnsiTheme="majorBidi" w:cstheme="majorBidi"/>
        </w:rPr>
        <w:t>ing</w:t>
      </w:r>
      <w:r w:rsidRPr="00D2758E">
        <w:rPr>
          <w:rFonts w:asciiTheme="majorBidi" w:hAnsiTheme="majorBidi" w:cstheme="majorBidi"/>
        </w:rPr>
        <w:t xml:space="preserve"> </w:t>
      </w:r>
      <w:r w:rsidR="008815A2">
        <w:rPr>
          <w:rFonts w:asciiTheme="majorBidi" w:hAnsiTheme="majorBidi" w:cstheme="majorBidi"/>
        </w:rPr>
        <w:t xml:space="preserve">access and benefit-sharing </w:t>
      </w:r>
      <w:r w:rsidRPr="00D2758E">
        <w:rPr>
          <w:rFonts w:asciiTheme="majorBidi" w:hAnsiTheme="majorBidi" w:cstheme="majorBidi"/>
        </w:rPr>
        <w:t xml:space="preserve">compliance by users, approaches have been taken by </w:t>
      </w:r>
      <w:r w:rsidR="0058257E">
        <w:rPr>
          <w:rFonts w:asciiTheme="majorBidi" w:hAnsiTheme="majorBidi" w:cstheme="majorBidi"/>
        </w:rPr>
        <w:t>G</w:t>
      </w:r>
      <w:r w:rsidRPr="00D2758E">
        <w:rPr>
          <w:rFonts w:asciiTheme="majorBidi" w:hAnsiTheme="majorBidi" w:cstheme="majorBidi"/>
        </w:rPr>
        <w:t xml:space="preserve">overnments to raise awareness </w:t>
      </w:r>
      <w:r w:rsidR="0058257E">
        <w:rPr>
          <w:rFonts w:asciiTheme="majorBidi" w:hAnsiTheme="majorBidi" w:cstheme="majorBidi"/>
        </w:rPr>
        <w:t>of</w:t>
      </w:r>
      <w:r w:rsidRPr="00D2758E">
        <w:rPr>
          <w:rFonts w:asciiTheme="majorBidi" w:hAnsiTheme="majorBidi" w:cstheme="majorBidi"/>
        </w:rPr>
        <w:t xml:space="preserve"> the Nagoya Protocol and build the capacity of users within their jurisdiction</w:t>
      </w:r>
      <w:r w:rsidR="005141F8" w:rsidRPr="00D2758E">
        <w:rPr>
          <w:rFonts w:asciiTheme="majorBidi" w:hAnsiTheme="majorBidi" w:cstheme="majorBidi"/>
        </w:rPr>
        <w:t xml:space="preserve">, as well as encourage the development of </w:t>
      </w:r>
      <w:r w:rsidR="0058257E" w:rsidRPr="00D2758E">
        <w:rPr>
          <w:rFonts w:asciiTheme="majorBidi" w:hAnsiTheme="majorBidi" w:cstheme="majorBidi"/>
        </w:rPr>
        <w:t xml:space="preserve">tools </w:t>
      </w:r>
      <w:r w:rsidR="001D53BA">
        <w:rPr>
          <w:rFonts w:asciiTheme="majorBidi" w:hAnsiTheme="majorBidi" w:cstheme="majorBidi"/>
        </w:rPr>
        <w:t xml:space="preserve">related to implementation of </w:t>
      </w:r>
      <w:r w:rsidR="005141F8" w:rsidRPr="00D2758E">
        <w:rPr>
          <w:rFonts w:asciiTheme="majorBidi" w:hAnsiTheme="majorBidi" w:cstheme="majorBidi"/>
        </w:rPr>
        <w:t>Article</w:t>
      </w:r>
      <w:r w:rsidR="001D53BA">
        <w:rPr>
          <w:rFonts w:asciiTheme="majorBidi" w:hAnsiTheme="majorBidi" w:cstheme="majorBidi"/>
        </w:rPr>
        <w:t>s</w:t>
      </w:r>
      <w:r w:rsidR="005141F8" w:rsidRPr="00D2758E">
        <w:rPr>
          <w:rFonts w:asciiTheme="majorBidi" w:hAnsiTheme="majorBidi" w:cstheme="majorBidi"/>
        </w:rPr>
        <w:t xml:space="preserve"> 19 and 20.</w:t>
      </w:r>
      <w:r w:rsidRPr="00D2758E">
        <w:rPr>
          <w:rFonts w:asciiTheme="majorBidi" w:hAnsiTheme="majorBidi" w:cstheme="majorBidi"/>
        </w:rPr>
        <w:t xml:space="preserve">  </w:t>
      </w:r>
    </w:p>
    <w:p w14:paraId="5EB7F249" w14:textId="42B8465C" w:rsidR="0073610C" w:rsidRPr="00D2758E" w:rsidRDefault="00D00257" w:rsidP="00A558F3">
      <w:pPr>
        <w:pStyle w:val="CBDNormalNumber"/>
        <w:rPr>
          <w:rFonts w:asciiTheme="majorBidi" w:hAnsiTheme="majorBidi" w:cstheme="majorBidi"/>
        </w:rPr>
      </w:pPr>
      <w:r>
        <w:rPr>
          <w:rFonts w:asciiTheme="majorBidi" w:hAnsiTheme="majorBidi" w:cstheme="majorBidi"/>
        </w:rPr>
        <w:t>U</w:t>
      </w:r>
      <w:r w:rsidR="00EB2C37" w:rsidRPr="00D2758E">
        <w:rPr>
          <w:rFonts w:asciiTheme="majorBidi" w:hAnsiTheme="majorBidi" w:cstheme="majorBidi"/>
        </w:rPr>
        <w:t xml:space="preserve">sers from the business and scientific communities have developed internal processes </w:t>
      </w:r>
      <w:r w:rsidR="00EB2C37" w:rsidRPr="00D2758E">
        <w:t>and</w:t>
      </w:r>
      <w:r w:rsidR="00EB2C37" w:rsidRPr="00D2758E">
        <w:rPr>
          <w:rFonts w:asciiTheme="majorBidi" w:hAnsiTheme="majorBidi" w:cstheme="majorBidi"/>
        </w:rPr>
        <w:t xml:space="preserve"> adopted </w:t>
      </w:r>
      <w:proofErr w:type="gramStart"/>
      <w:r w:rsidR="00EB2C37" w:rsidRPr="00D2758E">
        <w:rPr>
          <w:rFonts w:asciiTheme="majorBidi" w:hAnsiTheme="majorBidi" w:cstheme="majorBidi"/>
        </w:rPr>
        <w:t>a number of</w:t>
      </w:r>
      <w:proofErr w:type="gramEnd"/>
      <w:r w:rsidR="00EB2C37" w:rsidRPr="00D2758E">
        <w:rPr>
          <w:rFonts w:asciiTheme="majorBidi" w:hAnsiTheme="majorBidi" w:cstheme="majorBidi"/>
        </w:rPr>
        <w:t xml:space="preserve"> procedures and tools </w:t>
      </w:r>
      <w:r>
        <w:rPr>
          <w:rFonts w:asciiTheme="majorBidi" w:hAnsiTheme="majorBidi" w:cstheme="majorBidi"/>
        </w:rPr>
        <w:t xml:space="preserve">designed </w:t>
      </w:r>
      <w:r w:rsidR="00EB2C37" w:rsidRPr="00D2758E">
        <w:rPr>
          <w:rFonts w:asciiTheme="majorBidi" w:hAnsiTheme="majorBidi" w:cstheme="majorBidi"/>
        </w:rPr>
        <w:t xml:space="preserve">to ensure </w:t>
      </w:r>
      <w:r w:rsidRPr="00D00257">
        <w:rPr>
          <w:rFonts w:asciiTheme="majorBidi" w:hAnsiTheme="majorBidi" w:cstheme="majorBidi"/>
        </w:rPr>
        <w:t xml:space="preserve">access and benefit-sharing </w:t>
      </w:r>
      <w:r w:rsidR="00EB2C37" w:rsidRPr="00D2758E">
        <w:rPr>
          <w:rFonts w:asciiTheme="majorBidi" w:hAnsiTheme="majorBidi" w:cstheme="majorBidi"/>
        </w:rPr>
        <w:t>compliance</w:t>
      </w:r>
      <w:r w:rsidR="00876049" w:rsidRPr="00D2758E">
        <w:rPr>
          <w:rFonts w:asciiTheme="majorBidi" w:hAnsiTheme="majorBidi" w:cstheme="majorBidi"/>
        </w:rPr>
        <w:t xml:space="preserve">, including </w:t>
      </w:r>
      <w:r w:rsidRPr="00D2758E">
        <w:rPr>
          <w:rFonts w:asciiTheme="majorBidi" w:hAnsiTheme="majorBidi" w:cstheme="majorBidi"/>
        </w:rPr>
        <w:t xml:space="preserve">tools </w:t>
      </w:r>
      <w:r w:rsidR="006F015E">
        <w:rPr>
          <w:rFonts w:asciiTheme="majorBidi" w:hAnsiTheme="majorBidi" w:cstheme="majorBidi"/>
        </w:rPr>
        <w:t xml:space="preserve">for implementation of </w:t>
      </w:r>
      <w:r w:rsidR="00876049" w:rsidRPr="00D2758E">
        <w:rPr>
          <w:rFonts w:asciiTheme="majorBidi" w:hAnsiTheme="majorBidi" w:cstheme="majorBidi"/>
        </w:rPr>
        <w:t>Article</w:t>
      </w:r>
      <w:r w:rsidR="006F015E">
        <w:rPr>
          <w:rFonts w:asciiTheme="majorBidi" w:hAnsiTheme="majorBidi" w:cstheme="majorBidi"/>
        </w:rPr>
        <w:t>s</w:t>
      </w:r>
      <w:r w:rsidR="00876049" w:rsidRPr="00D2758E">
        <w:rPr>
          <w:rFonts w:asciiTheme="majorBidi" w:hAnsiTheme="majorBidi" w:cstheme="majorBidi"/>
        </w:rPr>
        <w:t xml:space="preserve"> 19 and 20</w:t>
      </w:r>
      <w:r w:rsidR="00EB2C37" w:rsidRPr="00D2758E">
        <w:rPr>
          <w:rFonts w:asciiTheme="majorBidi" w:hAnsiTheme="majorBidi" w:cstheme="majorBidi"/>
        </w:rPr>
        <w:t xml:space="preserve">.  </w:t>
      </w:r>
    </w:p>
    <w:p w14:paraId="3A07C1D9" w14:textId="0C96E57F" w:rsidR="00876049" w:rsidRPr="00D2758E" w:rsidRDefault="00723981" w:rsidP="00A558F3">
      <w:pPr>
        <w:pStyle w:val="CBDNormalNumber"/>
        <w:rPr>
          <w:rFonts w:asciiTheme="majorBidi" w:hAnsiTheme="majorBidi" w:cstheme="majorBidi"/>
        </w:rPr>
      </w:pPr>
      <w:r w:rsidRPr="00D2758E">
        <w:rPr>
          <w:rFonts w:asciiTheme="majorBidi" w:hAnsiTheme="majorBidi" w:cstheme="majorBidi"/>
        </w:rPr>
        <w:t>Strengthening these efforts</w:t>
      </w:r>
      <w:r w:rsidR="004E6129" w:rsidRPr="00D2758E">
        <w:rPr>
          <w:rFonts w:asciiTheme="majorBidi" w:hAnsiTheme="majorBidi" w:cstheme="majorBidi"/>
        </w:rPr>
        <w:t>,</w:t>
      </w:r>
      <w:r w:rsidRPr="00D2758E">
        <w:rPr>
          <w:rFonts w:asciiTheme="majorBidi" w:hAnsiTheme="majorBidi" w:cstheme="majorBidi"/>
        </w:rPr>
        <w:t xml:space="preserve"> in parallel with </w:t>
      </w:r>
      <w:r w:rsidR="0069214D" w:rsidRPr="00D2758E">
        <w:rPr>
          <w:rFonts w:asciiTheme="majorBidi" w:hAnsiTheme="majorBidi" w:cstheme="majorBidi"/>
        </w:rPr>
        <w:t>other work</w:t>
      </w:r>
      <w:r w:rsidR="006B45A1" w:rsidRPr="00D2758E">
        <w:rPr>
          <w:rFonts w:asciiTheme="majorBidi" w:hAnsiTheme="majorBidi" w:cstheme="majorBidi"/>
        </w:rPr>
        <w:t xml:space="preserve"> </w:t>
      </w:r>
      <w:r w:rsidR="00FA03DD">
        <w:rPr>
          <w:rFonts w:asciiTheme="majorBidi" w:hAnsiTheme="majorBidi" w:cstheme="majorBidi"/>
        </w:rPr>
        <w:t xml:space="preserve">aimed at </w:t>
      </w:r>
      <w:r w:rsidR="006B45A1" w:rsidRPr="00D2758E">
        <w:rPr>
          <w:rFonts w:asciiTheme="majorBidi" w:hAnsiTheme="majorBidi" w:cstheme="majorBidi"/>
        </w:rPr>
        <w:t>support</w:t>
      </w:r>
      <w:r w:rsidR="00FA03DD">
        <w:rPr>
          <w:rFonts w:asciiTheme="majorBidi" w:hAnsiTheme="majorBidi" w:cstheme="majorBidi"/>
        </w:rPr>
        <w:t>ing</w:t>
      </w:r>
      <w:r w:rsidR="006B45A1" w:rsidRPr="00D2758E">
        <w:rPr>
          <w:rFonts w:asciiTheme="majorBidi" w:hAnsiTheme="majorBidi" w:cstheme="majorBidi"/>
        </w:rPr>
        <w:t xml:space="preserve"> </w:t>
      </w:r>
      <w:r w:rsidR="008B6BF1" w:rsidRPr="00D2758E">
        <w:rPr>
          <w:rFonts w:asciiTheme="majorBidi" w:hAnsiTheme="majorBidi" w:cstheme="majorBidi"/>
        </w:rPr>
        <w:t>Parties in</w:t>
      </w:r>
      <w:r w:rsidR="006B45A1" w:rsidRPr="00D2758E">
        <w:rPr>
          <w:rFonts w:asciiTheme="majorBidi" w:hAnsiTheme="majorBidi" w:cstheme="majorBidi"/>
        </w:rPr>
        <w:t xml:space="preserve"> the implementation of the Nagoya Protocol</w:t>
      </w:r>
      <w:r w:rsidR="00BC3EFE" w:rsidRPr="00D2758E">
        <w:rPr>
          <w:rFonts w:asciiTheme="majorBidi" w:hAnsiTheme="majorBidi" w:cstheme="majorBidi"/>
        </w:rPr>
        <w:t>,</w:t>
      </w:r>
      <w:r w:rsidR="006B45A1" w:rsidRPr="00D2758E">
        <w:rPr>
          <w:rFonts w:asciiTheme="majorBidi" w:hAnsiTheme="majorBidi" w:cstheme="majorBidi"/>
        </w:rPr>
        <w:t xml:space="preserve"> is key </w:t>
      </w:r>
      <w:r w:rsidR="00984788" w:rsidRPr="00D2758E">
        <w:rPr>
          <w:rFonts w:asciiTheme="majorBidi" w:hAnsiTheme="majorBidi" w:cstheme="majorBidi"/>
        </w:rPr>
        <w:t>to achiev</w:t>
      </w:r>
      <w:r w:rsidR="00BC3EFE" w:rsidRPr="00D2758E">
        <w:rPr>
          <w:rFonts w:asciiTheme="majorBidi" w:hAnsiTheme="majorBidi" w:cstheme="majorBidi"/>
        </w:rPr>
        <w:t>ing</w:t>
      </w:r>
      <w:r w:rsidR="00984788" w:rsidRPr="00D2758E">
        <w:rPr>
          <w:rFonts w:asciiTheme="majorBidi" w:hAnsiTheme="majorBidi" w:cstheme="majorBidi"/>
        </w:rPr>
        <w:t xml:space="preserve"> the objectives of the Protocol.</w:t>
      </w:r>
      <w:r w:rsidR="000B2BC8" w:rsidRPr="00D2758E">
        <w:rPr>
          <w:rFonts w:asciiTheme="majorBidi" w:hAnsiTheme="majorBidi" w:cstheme="majorBidi"/>
        </w:rPr>
        <w:t xml:space="preserve"> </w:t>
      </w:r>
      <w:r w:rsidR="00BC3EFE" w:rsidRPr="00D2758E">
        <w:rPr>
          <w:rFonts w:asciiTheme="majorBidi" w:hAnsiTheme="majorBidi" w:cstheme="majorBidi"/>
        </w:rPr>
        <w:t>The e</w:t>
      </w:r>
      <w:r w:rsidR="000B2BC8" w:rsidRPr="00D2758E">
        <w:rPr>
          <w:rFonts w:asciiTheme="majorBidi" w:hAnsiTheme="majorBidi" w:cstheme="majorBidi"/>
        </w:rPr>
        <w:t>xchang</w:t>
      </w:r>
      <w:r w:rsidR="00BC3EFE" w:rsidRPr="00D2758E">
        <w:rPr>
          <w:rFonts w:asciiTheme="majorBidi" w:hAnsiTheme="majorBidi" w:cstheme="majorBidi"/>
        </w:rPr>
        <w:t>e</w:t>
      </w:r>
      <w:r w:rsidR="000B2BC8" w:rsidRPr="00D2758E">
        <w:rPr>
          <w:rFonts w:asciiTheme="majorBidi" w:hAnsiTheme="majorBidi" w:cstheme="majorBidi"/>
        </w:rPr>
        <w:t xml:space="preserve"> of information, experiences and best practices in th</w:t>
      </w:r>
      <w:r w:rsidR="00FA03DD">
        <w:rPr>
          <w:rFonts w:asciiTheme="majorBidi" w:hAnsiTheme="majorBidi" w:cstheme="majorBidi"/>
        </w:rPr>
        <w:t>at</w:t>
      </w:r>
      <w:r w:rsidR="000B2BC8" w:rsidRPr="00D2758E">
        <w:rPr>
          <w:rFonts w:asciiTheme="majorBidi" w:hAnsiTheme="majorBidi" w:cstheme="majorBidi"/>
        </w:rPr>
        <w:t xml:space="preserve"> regard can </w:t>
      </w:r>
      <w:r w:rsidR="008814AD" w:rsidRPr="00D2758E">
        <w:rPr>
          <w:rFonts w:asciiTheme="majorBidi" w:hAnsiTheme="majorBidi" w:cstheme="majorBidi"/>
        </w:rPr>
        <w:t xml:space="preserve">support </w:t>
      </w:r>
      <w:r w:rsidR="008F7E59" w:rsidRPr="00D2758E">
        <w:rPr>
          <w:rFonts w:asciiTheme="majorBidi" w:hAnsiTheme="majorBidi" w:cstheme="majorBidi"/>
        </w:rPr>
        <w:t xml:space="preserve">the efforts of </w:t>
      </w:r>
      <w:r w:rsidR="00E63609">
        <w:rPr>
          <w:rFonts w:asciiTheme="majorBidi" w:hAnsiTheme="majorBidi" w:cstheme="majorBidi"/>
        </w:rPr>
        <w:t>G</w:t>
      </w:r>
      <w:r w:rsidR="004F73FE" w:rsidRPr="00D2758E">
        <w:rPr>
          <w:rFonts w:asciiTheme="majorBidi" w:hAnsiTheme="majorBidi" w:cstheme="majorBidi"/>
        </w:rPr>
        <w:t>overnments, users</w:t>
      </w:r>
      <w:r w:rsidR="000B2BC8" w:rsidRPr="00D2758E">
        <w:rPr>
          <w:rFonts w:asciiTheme="majorBidi" w:hAnsiTheme="majorBidi" w:cstheme="majorBidi"/>
        </w:rPr>
        <w:t xml:space="preserve"> and user organizations</w:t>
      </w:r>
      <w:r w:rsidR="008814AD" w:rsidRPr="00D2758E">
        <w:rPr>
          <w:rFonts w:asciiTheme="majorBidi" w:hAnsiTheme="majorBidi" w:cstheme="majorBidi"/>
        </w:rPr>
        <w:t>.</w:t>
      </w:r>
    </w:p>
    <w:p w14:paraId="6B915ADE" w14:textId="7E9E05F4" w:rsidR="008241C5" w:rsidRPr="00D2758E" w:rsidRDefault="00121CA7" w:rsidP="00A558F3">
      <w:pPr>
        <w:pStyle w:val="CBDNormalNumber"/>
        <w:rPr>
          <w:rFonts w:asciiTheme="majorBidi" w:hAnsiTheme="majorBidi" w:cstheme="majorBidi"/>
        </w:rPr>
      </w:pPr>
      <w:r w:rsidRPr="00D2758E">
        <w:rPr>
          <w:rFonts w:asciiTheme="majorBidi" w:hAnsiTheme="majorBidi" w:cstheme="majorBidi"/>
        </w:rPr>
        <w:t>S</w:t>
      </w:r>
      <w:r w:rsidR="008241C5" w:rsidRPr="00D2758E">
        <w:rPr>
          <w:rFonts w:asciiTheme="majorBidi" w:hAnsiTheme="majorBidi" w:cstheme="majorBidi"/>
        </w:rPr>
        <w:t xml:space="preserve">haring tools </w:t>
      </w:r>
      <w:r w:rsidR="00E63609">
        <w:rPr>
          <w:rFonts w:asciiTheme="majorBidi" w:hAnsiTheme="majorBidi" w:cstheme="majorBidi"/>
        </w:rPr>
        <w:t xml:space="preserve">related to </w:t>
      </w:r>
      <w:r w:rsidR="00806DAF">
        <w:rPr>
          <w:rFonts w:asciiTheme="majorBidi" w:hAnsiTheme="majorBidi" w:cstheme="majorBidi"/>
        </w:rPr>
        <w:t xml:space="preserve">implementation of </w:t>
      </w:r>
      <w:r w:rsidR="00E63609" w:rsidRPr="00D2758E">
        <w:rPr>
          <w:rFonts w:asciiTheme="majorBidi" w:hAnsiTheme="majorBidi" w:cstheme="majorBidi"/>
        </w:rPr>
        <w:t>Article</w:t>
      </w:r>
      <w:r w:rsidR="00806DAF">
        <w:rPr>
          <w:rFonts w:asciiTheme="majorBidi" w:hAnsiTheme="majorBidi" w:cstheme="majorBidi"/>
        </w:rPr>
        <w:t>s</w:t>
      </w:r>
      <w:r w:rsidR="00E63609" w:rsidRPr="00D2758E">
        <w:rPr>
          <w:rFonts w:asciiTheme="majorBidi" w:hAnsiTheme="majorBidi" w:cstheme="majorBidi"/>
        </w:rPr>
        <w:t xml:space="preserve"> 19 and 20 </w:t>
      </w:r>
      <w:r w:rsidR="008241C5" w:rsidRPr="00D2758E">
        <w:rPr>
          <w:rFonts w:asciiTheme="majorBidi" w:hAnsiTheme="majorBidi" w:cstheme="majorBidi"/>
        </w:rPr>
        <w:t xml:space="preserve">through the </w:t>
      </w:r>
      <w:proofErr w:type="gramStart"/>
      <w:r w:rsidR="008241C5" w:rsidRPr="00D2758E">
        <w:rPr>
          <w:rFonts w:asciiTheme="majorBidi" w:hAnsiTheme="majorBidi" w:cstheme="majorBidi"/>
        </w:rPr>
        <w:t>Clearing-House</w:t>
      </w:r>
      <w:proofErr w:type="gramEnd"/>
      <w:r w:rsidR="008241C5" w:rsidRPr="00D2758E">
        <w:rPr>
          <w:rFonts w:asciiTheme="majorBidi" w:hAnsiTheme="majorBidi" w:cstheme="majorBidi"/>
        </w:rPr>
        <w:t xml:space="preserve"> helps other organizations develop similar documents adapted to their circumstances as well as provid</w:t>
      </w:r>
      <w:r w:rsidR="00806DAF">
        <w:rPr>
          <w:rFonts w:asciiTheme="majorBidi" w:hAnsiTheme="majorBidi" w:cstheme="majorBidi"/>
        </w:rPr>
        <w:t>es</w:t>
      </w:r>
      <w:r w:rsidR="008241C5" w:rsidRPr="00D2758E">
        <w:rPr>
          <w:rFonts w:asciiTheme="majorBidi" w:hAnsiTheme="majorBidi" w:cstheme="majorBidi"/>
        </w:rPr>
        <w:t xml:space="preserve"> guidance to users of genetic resources and associated traditional knowledge </w:t>
      </w:r>
      <w:r w:rsidR="00F14306">
        <w:rPr>
          <w:rFonts w:asciiTheme="majorBidi" w:hAnsiTheme="majorBidi" w:cstheme="majorBidi"/>
        </w:rPr>
        <w:t>who</w:t>
      </w:r>
      <w:r w:rsidR="008241C5" w:rsidRPr="00D2758E">
        <w:rPr>
          <w:rFonts w:asciiTheme="majorBidi" w:hAnsiTheme="majorBidi" w:cstheme="majorBidi"/>
        </w:rPr>
        <w:t xml:space="preserve"> may not be aware of those tools and want to adopt best practices for their own work.</w:t>
      </w:r>
    </w:p>
    <w:p w14:paraId="6B5C601A" w14:textId="68498CFB" w:rsidR="0056552E" w:rsidRPr="00D2758E" w:rsidRDefault="0004088C" w:rsidP="006B066D">
      <w:pPr>
        <w:pStyle w:val="CBDH2"/>
        <w:jc w:val="left"/>
      </w:pPr>
      <w:bookmarkStart w:id="14" w:name="_Toc228803310"/>
      <w:r>
        <w:lastRenderedPageBreak/>
        <w:t>G.</w:t>
      </w:r>
      <w:r>
        <w:tab/>
      </w:r>
      <w:r w:rsidR="0056552E" w:rsidRPr="00D2758E">
        <w:t>Review of implementation and operation of the Access and Benefit-sharing Clearing-House</w:t>
      </w:r>
      <w:r w:rsidR="00E23C65" w:rsidRPr="00D2758E">
        <w:rPr>
          <w:rStyle w:val="FootnoteReference"/>
          <w:rFonts w:asciiTheme="majorBidi" w:hAnsiTheme="majorBidi"/>
        </w:rPr>
        <w:footnoteReference w:id="85"/>
      </w:r>
      <w:bookmarkEnd w:id="14"/>
    </w:p>
    <w:p w14:paraId="0CD708D1" w14:textId="00FAF304" w:rsidR="00ED359A" w:rsidRPr="00D2758E" w:rsidRDefault="00DD11B3" w:rsidP="00A558F3">
      <w:pPr>
        <w:pStyle w:val="CBDNormalNumber"/>
        <w:rPr>
          <w:rFonts w:asciiTheme="majorBidi" w:hAnsiTheme="majorBidi" w:cstheme="majorBidi"/>
        </w:rPr>
      </w:pPr>
      <w:r w:rsidRPr="00D2758E">
        <w:rPr>
          <w:rFonts w:asciiTheme="majorBidi" w:hAnsiTheme="majorBidi" w:cstheme="majorBidi"/>
        </w:rPr>
        <w:t xml:space="preserve">The </w:t>
      </w:r>
      <w:r w:rsidR="00A86004">
        <w:rPr>
          <w:rFonts w:asciiTheme="majorBidi" w:hAnsiTheme="majorBidi" w:cstheme="majorBidi"/>
        </w:rPr>
        <w:t xml:space="preserve">Access and Benefit-sharing </w:t>
      </w:r>
      <w:r w:rsidR="00A85BFA" w:rsidRPr="00D2758E">
        <w:rPr>
          <w:rFonts w:asciiTheme="majorBidi" w:hAnsiTheme="majorBidi" w:cstheme="majorBidi"/>
        </w:rPr>
        <w:t xml:space="preserve">Clearing-House was established under Article 14 of the Nagoya Protocol as the central information-sharing platform for supporting the implementation of the Protocol. </w:t>
      </w:r>
      <w:r w:rsidR="00AA4C9C">
        <w:rPr>
          <w:rFonts w:asciiTheme="majorBidi" w:hAnsiTheme="majorBidi" w:cstheme="majorBidi"/>
        </w:rPr>
        <w:t xml:space="preserve">The </w:t>
      </w:r>
      <w:proofErr w:type="gramStart"/>
      <w:r w:rsidR="00AA4C9C">
        <w:rPr>
          <w:rFonts w:asciiTheme="majorBidi" w:hAnsiTheme="majorBidi" w:cstheme="majorBidi"/>
        </w:rPr>
        <w:t>Clearing-House</w:t>
      </w:r>
      <w:proofErr w:type="gramEnd"/>
      <w:r w:rsidR="00A85BFA" w:rsidRPr="00D2758E">
        <w:rPr>
          <w:rFonts w:asciiTheme="majorBidi" w:hAnsiTheme="majorBidi" w:cstheme="majorBidi"/>
        </w:rPr>
        <w:t xml:space="preserve"> serves three core and interrelated functions: (a)</w:t>
      </w:r>
      <w:r w:rsidR="002C127F" w:rsidRPr="00D2758E">
        <w:rPr>
          <w:rFonts w:asciiTheme="majorBidi" w:hAnsiTheme="majorBidi" w:cstheme="majorBidi"/>
        </w:rPr>
        <w:t xml:space="preserve"> </w:t>
      </w:r>
      <w:r w:rsidR="00A86004">
        <w:rPr>
          <w:rFonts w:asciiTheme="majorBidi" w:hAnsiTheme="majorBidi" w:cstheme="majorBidi"/>
        </w:rPr>
        <w:t>f</w:t>
      </w:r>
      <w:r w:rsidR="00A85BFA" w:rsidRPr="00D2758E">
        <w:rPr>
          <w:rFonts w:asciiTheme="majorBidi" w:hAnsiTheme="majorBidi" w:cstheme="majorBidi"/>
        </w:rPr>
        <w:t xml:space="preserve">acilitating access to genetic resources and associated traditional knowledge; (b) </w:t>
      </w:r>
      <w:r w:rsidR="00A86004">
        <w:rPr>
          <w:rFonts w:asciiTheme="majorBidi" w:hAnsiTheme="majorBidi" w:cstheme="majorBidi"/>
        </w:rPr>
        <w:t>s</w:t>
      </w:r>
      <w:r w:rsidR="00A85BFA" w:rsidRPr="00D2758E">
        <w:rPr>
          <w:rFonts w:asciiTheme="majorBidi" w:hAnsiTheme="majorBidi" w:cstheme="majorBidi"/>
        </w:rPr>
        <w:t>upporting compliance and monitoring the utilization of genetic resources</w:t>
      </w:r>
      <w:r w:rsidR="00A86004">
        <w:rPr>
          <w:rFonts w:asciiTheme="majorBidi" w:hAnsiTheme="majorBidi" w:cstheme="majorBidi"/>
        </w:rPr>
        <w:t>;</w:t>
      </w:r>
      <w:r w:rsidR="00A85BFA" w:rsidRPr="00D2758E">
        <w:rPr>
          <w:rFonts w:asciiTheme="majorBidi" w:hAnsiTheme="majorBidi" w:cstheme="majorBidi"/>
        </w:rPr>
        <w:t xml:space="preserve"> </w:t>
      </w:r>
      <w:r w:rsidR="002C127F" w:rsidRPr="00D2758E">
        <w:rPr>
          <w:rFonts w:asciiTheme="majorBidi" w:hAnsiTheme="majorBidi" w:cstheme="majorBidi"/>
        </w:rPr>
        <w:t xml:space="preserve">and </w:t>
      </w:r>
      <w:r w:rsidR="00A85BFA" w:rsidRPr="00D2758E">
        <w:rPr>
          <w:rFonts w:asciiTheme="majorBidi" w:hAnsiTheme="majorBidi" w:cstheme="majorBidi"/>
        </w:rPr>
        <w:t xml:space="preserve">(c) </w:t>
      </w:r>
      <w:r w:rsidR="00A86004">
        <w:rPr>
          <w:rFonts w:asciiTheme="majorBidi" w:hAnsiTheme="majorBidi" w:cstheme="majorBidi"/>
        </w:rPr>
        <w:t>s</w:t>
      </w:r>
      <w:r w:rsidR="00A85BFA" w:rsidRPr="00D2758E">
        <w:rPr>
          <w:rFonts w:asciiTheme="majorBidi" w:hAnsiTheme="majorBidi" w:cstheme="majorBidi"/>
        </w:rPr>
        <w:t xml:space="preserve">upporting capacity-building </w:t>
      </w:r>
      <w:r w:rsidR="00A85BFA" w:rsidRPr="00D2758E">
        <w:t>for</w:t>
      </w:r>
      <w:r w:rsidR="00A85BFA" w:rsidRPr="00D2758E">
        <w:rPr>
          <w:rFonts w:asciiTheme="majorBidi" w:hAnsiTheme="majorBidi" w:cstheme="majorBidi"/>
        </w:rPr>
        <w:t xml:space="preserve"> the implementation of the Protocol.</w:t>
      </w:r>
      <w:r w:rsidR="00ED359A" w:rsidRPr="00D2758E">
        <w:rPr>
          <w:rFonts w:asciiTheme="majorBidi" w:hAnsiTheme="majorBidi" w:cstheme="majorBidi"/>
        </w:rPr>
        <w:t xml:space="preserve"> </w:t>
      </w:r>
    </w:p>
    <w:p w14:paraId="2B6D71AD" w14:textId="62DB51C4" w:rsidR="00ED359A" w:rsidRPr="00D2758E" w:rsidRDefault="00ED359A" w:rsidP="00A558F3">
      <w:pPr>
        <w:pStyle w:val="CBDNormalNumber"/>
        <w:rPr>
          <w:rFonts w:asciiTheme="majorBidi" w:hAnsiTheme="majorBidi" w:cstheme="majorBidi"/>
        </w:rPr>
      </w:pPr>
      <w:r w:rsidRPr="00D2758E">
        <w:rPr>
          <w:rFonts w:asciiTheme="majorBidi" w:hAnsiTheme="majorBidi" w:cstheme="majorBidi"/>
        </w:rPr>
        <w:t xml:space="preserve">Overall, the findings show that the </w:t>
      </w:r>
      <w:proofErr w:type="gramStart"/>
      <w:r w:rsidRPr="00D2758E">
        <w:rPr>
          <w:rFonts w:asciiTheme="majorBidi" w:hAnsiTheme="majorBidi" w:cstheme="majorBidi"/>
        </w:rPr>
        <w:t>Clearing-House</w:t>
      </w:r>
      <w:proofErr w:type="gramEnd"/>
      <w:r w:rsidRPr="00D2758E">
        <w:rPr>
          <w:rFonts w:asciiTheme="majorBidi" w:hAnsiTheme="majorBidi" w:cstheme="majorBidi"/>
        </w:rPr>
        <w:t xml:space="preserve"> has developed considerably since the first assessment and review conducted in 2018 and </w:t>
      </w:r>
      <w:r w:rsidR="00612EC4">
        <w:rPr>
          <w:rFonts w:asciiTheme="majorBidi" w:hAnsiTheme="majorBidi" w:cstheme="majorBidi"/>
        </w:rPr>
        <w:t xml:space="preserve">has </w:t>
      </w:r>
      <w:r w:rsidRPr="00D2758E">
        <w:rPr>
          <w:rFonts w:asciiTheme="majorBidi" w:hAnsiTheme="majorBidi" w:cstheme="majorBidi"/>
        </w:rPr>
        <w:t>show</w:t>
      </w:r>
      <w:r w:rsidR="00612EC4">
        <w:rPr>
          <w:rFonts w:asciiTheme="majorBidi" w:hAnsiTheme="majorBidi" w:cstheme="majorBidi"/>
        </w:rPr>
        <w:t>n</w:t>
      </w:r>
      <w:r w:rsidRPr="00D2758E">
        <w:rPr>
          <w:rFonts w:asciiTheme="majorBidi" w:hAnsiTheme="majorBidi" w:cstheme="majorBidi"/>
        </w:rPr>
        <w:t xml:space="preserve"> incremental but significant increases in both the number of records published across nearly all record types and the number of Parties participating in publishing information, as well as considerable growth in website traffic. </w:t>
      </w:r>
    </w:p>
    <w:p w14:paraId="77532D81" w14:textId="706B156A" w:rsidR="00A85BFA" w:rsidRPr="00D2758E" w:rsidRDefault="0098707C" w:rsidP="00A558F3">
      <w:pPr>
        <w:pStyle w:val="CBDNormalNumber"/>
        <w:rPr>
          <w:rFonts w:asciiTheme="majorBidi" w:hAnsiTheme="majorBidi" w:cstheme="majorBidi"/>
        </w:rPr>
      </w:pPr>
      <w:r>
        <w:rPr>
          <w:rFonts w:asciiTheme="majorBidi" w:hAnsiTheme="majorBidi" w:cstheme="majorBidi"/>
        </w:rPr>
        <w:t>T</w:t>
      </w:r>
      <w:r w:rsidR="00ED359A" w:rsidRPr="00D2758E">
        <w:rPr>
          <w:rFonts w:asciiTheme="majorBidi" w:hAnsiTheme="majorBidi" w:cstheme="majorBidi"/>
        </w:rPr>
        <w:t>he analysis</w:t>
      </w:r>
      <w:r>
        <w:rPr>
          <w:rFonts w:asciiTheme="majorBidi" w:hAnsiTheme="majorBidi" w:cstheme="majorBidi"/>
        </w:rPr>
        <w:t>,</w:t>
      </w:r>
      <w:r w:rsidR="00ED359A" w:rsidRPr="00D2758E">
        <w:rPr>
          <w:rFonts w:asciiTheme="majorBidi" w:hAnsiTheme="majorBidi" w:cstheme="majorBidi"/>
        </w:rPr>
        <w:t xml:space="preserve"> </w:t>
      </w:r>
      <w:r>
        <w:rPr>
          <w:rFonts w:asciiTheme="majorBidi" w:hAnsiTheme="majorBidi" w:cstheme="majorBidi"/>
        </w:rPr>
        <w:t>h</w:t>
      </w:r>
      <w:r w:rsidRPr="00D2758E">
        <w:rPr>
          <w:rFonts w:asciiTheme="majorBidi" w:hAnsiTheme="majorBidi" w:cstheme="majorBidi"/>
        </w:rPr>
        <w:t>owever</w:t>
      </w:r>
      <w:r>
        <w:rPr>
          <w:rFonts w:asciiTheme="majorBidi" w:hAnsiTheme="majorBidi" w:cstheme="majorBidi"/>
        </w:rPr>
        <w:t>.</w:t>
      </w:r>
      <w:r w:rsidRPr="00D2758E">
        <w:rPr>
          <w:rFonts w:asciiTheme="majorBidi" w:hAnsiTheme="majorBidi" w:cstheme="majorBidi"/>
        </w:rPr>
        <w:t xml:space="preserve"> </w:t>
      </w:r>
      <w:r w:rsidR="00ED359A" w:rsidRPr="00D2758E">
        <w:rPr>
          <w:rFonts w:asciiTheme="majorBidi" w:hAnsiTheme="majorBidi" w:cstheme="majorBidi"/>
        </w:rPr>
        <w:t xml:space="preserve">reveals significant and persistent challenges related to each of </w:t>
      </w:r>
      <w:r w:rsidR="00D25F29" w:rsidRPr="00D2758E">
        <w:rPr>
          <w:rFonts w:asciiTheme="majorBidi" w:hAnsiTheme="majorBidi" w:cstheme="majorBidi"/>
        </w:rPr>
        <w:t xml:space="preserve">the </w:t>
      </w:r>
      <w:r w:rsidR="00ED359A" w:rsidRPr="00D2758E">
        <w:rPr>
          <w:rFonts w:asciiTheme="majorBidi" w:hAnsiTheme="majorBidi" w:cstheme="majorBidi"/>
        </w:rPr>
        <w:t>three main objectives</w:t>
      </w:r>
      <w:r w:rsidR="00D25F29" w:rsidRPr="00D2758E">
        <w:rPr>
          <w:rFonts w:asciiTheme="majorBidi" w:hAnsiTheme="majorBidi" w:cstheme="majorBidi"/>
        </w:rPr>
        <w:t xml:space="preserve"> of the </w:t>
      </w:r>
      <w:proofErr w:type="gramStart"/>
      <w:r w:rsidR="00D25F29" w:rsidRPr="00D2758E">
        <w:rPr>
          <w:rFonts w:asciiTheme="majorBidi" w:hAnsiTheme="majorBidi" w:cstheme="majorBidi"/>
        </w:rPr>
        <w:t>Clearing-House</w:t>
      </w:r>
      <w:proofErr w:type="gramEnd"/>
      <w:r w:rsidR="00ED359A" w:rsidRPr="00D2758E">
        <w:rPr>
          <w:rFonts w:asciiTheme="majorBidi" w:hAnsiTheme="majorBidi" w:cstheme="majorBidi"/>
        </w:rPr>
        <w:t>.</w:t>
      </w:r>
    </w:p>
    <w:p w14:paraId="73BA0C0C" w14:textId="57217745" w:rsidR="0092130F" w:rsidRPr="00D2758E" w:rsidRDefault="0004088C" w:rsidP="0004088C">
      <w:pPr>
        <w:pStyle w:val="CBDH3"/>
      </w:pPr>
      <w:r>
        <w:t>1.</w:t>
      </w:r>
      <w:r>
        <w:tab/>
      </w:r>
      <w:r w:rsidR="0092130F" w:rsidRPr="00D2758E">
        <w:t>National records</w:t>
      </w:r>
      <w:r w:rsidR="00484881" w:rsidRPr="00D2758E">
        <w:t xml:space="preserve"> in the </w:t>
      </w:r>
      <w:r w:rsidR="00AC4A48">
        <w:t>Access and Benefit-sharing</w:t>
      </w:r>
      <w:r w:rsidR="00AC4A48" w:rsidRPr="00D2758E">
        <w:t xml:space="preserve"> </w:t>
      </w:r>
      <w:r w:rsidR="00484881" w:rsidRPr="00D2758E">
        <w:t>Clearing-House</w:t>
      </w:r>
    </w:p>
    <w:p w14:paraId="18D5510F" w14:textId="11C82686" w:rsidR="00F44A3C" w:rsidRPr="00D2758E" w:rsidRDefault="0004088C" w:rsidP="0004088C">
      <w:pPr>
        <w:pStyle w:val="CBDH4"/>
      </w:pPr>
      <w:r>
        <w:t>(a)</w:t>
      </w:r>
      <w:r>
        <w:tab/>
      </w:r>
      <w:r w:rsidR="00F44A3C" w:rsidRPr="00D2758E">
        <w:t xml:space="preserve">Progress made in </w:t>
      </w:r>
      <w:r w:rsidR="008C18AA" w:rsidRPr="00D2758E">
        <w:rPr>
          <w:rFonts w:ascii="Times New Roman Bold" w:hAnsi="Times New Roman Bold" w:cstheme="majorBidi"/>
          <w:szCs w:val="26"/>
        </w:rPr>
        <w:t xml:space="preserve">publication of national records </w:t>
      </w:r>
      <w:r w:rsidR="00F44A3C" w:rsidRPr="00D2758E">
        <w:t>and updated indicator data</w:t>
      </w:r>
    </w:p>
    <w:p w14:paraId="46477C60" w14:textId="696EA7F0" w:rsidR="008B2CCB" w:rsidRPr="00D2758E" w:rsidRDefault="006C30C9" w:rsidP="00A558F3">
      <w:pPr>
        <w:pStyle w:val="CBDNormalNumber"/>
        <w:rPr>
          <w:rFonts w:asciiTheme="majorBidi" w:hAnsiTheme="majorBidi" w:cstheme="majorBidi"/>
        </w:rPr>
      </w:pPr>
      <w:r w:rsidRPr="00D2758E">
        <w:rPr>
          <w:rFonts w:asciiTheme="majorBidi" w:hAnsiTheme="majorBidi" w:cstheme="majorBidi"/>
        </w:rPr>
        <w:t>As indicat</w:t>
      </w:r>
      <w:r w:rsidR="004E1E08">
        <w:rPr>
          <w:rFonts w:asciiTheme="majorBidi" w:hAnsiTheme="majorBidi" w:cstheme="majorBidi"/>
        </w:rPr>
        <w:t>ed</w:t>
      </w:r>
      <w:r w:rsidRPr="00D2758E">
        <w:rPr>
          <w:rFonts w:asciiTheme="majorBidi" w:hAnsiTheme="majorBidi" w:cstheme="majorBidi"/>
        </w:rPr>
        <w:t xml:space="preserve"> in table </w:t>
      </w:r>
      <w:r w:rsidR="0091779C" w:rsidRPr="00D2758E">
        <w:rPr>
          <w:rFonts w:asciiTheme="majorBidi" w:hAnsiTheme="majorBidi" w:cstheme="majorBidi"/>
        </w:rPr>
        <w:t>15 below, ov</w:t>
      </w:r>
      <w:r w:rsidR="001226A9" w:rsidRPr="00D2758E">
        <w:rPr>
          <w:rFonts w:asciiTheme="majorBidi" w:hAnsiTheme="majorBidi" w:cstheme="majorBidi"/>
        </w:rPr>
        <w:t xml:space="preserve">erall trends show a continued increase in both the number of national records </w:t>
      </w:r>
      <w:r w:rsidR="001226A9" w:rsidRPr="00D2758E">
        <w:t>published</w:t>
      </w:r>
      <w:r w:rsidR="001226A9" w:rsidRPr="00D2758E">
        <w:rPr>
          <w:rFonts w:asciiTheme="majorBidi" w:hAnsiTheme="majorBidi" w:cstheme="majorBidi"/>
        </w:rPr>
        <w:t xml:space="preserve"> across all record types</w:t>
      </w:r>
      <w:r w:rsidR="00C2355D">
        <w:rPr>
          <w:rFonts w:asciiTheme="majorBidi" w:hAnsiTheme="majorBidi" w:cstheme="majorBidi"/>
        </w:rPr>
        <w:t xml:space="preserve"> and </w:t>
      </w:r>
      <w:r w:rsidR="001226A9" w:rsidRPr="00D2758E">
        <w:rPr>
          <w:rFonts w:asciiTheme="majorBidi" w:hAnsiTheme="majorBidi" w:cstheme="majorBidi"/>
        </w:rPr>
        <w:t>the percentage of Parties publishing</w:t>
      </w:r>
      <w:r w:rsidR="008B2CCB" w:rsidRPr="00D2758E">
        <w:rPr>
          <w:rFonts w:asciiTheme="majorBidi" w:hAnsiTheme="majorBidi" w:cstheme="majorBidi"/>
        </w:rPr>
        <w:t xml:space="preserve"> </w:t>
      </w:r>
      <w:r w:rsidR="001226A9" w:rsidRPr="00D2758E">
        <w:rPr>
          <w:rFonts w:asciiTheme="majorBidi" w:hAnsiTheme="majorBidi" w:cstheme="majorBidi"/>
        </w:rPr>
        <w:t xml:space="preserve">national information. Participation in the </w:t>
      </w:r>
      <w:proofErr w:type="gramStart"/>
      <w:r w:rsidR="001226A9" w:rsidRPr="00D2758E">
        <w:rPr>
          <w:rFonts w:asciiTheme="majorBidi" w:hAnsiTheme="majorBidi" w:cstheme="majorBidi"/>
        </w:rPr>
        <w:t>Clearing-House</w:t>
      </w:r>
      <w:proofErr w:type="gramEnd"/>
      <w:r w:rsidR="001226A9" w:rsidRPr="00D2758E">
        <w:rPr>
          <w:rFonts w:asciiTheme="majorBidi" w:hAnsiTheme="majorBidi" w:cstheme="majorBidi"/>
        </w:rPr>
        <w:t xml:space="preserve"> has </w:t>
      </w:r>
      <w:r w:rsidR="00B74CE9">
        <w:rPr>
          <w:rFonts w:asciiTheme="majorBidi" w:hAnsiTheme="majorBidi" w:cstheme="majorBidi"/>
        </w:rPr>
        <w:t>experienced</w:t>
      </w:r>
      <w:r w:rsidR="001226A9" w:rsidRPr="00D2758E">
        <w:rPr>
          <w:rFonts w:asciiTheme="majorBidi" w:hAnsiTheme="majorBidi" w:cstheme="majorBidi"/>
        </w:rPr>
        <w:t xml:space="preserve"> steady growth, with 93 Parties (66</w:t>
      </w:r>
      <w:r w:rsidR="00B74CE9">
        <w:rPr>
          <w:rFonts w:asciiTheme="majorBidi" w:hAnsiTheme="majorBidi" w:cstheme="majorBidi"/>
        </w:rPr>
        <w:t xml:space="preserve"> per cent</w:t>
      </w:r>
      <w:r w:rsidR="001226A9" w:rsidRPr="00D2758E">
        <w:rPr>
          <w:rFonts w:asciiTheme="majorBidi" w:hAnsiTheme="majorBidi" w:cstheme="majorBidi"/>
        </w:rPr>
        <w:t>) having published at least one national record</w:t>
      </w:r>
      <w:r w:rsidR="004E7EFF">
        <w:rPr>
          <w:rFonts w:asciiTheme="majorBidi" w:hAnsiTheme="majorBidi" w:cstheme="majorBidi"/>
        </w:rPr>
        <w:t>,</w:t>
      </w:r>
      <w:r w:rsidR="00801D47" w:rsidRPr="00D2758E">
        <w:rPr>
          <w:rStyle w:val="FootnoteReference"/>
          <w:rFonts w:asciiTheme="majorBidi" w:hAnsiTheme="majorBidi" w:cstheme="majorBidi"/>
        </w:rPr>
        <w:footnoteReference w:id="86"/>
      </w:r>
      <w:r w:rsidR="001226A9" w:rsidRPr="00D2758E">
        <w:rPr>
          <w:rFonts w:asciiTheme="majorBidi" w:hAnsiTheme="majorBidi" w:cstheme="majorBidi"/>
        </w:rPr>
        <w:t xml:space="preserve"> up from 54 Parties (51</w:t>
      </w:r>
      <w:r w:rsidR="00B74CE9">
        <w:rPr>
          <w:rFonts w:asciiTheme="majorBidi" w:hAnsiTheme="majorBidi" w:cstheme="majorBidi"/>
        </w:rPr>
        <w:t xml:space="preserve"> per cent</w:t>
      </w:r>
      <w:r w:rsidR="001226A9" w:rsidRPr="00D2758E">
        <w:rPr>
          <w:rFonts w:asciiTheme="majorBidi" w:hAnsiTheme="majorBidi" w:cstheme="majorBidi"/>
        </w:rPr>
        <w:t>) in 2018.</w:t>
      </w:r>
    </w:p>
    <w:p w14:paraId="174511E1" w14:textId="0D5D7923" w:rsidR="00936F7A" w:rsidRPr="00D2758E" w:rsidRDefault="004E7EFF" w:rsidP="006B066D">
      <w:pPr>
        <w:pStyle w:val="CBDTableTitle"/>
      </w:pPr>
      <w:r w:rsidRPr="006B066D">
        <w:rPr>
          <w:b w:val="0"/>
          <w:bCs/>
        </w:rPr>
        <w:t>Figure I</w:t>
      </w:r>
      <w:r w:rsidR="00936F7A" w:rsidRPr="006B066D">
        <w:t xml:space="preserve"> </w:t>
      </w:r>
      <w:r w:rsidR="00406CC3" w:rsidRPr="006B066D">
        <w:br/>
      </w:r>
      <w:r w:rsidR="00936F7A" w:rsidRPr="006B066D">
        <w:t>Number of national records and percentage of Parties publishing, as at 9 March 2026</w:t>
      </w:r>
    </w:p>
    <w:p w14:paraId="4FCB9B23" w14:textId="55FCE2D8" w:rsidR="00936F7A" w:rsidRPr="00D2758E" w:rsidRDefault="00936F7A" w:rsidP="000C3C4B">
      <w:pPr>
        <w:pStyle w:val="Para10"/>
        <w:ind w:left="567" w:firstLine="0"/>
        <w:jc w:val="center"/>
      </w:pPr>
    </w:p>
    <w:p w14:paraId="2D66F1E7" w14:textId="27C75F08" w:rsidR="00936F7A" w:rsidRPr="00D2758E" w:rsidRDefault="00845FB9" w:rsidP="000C3C4B">
      <w:pPr>
        <w:pStyle w:val="Para10"/>
        <w:ind w:left="567" w:firstLine="0"/>
        <w:jc w:val="center"/>
        <w:rPr>
          <w:rFonts w:asciiTheme="majorBidi" w:hAnsiTheme="majorBidi" w:cstheme="majorBidi"/>
        </w:rPr>
      </w:pPr>
      <w:r>
        <w:rPr>
          <w:noProof/>
          <w14:ligatures w14:val="standardContextual"/>
        </w:rPr>
        <w:drawing>
          <wp:inline distT="0" distB="0" distL="0" distR="0" wp14:anchorId="269582B6" wp14:editId="50C43A90">
            <wp:extent cx="5550535" cy="2411427"/>
            <wp:effectExtent l="0" t="0" r="12065" b="8255"/>
            <wp:docPr id="578165520" name="Chart 1">
              <a:extLst xmlns:a="http://schemas.openxmlformats.org/drawingml/2006/main">
                <a:ext uri="{FF2B5EF4-FFF2-40B4-BE49-F238E27FC236}">
                  <a16:creationId xmlns:a16="http://schemas.microsoft.com/office/drawing/2014/main" id="{00000000-0008-0000-0000-000002000000}"/>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29"/>
              </a:graphicData>
            </a:graphic>
          </wp:inline>
        </w:drawing>
      </w:r>
    </w:p>
    <w:p w14:paraId="727C9E64" w14:textId="5A27640F" w:rsidR="00B72245" w:rsidRPr="006B066D" w:rsidRDefault="00224A4E" w:rsidP="00B72245">
      <w:pPr>
        <w:pStyle w:val="CBDNormalNumber"/>
        <w:numPr>
          <w:ilvl w:val="0"/>
          <w:numId w:val="0"/>
        </w:numPr>
        <w:ind w:left="567"/>
        <w:rPr>
          <w:rFonts w:asciiTheme="majorBidi" w:hAnsiTheme="majorBidi" w:cstheme="majorBidi"/>
          <w:sz w:val="18"/>
          <w:szCs w:val="18"/>
        </w:rPr>
      </w:pPr>
      <w:r w:rsidRPr="006B066D">
        <w:rPr>
          <w:rFonts w:asciiTheme="majorBidi" w:hAnsiTheme="majorBidi" w:cstheme="majorBidi"/>
          <w:i/>
          <w:iCs/>
          <w:sz w:val="18"/>
          <w:szCs w:val="18"/>
        </w:rPr>
        <w:t>Abbreviations</w:t>
      </w:r>
      <w:r w:rsidRPr="006B066D">
        <w:rPr>
          <w:rFonts w:asciiTheme="majorBidi" w:hAnsiTheme="majorBidi" w:cstheme="majorBidi"/>
          <w:sz w:val="18"/>
          <w:szCs w:val="18"/>
        </w:rPr>
        <w:t xml:space="preserve">: </w:t>
      </w:r>
      <w:r w:rsidR="007A6E37" w:rsidRPr="006B066D">
        <w:rPr>
          <w:rFonts w:asciiTheme="majorBidi" w:hAnsiTheme="majorBidi" w:cstheme="majorBidi"/>
          <w:sz w:val="18"/>
          <w:szCs w:val="18"/>
        </w:rPr>
        <w:t>C</w:t>
      </w:r>
      <w:r w:rsidR="003115B1" w:rsidRPr="006B066D">
        <w:rPr>
          <w:rFonts w:asciiTheme="majorBidi" w:hAnsiTheme="majorBidi" w:cstheme="majorBidi"/>
          <w:sz w:val="18"/>
          <w:szCs w:val="18"/>
        </w:rPr>
        <w:t>NA</w:t>
      </w:r>
      <w:r w:rsidR="007A6E37" w:rsidRPr="006B066D">
        <w:rPr>
          <w:rFonts w:asciiTheme="majorBidi" w:hAnsiTheme="majorBidi" w:cstheme="majorBidi"/>
          <w:sz w:val="18"/>
          <w:szCs w:val="18"/>
        </w:rPr>
        <w:t xml:space="preserve">, competent national authority; </w:t>
      </w:r>
      <w:r w:rsidR="003115B1" w:rsidRPr="006B066D">
        <w:rPr>
          <w:rFonts w:asciiTheme="majorBidi" w:hAnsiTheme="majorBidi" w:cstheme="majorBidi"/>
          <w:sz w:val="18"/>
          <w:szCs w:val="18"/>
        </w:rPr>
        <w:t xml:space="preserve">CP, </w:t>
      </w:r>
      <w:r w:rsidR="00811AA6" w:rsidRPr="006B066D">
        <w:rPr>
          <w:rFonts w:asciiTheme="majorBidi" w:hAnsiTheme="majorBidi" w:cstheme="majorBidi"/>
          <w:sz w:val="18"/>
          <w:szCs w:val="18"/>
        </w:rPr>
        <w:t xml:space="preserve">checkpoint; </w:t>
      </w:r>
      <w:r w:rsidR="00684AA4" w:rsidRPr="006B066D">
        <w:rPr>
          <w:rFonts w:asciiTheme="majorBidi" w:hAnsiTheme="majorBidi" w:cstheme="majorBidi"/>
          <w:sz w:val="18"/>
          <w:szCs w:val="18"/>
        </w:rPr>
        <w:t>CPC, checkpoint communiq</w:t>
      </w:r>
      <w:r w:rsidR="00A905A8" w:rsidRPr="006B066D">
        <w:rPr>
          <w:rFonts w:asciiTheme="majorBidi" w:hAnsiTheme="majorBidi" w:cstheme="majorBidi"/>
          <w:sz w:val="18"/>
          <w:szCs w:val="18"/>
        </w:rPr>
        <w:t>u</w:t>
      </w:r>
      <w:r w:rsidR="00684AA4" w:rsidRPr="006B066D">
        <w:rPr>
          <w:rFonts w:asciiTheme="majorBidi" w:hAnsiTheme="majorBidi" w:cstheme="majorBidi"/>
          <w:sz w:val="18"/>
          <w:szCs w:val="18"/>
        </w:rPr>
        <w:t>é</w:t>
      </w:r>
      <w:r w:rsidR="00A905A8" w:rsidRPr="006B066D">
        <w:rPr>
          <w:rFonts w:asciiTheme="majorBidi" w:hAnsiTheme="majorBidi" w:cstheme="majorBidi"/>
          <w:sz w:val="18"/>
          <w:szCs w:val="18"/>
        </w:rPr>
        <w:t xml:space="preserve">; IRCC, </w:t>
      </w:r>
      <w:r w:rsidR="00233629" w:rsidRPr="006B066D">
        <w:rPr>
          <w:rFonts w:asciiTheme="majorBidi" w:hAnsiTheme="majorBidi" w:cstheme="majorBidi"/>
          <w:sz w:val="18"/>
          <w:szCs w:val="18"/>
        </w:rPr>
        <w:t>internationally recognized certificate of compliance; MSR</w:t>
      </w:r>
      <w:r w:rsidR="00A813DB" w:rsidRPr="006B066D">
        <w:rPr>
          <w:rFonts w:asciiTheme="majorBidi" w:hAnsiTheme="majorBidi" w:cstheme="majorBidi"/>
          <w:sz w:val="18"/>
          <w:szCs w:val="18"/>
        </w:rPr>
        <w:t xml:space="preserve">, </w:t>
      </w:r>
      <w:r w:rsidR="00C64586" w:rsidRPr="006B066D">
        <w:rPr>
          <w:rFonts w:asciiTheme="majorBidi" w:hAnsiTheme="majorBidi" w:cstheme="majorBidi"/>
          <w:sz w:val="18"/>
          <w:szCs w:val="18"/>
        </w:rPr>
        <w:t xml:space="preserve">legislative, administrative or policy measure on access and benefit sharing; </w:t>
      </w:r>
      <w:r w:rsidR="00191E2D" w:rsidRPr="006B066D">
        <w:rPr>
          <w:rFonts w:asciiTheme="majorBidi" w:hAnsiTheme="majorBidi" w:cstheme="majorBidi"/>
          <w:sz w:val="18"/>
          <w:szCs w:val="18"/>
        </w:rPr>
        <w:t xml:space="preserve">NDB, </w:t>
      </w:r>
      <w:r w:rsidR="0046416F" w:rsidRPr="006B066D">
        <w:rPr>
          <w:rFonts w:asciiTheme="majorBidi" w:hAnsiTheme="majorBidi" w:cstheme="majorBidi"/>
          <w:sz w:val="18"/>
          <w:szCs w:val="18"/>
        </w:rPr>
        <w:t>national websites and databases</w:t>
      </w:r>
      <w:r w:rsidR="00105DB1" w:rsidRPr="006B066D">
        <w:rPr>
          <w:rFonts w:asciiTheme="majorBidi" w:hAnsiTheme="majorBidi" w:cstheme="majorBidi"/>
          <w:sz w:val="18"/>
          <w:szCs w:val="18"/>
        </w:rPr>
        <w:t xml:space="preserve">; </w:t>
      </w:r>
      <w:r w:rsidR="00C64586" w:rsidRPr="006B066D">
        <w:rPr>
          <w:rFonts w:asciiTheme="majorBidi" w:hAnsiTheme="majorBidi" w:cstheme="majorBidi"/>
          <w:sz w:val="18"/>
          <w:szCs w:val="18"/>
        </w:rPr>
        <w:t xml:space="preserve">NMCC, </w:t>
      </w:r>
      <w:r w:rsidR="00191E2D" w:rsidRPr="006B066D">
        <w:rPr>
          <w:rFonts w:asciiTheme="majorBidi" w:hAnsiTheme="majorBidi" w:cstheme="majorBidi"/>
          <w:sz w:val="18"/>
          <w:szCs w:val="18"/>
        </w:rPr>
        <w:t xml:space="preserve">national model contractual clause; </w:t>
      </w:r>
      <w:r w:rsidR="00105DB1" w:rsidRPr="006B066D">
        <w:rPr>
          <w:rFonts w:asciiTheme="majorBidi" w:hAnsiTheme="majorBidi" w:cstheme="majorBidi"/>
          <w:sz w:val="18"/>
          <w:szCs w:val="18"/>
        </w:rPr>
        <w:t xml:space="preserve">PRO, </w:t>
      </w:r>
      <w:r w:rsidR="00236E36" w:rsidRPr="006B066D">
        <w:rPr>
          <w:rFonts w:asciiTheme="majorBidi" w:hAnsiTheme="majorBidi" w:cstheme="majorBidi"/>
          <w:sz w:val="18"/>
          <w:szCs w:val="18"/>
        </w:rPr>
        <w:t>access and benefit-sharing procedure.</w:t>
      </w:r>
    </w:p>
    <w:p w14:paraId="1111D13F" w14:textId="06B041B1" w:rsidR="004635B5" w:rsidRPr="00D2758E" w:rsidRDefault="004635B5" w:rsidP="00A558F3">
      <w:pPr>
        <w:pStyle w:val="CBDNormalNumber"/>
        <w:rPr>
          <w:rFonts w:asciiTheme="majorBidi" w:hAnsiTheme="majorBidi" w:cstheme="majorBidi"/>
        </w:rPr>
      </w:pPr>
      <w:r w:rsidRPr="00D2758E">
        <w:rPr>
          <w:rFonts w:asciiTheme="majorBidi" w:hAnsiTheme="majorBidi" w:cstheme="majorBidi"/>
        </w:rPr>
        <w:lastRenderedPageBreak/>
        <w:t>Globally,</w:t>
      </w:r>
      <w:r w:rsidR="00FF6085" w:rsidRPr="00D2758E">
        <w:rPr>
          <w:rFonts w:asciiTheme="majorBidi" w:hAnsiTheme="majorBidi" w:cstheme="majorBidi"/>
        </w:rPr>
        <w:t xml:space="preserve"> publication of</w:t>
      </w:r>
      <w:r w:rsidR="005655F5" w:rsidRPr="00D2758E">
        <w:rPr>
          <w:rFonts w:asciiTheme="majorBidi" w:hAnsiTheme="majorBidi" w:cstheme="majorBidi"/>
        </w:rPr>
        <w:t xml:space="preserve"> records on</w:t>
      </w:r>
      <w:r w:rsidR="00FF6085" w:rsidRPr="00D2758E">
        <w:rPr>
          <w:rFonts w:asciiTheme="majorBidi" w:hAnsiTheme="majorBidi" w:cstheme="majorBidi"/>
        </w:rPr>
        <w:t xml:space="preserve"> </w:t>
      </w:r>
      <w:r w:rsidRPr="00D2758E">
        <w:rPr>
          <w:rFonts w:asciiTheme="majorBidi" w:hAnsiTheme="majorBidi" w:cstheme="majorBidi"/>
        </w:rPr>
        <w:t xml:space="preserve">competent national authorities and legislative, administrative or policy measures </w:t>
      </w:r>
      <w:r w:rsidR="00BA027D" w:rsidRPr="00D2758E">
        <w:rPr>
          <w:rFonts w:asciiTheme="majorBidi" w:hAnsiTheme="majorBidi" w:cstheme="majorBidi"/>
        </w:rPr>
        <w:t>show</w:t>
      </w:r>
      <w:r w:rsidR="00E80EAA">
        <w:rPr>
          <w:rFonts w:asciiTheme="majorBidi" w:hAnsiTheme="majorBidi" w:cstheme="majorBidi"/>
        </w:rPr>
        <w:t>ed</w:t>
      </w:r>
      <w:r w:rsidRPr="00D2758E">
        <w:rPr>
          <w:rFonts w:asciiTheme="majorBidi" w:hAnsiTheme="majorBidi" w:cstheme="majorBidi"/>
        </w:rPr>
        <w:t xml:space="preserve"> the </w:t>
      </w:r>
      <w:r w:rsidRPr="00D2758E">
        <w:t>highest</w:t>
      </w:r>
      <w:r w:rsidRPr="00D2758E">
        <w:rPr>
          <w:rFonts w:asciiTheme="majorBidi" w:hAnsiTheme="majorBidi" w:cstheme="majorBidi"/>
        </w:rPr>
        <w:t xml:space="preserve"> levels of participation among Parties, with just under 60</w:t>
      </w:r>
      <w:r w:rsidR="00064E15">
        <w:rPr>
          <w:rFonts w:asciiTheme="majorBidi" w:hAnsiTheme="majorBidi" w:cstheme="majorBidi"/>
        </w:rPr>
        <w:t xml:space="preserve"> per cent </w:t>
      </w:r>
      <w:r w:rsidRPr="00D2758E">
        <w:rPr>
          <w:rFonts w:asciiTheme="majorBidi" w:hAnsiTheme="majorBidi" w:cstheme="majorBidi"/>
        </w:rPr>
        <w:t xml:space="preserve">of Parties having published at least one record in each of these categories. </w:t>
      </w:r>
    </w:p>
    <w:p w14:paraId="54A68C7A" w14:textId="2B00F94D" w:rsidR="00FF6085" w:rsidRPr="00D2758E" w:rsidRDefault="002515C7" w:rsidP="00A558F3">
      <w:pPr>
        <w:pStyle w:val="CBDNormalNumber"/>
        <w:rPr>
          <w:rFonts w:asciiTheme="majorBidi" w:hAnsiTheme="majorBidi" w:cstheme="majorBidi"/>
        </w:rPr>
      </w:pPr>
      <w:r w:rsidRPr="00D2758E">
        <w:rPr>
          <w:rFonts w:asciiTheme="majorBidi" w:hAnsiTheme="majorBidi" w:cstheme="majorBidi"/>
        </w:rPr>
        <w:t>Publication of information on c</w:t>
      </w:r>
      <w:r w:rsidR="00FF6085" w:rsidRPr="00D2758E">
        <w:rPr>
          <w:rFonts w:asciiTheme="majorBidi" w:hAnsiTheme="majorBidi" w:cstheme="majorBidi"/>
        </w:rPr>
        <w:t xml:space="preserve">heckpoints </w:t>
      </w:r>
      <w:r w:rsidR="00C25E99" w:rsidRPr="00D2758E">
        <w:rPr>
          <w:rFonts w:asciiTheme="majorBidi" w:hAnsiTheme="majorBidi" w:cstheme="majorBidi"/>
        </w:rPr>
        <w:t>show</w:t>
      </w:r>
      <w:r w:rsidR="00E80EAA">
        <w:rPr>
          <w:rFonts w:asciiTheme="majorBidi" w:hAnsiTheme="majorBidi" w:cstheme="majorBidi"/>
        </w:rPr>
        <w:t>ed</w:t>
      </w:r>
      <w:r w:rsidR="00C25E99" w:rsidRPr="00D2758E">
        <w:rPr>
          <w:rFonts w:asciiTheme="majorBidi" w:hAnsiTheme="majorBidi" w:cstheme="majorBidi"/>
        </w:rPr>
        <w:t xml:space="preserve"> lower participation, with over 30</w:t>
      </w:r>
      <w:r w:rsidR="00064E15">
        <w:rPr>
          <w:rFonts w:asciiTheme="majorBidi" w:hAnsiTheme="majorBidi" w:cstheme="majorBidi"/>
        </w:rPr>
        <w:t xml:space="preserve"> per cent</w:t>
      </w:r>
      <w:r w:rsidR="00C25E99" w:rsidRPr="00D2758E">
        <w:rPr>
          <w:rFonts w:asciiTheme="majorBidi" w:hAnsiTheme="majorBidi" w:cstheme="majorBidi"/>
        </w:rPr>
        <w:t xml:space="preserve"> of Parties having published information, and comparatively fewer records made available overall. </w:t>
      </w:r>
    </w:p>
    <w:p w14:paraId="7C2074AB" w14:textId="552D9CC5" w:rsidR="002515C7" w:rsidRPr="00D2758E" w:rsidRDefault="002515C7" w:rsidP="00A558F3">
      <w:pPr>
        <w:pStyle w:val="CBDNormalNumber"/>
      </w:pPr>
      <w:r w:rsidRPr="00D2758E">
        <w:t>Publ</w:t>
      </w:r>
      <w:r w:rsidR="0091779C" w:rsidRPr="00D2758E">
        <w:t xml:space="preserve">ication of </w:t>
      </w:r>
      <w:r w:rsidR="00BD38ED" w:rsidRPr="00D2758E">
        <w:t xml:space="preserve">national databases and websites </w:t>
      </w:r>
      <w:r w:rsidR="00235062" w:rsidRPr="00D2758E">
        <w:t>ha</w:t>
      </w:r>
      <w:r w:rsidR="00E80EAA">
        <w:t>d</w:t>
      </w:r>
      <w:r w:rsidR="00235062" w:rsidRPr="00D2758E">
        <w:t xml:space="preserve"> low participation</w:t>
      </w:r>
      <w:r w:rsidR="000F0733">
        <w:t>,</w:t>
      </w:r>
      <w:r w:rsidR="00235062" w:rsidRPr="00D2758E">
        <w:t xml:space="preserve"> </w:t>
      </w:r>
      <w:r w:rsidR="00345870" w:rsidRPr="00D2758E">
        <w:t>with 30</w:t>
      </w:r>
      <w:r w:rsidR="000F0733">
        <w:t xml:space="preserve"> per</w:t>
      </w:r>
      <w:r w:rsidR="00535DC7">
        <w:t xml:space="preserve"> cent</w:t>
      </w:r>
      <w:r w:rsidR="00345870" w:rsidRPr="00D2758E">
        <w:t xml:space="preserve"> of Parties</w:t>
      </w:r>
      <w:r w:rsidR="0060048C" w:rsidRPr="00D2758E">
        <w:t xml:space="preserve"> </w:t>
      </w:r>
      <w:r w:rsidR="0060048C" w:rsidRPr="006B066D">
        <w:rPr>
          <w:rFonts w:asciiTheme="majorBidi" w:hAnsiTheme="majorBidi" w:cstheme="majorBidi"/>
        </w:rPr>
        <w:t>publishing</w:t>
      </w:r>
      <w:r w:rsidR="00535DC7">
        <w:t>.</w:t>
      </w:r>
      <w:r w:rsidR="00E80EAA">
        <w:t xml:space="preserve"> N</w:t>
      </w:r>
      <w:r w:rsidRPr="00D2758E">
        <w:t xml:space="preserve">ational model contractual clauses and </w:t>
      </w:r>
      <w:r w:rsidR="00E80EAA">
        <w:t xml:space="preserve">access and benefit-sharing </w:t>
      </w:r>
      <w:r w:rsidRPr="00D2758E">
        <w:t>procedures display</w:t>
      </w:r>
      <w:r w:rsidR="00E80EAA">
        <w:t>ed</w:t>
      </w:r>
      <w:r w:rsidRPr="00D2758E">
        <w:t xml:space="preserve"> both a low number of published records and</w:t>
      </w:r>
      <w:r w:rsidR="00301BE9">
        <w:t xml:space="preserve"> </w:t>
      </w:r>
      <w:r w:rsidRPr="00D2758E">
        <w:t>low participation</w:t>
      </w:r>
      <w:r w:rsidR="00E80EAA">
        <w:t>,</w:t>
      </w:r>
      <w:r w:rsidRPr="00D2758E">
        <w:t xml:space="preserve"> with fewer than 20</w:t>
      </w:r>
      <w:r w:rsidR="00E80EAA">
        <w:t xml:space="preserve"> per cent</w:t>
      </w:r>
      <w:r w:rsidRPr="00D2758E">
        <w:t xml:space="preserve"> of Parties contributing information. </w:t>
      </w:r>
    </w:p>
    <w:p w14:paraId="5234FC04" w14:textId="5BE30C98" w:rsidR="008C340C" w:rsidRPr="00D2758E" w:rsidRDefault="000D358B" w:rsidP="00CD2C50">
      <w:pPr>
        <w:pStyle w:val="CBDNormalNumber"/>
        <w:rPr>
          <w:rFonts w:asciiTheme="majorBidi" w:hAnsiTheme="majorBidi" w:cstheme="majorBidi"/>
        </w:rPr>
      </w:pPr>
      <w:r>
        <w:rPr>
          <w:rFonts w:asciiTheme="majorBidi" w:hAnsiTheme="majorBidi" w:cstheme="majorBidi"/>
        </w:rPr>
        <w:t>While</w:t>
      </w:r>
      <w:r w:rsidR="008C340C" w:rsidRPr="00D2758E">
        <w:rPr>
          <w:rFonts w:asciiTheme="majorBidi" w:hAnsiTheme="majorBidi" w:cstheme="majorBidi"/>
        </w:rPr>
        <w:t xml:space="preserve"> certificates (</w:t>
      </w:r>
      <w:r w:rsidR="008C340C" w:rsidRPr="00D2758E">
        <w:t>6</w:t>
      </w:r>
      <w:r>
        <w:t>,</w:t>
      </w:r>
      <w:r w:rsidR="008C340C" w:rsidRPr="00D2758E">
        <w:t>269</w:t>
      </w:r>
      <w:r w:rsidR="008C340C" w:rsidRPr="00D2758E">
        <w:rPr>
          <w:rFonts w:asciiTheme="majorBidi" w:hAnsiTheme="majorBidi" w:cstheme="majorBidi"/>
        </w:rPr>
        <w:t xml:space="preserve"> records) and checkpoint communiqu</w:t>
      </w:r>
      <w:r>
        <w:rPr>
          <w:rFonts w:asciiTheme="majorBidi" w:hAnsiTheme="majorBidi" w:cstheme="majorBidi"/>
        </w:rPr>
        <w:t>é</w:t>
      </w:r>
      <w:r w:rsidR="000B0B03">
        <w:rPr>
          <w:rFonts w:asciiTheme="majorBidi" w:hAnsiTheme="majorBidi" w:cstheme="majorBidi"/>
        </w:rPr>
        <w:t>s</w:t>
      </w:r>
      <w:r w:rsidR="008C340C" w:rsidRPr="00D2758E">
        <w:rPr>
          <w:rFonts w:asciiTheme="majorBidi" w:hAnsiTheme="majorBidi" w:cstheme="majorBidi"/>
        </w:rPr>
        <w:t xml:space="preserve"> (371 records) </w:t>
      </w:r>
      <w:r w:rsidR="000B0B03">
        <w:rPr>
          <w:rFonts w:asciiTheme="majorBidi" w:hAnsiTheme="majorBidi" w:cstheme="majorBidi"/>
        </w:rPr>
        <w:t>account</w:t>
      </w:r>
      <w:r w:rsidR="000A3AA8">
        <w:rPr>
          <w:rFonts w:asciiTheme="majorBidi" w:hAnsiTheme="majorBidi" w:cstheme="majorBidi"/>
        </w:rPr>
        <w:t>ed</w:t>
      </w:r>
      <w:r w:rsidR="000B0B03">
        <w:rPr>
          <w:rFonts w:asciiTheme="majorBidi" w:hAnsiTheme="majorBidi" w:cstheme="majorBidi"/>
        </w:rPr>
        <w:t xml:space="preserve"> for </w:t>
      </w:r>
      <w:r w:rsidR="000A3AA8">
        <w:rPr>
          <w:rFonts w:asciiTheme="majorBidi" w:hAnsiTheme="majorBidi" w:cstheme="majorBidi"/>
        </w:rPr>
        <w:t>the</w:t>
      </w:r>
      <w:r w:rsidR="008C340C" w:rsidRPr="00D2758E">
        <w:rPr>
          <w:rFonts w:asciiTheme="majorBidi" w:hAnsiTheme="majorBidi" w:cstheme="majorBidi"/>
        </w:rPr>
        <w:t xml:space="preserve"> largest number of records in the </w:t>
      </w:r>
      <w:proofErr w:type="gramStart"/>
      <w:r w:rsidR="008C340C" w:rsidRPr="00D2758E">
        <w:rPr>
          <w:rFonts w:asciiTheme="majorBidi" w:hAnsiTheme="majorBidi" w:cstheme="majorBidi"/>
        </w:rPr>
        <w:t>Clearing-House</w:t>
      </w:r>
      <w:proofErr w:type="gramEnd"/>
      <w:r w:rsidR="008C340C" w:rsidRPr="00D2758E">
        <w:rPr>
          <w:rFonts w:asciiTheme="majorBidi" w:hAnsiTheme="majorBidi" w:cstheme="majorBidi"/>
        </w:rPr>
        <w:t>, the findings reveal</w:t>
      </w:r>
      <w:r w:rsidR="000A3AA8">
        <w:rPr>
          <w:rFonts w:asciiTheme="majorBidi" w:hAnsiTheme="majorBidi" w:cstheme="majorBidi"/>
        </w:rPr>
        <w:t>ed</w:t>
      </w:r>
      <w:r w:rsidR="008C340C" w:rsidRPr="00D2758E">
        <w:rPr>
          <w:rFonts w:asciiTheme="majorBidi" w:hAnsiTheme="majorBidi" w:cstheme="majorBidi"/>
        </w:rPr>
        <w:t xml:space="preserve"> </w:t>
      </w:r>
      <w:r w:rsidR="000A3AA8">
        <w:rPr>
          <w:rFonts w:asciiTheme="majorBidi" w:hAnsiTheme="majorBidi" w:cstheme="majorBidi"/>
        </w:rPr>
        <w:t xml:space="preserve">that </w:t>
      </w:r>
      <w:r w:rsidR="008C340C" w:rsidRPr="00D2758E">
        <w:rPr>
          <w:rFonts w:asciiTheme="majorBidi" w:hAnsiTheme="majorBidi" w:cstheme="majorBidi"/>
        </w:rPr>
        <w:t>relatively few Parties</w:t>
      </w:r>
      <w:r w:rsidR="00301BE9">
        <w:rPr>
          <w:rFonts w:asciiTheme="majorBidi" w:hAnsiTheme="majorBidi" w:cstheme="majorBidi"/>
        </w:rPr>
        <w:t xml:space="preserve"> (</w:t>
      </w:r>
      <w:r w:rsidR="008C340C" w:rsidRPr="00D2758E">
        <w:rPr>
          <w:rFonts w:asciiTheme="majorBidi" w:hAnsiTheme="majorBidi" w:cstheme="majorBidi"/>
        </w:rPr>
        <w:t>34 (24</w:t>
      </w:r>
      <w:r w:rsidR="00A76F1C">
        <w:rPr>
          <w:rFonts w:asciiTheme="majorBidi" w:hAnsiTheme="majorBidi" w:cstheme="majorBidi"/>
        </w:rPr>
        <w:t xml:space="preserve"> per cent</w:t>
      </w:r>
      <w:r w:rsidR="00301BE9">
        <w:rPr>
          <w:rFonts w:asciiTheme="majorBidi" w:hAnsiTheme="majorBidi" w:cstheme="majorBidi"/>
        </w:rPr>
        <w:t>)</w:t>
      </w:r>
      <w:r w:rsidR="008C340C" w:rsidRPr="00D2758E">
        <w:rPr>
          <w:rFonts w:asciiTheme="majorBidi" w:hAnsiTheme="majorBidi" w:cstheme="majorBidi"/>
        </w:rPr>
        <w:t>)</w:t>
      </w:r>
      <w:r w:rsidR="00F36874">
        <w:rPr>
          <w:rFonts w:asciiTheme="majorBidi" w:hAnsiTheme="majorBidi" w:cstheme="majorBidi"/>
        </w:rPr>
        <w:t xml:space="preserve"> were</w:t>
      </w:r>
      <w:r w:rsidR="008C340C" w:rsidRPr="00D2758E">
        <w:rPr>
          <w:rFonts w:asciiTheme="majorBidi" w:hAnsiTheme="majorBidi" w:cstheme="majorBidi"/>
        </w:rPr>
        <w:t xml:space="preserve"> publishing certificates and even fewer Parties </w:t>
      </w:r>
      <w:r w:rsidR="00F36874">
        <w:rPr>
          <w:rFonts w:asciiTheme="majorBidi" w:hAnsiTheme="majorBidi" w:cstheme="majorBidi"/>
        </w:rPr>
        <w:t>(</w:t>
      </w:r>
      <w:r w:rsidR="008C340C" w:rsidRPr="00D2758E">
        <w:rPr>
          <w:rFonts w:asciiTheme="majorBidi" w:hAnsiTheme="majorBidi" w:cstheme="majorBidi"/>
        </w:rPr>
        <w:t>14 (10</w:t>
      </w:r>
      <w:r w:rsidR="00F36874">
        <w:rPr>
          <w:rFonts w:asciiTheme="majorBidi" w:hAnsiTheme="majorBidi" w:cstheme="majorBidi"/>
        </w:rPr>
        <w:t xml:space="preserve"> per cent)</w:t>
      </w:r>
      <w:r w:rsidR="008C340C" w:rsidRPr="00D2758E">
        <w:rPr>
          <w:rFonts w:asciiTheme="majorBidi" w:hAnsiTheme="majorBidi" w:cstheme="majorBidi"/>
        </w:rPr>
        <w:t xml:space="preserve">) </w:t>
      </w:r>
      <w:r w:rsidR="005C59B1">
        <w:rPr>
          <w:rFonts w:asciiTheme="majorBidi" w:hAnsiTheme="majorBidi" w:cstheme="majorBidi"/>
        </w:rPr>
        <w:t>we</w:t>
      </w:r>
      <w:r w:rsidR="008C340C" w:rsidRPr="00D2758E">
        <w:rPr>
          <w:rFonts w:asciiTheme="majorBidi" w:hAnsiTheme="majorBidi" w:cstheme="majorBidi"/>
        </w:rPr>
        <w:t>re publishing checkpoint communiqu</w:t>
      </w:r>
      <w:r w:rsidR="00472D68">
        <w:rPr>
          <w:rFonts w:asciiTheme="majorBidi" w:hAnsiTheme="majorBidi" w:cstheme="majorBidi"/>
        </w:rPr>
        <w:t>é</w:t>
      </w:r>
      <w:r w:rsidR="008C340C" w:rsidRPr="00D2758E">
        <w:rPr>
          <w:rFonts w:asciiTheme="majorBidi" w:hAnsiTheme="majorBidi" w:cstheme="majorBidi"/>
        </w:rPr>
        <w:t xml:space="preserve">s. </w:t>
      </w:r>
    </w:p>
    <w:p w14:paraId="7C025712" w14:textId="47AC2858" w:rsidR="005A60A6" w:rsidRPr="00D2758E" w:rsidRDefault="004E7EFF" w:rsidP="0035165F">
      <w:pPr>
        <w:pStyle w:val="CBDTableTitle"/>
      </w:pPr>
      <w:r w:rsidRPr="006B066D">
        <w:rPr>
          <w:b w:val="0"/>
          <w:bCs/>
        </w:rPr>
        <w:t>Figure II</w:t>
      </w:r>
      <w:r w:rsidR="00112519" w:rsidRPr="006B066D">
        <w:t xml:space="preserve"> </w:t>
      </w:r>
      <w:r w:rsidR="0035165F" w:rsidRPr="006B066D">
        <w:br/>
      </w:r>
      <w:r w:rsidR="00112519" w:rsidRPr="006B066D">
        <w:t xml:space="preserve">Status of progress by Parties in publishing information </w:t>
      </w:r>
      <w:r w:rsidR="001B62CC">
        <w:t>o</w:t>
      </w:r>
      <w:r w:rsidR="00112519" w:rsidRPr="006B066D">
        <w:t xml:space="preserve">n the Access and Benefit-sharing </w:t>
      </w:r>
      <w:r w:rsidR="003F2661">
        <w:t xml:space="preserve">Clearing-house </w:t>
      </w:r>
      <w:r w:rsidR="00112519" w:rsidRPr="006B066D">
        <w:t>(percentage of Parties by region)</w:t>
      </w:r>
    </w:p>
    <w:p w14:paraId="4ECB53DF" w14:textId="3294891E" w:rsidR="000D779C" w:rsidRPr="00D2758E" w:rsidRDefault="00845FB9" w:rsidP="000D779C">
      <w:pPr>
        <w:pStyle w:val="Para10"/>
        <w:ind w:left="540" w:firstLine="0"/>
      </w:pPr>
      <w:r>
        <w:rPr>
          <w:noProof/>
          <w14:ligatures w14:val="standardContextual"/>
        </w:rPr>
        <w:drawing>
          <wp:inline distT="0" distB="0" distL="0" distR="0" wp14:anchorId="27D06FC5" wp14:editId="20E8DAAB">
            <wp:extent cx="5943600" cy="2945130"/>
            <wp:effectExtent l="0" t="0" r="0" b="7620"/>
            <wp:docPr id="213426654" name="Chart 1">
              <a:extLst xmlns:a="http://schemas.openxmlformats.org/drawingml/2006/main">
                <a:ext uri="{FF2B5EF4-FFF2-40B4-BE49-F238E27FC236}">
                  <a16:creationId xmlns:a16="http://schemas.microsoft.com/office/drawing/2014/main" id="{425FFA3D-AFFA-2B77-0B25-BA2595D0A569}"/>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30"/>
              </a:graphicData>
            </a:graphic>
          </wp:inline>
        </w:drawing>
      </w:r>
    </w:p>
    <w:p w14:paraId="50AE25CA" w14:textId="093407AB" w:rsidR="002F2963" w:rsidRPr="00D2758E" w:rsidRDefault="00186724" w:rsidP="00CD2C50">
      <w:pPr>
        <w:pStyle w:val="CBDNormalNumber"/>
      </w:pPr>
      <w:r>
        <w:t xml:space="preserve">It should be noted that </w:t>
      </w:r>
      <w:r w:rsidR="000D779C" w:rsidRPr="00D2758E">
        <w:t>many Parties have information</w:t>
      </w:r>
      <w:r w:rsidR="007C7E32" w:rsidRPr="00D2758E">
        <w:t xml:space="preserve"> available</w:t>
      </w:r>
      <w:r w:rsidR="00CC0149" w:rsidRPr="00D2758E">
        <w:t xml:space="preserve"> that </w:t>
      </w:r>
      <w:r w:rsidR="007C7E32" w:rsidRPr="00D2758E">
        <w:t xml:space="preserve">they have not yet published on the </w:t>
      </w:r>
      <w:proofErr w:type="gramStart"/>
      <w:r w:rsidR="007C7E32" w:rsidRPr="00D2758E">
        <w:t>Clearing-House</w:t>
      </w:r>
      <w:proofErr w:type="gramEnd"/>
      <w:r w:rsidR="000D779C" w:rsidRPr="00D2758E">
        <w:t xml:space="preserve">. As shown in </w:t>
      </w:r>
      <w:r w:rsidR="006E5CCF">
        <w:t>figure II</w:t>
      </w:r>
      <w:r w:rsidR="000D779C" w:rsidRPr="00D2758E">
        <w:t>, 68 Parties (48</w:t>
      </w:r>
      <w:r w:rsidR="00A43014">
        <w:t xml:space="preserve"> per cent</w:t>
      </w:r>
      <w:r w:rsidR="000D779C" w:rsidRPr="00D2758E">
        <w:t xml:space="preserve">) have </w:t>
      </w:r>
      <w:r w:rsidR="00152A70" w:rsidRPr="00D2758E">
        <w:t>published</w:t>
      </w:r>
      <w:r w:rsidR="000D779C" w:rsidRPr="00D2758E">
        <w:t xml:space="preserve"> some information </w:t>
      </w:r>
      <w:r w:rsidR="00356E0B" w:rsidRPr="006B066D">
        <w:rPr>
          <w:rFonts w:asciiTheme="majorBidi" w:hAnsiTheme="majorBidi" w:cstheme="majorBidi"/>
        </w:rPr>
        <w:t>o</w:t>
      </w:r>
      <w:r w:rsidR="000D779C" w:rsidRPr="006B066D">
        <w:rPr>
          <w:rFonts w:asciiTheme="majorBidi" w:hAnsiTheme="majorBidi" w:cstheme="majorBidi"/>
        </w:rPr>
        <w:t>n</w:t>
      </w:r>
      <w:r w:rsidR="000D779C" w:rsidRPr="00D2758E">
        <w:t xml:space="preserve"> the </w:t>
      </w:r>
      <w:proofErr w:type="gramStart"/>
      <w:r w:rsidR="000D779C" w:rsidRPr="00D2758E">
        <w:t>Clearing-House</w:t>
      </w:r>
      <w:proofErr w:type="gramEnd"/>
      <w:r w:rsidR="000D779C" w:rsidRPr="00D2758E">
        <w:t xml:space="preserve"> but </w:t>
      </w:r>
      <w:r w:rsidR="001930BB" w:rsidRPr="00D2758E">
        <w:t xml:space="preserve">according to </w:t>
      </w:r>
      <w:r w:rsidR="001523DE">
        <w:t xml:space="preserve">the </w:t>
      </w:r>
      <w:r w:rsidR="001930BB" w:rsidRPr="00D2758E">
        <w:t>information available</w:t>
      </w:r>
      <w:r w:rsidR="00152A70" w:rsidRPr="00D2758E">
        <w:t xml:space="preserve"> they have</w:t>
      </w:r>
      <w:r w:rsidR="000D779C" w:rsidRPr="00D2758E">
        <w:t xml:space="preserve"> more information available to </w:t>
      </w:r>
      <w:r w:rsidR="001523DE">
        <w:t xml:space="preserve">be </w:t>
      </w:r>
      <w:r w:rsidR="0013147C" w:rsidRPr="00D2758E">
        <w:t>publish</w:t>
      </w:r>
      <w:r w:rsidR="001523DE">
        <w:t>ed</w:t>
      </w:r>
      <w:r w:rsidR="000D779C" w:rsidRPr="00D2758E">
        <w:t xml:space="preserve"> and 46 Parties (32</w:t>
      </w:r>
      <w:r w:rsidR="006D59BE">
        <w:t xml:space="preserve"> per cent</w:t>
      </w:r>
      <w:r w:rsidR="000D779C" w:rsidRPr="00D2758E">
        <w:t xml:space="preserve">) have no information </w:t>
      </w:r>
      <w:r w:rsidR="006D59BE">
        <w:t>o</w:t>
      </w:r>
      <w:r w:rsidR="000D779C" w:rsidRPr="00D2758E">
        <w:t xml:space="preserve">n the </w:t>
      </w:r>
      <w:proofErr w:type="gramStart"/>
      <w:r w:rsidR="000D779C" w:rsidRPr="00D2758E">
        <w:t>Clearing-</w:t>
      </w:r>
      <w:r w:rsidR="0060048C" w:rsidRPr="00D2758E">
        <w:t>House</w:t>
      </w:r>
      <w:proofErr w:type="gramEnd"/>
      <w:r w:rsidR="0060048C" w:rsidRPr="00D2758E">
        <w:t xml:space="preserve"> but</w:t>
      </w:r>
      <w:r w:rsidR="000D779C" w:rsidRPr="00D2758E">
        <w:t xml:space="preserve"> </w:t>
      </w:r>
      <w:r w:rsidR="0013147C" w:rsidRPr="00D2758E">
        <w:t>have</w:t>
      </w:r>
      <w:r w:rsidR="000D779C" w:rsidRPr="00D2758E">
        <w:t xml:space="preserve"> information </w:t>
      </w:r>
      <w:r w:rsidR="0013147C" w:rsidRPr="00D2758E">
        <w:t xml:space="preserve">available </w:t>
      </w:r>
      <w:r w:rsidR="000D779C" w:rsidRPr="00D2758E">
        <w:t xml:space="preserve">to be published. Africa and Latin America and the Caribbean are the regions with </w:t>
      </w:r>
      <w:r w:rsidR="007C2DFB" w:rsidRPr="00D2758E">
        <w:t>the great</w:t>
      </w:r>
      <w:r w:rsidR="00680480" w:rsidRPr="00D2758E">
        <w:t>est</w:t>
      </w:r>
      <w:r w:rsidR="007C2DFB" w:rsidRPr="00D2758E">
        <w:t xml:space="preserve"> amount of </w:t>
      </w:r>
      <w:r w:rsidR="000D779C" w:rsidRPr="00D2758E">
        <w:t>information</w:t>
      </w:r>
      <w:r w:rsidR="00680480" w:rsidRPr="00D2758E">
        <w:t xml:space="preserve"> </w:t>
      </w:r>
      <w:r w:rsidR="000D779C" w:rsidRPr="00D2758E">
        <w:t xml:space="preserve">available </w:t>
      </w:r>
      <w:r w:rsidR="00D1190F" w:rsidRPr="00D2758E">
        <w:t xml:space="preserve">but not yet </w:t>
      </w:r>
      <w:r w:rsidR="00555BA2" w:rsidRPr="00D2758E">
        <w:t>published</w:t>
      </w:r>
      <w:r w:rsidR="00680480" w:rsidRPr="00D2758E">
        <w:t xml:space="preserve"> on</w:t>
      </w:r>
      <w:r w:rsidR="000D779C" w:rsidRPr="00D2758E">
        <w:t xml:space="preserve"> the </w:t>
      </w:r>
      <w:proofErr w:type="gramStart"/>
      <w:r w:rsidR="000D779C" w:rsidRPr="00D2758E">
        <w:t>Clearing-House</w:t>
      </w:r>
      <w:proofErr w:type="gramEnd"/>
      <w:r w:rsidR="000D779C" w:rsidRPr="00D2758E">
        <w:t>.</w:t>
      </w:r>
      <w:r w:rsidR="00D15024" w:rsidRPr="00D2758E">
        <w:rPr>
          <w:rStyle w:val="FootnoteReference"/>
        </w:rPr>
        <w:footnoteReference w:id="87"/>
      </w:r>
    </w:p>
    <w:p w14:paraId="5B531F2F" w14:textId="03161464" w:rsidR="002F2963" w:rsidRPr="00D2758E" w:rsidRDefault="002F2963" w:rsidP="00540BD4">
      <w:pPr>
        <w:pStyle w:val="CBDTableTitle"/>
      </w:pPr>
      <w:r w:rsidRPr="00540BD4">
        <w:rPr>
          <w:b w:val="0"/>
          <w:bCs/>
        </w:rPr>
        <w:lastRenderedPageBreak/>
        <w:t>Table 15</w:t>
      </w:r>
      <w:r w:rsidRPr="00D2758E">
        <w:t xml:space="preserve"> </w:t>
      </w:r>
      <w:r w:rsidR="00540BD4">
        <w:br/>
      </w:r>
      <w:r w:rsidRPr="00D2758E">
        <w:t xml:space="preserve">Indicators to measure progress in the publication of national records on the </w:t>
      </w:r>
      <w:r w:rsidR="002D7610">
        <w:t xml:space="preserve">Access and Benefit-sharing </w:t>
      </w:r>
      <w:r w:rsidRPr="00D2758E">
        <w:t>Clearing-House</w:t>
      </w:r>
    </w:p>
    <w:tbl>
      <w:tblPr>
        <w:tblW w:w="8561" w:type="dxa"/>
        <w:tblInd w:w="56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240"/>
        <w:gridCol w:w="1815"/>
        <w:gridCol w:w="1506"/>
      </w:tblGrid>
      <w:tr w:rsidR="002F2963" w:rsidRPr="003D0EB5" w14:paraId="74A872D1" w14:textId="77777777" w:rsidTr="006B066D">
        <w:trPr>
          <w:cantSplit/>
        </w:trPr>
        <w:tc>
          <w:tcPr>
            <w:tcW w:w="5240" w:type="dxa"/>
            <w:tcBorders>
              <w:top w:val="single" w:sz="4" w:space="0" w:color="auto"/>
              <w:left w:val="single" w:sz="4" w:space="0" w:color="auto"/>
              <w:bottom w:val="single" w:sz="4" w:space="0" w:color="auto"/>
              <w:right w:val="single" w:sz="4" w:space="0" w:color="auto"/>
            </w:tcBorders>
            <w:tcMar>
              <w:top w:w="29" w:type="dxa"/>
              <w:left w:w="115" w:type="dxa"/>
              <w:bottom w:w="29" w:type="dxa"/>
              <w:right w:w="115" w:type="dxa"/>
            </w:tcMar>
            <w:vAlign w:val="bottom"/>
            <w:hideMark/>
          </w:tcPr>
          <w:p w14:paraId="1EE03986" w14:textId="77777777" w:rsidR="002F2963" w:rsidRPr="006B066D" w:rsidRDefault="002F2963" w:rsidP="006B066D">
            <w:pPr>
              <w:suppressLineNumbers/>
              <w:suppressAutoHyphens/>
              <w:kinsoku w:val="0"/>
              <w:overflowPunct w:val="0"/>
              <w:autoSpaceDE w:val="0"/>
              <w:autoSpaceDN w:val="0"/>
              <w:adjustRightInd w:val="0"/>
              <w:snapToGrid w:val="0"/>
              <w:ind w:left="314" w:hanging="360"/>
              <w:jc w:val="left"/>
              <w:rPr>
                <w:rFonts w:eastAsia="Malgun Gothic"/>
                <w:i/>
                <w:iCs/>
                <w:kern w:val="22"/>
                <w:sz w:val="20"/>
                <w:szCs w:val="20"/>
              </w:rPr>
            </w:pPr>
            <w:r w:rsidRPr="006B066D">
              <w:rPr>
                <w:rFonts w:eastAsia="Malgun Gothic"/>
                <w:i/>
                <w:iCs/>
                <w:kern w:val="22"/>
                <w:sz w:val="20"/>
                <w:szCs w:val="20"/>
              </w:rPr>
              <w:t>Framework of indicators</w:t>
            </w:r>
          </w:p>
        </w:tc>
        <w:tc>
          <w:tcPr>
            <w:tcW w:w="1815" w:type="dxa"/>
            <w:tcBorders>
              <w:top w:val="single" w:sz="4" w:space="0" w:color="auto"/>
              <w:left w:val="single" w:sz="4" w:space="0" w:color="auto"/>
              <w:bottom w:val="single" w:sz="4" w:space="0" w:color="auto"/>
              <w:right w:val="single" w:sz="4" w:space="0" w:color="auto"/>
            </w:tcBorders>
            <w:tcMar>
              <w:top w:w="29" w:type="dxa"/>
              <w:left w:w="115" w:type="dxa"/>
              <w:bottom w:w="29" w:type="dxa"/>
              <w:right w:w="115" w:type="dxa"/>
            </w:tcMar>
            <w:vAlign w:val="bottom"/>
            <w:hideMark/>
          </w:tcPr>
          <w:p w14:paraId="1B0B8F4A" w14:textId="7C024231" w:rsidR="002F2963" w:rsidRPr="006B066D" w:rsidRDefault="002F2963" w:rsidP="006B066D">
            <w:pPr>
              <w:suppressLineNumbers/>
              <w:suppressAutoHyphens/>
              <w:kinsoku w:val="0"/>
              <w:overflowPunct w:val="0"/>
              <w:autoSpaceDE w:val="0"/>
              <w:autoSpaceDN w:val="0"/>
              <w:adjustRightInd w:val="0"/>
              <w:snapToGrid w:val="0"/>
              <w:jc w:val="right"/>
              <w:rPr>
                <w:rFonts w:eastAsia="Calibri"/>
                <w:i/>
                <w:iCs/>
                <w:kern w:val="22"/>
                <w:sz w:val="20"/>
                <w:szCs w:val="20"/>
              </w:rPr>
            </w:pPr>
            <w:r w:rsidRPr="006B066D">
              <w:rPr>
                <w:rFonts w:eastAsia="Calibri"/>
                <w:i/>
                <w:iCs/>
                <w:kern w:val="22"/>
                <w:sz w:val="20"/>
                <w:szCs w:val="20"/>
              </w:rPr>
              <w:t xml:space="preserve">Reference point </w:t>
            </w:r>
            <w:r w:rsidR="00300CAC">
              <w:rPr>
                <w:rFonts w:eastAsia="Calibri"/>
                <w:i/>
                <w:iCs/>
                <w:kern w:val="22"/>
                <w:sz w:val="20"/>
                <w:szCs w:val="20"/>
              </w:rPr>
              <w:br/>
            </w:r>
            <w:r w:rsidRPr="006B066D">
              <w:rPr>
                <w:rFonts w:eastAsia="Calibri"/>
                <w:i/>
                <w:iCs/>
                <w:kern w:val="22"/>
                <w:sz w:val="20"/>
                <w:szCs w:val="20"/>
              </w:rPr>
              <w:t>(as at 22 February 2018)</w:t>
            </w:r>
          </w:p>
        </w:tc>
        <w:tc>
          <w:tcPr>
            <w:tcW w:w="1506" w:type="dxa"/>
            <w:tcBorders>
              <w:top w:val="single" w:sz="4" w:space="0" w:color="auto"/>
              <w:left w:val="single" w:sz="4" w:space="0" w:color="auto"/>
              <w:bottom w:val="single" w:sz="4" w:space="0" w:color="auto"/>
              <w:right w:val="single" w:sz="4" w:space="0" w:color="auto"/>
            </w:tcBorders>
            <w:vAlign w:val="bottom"/>
          </w:tcPr>
          <w:p w14:paraId="2584D9E8" w14:textId="2E94FD0E" w:rsidR="002F2963" w:rsidRPr="006B066D" w:rsidRDefault="0019282B" w:rsidP="006B066D">
            <w:pPr>
              <w:suppressLineNumbers/>
              <w:suppressAutoHyphens/>
              <w:kinsoku w:val="0"/>
              <w:overflowPunct w:val="0"/>
              <w:autoSpaceDE w:val="0"/>
              <w:autoSpaceDN w:val="0"/>
              <w:adjustRightInd w:val="0"/>
              <w:snapToGrid w:val="0"/>
              <w:jc w:val="right"/>
              <w:rPr>
                <w:rFonts w:eastAsia="Calibri"/>
                <w:i/>
                <w:iCs/>
                <w:kern w:val="22"/>
                <w:sz w:val="20"/>
                <w:szCs w:val="20"/>
              </w:rPr>
            </w:pPr>
            <w:r>
              <w:rPr>
                <w:rFonts w:eastAsia="Calibri"/>
                <w:i/>
                <w:iCs/>
                <w:kern w:val="22"/>
                <w:sz w:val="20"/>
                <w:szCs w:val="20"/>
              </w:rPr>
              <w:t xml:space="preserve">Progress as at </w:t>
            </w:r>
            <w:r w:rsidR="002F2963" w:rsidRPr="006B066D">
              <w:rPr>
                <w:rFonts w:eastAsia="Calibri"/>
                <w:i/>
                <w:iCs/>
                <w:kern w:val="22"/>
                <w:sz w:val="20"/>
                <w:szCs w:val="20"/>
              </w:rPr>
              <w:t>9 March 2026</w:t>
            </w:r>
          </w:p>
        </w:tc>
      </w:tr>
      <w:tr w:rsidR="002F2963" w:rsidRPr="00D2758E" w14:paraId="41981A2F" w14:textId="77777777" w:rsidTr="006B066D">
        <w:trPr>
          <w:cantSplit/>
        </w:trPr>
        <w:tc>
          <w:tcPr>
            <w:tcW w:w="5240" w:type="dxa"/>
            <w:tcBorders>
              <w:top w:val="single" w:sz="4" w:space="0" w:color="auto"/>
              <w:left w:val="single" w:sz="4" w:space="0" w:color="auto"/>
              <w:bottom w:val="single" w:sz="4" w:space="0" w:color="auto"/>
              <w:right w:val="single" w:sz="4" w:space="0" w:color="auto"/>
            </w:tcBorders>
            <w:tcMar>
              <w:top w:w="29" w:type="dxa"/>
              <w:left w:w="115" w:type="dxa"/>
              <w:bottom w:w="29" w:type="dxa"/>
              <w:right w:w="115" w:type="dxa"/>
            </w:tcMar>
            <w:hideMark/>
          </w:tcPr>
          <w:p w14:paraId="7D49BE73" w14:textId="0118E2CD" w:rsidR="002F2963" w:rsidRPr="00D2758E" w:rsidRDefault="002F2963" w:rsidP="006B066D">
            <w:pPr>
              <w:suppressLineNumbers/>
              <w:suppressAutoHyphens/>
              <w:kinsoku w:val="0"/>
              <w:overflowPunct w:val="0"/>
              <w:autoSpaceDE w:val="0"/>
              <w:autoSpaceDN w:val="0"/>
              <w:adjustRightInd w:val="0"/>
              <w:snapToGrid w:val="0"/>
              <w:jc w:val="left"/>
              <w:rPr>
                <w:rFonts w:eastAsia="Malgun Gothic"/>
                <w:kern w:val="22"/>
                <w:sz w:val="20"/>
                <w:szCs w:val="20"/>
              </w:rPr>
            </w:pPr>
            <w:r w:rsidRPr="00D2758E">
              <w:rPr>
                <w:rFonts w:eastAsia="Malgun Gothic"/>
                <w:kern w:val="22"/>
                <w:sz w:val="20"/>
                <w:szCs w:val="20"/>
              </w:rPr>
              <w:t>Number and percentage of Parties that have published information on competent national authorities</w:t>
            </w:r>
            <w:r w:rsidRPr="00D2758E">
              <w:rPr>
                <w:rFonts w:eastAsia="Calibri"/>
                <w:kern w:val="22"/>
                <w:sz w:val="20"/>
                <w:szCs w:val="20"/>
              </w:rPr>
              <w:t xml:space="preserve"> </w:t>
            </w:r>
            <w:r w:rsidRPr="00D2758E">
              <w:rPr>
                <w:rFonts w:eastAsia="Malgun Gothic"/>
                <w:kern w:val="22"/>
                <w:sz w:val="20"/>
                <w:szCs w:val="20"/>
              </w:rPr>
              <w:t xml:space="preserve">in the </w:t>
            </w:r>
            <w:r w:rsidR="004916B0" w:rsidRPr="004916B0">
              <w:rPr>
                <w:rFonts w:eastAsia="Malgun Gothic"/>
                <w:kern w:val="22"/>
                <w:sz w:val="20"/>
                <w:szCs w:val="20"/>
              </w:rPr>
              <w:t xml:space="preserve">Access and Benefit-sharing </w:t>
            </w:r>
            <w:r w:rsidRPr="00D2758E">
              <w:rPr>
                <w:rFonts w:eastAsia="Malgun Gothic"/>
                <w:kern w:val="22"/>
                <w:sz w:val="20"/>
                <w:szCs w:val="20"/>
              </w:rPr>
              <w:t>Clearing-House</w:t>
            </w:r>
          </w:p>
        </w:tc>
        <w:tc>
          <w:tcPr>
            <w:tcW w:w="1815" w:type="dxa"/>
            <w:tcBorders>
              <w:top w:val="single" w:sz="4" w:space="0" w:color="auto"/>
              <w:left w:val="single" w:sz="4" w:space="0" w:color="auto"/>
              <w:bottom w:val="single" w:sz="4" w:space="0" w:color="auto"/>
              <w:right w:val="single" w:sz="4" w:space="0" w:color="auto"/>
            </w:tcBorders>
            <w:tcMar>
              <w:top w:w="29" w:type="dxa"/>
              <w:left w:w="115" w:type="dxa"/>
              <w:bottom w:w="29" w:type="dxa"/>
              <w:right w:w="115" w:type="dxa"/>
            </w:tcMar>
            <w:vAlign w:val="bottom"/>
            <w:hideMark/>
          </w:tcPr>
          <w:p w14:paraId="111C2BCE" w14:textId="32C174DE" w:rsidR="002F2963" w:rsidRPr="00D2758E" w:rsidRDefault="002F2963" w:rsidP="006B066D">
            <w:pPr>
              <w:suppressLineNumbers/>
              <w:suppressAutoHyphens/>
              <w:kinsoku w:val="0"/>
              <w:overflowPunct w:val="0"/>
              <w:autoSpaceDE w:val="0"/>
              <w:autoSpaceDN w:val="0"/>
              <w:adjustRightInd w:val="0"/>
              <w:snapToGrid w:val="0"/>
              <w:jc w:val="right"/>
              <w:rPr>
                <w:rFonts w:eastAsia="Calibri"/>
                <w:kern w:val="22"/>
                <w:sz w:val="20"/>
                <w:szCs w:val="20"/>
              </w:rPr>
            </w:pPr>
            <w:r w:rsidRPr="00D2758E">
              <w:rPr>
                <w:rFonts w:eastAsia="Calibri"/>
                <w:kern w:val="22"/>
                <w:sz w:val="20"/>
                <w:szCs w:val="20"/>
              </w:rPr>
              <w:t>45 (43</w:t>
            </w:r>
            <w:r w:rsidR="00A44BA4">
              <w:rPr>
                <w:rFonts w:eastAsia="Calibri"/>
                <w:kern w:val="22"/>
                <w:sz w:val="20"/>
                <w:szCs w:val="20"/>
              </w:rPr>
              <w:t xml:space="preserve"> per cent</w:t>
            </w:r>
            <w:r w:rsidRPr="00D2758E">
              <w:rPr>
                <w:rFonts w:eastAsia="Calibri"/>
                <w:kern w:val="22"/>
                <w:sz w:val="20"/>
                <w:szCs w:val="20"/>
              </w:rPr>
              <w:t>)</w:t>
            </w:r>
          </w:p>
        </w:tc>
        <w:tc>
          <w:tcPr>
            <w:tcW w:w="1506" w:type="dxa"/>
            <w:vAlign w:val="bottom"/>
          </w:tcPr>
          <w:p w14:paraId="00C93237" w14:textId="42AD416F" w:rsidR="002F2963" w:rsidRPr="00D2758E" w:rsidRDefault="002F2963" w:rsidP="006B066D">
            <w:pPr>
              <w:suppressLineNumbers/>
              <w:suppressAutoHyphens/>
              <w:kinsoku w:val="0"/>
              <w:overflowPunct w:val="0"/>
              <w:autoSpaceDE w:val="0"/>
              <w:autoSpaceDN w:val="0"/>
              <w:adjustRightInd w:val="0"/>
              <w:snapToGrid w:val="0"/>
              <w:jc w:val="right"/>
              <w:rPr>
                <w:rFonts w:eastAsia="Calibri"/>
                <w:kern w:val="22"/>
                <w:sz w:val="20"/>
                <w:szCs w:val="20"/>
              </w:rPr>
            </w:pPr>
            <w:r w:rsidRPr="00D2758E">
              <w:rPr>
                <w:rFonts w:eastAsia="Calibri"/>
                <w:kern w:val="22"/>
                <w:sz w:val="20"/>
                <w:szCs w:val="20"/>
              </w:rPr>
              <w:t>83 (58</w:t>
            </w:r>
            <w:r w:rsidR="00A44BA4">
              <w:rPr>
                <w:rFonts w:eastAsia="Calibri"/>
                <w:kern w:val="22"/>
                <w:sz w:val="20"/>
                <w:szCs w:val="20"/>
              </w:rPr>
              <w:t xml:space="preserve"> per cent</w:t>
            </w:r>
            <w:r w:rsidRPr="00D2758E">
              <w:rPr>
                <w:rFonts w:eastAsia="Calibri"/>
                <w:kern w:val="22"/>
                <w:sz w:val="20"/>
                <w:szCs w:val="20"/>
              </w:rPr>
              <w:t>)</w:t>
            </w:r>
          </w:p>
        </w:tc>
      </w:tr>
      <w:tr w:rsidR="002F2963" w:rsidRPr="00D2758E" w14:paraId="7915DF37" w14:textId="77777777" w:rsidTr="006B066D">
        <w:trPr>
          <w:cantSplit/>
        </w:trPr>
        <w:tc>
          <w:tcPr>
            <w:tcW w:w="5240" w:type="dxa"/>
            <w:tcBorders>
              <w:top w:val="single" w:sz="4" w:space="0" w:color="auto"/>
              <w:left w:val="single" w:sz="4" w:space="0" w:color="auto"/>
              <w:bottom w:val="single" w:sz="4" w:space="0" w:color="auto"/>
              <w:right w:val="single" w:sz="4" w:space="0" w:color="auto"/>
            </w:tcBorders>
            <w:tcMar>
              <w:top w:w="29" w:type="dxa"/>
              <w:left w:w="115" w:type="dxa"/>
              <w:bottom w:w="29" w:type="dxa"/>
              <w:right w:w="115" w:type="dxa"/>
            </w:tcMar>
            <w:hideMark/>
          </w:tcPr>
          <w:p w14:paraId="03314B61" w14:textId="5E42C60D" w:rsidR="002F2963" w:rsidRPr="00D2758E" w:rsidRDefault="002F2963" w:rsidP="006B066D">
            <w:pPr>
              <w:suppressLineNumbers/>
              <w:suppressAutoHyphens/>
              <w:kinsoku w:val="0"/>
              <w:overflowPunct w:val="0"/>
              <w:autoSpaceDE w:val="0"/>
              <w:autoSpaceDN w:val="0"/>
              <w:adjustRightInd w:val="0"/>
              <w:snapToGrid w:val="0"/>
              <w:jc w:val="left"/>
              <w:rPr>
                <w:rFonts w:eastAsia="Malgun Gothic"/>
                <w:kern w:val="22"/>
                <w:sz w:val="20"/>
                <w:szCs w:val="20"/>
              </w:rPr>
            </w:pPr>
            <w:r w:rsidRPr="00D2758E">
              <w:rPr>
                <w:rFonts w:eastAsia="Malgun Gothic"/>
                <w:kern w:val="22"/>
                <w:sz w:val="20"/>
                <w:szCs w:val="20"/>
              </w:rPr>
              <w:t xml:space="preserve">Number and percentage of Parties that have published information on legislative, administrative or policy measures on the </w:t>
            </w:r>
            <w:r w:rsidR="004916B0" w:rsidRPr="004916B0">
              <w:rPr>
                <w:rFonts w:eastAsia="Malgun Gothic"/>
                <w:kern w:val="22"/>
                <w:sz w:val="20"/>
                <w:szCs w:val="20"/>
              </w:rPr>
              <w:t xml:space="preserve">Access and Benefit-sharing </w:t>
            </w:r>
            <w:r w:rsidRPr="00D2758E">
              <w:rPr>
                <w:rFonts w:eastAsia="Malgun Gothic"/>
                <w:kern w:val="22"/>
                <w:sz w:val="20"/>
                <w:szCs w:val="20"/>
              </w:rPr>
              <w:t>Clearing-House</w:t>
            </w:r>
          </w:p>
        </w:tc>
        <w:tc>
          <w:tcPr>
            <w:tcW w:w="1815" w:type="dxa"/>
            <w:tcBorders>
              <w:top w:val="single" w:sz="4" w:space="0" w:color="auto"/>
              <w:left w:val="single" w:sz="4" w:space="0" w:color="auto"/>
              <w:bottom w:val="single" w:sz="4" w:space="0" w:color="auto"/>
              <w:right w:val="single" w:sz="4" w:space="0" w:color="auto"/>
            </w:tcBorders>
            <w:tcMar>
              <w:top w:w="29" w:type="dxa"/>
              <w:left w:w="115" w:type="dxa"/>
              <w:bottom w:w="29" w:type="dxa"/>
              <w:right w:w="115" w:type="dxa"/>
            </w:tcMar>
            <w:vAlign w:val="bottom"/>
            <w:hideMark/>
          </w:tcPr>
          <w:p w14:paraId="15258010" w14:textId="42B4DBE8" w:rsidR="002F2963" w:rsidRPr="00D2758E" w:rsidRDefault="002F2963" w:rsidP="006B066D">
            <w:pPr>
              <w:suppressLineNumbers/>
              <w:suppressAutoHyphens/>
              <w:kinsoku w:val="0"/>
              <w:overflowPunct w:val="0"/>
              <w:autoSpaceDE w:val="0"/>
              <w:autoSpaceDN w:val="0"/>
              <w:adjustRightInd w:val="0"/>
              <w:snapToGrid w:val="0"/>
              <w:jc w:val="right"/>
              <w:rPr>
                <w:rFonts w:eastAsia="Calibri"/>
                <w:kern w:val="22"/>
                <w:sz w:val="20"/>
                <w:szCs w:val="20"/>
              </w:rPr>
            </w:pPr>
            <w:r w:rsidRPr="00D2758E">
              <w:rPr>
                <w:rFonts w:eastAsia="Calibri"/>
                <w:kern w:val="22"/>
                <w:sz w:val="20"/>
                <w:szCs w:val="20"/>
              </w:rPr>
              <w:t>45 (43</w:t>
            </w:r>
            <w:r w:rsidR="00A44BA4">
              <w:rPr>
                <w:rFonts w:eastAsia="Calibri"/>
                <w:kern w:val="22"/>
                <w:sz w:val="20"/>
                <w:szCs w:val="20"/>
              </w:rPr>
              <w:t xml:space="preserve"> per cent</w:t>
            </w:r>
            <w:r w:rsidRPr="00D2758E">
              <w:rPr>
                <w:rFonts w:eastAsia="Calibri"/>
                <w:kern w:val="22"/>
                <w:sz w:val="20"/>
                <w:szCs w:val="20"/>
              </w:rPr>
              <w:t>)</w:t>
            </w:r>
          </w:p>
        </w:tc>
        <w:tc>
          <w:tcPr>
            <w:tcW w:w="1506" w:type="dxa"/>
            <w:vAlign w:val="bottom"/>
          </w:tcPr>
          <w:p w14:paraId="5AAEA5A7" w14:textId="2F651E70" w:rsidR="002F2963" w:rsidRPr="00D2758E" w:rsidRDefault="002F2963" w:rsidP="006B066D">
            <w:pPr>
              <w:suppressLineNumbers/>
              <w:suppressAutoHyphens/>
              <w:kinsoku w:val="0"/>
              <w:overflowPunct w:val="0"/>
              <w:autoSpaceDE w:val="0"/>
              <w:autoSpaceDN w:val="0"/>
              <w:adjustRightInd w:val="0"/>
              <w:snapToGrid w:val="0"/>
              <w:jc w:val="right"/>
              <w:rPr>
                <w:rFonts w:eastAsia="Calibri"/>
                <w:kern w:val="22"/>
                <w:sz w:val="20"/>
                <w:szCs w:val="20"/>
              </w:rPr>
            </w:pPr>
            <w:r w:rsidRPr="00D2758E">
              <w:rPr>
                <w:rFonts w:eastAsia="Calibri"/>
                <w:kern w:val="22"/>
                <w:sz w:val="20"/>
                <w:szCs w:val="20"/>
              </w:rPr>
              <w:t>80 (56</w:t>
            </w:r>
            <w:r w:rsidR="00A44BA4">
              <w:rPr>
                <w:rFonts w:eastAsia="Calibri"/>
                <w:kern w:val="22"/>
                <w:sz w:val="20"/>
                <w:szCs w:val="20"/>
              </w:rPr>
              <w:t xml:space="preserve"> per cent</w:t>
            </w:r>
            <w:r w:rsidRPr="00D2758E">
              <w:rPr>
                <w:rFonts w:eastAsia="Calibri"/>
                <w:kern w:val="22"/>
                <w:sz w:val="20"/>
                <w:szCs w:val="20"/>
              </w:rPr>
              <w:t>)</w:t>
            </w:r>
          </w:p>
        </w:tc>
      </w:tr>
      <w:tr w:rsidR="002F2963" w:rsidRPr="00D2758E" w14:paraId="0EF00640" w14:textId="77777777" w:rsidTr="006B066D">
        <w:trPr>
          <w:cantSplit/>
        </w:trPr>
        <w:tc>
          <w:tcPr>
            <w:tcW w:w="5240" w:type="dxa"/>
            <w:tcBorders>
              <w:top w:val="single" w:sz="4" w:space="0" w:color="auto"/>
              <w:left w:val="single" w:sz="4" w:space="0" w:color="auto"/>
              <w:bottom w:val="single" w:sz="4" w:space="0" w:color="auto"/>
              <w:right w:val="single" w:sz="4" w:space="0" w:color="auto"/>
            </w:tcBorders>
            <w:tcMar>
              <w:top w:w="29" w:type="dxa"/>
              <w:left w:w="115" w:type="dxa"/>
              <w:bottom w:w="29" w:type="dxa"/>
              <w:right w:w="115" w:type="dxa"/>
            </w:tcMar>
          </w:tcPr>
          <w:p w14:paraId="5721423B" w14:textId="26F0451E" w:rsidR="002F2963" w:rsidRPr="00D2758E" w:rsidRDefault="002F2963" w:rsidP="006B066D">
            <w:pPr>
              <w:suppressLineNumbers/>
              <w:suppressAutoHyphens/>
              <w:kinsoku w:val="0"/>
              <w:overflowPunct w:val="0"/>
              <w:autoSpaceDE w:val="0"/>
              <w:autoSpaceDN w:val="0"/>
              <w:adjustRightInd w:val="0"/>
              <w:snapToGrid w:val="0"/>
              <w:jc w:val="left"/>
              <w:rPr>
                <w:rFonts w:eastAsia="Malgun Gothic"/>
                <w:kern w:val="22"/>
                <w:sz w:val="20"/>
                <w:szCs w:val="20"/>
              </w:rPr>
            </w:pPr>
            <w:r w:rsidRPr="00D2758E">
              <w:rPr>
                <w:rFonts w:eastAsia="Malgun Gothic"/>
                <w:kern w:val="22"/>
                <w:sz w:val="20"/>
                <w:szCs w:val="20"/>
              </w:rPr>
              <w:t xml:space="preserve">Number and percentage of Parties that have published information </w:t>
            </w:r>
            <w:r w:rsidR="00157537">
              <w:rPr>
                <w:rFonts w:eastAsia="Malgun Gothic"/>
                <w:kern w:val="22"/>
                <w:sz w:val="20"/>
                <w:szCs w:val="20"/>
              </w:rPr>
              <w:t xml:space="preserve">on </w:t>
            </w:r>
            <w:r w:rsidR="002557F0">
              <w:rPr>
                <w:rFonts w:eastAsia="Malgun Gothic"/>
                <w:kern w:val="22"/>
                <w:sz w:val="20"/>
                <w:szCs w:val="20"/>
              </w:rPr>
              <w:t xml:space="preserve">access and benefit-sharing </w:t>
            </w:r>
            <w:proofErr w:type="spellStart"/>
            <w:r w:rsidRPr="00D2758E">
              <w:rPr>
                <w:rFonts w:eastAsia="Malgun Gothic"/>
                <w:kern w:val="22"/>
                <w:sz w:val="20"/>
                <w:szCs w:val="20"/>
              </w:rPr>
              <w:t>procedures</w:t>
            </w:r>
            <w:r w:rsidR="00562B75" w:rsidRPr="006B066D">
              <w:rPr>
                <w:rFonts w:eastAsia="Malgun Gothic"/>
                <w:i/>
                <w:iCs/>
                <w:kern w:val="22"/>
                <w:sz w:val="20"/>
                <w:szCs w:val="20"/>
                <w:vertAlign w:val="superscript"/>
              </w:rPr>
              <w:t>a</w:t>
            </w:r>
            <w:proofErr w:type="spellEnd"/>
            <w:r w:rsidR="000C3870" w:rsidRPr="00D2758E">
              <w:rPr>
                <w:rFonts w:asciiTheme="majorBidi" w:eastAsia="Malgun Gothic" w:hAnsiTheme="majorBidi" w:cstheme="majorBidi"/>
                <w:kern w:val="22"/>
                <w:sz w:val="20"/>
                <w:szCs w:val="20"/>
              </w:rPr>
              <w:t xml:space="preserve"> </w:t>
            </w:r>
          </w:p>
        </w:tc>
        <w:tc>
          <w:tcPr>
            <w:tcW w:w="1815" w:type="dxa"/>
            <w:tcBorders>
              <w:top w:val="single" w:sz="4" w:space="0" w:color="auto"/>
              <w:left w:val="single" w:sz="4" w:space="0" w:color="auto"/>
              <w:bottom w:val="single" w:sz="4" w:space="0" w:color="auto"/>
              <w:right w:val="single" w:sz="4" w:space="0" w:color="auto"/>
            </w:tcBorders>
            <w:tcMar>
              <w:top w:w="29" w:type="dxa"/>
              <w:left w:w="115" w:type="dxa"/>
              <w:bottom w:w="29" w:type="dxa"/>
              <w:right w:w="115" w:type="dxa"/>
            </w:tcMar>
            <w:vAlign w:val="bottom"/>
          </w:tcPr>
          <w:p w14:paraId="31F6B803" w14:textId="72EF76E9" w:rsidR="002F2963" w:rsidRPr="00D2758E" w:rsidRDefault="002557F0" w:rsidP="006B066D">
            <w:pPr>
              <w:suppressLineNumbers/>
              <w:suppressAutoHyphens/>
              <w:kinsoku w:val="0"/>
              <w:overflowPunct w:val="0"/>
              <w:autoSpaceDE w:val="0"/>
              <w:autoSpaceDN w:val="0"/>
              <w:adjustRightInd w:val="0"/>
              <w:snapToGrid w:val="0"/>
              <w:jc w:val="right"/>
              <w:rPr>
                <w:rFonts w:eastAsia="Calibri"/>
                <w:kern w:val="22"/>
                <w:sz w:val="20"/>
                <w:szCs w:val="20"/>
              </w:rPr>
            </w:pPr>
            <w:r>
              <w:rPr>
                <w:rFonts w:eastAsia="Calibri"/>
                <w:kern w:val="22"/>
                <w:sz w:val="20"/>
                <w:szCs w:val="20"/>
              </w:rPr>
              <w:t>N</w:t>
            </w:r>
            <w:r w:rsidR="006B502B">
              <w:rPr>
                <w:rFonts w:eastAsia="Calibri"/>
                <w:kern w:val="22"/>
                <w:sz w:val="20"/>
                <w:szCs w:val="20"/>
              </w:rPr>
              <w:t>ew</w:t>
            </w:r>
          </w:p>
        </w:tc>
        <w:tc>
          <w:tcPr>
            <w:tcW w:w="1506" w:type="dxa"/>
            <w:vAlign w:val="bottom"/>
          </w:tcPr>
          <w:p w14:paraId="60FE181D" w14:textId="67B1ACBF" w:rsidR="002F2963" w:rsidRPr="00D2758E" w:rsidRDefault="002F2963" w:rsidP="006B066D">
            <w:pPr>
              <w:suppressLineNumbers/>
              <w:suppressAutoHyphens/>
              <w:kinsoku w:val="0"/>
              <w:overflowPunct w:val="0"/>
              <w:autoSpaceDE w:val="0"/>
              <w:autoSpaceDN w:val="0"/>
              <w:adjustRightInd w:val="0"/>
              <w:snapToGrid w:val="0"/>
              <w:jc w:val="right"/>
              <w:rPr>
                <w:rFonts w:eastAsia="Calibri"/>
                <w:kern w:val="22"/>
                <w:sz w:val="20"/>
                <w:szCs w:val="20"/>
              </w:rPr>
            </w:pPr>
            <w:r w:rsidRPr="00D2758E">
              <w:rPr>
                <w:rFonts w:eastAsia="Calibri"/>
                <w:kern w:val="22"/>
                <w:sz w:val="20"/>
                <w:szCs w:val="20"/>
              </w:rPr>
              <w:t>30 (21</w:t>
            </w:r>
            <w:r w:rsidR="002557F0">
              <w:rPr>
                <w:rFonts w:eastAsia="Calibri"/>
                <w:kern w:val="22"/>
                <w:sz w:val="20"/>
                <w:szCs w:val="20"/>
              </w:rPr>
              <w:t xml:space="preserve"> per cent</w:t>
            </w:r>
            <w:r w:rsidRPr="00D2758E">
              <w:rPr>
                <w:rFonts w:eastAsia="Calibri"/>
                <w:kern w:val="22"/>
                <w:sz w:val="20"/>
                <w:szCs w:val="20"/>
              </w:rPr>
              <w:t>)</w:t>
            </w:r>
          </w:p>
        </w:tc>
      </w:tr>
      <w:tr w:rsidR="002F2963" w:rsidRPr="00D2758E" w14:paraId="77383C56" w14:textId="77777777" w:rsidTr="006B066D">
        <w:trPr>
          <w:cantSplit/>
        </w:trPr>
        <w:tc>
          <w:tcPr>
            <w:tcW w:w="5240" w:type="dxa"/>
            <w:tcBorders>
              <w:top w:val="single" w:sz="4" w:space="0" w:color="auto"/>
              <w:left w:val="single" w:sz="4" w:space="0" w:color="auto"/>
              <w:bottom w:val="single" w:sz="4" w:space="0" w:color="auto"/>
              <w:right w:val="single" w:sz="4" w:space="0" w:color="auto"/>
            </w:tcBorders>
            <w:tcMar>
              <w:top w:w="29" w:type="dxa"/>
              <w:left w:w="115" w:type="dxa"/>
              <w:bottom w:w="29" w:type="dxa"/>
              <w:right w:w="115" w:type="dxa"/>
            </w:tcMar>
          </w:tcPr>
          <w:p w14:paraId="292C8670" w14:textId="7A4D1B7B" w:rsidR="002F2963" w:rsidRPr="00D2758E" w:rsidRDefault="002F2963" w:rsidP="006B066D">
            <w:pPr>
              <w:suppressLineNumbers/>
              <w:suppressAutoHyphens/>
              <w:kinsoku w:val="0"/>
              <w:overflowPunct w:val="0"/>
              <w:autoSpaceDE w:val="0"/>
              <w:autoSpaceDN w:val="0"/>
              <w:adjustRightInd w:val="0"/>
              <w:snapToGrid w:val="0"/>
              <w:jc w:val="left"/>
              <w:rPr>
                <w:rFonts w:eastAsia="Malgun Gothic"/>
                <w:kern w:val="22"/>
                <w:sz w:val="20"/>
                <w:szCs w:val="20"/>
              </w:rPr>
            </w:pPr>
            <w:r w:rsidRPr="00D2758E">
              <w:rPr>
                <w:rFonts w:eastAsia="Malgun Gothic"/>
                <w:kern w:val="22"/>
                <w:sz w:val="20"/>
                <w:szCs w:val="20"/>
              </w:rPr>
              <w:t xml:space="preserve">Number and percentage of Parties that have published national model contractual </w:t>
            </w:r>
            <w:proofErr w:type="spellStart"/>
            <w:r w:rsidRPr="00D2758E">
              <w:rPr>
                <w:rFonts w:eastAsia="Malgun Gothic"/>
                <w:kern w:val="22"/>
                <w:sz w:val="20"/>
                <w:szCs w:val="20"/>
              </w:rPr>
              <w:t>clauses</w:t>
            </w:r>
            <w:r w:rsidR="00CE2AC4" w:rsidRPr="006B066D">
              <w:rPr>
                <w:rFonts w:eastAsia="Malgun Gothic"/>
                <w:i/>
                <w:iCs/>
                <w:kern w:val="22"/>
                <w:sz w:val="20"/>
                <w:szCs w:val="20"/>
                <w:vertAlign w:val="superscript"/>
              </w:rPr>
              <w:t>b</w:t>
            </w:r>
            <w:proofErr w:type="spellEnd"/>
            <w:r w:rsidR="000C3870" w:rsidRPr="00D2758E">
              <w:rPr>
                <w:rFonts w:asciiTheme="majorBidi" w:eastAsia="Malgun Gothic" w:hAnsiTheme="majorBidi" w:cstheme="majorBidi"/>
                <w:kern w:val="22"/>
                <w:sz w:val="20"/>
                <w:szCs w:val="20"/>
              </w:rPr>
              <w:t xml:space="preserve"> </w:t>
            </w:r>
          </w:p>
        </w:tc>
        <w:tc>
          <w:tcPr>
            <w:tcW w:w="1815" w:type="dxa"/>
            <w:tcBorders>
              <w:top w:val="single" w:sz="4" w:space="0" w:color="auto"/>
              <w:left w:val="single" w:sz="4" w:space="0" w:color="auto"/>
              <w:bottom w:val="single" w:sz="4" w:space="0" w:color="auto"/>
              <w:right w:val="single" w:sz="4" w:space="0" w:color="auto"/>
            </w:tcBorders>
            <w:tcMar>
              <w:top w:w="29" w:type="dxa"/>
              <w:left w:w="115" w:type="dxa"/>
              <w:bottom w:w="29" w:type="dxa"/>
              <w:right w:w="115" w:type="dxa"/>
            </w:tcMar>
            <w:vAlign w:val="bottom"/>
          </w:tcPr>
          <w:p w14:paraId="2C2E5194" w14:textId="38B77B97" w:rsidR="002F2963" w:rsidRPr="00D2758E" w:rsidRDefault="002557F0" w:rsidP="006B066D">
            <w:pPr>
              <w:suppressLineNumbers/>
              <w:suppressAutoHyphens/>
              <w:kinsoku w:val="0"/>
              <w:overflowPunct w:val="0"/>
              <w:autoSpaceDE w:val="0"/>
              <w:autoSpaceDN w:val="0"/>
              <w:adjustRightInd w:val="0"/>
              <w:snapToGrid w:val="0"/>
              <w:jc w:val="right"/>
              <w:rPr>
                <w:rFonts w:eastAsia="Calibri"/>
                <w:kern w:val="22"/>
                <w:sz w:val="20"/>
                <w:szCs w:val="20"/>
              </w:rPr>
            </w:pPr>
            <w:r>
              <w:rPr>
                <w:rFonts w:eastAsia="Calibri"/>
                <w:kern w:val="22"/>
                <w:sz w:val="20"/>
                <w:szCs w:val="20"/>
              </w:rPr>
              <w:t>N</w:t>
            </w:r>
            <w:r w:rsidR="006B502B">
              <w:rPr>
                <w:rFonts w:eastAsia="Calibri"/>
                <w:kern w:val="22"/>
                <w:sz w:val="20"/>
                <w:szCs w:val="20"/>
              </w:rPr>
              <w:t>ew</w:t>
            </w:r>
          </w:p>
        </w:tc>
        <w:tc>
          <w:tcPr>
            <w:tcW w:w="1506" w:type="dxa"/>
            <w:vAlign w:val="bottom"/>
          </w:tcPr>
          <w:p w14:paraId="07FC5AE8" w14:textId="720D2FFC" w:rsidR="002F2963" w:rsidRPr="00D2758E" w:rsidRDefault="002F2963" w:rsidP="006B066D">
            <w:pPr>
              <w:suppressLineNumbers/>
              <w:suppressAutoHyphens/>
              <w:kinsoku w:val="0"/>
              <w:overflowPunct w:val="0"/>
              <w:autoSpaceDE w:val="0"/>
              <w:autoSpaceDN w:val="0"/>
              <w:adjustRightInd w:val="0"/>
              <w:snapToGrid w:val="0"/>
              <w:jc w:val="right"/>
              <w:rPr>
                <w:rFonts w:eastAsia="Calibri"/>
                <w:kern w:val="22"/>
                <w:sz w:val="20"/>
                <w:szCs w:val="20"/>
              </w:rPr>
            </w:pPr>
            <w:r w:rsidRPr="00D2758E">
              <w:rPr>
                <w:rFonts w:eastAsia="Calibri"/>
                <w:kern w:val="22"/>
                <w:sz w:val="20"/>
                <w:szCs w:val="20"/>
              </w:rPr>
              <w:t>11 (8</w:t>
            </w:r>
            <w:r w:rsidR="002557F0">
              <w:rPr>
                <w:rFonts w:eastAsia="Calibri"/>
                <w:kern w:val="22"/>
                <w:sz w:val="20"/>
                <w:szCs w:val="20"/>
              </w:rPr>
              <w:t xml:space="preserve"> per cent</w:t>
            </w:r>
            <w:r w:rsidRPr="00D2758E">
              <w:rPr>
                <w:rFonts w:eastAsia="Calibri"/>
                <w:kern w:val="22"/>
                <w:sz w:val="20"/>
                <w:szCs w:val="20"/>
              </w:rPr>
              <w:t>)</w:t>
            </w:r>
          </w:p>
        </w:tc>
      </w:tr>
      <w:tr w:rsidR="002F2963" w:rsidRPr="00D2758E" w14:paraId="1F98EB60" w14:textId="77777777" w:rsidTr="006B066D">
        <w:trPr>
          <w:cantSplit/>
        </w:trPr>
        <w:tc>
          <w:tcPr>
            <w:tcW w:w="5240" w:type="dxa"/>
            <w:tcBorders>
              <w:top w:val="single" w:sz="4" w:space="0" w:color="auto"/>
              <w:left w:val="single" w:sz="4" w:space="0" w:color="auto"/>
              <w:bottom w:val="single" w:sz="4" w:space="0" w:color="auto"/>
              <w:right w:val="single" w:sz="4" w:space="0" w:color="auto"/>
            </w:tcBorders>
            <w:tcMar>
              <w:top w:w="29" w:type="dxa"/>
              <w:left w:w="115" w:type="dxa"/>
              <w:bottom w:w="29" w:type="dxa"/>
              <w:right w:w="115" w:type="dxa"/>
            </w:tcMar>
          </w:tcPr>
          <w:p w14:paraId="436FA913" w14:textId="517055AA" w:rsidR="002F2963" w:rsidRPr="00D2758E" w:rsidRDefault="002F2963" w:rsidP="006B066D">
            <w:pPr>
              <w:suppressLineNumbers/>
              <w:suppressAutoHyphens/>
              <w:kinsoku w:val="0"/>
              <w:overflowPunct w:val="0"/>
              <w:autoSpaceDE w:val="0"/>
              <w:autoSpaceDN w:val="0"/>
              <w:adjustRightInd w:val="0"/>
              <w:snapToGrid w:val="0"/>
              <w:jc w:val="left"/>
              <w:rPr>
                <w:rFonts w:eastAsia="Malgun Gothic"/>
                <w:kern w:val="22"/>
                <w:sz w:val="20"/>
                <w:szCs w:val="20"/>
              </w:rPr>
            </w:pPr>
            <w:r w:rsidRPr="00D2758E">
              <w:rPr>
                <w:rFonts w:eastAsia="Malgun Gothic"/>
                <w:kern w:val="22"/>
                <w:sz w:val="20"/>
                <w:szCs w:val="20"/>
              </w:rPr>
              <w:t xml:space="preserve">Number and percentage of Parties that have published </w:t>
            </w:r>
            <w:r w:rsidR="00745F58">
              <w:rPr>
                <w:rFonts w:eastAsia="Malgun Gothic"/>
                <w:kern w:val="22"/>
                <w:sz w:val="20"/>
                <w:szCs w:val="20"/>
              </w:rPr>
              <w:t xml:space="preserve">information on </w:t>
            </w:r>
            <w:r w:rsidRPr="00D2758E">
              <w:rPr>
                <w:rFonts w:eastAsia="Malgun Gothic"/>
                <w:kern w:val="22"/>
                <w:sz w:val="20"/>
                <w:szCs w:val="20"/>
              </w:rPr>
              <w:t xml:space="preserve">national websites and </w:t>
            </w:r>
            <w:proofErr w:type="spellStart"/>
            <w:r w:rsidRPr="00D2758E">
              <w:rPr>
                <w:rFonts w:eastAsia="Malgun Gothic"/>
                <w:kern w:val="22"/>
                <w:sz w:val="20"/>
                <w:szCs w:val="20"/>
              </w:rPr>
              <w:t>databases</w:t>
            </w:r>
            <w:r w:rsidR="00CE2AC4" w:rsidRPr="006B066D">
              <w:rPr>
                <w:rFonts w:eastAsia="Malgun Gothic"/>
                <w:i/>
                <w:iCs/>
                <w:kern w:val="22"/>
                <w:sz w:val="20"/>
                <w:szCs w:val="20"/>
                <w:vertAlign w:val="superscript"/>
              </w:rPr>
              <w:t>c</w:t>
            </w:r>
            <w:proofErr w:type="spellEnd"/>
            <w:r w:rsidR="000C3870" w:rsidRPr="00D2758E">
              <w:rPr>
                <w:rFonts w:asciiTheme="majorBidi" w:eastAsia="Malgun Gothic" w:hAnsiTheme="majorBidi" w:cstheme="majorBidi"/>
                <w:kern w:val="22"/>
                <w:sz w:val="20"/>
                <w:szCs w:val="20"/>
              </w:rPr>
              <w:t xml:space="preserve"> </w:t>
            </w:r>
          </w:p>
        </w:tc>
        <w:tc>
          <w:tcPr>
            <w:tcW w:w="1815" w:type="dxa"/>
            <w:tcBorders>
              <w:top w:val="single" w:sz="4" w:space="0" w:color="auto"/>
              <w:left w:val="single" w:sz="4" w:space="0" w:color="auto"/>
              <w:bottom w:val="single" w:sz="4" w:space="0" w:color="auto"/>
              <w:right w:val="single" w:sz="4" w:space="0" w:color="auto"/>
            </w:tcBorders>
            <w:tcMar>
              <w:top w:w="29" w:type="dxa"/>
              <w:left w:w="115" w:type="dxa"/>
              <w:bottom w:w="29" w:type="dxa"/>
              <w:right w:w="115" w:type="dxa"/>
            </w:tcMar>
            <w:vAlign w:val="bottom"/>
          </w:tcPr>
          <w:p w14:paraId="2DB6253B" w14:textId="75D3C68A" w:rsidR="002F2963" w:rsidRPr="00D2758E" w:rsidRDefault="002557F0" w:rsidP="006B066D">
            <w:pPr>
              <w:suppressLineNumbers/>
              <w:suppressAutoHyphens/>
              <w:kinsoku w:val="0"/>
              <w:overflowPunct w:val="0"/>
              <w:autoSpaceDE w:val="0"/>
              <w:autoSpaceDN w:val="0"/>
              <w:adjustRightInd w:val="0"/>
              <w:snapToGrid w:val="0"/>
              <w:jc w:val="right"/>
              <w:rPr>
                <w:rFonts w:eastAsia="Calibri"/>
                <w:kern w:val="22"/>
                <w:sz w:val="20"/>
                <w:szCs w:val="20"/>
              </w:rPr>
            </w:pPr>
            <w:r>
              <w:rPr>
                <w:rFonts w:eastAsia="Calibri"/>
                <w:kern w:val="22"/>
                <w:sz w:val="20"/>
                <w:szCs w:val="20"/>
              </w:rPr>
              <w:t>N</w:t>
            </w:r>
            <w:r w:rsidR="006B502B">
              <w:rPr>
                <w:rFonts w:eastAsia="Calibri"/>
                <w:kern w:val="22"/>
                <w:sz w:val="20"/>
                <w:szCs w:val="20"/>
              </w:rPr>
              <w:t>ew</w:t>
            </w:r>
          </w:p>
        </w:tc>
        <w:tc>
          <w:tcPr>
            <w:tcW w:w="1506" w:type="dxa"/>
            <w:vAlign w:val="bottom"/>
          </w:tcPr>
          <w:p w14:paraId="3FBF0E6B" w14:textId="5874A1BB" w:rsidR="002F2963" w:rsidRPr="00D2758E" w:rsidRDefault="002F2963" w:rsidP="006B066D">
            <w:pPr>
              <w:suppressLineNumbers/>
              <w:suppressAutoHyphens/>
              <w:kinsoku w:val="0"/>
              <w:overflowPunct w:val="0"/>
              <w:autoSpaceDE w:val="0"/>
              <w:autoSpaceDN w:val="0"/>
              <w:adjustRightInd w:val="0"/>
              <w:snapToGrid w:val="0"/>
              <w:jc w:val="right"/>
              <w:rPr>
                <w:rFonts w:eastAsia="Calibri"/>
                <w:kern w:val="22"/>
                <w:sz w:val="20"/>
                <w:szCs w:val="20"/>
              </w:rPr>
            </w:pPr>
            <w:r w:rsidRPr="00D2758E">
              <w:rPr>
                <w:rFonts w:eastAsia="Calibri"/>
                <w:kern w:val="22"/>
                <w:sz w:val="20"/>
                <w:szCs w:val="20"/>
              </w:rPr>
              <w:t>45 (32</w:t>
            </w:r>
            <w:r w:rsidR="002557F0">
              <w:rPr>
                <w:rFonts w:eastAsia="Calibri"/>
                <w:kern w:val="22"/>
                <w:sz w:val="20"/>
                <w:szCs w:val="20"/>
              </w:rPr>
              <w:t xml:space="preserve"> per cent</w:t>
            </w:r>
            <w:r w:rsidRPr="00D2758E">
              <w:rPr>
                <w:rFonts w:eastAsia="Calibri"/>
                <w:kern w:val="22"/>
                <w:sz w:val="20"/>
                <w:szCs w:val="20"/>
              </w:rPr>
              <w:t>)</w:t>
            </w:r>
          </w:p>
        </w:tc>
      </w:tr>
      <w:tr w:rsidR="002F2963" w:rsidRPr="00D2758E" w14:paraId="5E32D59A" w14:textId="77777777" w:rsidTr="006B066D">
        <w:trPr>
          <w:cantSplit/>
        </w:trPr>
        <w:tc>
          <w:tcPr>
            <w:tcW w:w="5240" w:type="dxa"/>
            <w:tcBorders>
              <w:top w:val="single" w:sz="4" w:space="0" w:color="auto"/>
              <w:left w:val="single" w:sz="4" w:space="0" w:color="auto"/>
              <w:bottom w:val="single" w:sz="4" w:space="0" w:color="auto"/>
              <w:right w:val="single" w:sz="4" w:space="0" w:color="auto"/>
            </w:tcBorders>
            <w:tcMar>
              <w:top w:w="29" w:type="dxa"/>
              <w:left w:w="115" w:type="dxa"/>
              <w:bottom w:w="29" w:type="dxa"/>
              <w:right w:w="115" w:type="dxa"/>
            </w:tcMar>
            <w:hideMark/>
          </w:tcPr>
          <w:p w14:paraId="488A86CF" w14:textId="36C97266" w:rsidR="002F2963" w:rsidRPr="00D2758E" w:rsidRDefault="002F2963" w:rsidP="006B066D">
            <w:pPr>
              <w:suppressLineNumbers/>
              <w:suppressAutoHyphens/>
              <w:kinsoku w:val="0"/>
              <w:overflowPunct w:val="0"/>
              <w:autoSpaceDE w:val="0"/>
              <w:autoSpaceDN w:val="0"/>
              <w:adjustRightInd w:val="0"/>
              <w:snapToGrid w:val="0"/>
              <w:jc w:val="left"/>
              <w:rPr>
                <w:rFonts w:eastAsia="Malgun Gothic"/>
                <w:kern w:val="22"/>
                <w:sz w:val="20"/>
                <w:szCs w:val="20"/>
              </w:rPr>
            </w:pPr>
            <w:r w:rsidRPr="00D2758E">
              <w:rPr>
                <w:rFonts w:eastAsia="Malgun Gothic"/>
                <w:kern w:val="22"/>
                <w:sz w:val="20"/>
                <w:szCs w:val="20"/>
              </w:rPr>
              <w:t xml:space="preserve">Number and percentage of Parties that have published information on checkpoints </w:t>
            </w:r>
            <w:r w:rsidR="00745F58">
              <w:rPr>
                <w:rFonts w:eastAsia="Malgun Gothic"/>
                <w:kern w:val="22"/>
                <w:sz w:val="20"/>
                <w:szCs w:val="20"/>
              </w:rPr>
              <w:t>o</w:t>
            </w:r>
            <w:r w:rsidRPr="00D2758E">
              <w:rPr>
                <w:rFonts w:eastAsia="Malgun Gothic"/>
                <w:kern w:val="22"/>
                <w:sz w:val="20"/>
                <w:szCs w:val="20"/>
              </w:rPr>
              <w:t xml:space="preserve">n the </w:t>
            </w:r>
            <w:r w:rsidR="004916B0" w:rsidRPr="004916B0">
              <w:rPr>
                <w:rFonts w:eastAsia="Malgun Gothic"/>
                <w:kern w:val="22"/>
                <w:sz w:val="20"/>
                <w:szCs w:val="20"/>
              </w:rPr>
              <w:t xml:space="preserve">Access and Benefit-sharing </w:t>
            </w:r>
            <w:r w:rsidRPr="00D2758E">
              <w:rPr>
                <w:rFonts w:eastAsia="Malgun Gothic"/>
                <w:kern w:val="22"/>
                <w:sz w:val="20"/>
                <w:szCs w:val="20"/>
              </w:rPr>
              <w:t>Clearing-House</w:t>
            </w:r>
          </w:p>
        </w:tc>
        <w:tc>
          <w:tcPr>
            <w:tcW w:w="1815" w:type="dxa"/>
            <w:tcBorders>
              <w:top w:val="single" w:sz="4" w:space="0" w:color="auto"/>
              <w:left w:val="single" w:sz="4" w:space="0" w:color="auto"/>
              <w:bottom w:val="single" w:sz="4" w:space="0" w:color="auto"/>
              <w:right w:val="single" w:sz="4" w:space="0" w:color="auto"/>
            </w:tcBorders>
            <w:tcMar>
              <w:top w:w="29" w:type="dxa"/>
              <w:left w:w="115" w:type="dxa"/>
              <w:bottom w:w="29" w:type="dxa"/>
              <w:right w:w="115" w:type="dxa"/>
            </w:tcMar>
            <w:vAlign w:val="bottom"/>
            <w:hideMark/>
          </w:tcPr>
          <w:p w14:paraId="0562913D" w14:textId="693671C4" w:rsidR="002F2963" w:rsidRPr="00D2758E" w:rsidRDefault="002F2963" w:rsidP="006B066D">
            <w:pPr>
              <w:suppressLineNumbers/>
              <w:suppressAutoHyphens/>
              <w:kinsoku w:val="0"/>
              <w:overflowPunct w:val="0"/>
              <w:autoSpaceDE w:val="0"/>
              <w:autoSpaceDN w:val="0"/>
              <w:adjustRightInd w:val="0"/>
              <w:snapToGrid w:val="0"/>
              <w:jc w:val="right"/>
              <w:rPr>
                <w:rFonts w:eastAsia="Calibri"/>
                <w:kern w:val="22"/>
                <w:sz w:val="20"/>
                <w:szCs w:val="20"/>
              </w:rPr>
            </w:pPr>
            <w:r w:rsidRPr="00D2758E">
              <w:rPr>
                <w:rFonts w:eastAsia="Calibri"/>
                <w:kern w:val="22"/>
                <w:sz w:val="20"/>
                <w:szCs w:val="20"/>
              </w:rPr>
              <w:t>20 (19</w:t>
            </w:r>
            <w:r w:rsidR="002557F0">
              <w:rPr>
                <w:rFonts w:eastAsia="Calibri"/>
                <w:kern w:val="22"/>
                <w:sz w:val="20"/>
                <w:szCs w:val="20"/>
              </w:rPr>
              <w:t xml:space="preserve"> per cent</w:t>
            </w:r>
            <w:r w:rsidRPr="00D2758E">
              <w:rPr>
                <w:rFonts w:eastAsia="Calibri"/>
                <w:kern w:val="22"/>
                <w:sz w:val="20"/>
                <w:szCs w:val="20"/>
              </w:rPr>
              <w:t>)</w:t>
            </w:r>
          </w:p>
        </w:tc>
        <w:tc>
          <w:tcPr>
            <w:tcW w:w="1506" w:type="dxa"/>
            <w:vAlign w:val="bottom"/>
          </w:tcPr>
          <w:p w14:paraId="316A8310" w14:textId="68B76DAD" w:rsidR="002F2963" w:rsidRPr="00D2758E" w:rsidRDefault="002F2963" w:rsidP="006B066D">
            <w:pPr>
              <w:suppressLineNumbers/>
              <w:suppressAutoHyphens/>
              <w:kinsoku w:val="0"/>
              <w:overflowPunct w:val="0"/>
              <w:autoSpaceDE w:val="0"/>
              <w:autoSpaceDN w:val="0"/>
              <w:adjustRightInd w:val="0"/>
              <w:snapToGrid w:val="0"/>
              <w:jc w:val="right"/>
              <w:rPr>
                <w:rFonts w:eastAsia="Calibri"/>
                <w:kern w:val="22"/>
                <w:sz w:val="20"/>
                <w:szCs w:val="20"/>
              </w:rPr>
            </w:pPr>
            <w:r w:rsidRPr="00D2758E">
              <w:rPr>
                <w:rFonts w:eastAsia="Calibri"/>
                <w:kern w:val="22"/>
                <w:sz w:val="20"/>
                <w:szCs w:val="20"/>
              </w:rPr>
              <w:t>48 (34</w:t>
            </w:r>
            <w:r w:rsidR="002557F0">
              <w:rPr>
                <w:rFonts w:eastAsia="Calibri"/>
                <w:kern w:val="22"/>
                <w:sz w:val="20"/>
                <w:szCs w:val="20"/>
              </w:rPr>
              <w:t xml:space="preserve"> per cent</w:t>
            </w:r>
            <w:r w:rsidRPr="00D2758E">
              <w:rPr>
                <w:rFonts w:eastAsia="Calibri"/>
                <w:kern w:val="22"/>
                <w:sz w:val="20"/>
                <w:szCs w:val="20"/>
              </w:rPr>
              <w:t>)</w:t>
            </w:r>
          </w:p>
        </w:tc>
      </w:tr>
      <w:tr w:rsidR="002F2963" w:rsidRPr="00D2758E" w14:paraId="6FC6F6DE" w14:textId="77777777" w:rsidTr="006B066D">
        <w:trPr>
          <w:cantSplit/>
        </w:trPr>
        <w:tc>
          <w:tcPr>
            <w:tcW w:w="5240" w:type="dxa"/>
            <w:tcBorders>
              <w:top w:val="single" w:sz="4" w:space="0" w:color="auto"/>
              <w:left w:val="single" w:sz="4" w:space="0" w:color="auto"/>
              <w:bottom w:val="single" w:sz="4" w:space="0" w:color="auto"/>
              <w:right w:val="single" w:sz="4" w:space="0" w:color="auto"/>
            </w:tcBorders>
            <w:tcMar>
              <w:top w:w="29" w:type="dxa"/>
              <w:left w:w="115" w:type="dxa"/>
              <w:bottom w:w="29" w:type="dxa"/>
              <w:right w:w="115" w:type="dxa"/>
            </w:tcMar>
            <w:hideMark/>
          </w:tcPr>
          <w:p w14:paraId="5F395826" w14:textId="51E411B3" w:rsidR="002F2963" w:rsidRPr="00D2758E" w:rsidRDefault="002F2963" w:rsidP="006B066D">
            <w:pPr>
              <w:suppressLineNumbers/>
              <w:suppressAutoHyphens/>
              <w:kinsoku w:val="0"/>
              <w:overflowPunct w:val="0"/>
              <w:autoSpaceDE w:val="0"/>
              <w:autoSpaceDN w:val="0"/>
              <w:adjustRightInd w:val="0"/>
              <w:snapToGrid w:val="0"/>
              <w:jc w:val="left"/>
              <w:rPr>
                <w:rFonts w:eastAsia="Calibri"/>
                <w:color w:val="000000"/>
                <w:kern w:val="22"/>
                <w:sz w:val="20"/>
                <w:szCs w:val="20"/>
              </w:rPr>
            </w:pPr>
            <w:r w:rsidRPr="00D2758E">
              <w:rPr>
                <w:rFonts w:eastAsia="Calibri"/>
                <w:color w:val="000000"/>
                <w:kern w:val="22"/>
                <w:sz w:val="20"/>
                <w:szCs w:val="20"/>
              </w:rPr>
              <w:t xml:space="preserve">Number and percentage of Parties that have published internationally recognized certificates of compliance </w:t>
            </w:r>
            <w:r w:rsidR="00B23889">
              <w:rPr>
                <w:rFonts w:eastAsia="Calibri"/>
                <w:color w:val="000000"/>
                <w:kern w:val="22"/>
                <w:sz w:val="20"/>
                <w:szCs w:val="20"/>
              </w:rPr>
              <w:t>o</w:t>
            </w:r>
            <w:r w:rsidRPr="00D2758E">
              <w:rPr>
                <w:rFonts w:eastAsia="Calibri"/>
                <w:color w:val="000000"/>
                <w:kern w:val="22"/>
                <w:sz w:val="20"/>
                <w:szCs w:val="20"/>
              </w:rPr>
              <w:t xml:space="preserve">n the </w:t>
            </w:r>
            <w:r w:rsidR="005541E5" w:rsidRPr="005541E5">
              <w:rPr>
                <w:rFonts w:eastAsia="Calibri"/>
                <w:color w:val="000000"/>
                <w:kern w:val="22"/>
                <w:sz w:val="20"/>
                <w:szCs w:val="20"/>
              </w:rPr>
              <w:t xml:space="preserve">Access and Benefit-sharing </w:t>
            </w:r>
            <w:r w:rsidRPr="00D2758E">
              <w:rPr>
                <w:rFonts w:eastAsia="Calibri"/>
                <w:color w:val="000000"/>
                <w:kern w:val="22"/>
                <w:sz w:val="20"/>
                <w:szCs w:val="20"/>
              </w:rPr>
              <w:t>Clearing-House</w:t>
            </w:r>
          </w:p>
        </w:tc>
        <w:tc>
          <w:tcPr>
            <w:tcW w:w="1815" w:type="dxa"/>
            <w:tcBorders>
              <w:top w:val="single" w:sz="4" w:space="0" w:color="auto"/>
              <w:left w:val="single" w:sz="4" w:space="0" w:color="auto"/>
              <w:bottom w:val="single" w:sz="4" w:space="0" w:color="auto"/>
              <w:right w:val="single" w:sz="4" w:space="0" w:color="auto"/>
            </w:tcBorders>
            <w:tcMar>
              <w:top w:w="29" w:type="dxa"/>
              <w:left w:w="115" w:type="dxa"/>
              <w:bottom w:w="29" w:type="dxa"/>
              <w:right w:w="115" w:type="dxa"/>
            </w:tcMar>
            <w:vAlign w:val="bottom"/>
            <w:hideMark/>
          </w:tcPr>
          <w:p w14:paraId="35F79687" w14:textId="5C5FF4E0" w:rsidR="002F2963" w:rsidRPr="00D2758E" w:rsidRDefault="002F2963" w:rsidP="006B066D">
            <w:pPr>
              <w:suppressLineNumbers/>
              <w:suppressAutoHyphens/>
              <w:kinsoku w:val="0"/>
              <w:overflowPunct w:val="0"/>
              <w:autoSpaceDE w:val="0"/>
              <w:autoSpaceDN w:val="0"/>
              <w:adjustRightInd w:val="0"/>
              <w:snapToGrid w:val="0"/>
              <w:jc w:val="right"/>
              <w:rPr>
                <w:rFonts w:eastAsia="Calibri"/>
                <w:kern w:val="22"/>
                <w:sz w:val="20"/>
                <w:szCs w:val="20"/>
              </w:rPr>
            </w:pPr>
            <w:r w:rsidRPr="00D2758E">
              <w:rPr>
                <w:rFonts w:eastAsia="Calibri"/>
                <w:kern w:val="22"/>
                <w:sz w:val="20"/>
                <w:szCs w:val="20"/>
              </w:rPr>
              <w:t>12 (11</w:t>
            </w:r>
            <w:r w:rsidR="002557F0">
              <w:rPr>
                <w:rFonts w:eastAsia="Calibri"/>
                <w:kern w:val="22"/>
                <w:sz w:val="20"/>
                <w:szCs w:val="20"/>
              </w:rPr>
              <w:t xml:space="preserve"> per cent</w:t>
            </w:r>
            <w:r w:rsidRPr="00D2758E">
              <w:rPr>
                <w:rFonts w:eastAsia="Calibri"/>
                <w:kern w:val="22"/>
                <w:sz w:val="20"/>
                <w:szCs w:val="20"/>
              </w:rPr>
              <w:t>)</w:t>
            </w:r>
          </w:p>
        </w:tc>
        <w:tc>
          <w:tcPr>
            <w:tcW w:w="1506" w:type="dxa"/>
            <w:vAlign w:val="bottom"/>
          </w:tcPr>
          <w:p w14:paraId="76568205" w14:textId="684222B1" w:rsidR="002F2963" w:rsidRPr="00D2758E" w:rsidRDefault="002F2963" w:rsidP="006B066D">
            <w:pPr>
              <w:suppressLineNumbers/>
              <w:suppressAutoHyphens/>
              <w:kinsoku w:val="0"/>
              <w:overflowPunct w:val="0"/>
              <w:autoSpaceDE w:val="0"/>
              <w:autoSpaceDN w:val="0"/>
              <w:adjustRightInd w:val="0"/>
              <w:snapToGrid w:val="0"/>
              <w:jc w:val="right"/>
              <w:rPr>
                <w:rFonts w:eastAsia="Calibri"/>
                <w:kern w:val="22"/>
                <w:sz w:val="20"/>
                <w:szCs w:val="20"/>
              </w:rPr>
            </w:pPr>
            <w:r w:rsidRPr="00D2758E">
              <w:rPr>
                <w:rFonts w:eastAsia="Calibri"/>
                <w:kern w:val="22"/>
                <w:sz w:val="20"/>
                <w:szCs w:val="20"/>
              </w:rPr>
              <w:t>34 (24</w:t>
            </w:r>
            <w:r w:rsidR="002557F0">
              <w:rPr>
                <w:rFonts w:eastAsia="Calibri"/>
                <w:kern w:val="22"/>
                <w:sz w:val="20"/>
                <w:szCs w:val="20"/>
              </w:rPr>
              <w:t xml:space="preserve"> per cent</w:t>
            </w:r>
            <w:r w:rsidRPr="00D2758E">
              <w:rPr>
                <w:rFonts w:eastAsia="Calibri"/>
                <w:kern w:val="22"/>
                <w:sz w:val="20"/>
                <w:szCs w:val="20"/>
              </w:rPr>
              <w:t>)</w:t>
            </w:r>
          </w:p>
        </w:tc>
      </w:tr>
      <w:tr w:rsidR="002F2963" w:rsidRPr="00D2758E" w14:paraId="06ADD461" w14:textId="77777777" w:rsidTr="006B066D">
        <w:trPr>
          <w:cantSplit/>
        </w:trPr>
        <w:tc>
          <w:tcPr>
            <w:tcW w:w="5240" w:type="dxa"/>
            <w:tcBorders>
              <w:top w:val="single" w:sz="4" w:space="0" w:color="auto"/>
              <w:left w:val="single" w:sz="4" w:space="0" w:color="auto"/>
              <w:bottom w:val="single" w:sz="4" w:space="0" w:color="auto"/>
              <w:right w:val="single" w:sz="4" w:space="0" w:color="auto"/>
            </w:tcBorders>
            <w:tcMar>
              <w:top w:w="29" w:type="dxa"/>
              <w:left w:w="115" w:type="dxa"/>
              <w:bottom w:w="29" w:type="dxa"/>
              <w:right w:w="115" w:type="dxa"/>
            </w:tcMar>
            <w:hideMark/>
          </w:tcPr>
          <w:p w14:paraId="3EF9A8FF" w14:textId="7330F464" w:rsidR="002F2963" w:rsidRPr="00D2758E" w:rsidRDefault="002F2963" w:rsidP="006B066D">
            <w:pPr>
              <w:suppressLineNumbers/>
              <w:suppressAutoHyphens/>
              <w:kinsoku w:val="0"/>
              <w:overflowPunct w:val="0"/>
              <w:autoSpaceDE w:val="0"/>
              <w:autoSpaceDN w:val="0"/>
              <w:adjustRightInd w:val="0"/>
              <w:snapToGrid w:val="0"/>
              <w:jc w:val="left"/>
              <w:rPr>
                <w:kern w:val="22"/>
                <w:sz w:val="20"/>
                <w:szCs w:val="20"/>
              </w:rPr>
            </w:pPr>
            <w:r w:rsidRPr="00D2758E">
              <w:rPr>
                <w:kern w:val="22"/>
                <w:sz w:val="20"/>
                <w:szCs w:val="20"/>
              </w:rPr>
              <w:t xml:space="preserve">Number of </w:t>
            </w:r>
            <w:r w:rsidR="00B23889" w:rsidRPr="00B23889">
              <w:rPr>
                <w:kern w:val="22"/>
                <w:sz w:val="20"/>
                <w:szCs w:val="20"/>
              </w:rPr>
              <w:t xml:space="preserve">internationally recognized certificate of compliance </w:t>
            </w:r>
            <w:r w:rsidRPr="00D2758E">
              <w:rPr>
                <w:kern w:val="22"/>
                <w:sz w:val="20"/>
                <w:szCs w:val="20"/>
              </w:rPr>
              <w:t xml:space="preserve">available </w:t>
            </w:r>
            <w:r w:rsidR="00C26B46">
              <w:rPr>
                <w:kern w:val="22"/>
                <w:sz w:val="20"/>
                <w:szCs w:val="20"/>
              </w:rPr>
              <w:t>o</w:t>
            </w:r>
            <w:r w:rsidRPr="00D2758E">
              <w:rPr>
                <w:kern w:val="22"/>
                <w:sz w:val="20"/>
                <w:szCs w:val="20"/>
              </w:rPr>
              <w:t xml:space="preserve">n the </w:t>
            </w:r>
            <w:r w:rsidR="005541E5" w:rsidRPr="005541E5">
              <w:rPr>
                <w:kern w:val="22"/>
                <w:sz w:val="20"/>
                <w:szCs w:val="20"/>
              </w:rPr>
              <w:t xml:space="preserve">Access and Benefit-sharing </w:t>
            </w:r>
            <w:r w:rsidRPr="00D2758E">
              <w:rPr>
                <w:kern w:val="22"/>
                <w:sz w:val="20"/>
                <w:szCs w:val="20"/>
              </w:rPr>
              <w:t>Clearing-House</w:t>
            </w:r>
          </w:p>
        </w:tc>
        <w:tc>
          <w:tcPr>
            <w:tcW w:w="1815" w:type="dxa"/>
            <w:tcBorders>
              <w:top w:val="single" w:sz="4" w:space="0" w:color="auto"/>
              <w:left w:val="single" w:sz="4" w:space="0" w:color="auto"/>
              <w:bottom w:val="single" w:sz="4" w:space="0" w:color="auto"/>
              <w:right w:val="single" w:sz="4" w:space="0" w:color="auto"/>
            </w:tcBorders>
            <w:tcMar>
              <w:top w:w="29" w:type="dxa"/>
              <w:left w:w="115" w:type="dxa"/>
              <w:bottom w:w="29" w:type="dxa"/>
              <w:right w:w="115" w:type="dxa"/>
            </w:tcMar>
            <w:vAlign w:val="bottom"/>
            <w:hideMark/>
          </w:tcPr>
          <w:p w14:paraId="0AD50C57" w14:textId="77777777" w:rsidR="002F2963" w:rsidRPr="00D2758E" w:rsidRDefault="002F2963" w:rsidP="006B066D">
            <w:pPr>
              <w:suppressLineNumbers/>
              <w:suppressAutoHyphens/>
              <w:kinsoku w:val="0"/>
              <w:overflowPunct w:val="0"/>
              <w:autoSpaceDE w:val="0"/>
              <w:autoSpaceDN w:val="0"/>
              <w:adjustRightInd w:val="0"/>
              <w:snapToGrid w:val="0"/>
              <w:jc w:val="right"/>
              <w:rPr>
                <w:rFonts w:eastAsia="Calibri"/>
                <w:kern w:val="22"/>
                <w:sz w:val="20"/>
                <w:szCs w:val="20"/>
              </w:rPr>
            </w:pPr>
            <w:r w:rsidRPr="00D2758E">
              <w:rPr>
                <w:rFonts w:eastAsia="Calibri"/>
                <w:kern w:val="22"/>
                <w:sz w:val="20"/>
                <w:szCs w:val="20"/>
              </w:rPr>
              <w:t>146</w:t>
            </w:r>
          </w:p>
        </w:tc>
        <w:tc>
          <w:tcPr>
            <w:tcW w:w="1506" w:type="dxa"/>
            <w:vAlign w:val="bottom"/>
          </w:tcPr>
          <w:p w14:paraId="2A4726F2" w14:textId="136BD6BA" w:rsidR="002F2963" w:rsidRPr="00D2758E" w:rsidRDefault="002F2963" w:rsidP="006B066D">
            <w:pPr>
              <w:suppressLineNumbers/>
              <w:suppressAutoHyphens/>
              <w:kinsoku w:val="0"/>
              <w:overflowPunct w:val="0"/>
              <w:autoSpaceDE w:val="0"/>
              <w:autoSpaceDN w:val="0"/>
              <w:adjustRightInd w:val="0"/>
              <w:snapToGrid w:val="0"/>
              <w:jc w:val="right"/>
              <w:rPr>
                <w:rFonts w:eastAsia="Calibri"/>
                <w:kern w:val="22"/>
                <w:sz w:val="20"/>
                <w:szCs w:val="20"/>
              </w:rPr>
            </w:pPr>
            <w:r w:rsidRPr="00D2758E">
              <w:rPr>
                <w:rFonts w:eastAsia="Calibri"/>
                <w:kern w:val="22"/>
                <w:sz w:val="20"/>
                <w:szCs w:val="20"/>
              </w:rPr>
              <w:t>6</w:t>
            </w:r>
            <w:r w:rsidR="00745F58">
              <w:rPr>
                <w:rFonts w:eastAsia="Calibri"/>
                <w:kern w:val="22"/>
                <w:sz w:val="20"/>
                <w:szCs w:val="20"/>
              </w:rPr>
              <w:t>,</w:t>
            </w:r>
            <w:r w:rsidRPr="00D2758E">
              <w:rPr>
                <w:rFonts w:eastAsia="Calibri"/>
                <w:kern w:val="22"/>
                <w:sz w:val="20"/>
                <w:szCs w:val="20"/>
              </w:rPr>
              <w:t>269</w:t>
            </w:r>
          </w:p>
        </w:tc>
      </w:tr>
      <w:tr w:rsidR="002F2963" w:rsidRPr="00D2758E" w14:paraId="6AC5F323" w14:textId="77777777" w:rsidTr="006B066D">
        <w:trPr>
          <w:cantSplit/>
        </w:trPr>
        <w:tc>
          <w:tcPr>
            <w:tcW w:w="5240" w:type="dxa"/>
            <w:tcBorders>
              <w:top w:val="single" w:sz="4" w:space="0" w:color="auto"/>
              <w:left w:val="single" w:sz="4" w:space="0" w:color="auto"/>
              <w:bottom w:val="single" w:sz="4" w:space="0" w:color="auto"/>
              <w:right w:val="single" w:sz="4" w:space="0" w:color="auto"/>
            </w:tcBorders>
            <w:tcMar>
              <w:top w:w="29" w:type="dxa"/>
              <w:left w:w="115" w:type="dxa"/>
              <w:bottom w:w="29" w:type="dxa"/>
              <w:right w:w="115" w:type="dxa"/>
            </w:tcMar>
          </w:tcPr>
          <w:p w14:paraId="55B94522" w14:textId="713171A6" w:rsidR="002F2963" w:rsidRPr="00D2758E" w:rsidRDefault="002F2963" w:rsidP="006B066D">
            <w:pPr>
              <w:suppressLineNumbers/>
              <w:suppressAutoHyphens/>
              <w:kinsoku w:val="0"/>
              <w:overflowPunct w:val="0"/>
              <w:autoSpaceDE w:val="0"/>
              <w:autoSpaceDN w:val="0"/>
              <w:adjustRightInd w:val="0"/>
              <w:snapToGrid w:val="0"/>
              <w:jc w:val="left"/>
              <w:rPr>
                <w:kern w:val="22"/>
                <w:sz w:val="20"/>
                <w:szCs w:val="20"/>
              </w:rPr>
            </w:pPr>
            <w:r w:rsidRPr="00D2758E">
              <w:rPr>
                <w:kern w:val="22"/>
                <w:sz w:val="20"/>
                <w:szCs w:val="20"/>
              </w:rPr>
              <w:t>Number and percentage of Parties that provide</w:t>
            </w:r>
            <w:r w:rsidR="00C26B46">
              <w:rPr>
                <w:kern w:val="22"/>
                <w:sz w:val="20"/>
                <w:szCs w:val="20"/>
              </w:rPr>
              <w:t>d</w:t>
            </w:r>
            <w:r w:rsidRPr="00D2758E">
              <w:rPr>
                <w:kern w:val="22"/>
                <w:sz w:val="20"/>
                <w:szCs w:val="20"/>
              </w:rPr>
              <w:t xml:space="preserve"> the information collected or received at a designated checkpoint to relevant national authorities, to the Party providing prior informed consent and to the </w:t>
            </w:r>
            <w:r w:rsidR="005541E5" w:rsidRPr="005541E5">
              <w:rPr>
                <w:kern w:val="22"/>
                <w:sz w:val="20"/>
                <w:szCs w:val="20"/>
              </w:rPr>
              <w:t xml:space="preserve">Access and Benefit-sharing </w:t>
            </w:r>
            <w:r w:rsidRPr="00D2758E">
              <w:rPr>
                <w:kern w:val="22"/>
                <w:sz w:val="20"/>
                <w:szCs w:val="20"/>
              </w:rPr>
              <w:t>Clearing-House</w:t>
            </w:r>
            <w:r w:rsidR="00094251" w:rsidRPr="006B066D">
              <w:rPr>
                <w:i/>
                <w:iCs/>
                <w:kern w:val="22"/>
                <w:sz w:val="20"/>
                <w:szCs w:val="20"/>
                <w:vertAlign w:val="superscript"/>
              </w:rPr>
              <w:t>d</w:t>
            </w:r>
          </w:p>
        </w:tc>
        <w:tc>
          <w:tcPr>
            <w:tcW w:w="1815" w:type="dxa"/>
            <w:tcBorders>
              <w:top w:val="single" w:sz="4" w:space="0" w:color="auto"/>
              <w:left w:val="single" w:sz="4" w:space="0" w:color="auto"/>
              <w:bottom w:val="single" w:sz="4" w:space="0" w:color="auto"/>
              <w:right w:val="single" w:sz="4" w:space="0" w:color="auto"/>
            </w:tcBorders>
            <w:tcMar>
              <w:top w:w="29" w:type="dxa"/>
              <w:left w:w="115" w:type="dxa"/>
              <w:bottom w:w="29" w:type="dxa"/>
              <w:right w:w="115" w:type="dxa"/>
            </w:tcMar>
            <w:vAlign w:val="bottom"/>
          </w:tcPr>
          <w:p w14:paraId="3F9E1686" w14:textId="10E1ED83" w:rsidR="002F2963" w:rsidRPr="00D2758E" w:rsidRDefault="002F2963" w:rsidP="006B066D">
            <w:pPr>
              <w:suppressLineNumbers/>
              <w:suppressAutoHyphens/>
              <w:kinsoku w:val="0"/>
              <w:overflowPunct w:val="0"/>
              <w:autoSpaceDE w:val="0"/>
              <w:autoSpaceDN w:val="0"/>
              <w:adjustRightInd w:val="0"/>
              <w:snapToGrid w:val="0"/>
              <w:jc w:val="right"/>
              <w:rPr>
                <w:rFonts w:eastAsia="Calibri"/>
                <w:kern w:val="22"/>
                <w:sz w:val="20"/>
                <w:szCs w:val="20"/>
              </w:rPr>
            </w:pPr>
            <w:r w:rsidRPr="00D2758E">
              <w:rPr>
                <w:kern w:val="22"/>
                <w:sz w:val="20"/>
                <w:szCs w:val="20"/>
              </w:rPr>
              <w:t>9 (9</w:t>
            </w:r>
            <w:r w:rsidR="00745F58">
              <w:rPr>
                <w:kern w:val="22"/>
                <w:sz w:val="20"/>
                <w:szCs w:val="20"/>
              </w:rPr>
              <w:t xml:space="preserve"> per cent</w:t>
            </w:r>
            <w:r w:rsidRPr="00D2758E">
              <w:rPr>
                <w:kern w:val="22"/>
                <w:sz w:val="20"/>
                <w:szCs w:val="20"/>
              </w:rPr>
              <w:t>)</w:t>
            </w:r>
            <w:r w:rsidRPr="00D2758E">
              <w:rPr>
                <w:kern w:val="22"/>
                <w:sz w:val="20"/>
                <w:szCs w:val="20"/>
              </w:rPr>
              <w:tab/>
            </w:r>
          </w:p>
        </w:tc>
        <w:tc>
          <w:tcPr>
            <w:tcW w:w="1506" w:type="dxa"/>
            <w:vAlign w:val="bottom"/>
          </w:tcPr>
          <w:p w14:paraId="2ED2DF1C" w14:textId="466165F9" w:rsidR="002F2963" w:rsidRPr="00D2758E" w:rsidRDefault="002F2963" w:rsidP="006B066D">
            <w:pPr>
              <w:suppressLineNumbers/>
              <w:suppressAutoHyphens/>
              <w:kinsoku w:val="0"/>
              <w:overflowPunct w:val="0"/>
              <w:autoSpaceDE w:val="0"/>
              <w:autoSpaceDN w:val="0"/>
              <w:adjustRightInd w:val="0"/>
              <w:snapToGrid w:val="0"/>
              <w:jc w:val="right"/>
              <w:rPr>
                <w:rFonts w:eastAsia="Calibri"/>
                <w:kern w:val="22"/>
                <w:sz w:val="20"/>
                <w:szCs w:val="20"/>
              </w:rPr>
            </w:pPr>
            <w:r w:rsidRPr="00D2758E">
              <w:rPr>
                <w:kern w:val="22"/>
                <w:sz w:val="20"/>
                <w:szCs w:val="20"/>
              </w:rPr>
              <w:t>15 (10</w:t>
            </w:r>
            <w:r w:rsidR="00745F58">
              <w:rPr>
                <w:kern w:val="22"/>
                <w:sz w:val="20"/>
                <w:szCs w:val="20"/>
              </w:rPr>
              <w:t xml:space="preserve"> per cent</w:t>
            </w:r>
            <w:r w:rsidRPr="00D2758E">
              <w:rPr>
                <w:kern w:val="22"/>
                <w:sz w:val="20"/>
                <w:szCs w:val="20"/>
              </w:rPr>
              <w:t>)</w:t>
            </w:r>
          </w:p>
        </w:tc>
      </w:tr>
      <w:tr w:rsidR="002F2963" w:rsidRPr="00D2758E" w14:paraId="60C4A3A9" w14:textId="77777777" w:rsidTr="006B066D">
        <w:trPr>
          <w:cantSplit/>
        </w:trPr>
        <w:tc>
          <w:tcPr>
            <w:tcW w:w="5240" w:type="dxa"/>
            <w:tcBorders>
              <w:top w:val="single" w:sz="4" w:space="0" w:color="auto"/>
              <w:left w:val="single" w:sz="4" w:space="0" w:color="auto"/>
              <w:bottom w:val="single" w:sz="4" w:space="0" w:color="auto"/>
              <w:right w:val="single" w:sz="4" w:space="0" w:color="auto"/>
            </w:tcBorders>
            <w:tcMar>
              <w:top w:w="29" w:type="dxa"/>
              <w:left w:w="115" w:type="dxa"/>
              <w:bottom w:w="29" w:type="dxa"/>
              <w:right w:w="115" w:type="dxa"/>
            </w:tcMar>
          </w:tcPr>
          <w:p w14:paraId="470D67DF" w14:textId="2191E1D1" w:rsidR="002F2963" w:rsidRPr="00D2758E" w:rsidRDefault="002F2963" w:rsidP="006B066D">
            <w:pPr>
              <w:suppressLineNumbers/>
              <w:suppressAutoHyphens/>
              <w:kinsoku w:val="0"/>
              <w:overflowPunct w:val="0"/>
              <w:autoSpaceDE w:val="0"/>
              <w:autoSpaceDN w:val="0"/>
              <w:adjustRightInd w:val="0"/>
              <w:snapToGrid w:val="0"/>
              <w:jc w:val="left"/>
              <w:rPr>
                <w:rFonts w:eastAsia="Malgun Gothic"/>
                <w:kern w:val="22"/>
                <w:sz w:val="20"/>
                <w:szCs w:val="20"/>
              </w:rPr>
            </w:pPr>
            <w:r w:rsidRPr="00D2758E">
              <w:rPr>
                <w:kern w:val="22"/>
                <w:sz w:val="20"/>
                <w:szCs w:val="20"/>
              </w:rPr>
              <w:t xml:space="preserve">Number of checkpoint communiques published in the </w:t>
            </w:r>
            <w:r w:rsidR="005541E5" w:rsidRPr="005541E5">
              <w:rPr>
                <w:kern w:val="22"/>
                <w:sz w:val="20"/>
                <w:szCs w:val="20"/>
              </w:rPr>
              <w:t xml:space="preserve">Access and Benefit-sharing </w:t>
            </w:r>
            <w:r w:rsidRPr="00D2758E">
              <w:rPr>
                <w:kern w:val="22"/>
                <w:sz w:val="20"/>
                <w:szCs w:val="20"/>
              </w:rPr>
              <w:t>Clearing-House</w:t>
            </w:r>
          </w:p>
        </w:tc>
        <w:tc>
          <w:tcPr>
            <w:tcW w:w="1815" w:type="dxa"/>
            <w:tcBorders>
              <w:top w:val="single" w:sz="4" w:space="0" w:color="auto"/>
              <w:left w:val="single" w:sz="4" w:space="0" w:color="auto"/>
              <w:bottom w:val="single" w:sz="4" w:space="0" w:color="auto"/>
              <w:right w:val="single" w:sz="4" w:space="0" w:color="auto"/>
            </w:tcBorders>
            <w:tcMar>
              <w:top w:w="29" w:type="dxa"/>
              <w:left w:w="115" w:type="dxa"/>
              <w:bottom w:w="29" w:type="dxa"/>
              <w:right w:w="115" w:type="dxa"/>
            </w:tcMar>
            <w:vAlign w:val="bottom"/>
          </w:tcPr>
          <w:p w14:paraId="6856AE0D" w14:textId="77777777" w:rsidR="002F2963" w:rsidRPr="00D2758E" w:rsidRDefault="002F2963" w:rsidP="006B066D">
            <w:pPr>
              <w:suppressLineNumbers/>
              <w:suppressAutoHyphens/>
              <w:kinsoku w:val="0"/>
              <w:overflowPunct w:val="0"/>
              <w:autoSpaceDE w:val="0"/>
              <w:autoSpaceDN w:val="0"/>
              <w:adjustRightInd w:val="0"/>
              <w:snapToGrid w:val="0"/>
              <w:jc w:val="right"/>
              <w:rPr>
                <w:rFonts w:eastAsia="Calibri"/>
                <w:kern w:val="22"/>
                <w:sz w:val="20"/>
                <w:szCs w:val="20"/>
              </w:rPr>
            </w:pPr>
            <w:r w:rsidRPr="00D2758E">
              <w:rPr>
                <w:rFonts w:eastAsia="Calibri"/>
                <w:kern w:val="22"/>
                <w:sz w:val="20"/>
                <w:szCs w:val="20"/>
              </w:rPr>
              <w:t>0</w:t>
            </w:r>
          </w:p>
        </w:tc>
        <w:tc>
          <w:tcPr>
            <w:tcW w:w="1506" w:type="dxa"/>
            <w:vAlign w:val="bottom"/>
          </w:tcPr>
          <w:p w14:paraId="606012F8" w14:textId="77777777" w:rsidR="002F2963" w:rsidRPr="00D2758E" w:rsidRDefault="002F2963" w:rsidP="006B066D">
            <w:pPr>
              <w:suppressLineNumbers/>
              <w:suppressAutoHyphens/>
              <w:kinsoku w:val="0"/>
              <w:overflowPunct w:val="0"/>
              <w:autoSpaceDE w:val="0"/>
              <w:autoSpaceDN w:val="0"/>
              <w:adjustRightInd w:val="0"/>
              <w:snapToGrid w:val="0"/>
              <w:jc w:val="right"/>
              <w:rPr>
                <w:rFonts w:eastAsia="Calibri"/>
                <w:kern w:val="22"/>
                <w:sz w:val="20"/>
                <w:szCs w:val="20"/>
              </w:rPr>
            </w:pPr>
            <w:r w:rsidRPr="00D2758E">
              <w:rPr>
                <w:rFonts w:eastAsia="Calibri"/>
                <w:kern w:val="22"/>
                <w:sz w:val="20"/>
                <w:szCs w:val="20"/>
              </w:rPr>
              <w:t>371</w:t>
            </w:r>
          </w:p>
        </w:tc>
      </w:tr>
      <w:tr w:rsidR="002F2963" w:rsidRPr="00D2758E" w14:paraId="557E30B3" w14:textId="77777777" w:rsidTr="006B066D">
        <w:trPr>
          <w:cantSplit/>
        </w:trPr>
        <w:tc>
          <w:tcPr>
            <w:tcW w:w="5240" w:type="dxa"/>
            <w:tcBorders>
              <w:top w:val="single" w:sz="4" w:space="0" w:color="auto"/>
              <w:left w:val="single" w:sz="4" w:space="0" w:color="auto"/>
              <w:bottom w:val="single" w:sz="4" w:space="0" w:color="auto"/>
              <w:right w:val="single" w:sz="4" w:space="0" w:color="auto"/>
            </w:tcBorders>
            <w:tcMar>
              <w:top w:w="29" w:type="dxa"/>
              <w:left w:w="115" w:type="dxa"/>
              <w:bottom w:w="29" w:type="dxa"/>
              <w:right w:w="115" w:type="dxa"/>
            </w:tcMar>
            <w:hideMark/>
          </w:tcPr>
          <w:p w14:paraId="72C775FD" w14:textId="7533B327" w:rsidR="002F2963" w:rsidRPr="00D2758E" w:rsidRDefault="002F2963" w:rsidP="006B066D">
            <w:pPr>
              <w:suppressLineNumbers/>
              <w:suppressAutoHyphens/>
              <w:kinsoku w:val="0"/>
              <w:overflowPunct w:val="0"/>
              <w:autoSpaceDE w:val="0"/>
              <w:autoSpaceDN w:val="0"/>
              <w:adjustRightInd w:val="0"/>
              <w:snapToGrid w:val="0"/>
              <w:jc w:val="left"/>
              <w:rPr>
                <w:rFonts w:eastAsia="Malgun Gothic"/>
                <w:kern w:val="22"/>
                <w:sz w:val="20"/>
                <w:szCs w:val="20"/>
              </w:rPr>
            </w:pPr>
            <w:r w:rsidRPr="00D2758E">
              <w:rPr>
                <w:rFonts w:eastAsia="Malgun Gothic"/>
                <w:kern w:val="22"/>
                <w:sz w:val="20"/>
                <w:szCs w:val="20"/>
              </w:rPr>
              <w:t>Number and percentage of Parties that have made information (</w:t>
            </w:r>
            <w:r w:rsidR="00B00302">
              <w:rPr>
                <w:rFonts w:eastAsia="Malgun Gothic"/>
                <w:kern w:val="22"/>
                <w:sz w:val="20"/>
                <w:szCs w:val="20"/>
              </w:rPr>
              <w:t>on competent national authorities</w:t>
            </w:r>
            <w:r w:rsidRPr="00D2758E">
              <w:rPr>
                <w:rFonts w:eastAsia="Malgun Gothic"/>
                <w:kern w:val="22"/>
                <w:sz w:val="20"/>
                <w:szCs w:val="20"/>
              </w:rPr>
              <w:t>, checkpoint</w:t>
            </w:r>
            <w:r w:rsidR="0016190E">
              <w:rPr>
                <w:rFonts w:eastAsia="Malgun Gothic"/>
                <w:kern w:val="22"/>
                <w:sz w:val="20"/>
                <w:szCs w:val="20"/>
              </w:rPr>
              <w:t>s</w:t>
            </w:r>
            <w:r w:rsidRPr="00D2758E">
              <w:rPr>
                <w:rFonts w:eastAsia="Malgun Gothic"/>
                <w:kern w:val="22"/>
                <w:sz w:val="20"/>
                <w:szCs w:val="20"/>
              </w:rPr>
              <w:t xml:space="preserve">, </w:t>
            </w:r>
            <w:r w:rsidR="0016190E">
              <w:rPr>
                <w:rFonts w:eastAsia="Malgun Gothic"/>
                <w:kern w:val="22"/>
                <w:sz w:val="20"/>
                <w:szCs w:val="20"/>
              </w:rPr>
              <w:t xml:space="preserve">access and benefit-sharing </w:t>
            </w:r>
            <w:r w:rsidRPr="00D2758E">
              <w:rPr>
                <w:rFonts w:eastAsia="Malgun Gothic"/>
                <w:kern w:val="22"/>
                <w:sz w:val="20"/>
                <w:szCs w:val="20"/>
              </w:rPr>
              <w:t>measures</w:t>
            </w:r>
            <w:r w:rsidR="0016190E">
              <w:rPr>
                <w:rFonts w:eastAsia="Malgun Gothic"/>
                <w:kern w:val="22"/>
                <w:sz w:val="20"/>
                <w:szCs w:val="20"/>
              </w:rPr>
              <w:t xml:space="preserve"> </w:t>
            </w:r>
            <w:r w:rsidR="00906484">
              <w:rPr>
                <w:rFonts w:eastAsia="Malgun Gothic"/>
                <w:kern w:val="22"/>
                <w:sz w:val="20"/>
                <w:szCs w:val="20"/>
              </w:rPr>
              <w:t>or</w:t>
            </w:r>
            <w:r w:rsidRPr="00D2758E">
              <w:rPr>
                <w:rFonts w:eastAsia="Malgun Gothic"/>
                <w:kern w:val="22"/>
                <w:sz w:val="20"/>
                <w:szCs w:val="20"/>
              </w:rPr>
              <w:t xml:space="preserve"> </w:t>
            </w:r>
            <w:r w:rsidR="0016190E" w:rsidRPr="0016190E">
              <w:rPr>
                <w:rFonts w:eastAsia="Malgun Gothic"/>
                <w:kern w:val="22"/>
                <w:sz w:val="20"/>
                <w:szCs w:val="20"/>
              </w:rPr>
              <w:t>internationally recognized certificate</w:t>
            </w:r>
            <w:r w:rsidR="0016190E">
              <w:rPr>
                <w:rFonts w:eastAsia="Malgun Gothic"/>
                <w:kern w:val="22"/>
                <w:sz w:val="20"/>
                <w:szCs w:val="20"/>
              </w:rPr>
              <w:t>s</w:t>
            </w:r>
            <w:r w:rsidR="0016190E" w:rsidRPr="0016190E">
              <w:rPr>
                <w:rFonts w:eastAsia="Malgun Gothic"/>
                <w:kern w:val="22"/>
                <w:sz w:val="20"/>
                <w:szCs w:val="20"/>
              </w:rPr>
              <w:t xml:space="preserve"> of compliance</w:t>
            </w:r>
            <w:r w:rsidRPr="00D2758E">
              <w:rPr>
                <w:rFonts w:eastAsia="Malgun Gothic"/>
                <w:kern w:val="22"/>
                <w:sz w:val="20"/>
                <w:szCs w:val="20"/>
              </w:rPr>
              <w:t>)</w:t>
            </w:r>
            <w:r w:rsidR="00D641B8" w:rsidRPr="00D2758E">
              <w:rPr>
                <w:rFonts w:eastAsia="Malgun Gothic"/>
                <w:kern w:val="22"/>
                <w:sz w:val="20"/>
                <w:szCs w:val="20"/>
              </w:rPr>
              <w:t xml:space="preserve"> available to the </w:t>
            </w:r>
            <w:r w:rsidR="00D641B8" w:rsidRPr="004916B0">
              <w:rPr>
                <w:rFonts w:eastAsia="Malgun Gothic"/>
                <w:kern w:val="22"/>
                <w:sz w:val="20"/>
                <w:szCs w:val="20"/>
              </w:rPr>
              <w:t xml:space="preserve">Access and Benefit-sharing </w:t>
            </w:r>
            <w:r w:rsidR="00D641B8" w:rsidRPr="00D2758E">
              <w:rPr>
                <w:rFonts w:eastAsia="Malgun Gothic"/>
                <w:kern w:val="22"/>
                <w:sz w:val="20"/>
                <w:szCs w:val="20"/>
              </w:rPr>
              <w:t>Clearing-House</w:t>
            </w:r>
          </w:p>
        </w:tc>
        <w:tc>
          <w:tcPr>
            <w:tcW w:w="1815" w:type="dxa"/>
            <w:tcBorders>
              <w:top w:val="single" w:sz="4" w:space="0" w:color="auto"/>
              <w:left w:val="single" w:sz="4" w:space="0" w:color="auto"/>
              <w:bottom w:val="single" w:sz="4" w:space="0" w:color="auto"/>
              <w:right w:val="single" w:sz="4" w:space="0" w:color="auto"/>
            </w:tcBorders>
            <w:tcMar>
              <w:top w:w="29" w:type="dxa"/>
              <w:left w:w="115" w:type="dxa"/>
              <w:bottom w:w="29" w:type="dxa"/>
              <w:right w:w="115" w:type="dxa"/>
            </w:tcMar>
            <w:vAlign w:val="bottom"/>
            <w:hideMark/>
          </w:tcPr>
          <w:p w14:paraId="690664D1" w14:textId="5B6CD601" w:rsidR="002F2963" w:rsidRPr="00D2758E" w:rsidRDefault="002F2963" w:rsidP="006B066D">
            <w:pPr>
              <w:suppressLineNumbers/>
              <w:suppressAutoHyphens/>
              <w:kinsoku w:val="0"/>
              <w:overflowPunct w:val="0"/>
              <w:autoSpaceDE w:val="0"/>
              <w:autoSpaceDN w:val="0"/>
              <w:adjustRightInd w:val="0"/>
              <w:snapToGrid w:val="0"/>
              <w:jc w:val="right"/>
              <w:rPr>
                <w:rFonts w:eastAsia="Calibri"/>
                <w:kern w:val="22"/>
                <w:sz w:val="20"/>
                <w:szCs w:val="20"/>
              </w:rPr>
            </w:pPr>
            <w:r w:rsidRPr="00D2758E">
              <w:rPr>
                <w:rFonts w:eastAsia="Calibri"/>
                <w:kern w:val="22"/>
                <w:sz w:val="20"/>
                <w:szCs w:val="20"/>
              </w:rPr>
              <w:t>54 (51</w:t>
            </w:r>
            <w:r w:rsidR="00745F58">
              <w:rPr>
                <w:rFonts w:eastAsia="Calibri"/>
                <w:kern w:val="22"/>
                <w:sz w:val="20"/>
                <w:szCs w:val="20"/>
              </w:rPr>
              <w:t xml:space="preserve"> per cent</w:t>
            </w:r>
            <w:r w:rsidRPr="00D2758E">
              <w:rPr>
                <w:rFonts w:eastAsia="Calibri"/>
                <w:kern w:val="22"/>
                <w:sz w:val="20"/>
                <w:szCs w:val="20"/>
              </w:rPr>
              <w:t>)</w:t>
            </w:r>
          </w:p>
        </w:tc>
        <w:tc>
          <w:tcPr>
            <w:tcW w:w="1506" w:type="dxa"/>
            <w:vAlign w:val="bottom"/>
          </w:tcPr>
          <w:p w14:paraId="35569425" w14:textId="795AC17F" w:rsidR="002F2963" w:rsidRPr="00D2758E" w:rsidRDefault="002F2963" w:rsidP="006B066D">
            <w:pPr>
              <w:suppressLineNumbers/>
              <w:suppressAutoHyphens/>
              <w:kinsoku w:val="0"/>
              <w:overflowPunct w:val="0"/>
              <w:autoSpaceDE w:val="0"/>
              <w:autoSpaceDN w:val="0"/>
              <w:adjustRightInd w:val="0"/>
              <w:snapToGrid w:val="0"/>
              <w:jc w:val="right"/>
              <w:rPr>
                <w:rFonts w:eastAsia="Calibri"/>
                <w:kern w:val="22"/>
                <w:sz w:val="20"/>
                <w:szCs w:val="20"/>
              </w:rPr>
            </w:pPr>
            <w:r w:rsidRPr="00D2758E">
              <w:rPr>
                <w:rFonts w:eastAsia="Calibri"/>
                <w:kern w:val="22"/>
                <w:sz w:val="20"/>
                <w:szCs w:val="20"/>
              </w:rPr>
              <w:t>93 (66</w:t>
            </w:r>
            <w:r w:rsidR="00745F58">
              <w:rPr>
                <w:rFonts w:eastAsia="Calibri"/>
                <w:kern w:val="22"/>
                <w:sz w:val="20"/>
                <w:szCs w:val="20"/>
              </w:rPr>
              <w:t xml:space="preserve"> per cent</w:t>
            </w:r>
            <w:r w:rsidRPr="00D2758E">
              <w:rPr>
                <w:rFonts w:eastAsia="Calibri"/>
                <w:kern w:val="22"/>
                <w:sz w:val="20"/>
                <w:szCs w:val="20"/>
              </w:rPr>
              <w:t>)</w:t>
            </w:r>
          </w:p>
        </w:tc>
      </w:tr>
      <w:tr w:rsidR="002F2963" w:rsidRPr="00D2758E" w14:paraId="4C234416" w14:textId="77777777" w:rsidTr="006B066D">
        <w:trPr>
          <w:cantSplit/>
        </w:trPr>
        <w:tc>
          <w:tcPr>
            <w:tcW w:w="5240" w:type="dxa"/>
            <w:tcBorders>
              <w:top w:val="single" w:sz="4" w:space="0" w:color="auto"/>
              <w:left w:val="single" w:sz="4" w:space="0" w:color="auto"/>
              <w:bottom w:val="single" w:sz="4" w:space="0" w:color="auto"/>
              <w:right w:val="single" w:sz="4" w:space="0" w:color="auto"/>
            </w:tcBorders>
            <w:tcMar>
              <w:top w:w="29" w:type="dxa"/>
              <w:left w:w="115" w:type="dxa"/>
              <w:bottom w:w="29" w:type="dxa"/>
              <w:right w:w="115" w:type="dxa"/>
            </w:tcMar>
            <w:hideMark/>
          </w:tcPr>
          <w:p w14:paraId="651F1406" w14:textId="76A25B51" w:rsidR="002F2963" w:rsidRPr="00D2758E" w:rsidRDefault="002F2963" w:rsidP="006B066D">
            <w:pPr>
              <w:suppressLineNumbers/>
              <w:suppressAutoHyphens/>
              <w:kinsoku w:val="0"/>
              <w:overflowPunct w:val="0"/>
              <w:autoSpaceDE w:val="0"/>
              <w:autoSpaceDN w:val="0"/>
              <w:adjustRightInd w:val="0"/>
              <w:snapToGrid w:val="0"/>
              <w:jc w:val="left"/>
              <w:rPr>
                <w:kern w:val="22"/>
                <w:sz w:val="20"/>
                <w:szCs w:val="20"/>
              </w:rPr>
            </w:pPr>
            <w:r w:rsidRPr="00D2758E">
              <w:rPr>
                <w:rFonts w:eastAsia="Malgun Gothic"/>
                <w:kern w:val="22"/>
                <w:sz w:val="20"/>
                <w:szCs w:val="20"/>
              </w:rPr>
              <w:t>Number and percentage of Parties that have information (</w:t>
            </w:r>
            <w:r w:rsidR="001817F4" w:rsidRPr="001817F4">
              <w:rPr>
                <w:rFonts w:eastAsia="Malgun Gothic"/>
                <w:kern w:val="22"/>
                <w:sz w:val="20"/>
                <w:szCs w:val="20"/>
              </w:rPr>
              <w:t xml:space="preserve">on competent national authorities, checkpoints, access and benefit-sharing measures </w:t>
            </w:r>
            <w:r w:rsidR="00906484">
              <w:rPr>
                <w:rFonts w:eastAsia="Malgun Gothic"/>
                <w:kern w:val="22"/>
                <w:sz w:val="20"/>
                <w:szCs w:val="20"/>
              </w:rPr>
              <w:t>or</w:t>
            </w:r>
            <w:r w:rsidR="001817F4">
              <w:rPr>
                <w:rFonts w:eastAsia="Malgun Gothic"/>
                <w:kern w:val="22"/>
                <w:sz w:val="20"/>
                <w:szCs w:val="20"/>
              </w:rPr>
              <w:t xml:space="preserve"> </w:t>
            </w:r>
            <w:r w:rsidRPr="00D2758E">
              <w:rPr>
                <w:rFonts w:eastAsia="Malgun Gothic"/>
                <w:kern w:val="22"/>
                <w:sz w:val="20"/>
                <w:szCs w:val="20"/>
              </w:rPr>
              <w:t>permits) t</w:t>
            </w:r>
            <w:r w:rsidRPr="00D2758E">
              <w:rPr>
                <w:kern w:val="22"/>
                <w:sz w:val="20"/>
                <w:szCs w:val="20"/>
              </w:rPr>
              <w:t>hat ha</w:t>
            </w:r>
            <w:r w:rsidR="0076344E">
              <w:rPr>
                <w:kern w:val="22"/>
                <w:sz w:val="20"/>
                <w:szCs w:val="20"/>
              </w:rPr>
              <w:t>s</w:t>
            </w:r>
            <w:r w:rsidRPr="00D2758E">
              <w:rPr>
                <w:kern w:val="22"/>
                <w:sz w:val="20"/>
                <w:szCs w:val="20"/>
              </w:rPr>
              <w:t xml:space="preserve"> not yet been made available to the </w:t>
            </w:r>
            <w:r w:rsidR="005541E5" w:rsidRPr="005541E5">
              <w:rPr>
                <w:kern w:val="22"/>
                <w:sz w:val="20"/>
                <w:szCs w:val="20"/>
              </w:rPr>
              <w:t>Acces</w:t>
            </w:r>
            <w:r w:rsidR="0076344E">
              <w:rPr>
                <w:kern w:val="22"/>
                <w:sz w:val="20"/>
                <w:szCs w:val="20"/>
              </w:rPr>
              <w:t>s</w:t>
            </w:r>
            <w:r w:rsidR="005541E5" w:rsidRPr="005541E5">
              <w:rPr>
                <w:kern w:val="22"/>
                <w:sz w:val="20"/>
                <w:szCs w:val="20"/>
              </w:rPr>
              <w:t xml:space="preserve"> and Benefit-sharing </w:t>
            </w:r>
            <w:r w:rsidRPr="00D2758E">
              <w:rPr>
                <w:kern w:val="22"/>
                <w:sz w:val="20"/>
                <w:szCs w:val="20"/>
              </w:rPr>
              <w:t>Clearing-House</w:t>
            </w:r>
          </w:p>
        </w:tc>
        <w:tc>
          <w:tcPr>
            <w:tcW w:w="1815" w:type="dxa"/>
            <w:tcBorders>
              <w:top w:val="single" w:sz="4" w:space="0" w:color="auto"/>
              <w:left w:val="single" w:sz="4" w:space="0" w:color="auto"/>
              <w:bottom w:val="single" w:sz="4" w:space="0" w:color="auto"/>
              <w:right w:val="single" w:sz="4" w:space="0" w:color="auto"/>
            </w:tcBorders>
            <w:tcMar>
              <w:top w:w="29" w:type="dxa"/>
              <w:left w:w="115" w:type="dxa"/>
              <w:bottom w:w="29" w:type="dxa"/>
              <w:right w:w="115" w:type="dxa"/>
            </w:tcMar>
            <w:vAlign w:val="bottom"/>
            <w:hideMark/>
          </w:tcPr>
          <w:p w14:paraId="74501194" w14:textId="4D961B2D" w:rsidR="002F2963" w:rsidRPr="00D2758E" w:rsidRDefault="002F2963" w:rsidP="006B066D">
            <w:pPr>
              <w:suppressLineNumbers/>
              <w:suppressAutoHyphens/>
              <w:kinsoku w:val="0"/>
              <w:overflowPunct w:val="0"/>
              <w:autoSpaceDE w:val="0"/>
              <w:autoSpaceDN w:val="0"/>
              <w:adjustRightInd w:val="0"/>
              <w:snapToGrid w:val="0"/>
              <w:jc w:val="right"/>
              <w:rPr>
                <w:rFonts w:eastAsia="Calibri"/>
                <w:kern w:val="22"/>
                <w:sz w:val="20"/>
                <w:szCs w:val="20"/>
              </w:rPr>
            </w:pPr>
            <w:r w:rsidRPr="00D2758E">
              <w:rPr>
                <w:rFonts w:eastAsia="Calibri"/>
                <w:kern w:val="22"/>
                <w:sz w:val="20"/>
                <w:szCs w:val="20"/>
              </w:rPr>
              <w:t>46 (44</w:t>
            </w:r>
            <w:r w:rsidR="00745F58">
              <w:rPr>
                <w:rFonts w:eastAsia="Calibri"/>
                <w:kern w:val="22"/>
                <w:sz w:val="20"/>
                <w:szCs w:val="20"/>
              </w:rPr>
              <w:t xml:space="preserve"> per cent</w:t>
            </w:r>
            <w:r w:rsidRPr="00D2758E">
              <w:rPr>
                <w:rFonts w:eastAsia="Calibri"/>
                <w:kern w:val="22"/>
                <w:sz w:val="20"/>
                <w:szCs w:val="20"/>
              </w:rPr>
              <w:t>)</w:t>
            </w:r>
          </w:p>
        </w:tc>
        <w:tc>
          <w:tcPr>
            <w:tcW w:w="1506" w:type="dxa"/>
            <w:vAlign w:val="bottom"/>
          </w:tcPr>
          <w:p w14:paraId="3EBF4E15" w14:textId="129D64CB" w:rsidR="002F2963" w:rsidRPr="00D2758E" w:rsidRDefault="002F2963" w:rsidP="006B066D">
            <w:pPr>
              <w:suppressLineNumbers/>
              <w:suppressAutoHyphens/>
              <w:kinsoku w:val="0"/>
              <w:overflowPunct w:val="0"/>
              <w:autoSpaceDE w:val="0"/>
              <w:autoSpaceDN w:val="0"/>
              <w:adjustRightInd w:val="0"/>
              <w:snapToGrid w:val="0"/>
              <w:jc w:val="right"/>
              <w:rPr>
                <w:rFonts w:eastAsia="Calibri"/>
                <w:kern w:val="22"/>
                <w:sz w:val="20"/>
                <w:szCs w:val="20"/>
              </w:rPr>
            </w:pPr>
            <w:r w:rsidRPr="00D2758E">
              <w:rPr>
                <w:rFonts w:eastAsia="Calibri"/>
                <w:kern w:val="22"/>
                <w:sz w:val="20"/>
                <w:szCs w:val="20"/>
              </w:rPr>
              <w:t>68 (48</w:t>
            </w:r>
            <w:r w:rsidR="00745F58">
              <w:rPr>
                <w:rFonts w:eastAsia="Calibri"/>
                <w:kern w:val="22"/>
                <w:sz w:val="20"/>
                <w:szCs w:val="20"/>
              </w:rPr>
              <w:t xml:space="preserve"> per cent</w:t>
            </w:r>
            <w:r w:rsidRPr="00D2758E">
              <w:rPr>
                <w:rFonts w:eastAsia="Calibri"/>
                <w:kern w:val="22"/>
                <w:sz w:val="20"/>
                <w:szCs w:val="20"/>
              </w:rPr>
              <w:t>)</w:t>
            </w:r>
          </w:p>
        </w:tc>
      </w:tr>
      <w:tr w:rsidR="002F2963" w:rsidRPr="00D2758E" w14:paraId="29D00FEF" w14:textId="77777777" w:rsidTr="006B066D">
        <w:trPr>
          <w:cantSplit/>
        </w:trPr>
        <w:tc>
          <w:tcPr>
            <w:tcW w:w="5240" w:type="dxa"/>
            <w:tcBorders>
              <w:top w:val="single" w:sz="4" w:space="0" w:color="auto"/>
              <w:left w:val="single" w:sz="4" w:space="0" w:color="auto"/>
              <w:bottom w:val="single" w:sz="4" w:space="0" w:color="auto"/>
              <w:right w:val="single" w:sz="4" w:space="0" w:color="auto"/>
            </w:tcBorders>
            <w:tcMar>
              <w:top w:w="29" w:type="dxa"/>
              <w:left w:w="115" w:type="dxa"/>
              <w:bottom w:w="29" w:type="dxa"/>
              <w:right w:w="115" w:type="dxa"/>
            </w:tcMar>
            <w:hideMark/>
          </w:tcPr>
          <w:p w14:paraId="7FF7CC44" w14:textId="513EF114" w:rsidR="002F2963" w:rsidRPr="00D2758E" w:rsidRDefault="002F2963" w:rsidP="006B066D">
            <w:pPr>
              <w:suppressLineNumbers/>
              <w:suppressAutoHyphens/>
              <w:kinsoku w:val="0"/>
              <w:overflowPunct w:val="0"/>
              <w:autoSpaceDE w:val="0"/>
              <w:autoSpaceDN w:val="0"/>
              <w:adjustRightInd w:val="0"/>
              <w:snapToGrid w:val="0"/>
              <w:jc w:val="left"/>
              <w:rPr>
                <w:rFonts w:eastAsia="Malgun Gothic"/>
                <w:kern w:val="22"/>
                <w:sz w:val="20"/>
                <w:szCs w:val="20"/>
              </w:rPr>
            </w:pPr>
            <w:r w:rsidRPr="00D2758E">
              <w:rPr>
                <w:rFonts w:eastAsia="Malgun Gothic"/>
                <w:kern w:val="22"/>
                <w:sz w:val="20"/>
                <w:szCs w:val="20"/>
              </w:rPr>
              <w:t>Number of non-Parties that have published national information (</w:t>
            </w:r>
            <w:r w:rsidR="00E37957">
              <w:rPr>
                <w:rFonts w:eastAsia="Malgun Gothic"/>
                <w:kern w:val="22"/>
                <w:sz w:val="20"/>
                <w:szCs w:val="20"/>
              </w:rPr>
              <w:t xml:space="preserve">on access and benefit-sharing measures, </w:t>
            </w:r>
            <w:r w:rsidR="0088242F">
              <w:rPr>
                <w:rFonts w:eastAsia="Malgun Gothic"/>
                <w:kern w:val="22"/>
                <w:sz w:val="20"/>
                <w:szCs w:val="20"/>
              </w:rPr>
              <w:t>competent national authorities</w:t>
            </w:r>
            <w:r w:rsidRPr="00D2758E">
              <w:rPr>
                <w:rFonts w:eastAsia="Malgun Gothic"/>
                <w:kern w:val="22"/>
                <w:sz w:val="20"/>
                <w:szCs w:val="20"/>
              </w:rPr>
              <w:t xml:space="preserve"> or checkpoints) </w:t>
            </w:r>
            <w:r w:rsidR="0073644D">
              <w:rPr>
                <w:rFonts w:eastAsia="Malgun Gothic"/>
                <w:kern w:val="22"/>
                <w:sz w:val="20"/>
                <w:szCs w:val="20"/>
              </w:rPr>
              <w:t>o</w:t>
            </w:r>
            <w:r w:rsidRPr="00D2758E">
              <w:rPr>
                <w:rFonts w:eastAsia="Malgun Gothic"/>
                <w:kern w:val="22"/>
                <w:sz w:val="20"/>
                <w:szCs w:val="20"/>
              </w:rPr>
              <w:t xml:space="preserve">n the </w:t>
            </w:r>
            <w:r w:rsidR="005541E5" w:rsidRPr="005541E5">
              <w:rPr>
                <w:rFonts w:eastAsia="Malgun Gothic"/>
                <w:kern w:val="22"/>
                <w:sz w:val="20"/>
                <w:szCs w:val="20"/>
              </w:rPr>
              <w:t xml:space="preserve">Access and Benefit-sharing </w:t>
            </w:r>
            <w:r w:rsidRPr="00D2758E">
              <w:rPr>
                <w:rFonts w:eastAsia="Malgun Gothic"/>
                <w:kern w:val="22"/>
                <w:sz w:val="20"/>
                <w:szCs w:val="20"/>
              </w:rPr>
              <w:t>Clearing-House</w:t>
            </w:r>
          </w:p>
        </w:tc>
        <w:tc>
          <w:tcPr>
            <w:tcW w:w="1815" w:type="dxa"/>
            <w:tcBorders>
              <w:top w:val="single" w:sz="4" w:space="0" w:color="auto"/>
              <w:left w:val="single" w:sz="4" w:space="0" w:color="auto"/>
              <w:bottom w:val="single" w:sz="4" w:space="0" w:color="auto"/>
              <w:right w:val="single" w:sz="4" w:space="0" w:color="auto"/>
            </w:tcBorders>
            <w:tcMar>
              <w:top w:w="29" w:type="dxa"/>
              <w:left w:w="115" w:type="dxa"/>
              <w:bottom w:w="29" w:type="dxa"/>
              <w:right w:w="115" w:type="dxa"/>
            </w:tcMar>
            <w:vAlign w:val="bottom"/>
            <w:hideMark/>
          </w:tcPr>
          <w:p w14:paraId="60644975" w14:textId="77777777" w:rsidR="002F2963" w:rsidRPr="00D2758E" w:rsidRDefault="002F2963" w:rsidP="006B066D">
            <w:pPr>
              <w:suppressLineNumbers/>
              <w:suppressAutoHyphens/>
              <w:kinsoku w:val="0"/>
              <w:overflowPunct w:val="0"/>
              <w:autoSpaceDE w:val="0"/>
              <w:autoSpaceDN w:val="0"/>
              <w:adjustRightInd w:val="0"/>
              <w:snapToGrid w:val="0"/>
              <w:jc w:val="right"/>
              <w:rPr>
                <w:kern w:val="22"/>
                <w:sz w:val="20"/>
                <w:szCs w:val="20"/>
              </w:rPr>
            </w:pPr>
            <w:r w:rsidRPr="00D2758E">
              <w:rPr>
                <w:kern w:val="22"/>
                <w:sz w:val="20"/>
                <w:szCs w:val="20"/>
              </w:rPr>
              <w:t>8</w:t>
            </w:r>
          </w:p>
        </w:tc>
        <w:tc>
          <w:tcPr>
            <w:tcW w:w="1506" w:type="dxa"/>
            <w:tcBorders>
              <w:top w:val="single" w:sz="4" w:space="0" w:color="auto"/>
              <w:left w:val="single" w:sz="4" w:space="0" w:color="auto"/>
              <w:bottom w:val="single" w:sz="4" w:space="0" w:color="auto"/>
              <w:right w:val="single" w:sz="4" w:space="0" w:color="auto"/>
            </w:tcBorders>
            <w:vAlign w:val="bottom"/>
          </w:tcPr>
          <w:p w14:paraId="0262F7FB" w14:textId="77777777" w:rsidR="002F2963" w:rsidRPr="00D2758E" w:rsidRDefault="002F2963" w:rsidP="006B066D">
            <w:pPr>
              <w:suppressLineNumbers/>
              <w:suppressAutoHyphens/>
              <w:kinsoku w:val="0"/>
              <w:overflowPunct w:val="0"/>
              <w:autoSpaceDE w:val="0"/>
              <w:autoSpaceDN w:val="0"/>
              <w:adjustRightInd w:val="0"/>
              <w:snapToGrid w:val="0"/>
              <w:jc w:val="right"/>
              <w:rPr>
                <w:kern w:val="22"/>
                <w:sz w:val="20"/>
                <w:szCs w:val="20"/>
              </w:rPr>
            </w:pPr>
            <w:r w:rsidRPr="00D2758E">
              <w:rPr>
                <w:kern w:val="22"/>
                <w:sz w:val="20"/>
                <w:szCs w:val="20"/>
              </w:rPr>
              <w:t>8</w:t>
            </w:r>
          </w:p>
        </w:tc>
      </w:tr>
    </w:tbl>
    <w:p w14:paraId="0074FF4F" w14:textId="52BEFA81" w:rsidR="002A52C9" w:rsidRPr="006B066D" w:rsidRDefault="00CB4ADC" w:rsidP="006B066D">
      <w:pPr>
        <w:pStyle w:val="CBDNormalNoNumber"/>
        <w:tabs>
          <w:tab w:val="clear" w:pos="567"/>
          <w:tab w:val="clear" w:pos="1134"/>
        </w:tabs>
        <w:spacing w:after="0"/>
        <w:ind w:left="993" w:hanging="284"/>
        <w:rPr>
          <w:sz w:val="18"/>
          <w:szCs w:val="18"/>
        </w:rPr>
      </w:pPr>
      <w:r w:rsidRPr="006B066D">
        <w:rPr>
          <w:i/>
          <w:iCs/>
          <w:sz w:val="18"/>
          <w:szCs w:val="18"/>
          <w:vertAlign w:val="superscript"/>
        </w:rPr>
        <w:t>a</w:t>
      </w:r>
      <w:r w:rsidRPr="006B066D">
        <w:rPr>
          <w:sz w:val="18"/>
          <w:szCs w:val="18"/>
        </w:rPr>
        <w:t xml:space="preserve"> </w:t>
      </w:r>
      <w:r w:rsidR="00562B75">
        <w:rPr>
          <w:sz w:val="18"/>
          <w:szCs w:val="18"/>
        </w:rPr>
        <w:tab/>
      </w:r>
      <w:proofErr w:type="spellStart"/>
      <w:r w:rsidRPr="006B066D">
        <w:rPr>
          <w:sz w:val="18"/>
          <w:szCs w:val="18"/>
        </w:rPr>
        <w:t>A</w:t>
      </w:r>
      <w:proofErr w:type="spellEnd"/>
      <w:r w:rsidRPr="006B066D">
        <w:rPr>
          <w:sz w:val="18"/>
          <w:szCs w:val="18"/>
        </w:rPr>
        <w:t xml:space="preserve"> new indicator has been added to measure progress </w:t>
      </w:r>
      <w:r w:rsidR="00B4296F">
        <w:rPr>
          <w:sz w:val="18"/>
          <w:szCs w:val="18"/>
        </w:rPr>
        <w:t>o</w:t>
      </w:r>
      <w:r w:rsidRPr="006B066D">
        <w:rPr>
          <w:sz w:val="18"/>
          <w:szCs w:val="18"/>
        </w:rPr>
        <w:t xml:space="preserve">n the publication of </w:t>
      </w:r>
      <w:r w:rsidR="00B4296F">
        <w:rPr>
          <w:sz w:val="18"/>
          <w:szCs w:val="18"/>
        </w:rPr>
        <w:t>access and benefit</w:t>
      </w:r>
      <w:r w:rsidR="00540FA0">
        <w:rPr>
          <w:sz w:val="18"/>
          <w:szCs w:val="18"/>
        </w:rPr>
        <w:t xml:space="preserve">-sharing </w:t>
      </w:r>
      <w:r w:rsidRPr="006B066D">
        <w:rPr>
          <w:sz w:val="18"/>
          <w:szCs w:val="18"/>
        </w:rPr>
        <w:t>procedures, given the importance of publishing th</w:t>
      </w:r>
      <w:r w:rsidR="00540FA0">
        <w:rPr>
          <w:sz w:val="18"/>
          <w:szCs w:val="18"/>
        </w:rPr>
        <w:t>at</w:t>
      </w:r>
      <w:r w:rsidRPr="006B066D">
        <w:rPr>
          <w:sz w:val="18"/>
          <w:szCs w:val="18"/>
        </w:rPr>
        <w:t xml:space="preserve"> information for potential users of genetic resources </w:t>
      </w:r>
      <w:r w:rsidR="00C771EE">
        <w:rPr>
          <w:sz w:val="18"/>
          <w:szCs w:val="18"/>
        </w:rPr>
        <w:t>and/or</w:t>
      </w:r>
      <w:r w:rsidRPr="006B066D">
        <w:rPr>
          <w:sz w:val="18"/>
          <w:szCs w:val="18"/>
        </w:rPr>
        <w:t xml:space="preserve"> associated traditional knowledge.</w:t>
      </w:r>
    </w:p>
    <w:p w14:paraId="050F99B9" w14:textId="7665CE78" w:rsidR="00CB4ADC" w:rsidRDefault="00562B75" w:rsidP="00562B75">
      <w:pPr>
        <w:pStyle w:val="CBDNormalNoNumber"/>
        <w:tabs>
          <w:tab w:val="clear" w:pos="567"/>
          <w:tab w:val="clear" w:pos="1134"/>
        </w:tabs>
        <w:spacing w:after="0"/>
        <w:ind w:left="993" w:hanging="284"/>
        <w:rPr>
          <w:sz w:val="18"/>
          <w:szCs w:val="18"/>
        </w:rPr>
      </w:pPr>
      <w:r w:rsidRPr="006B066D">
        <w:rPr>
          <w:i/>
          <w:iCs/>
          <w:sz w:val="18"/>
          <w:szCs w:val="18"/>
          <w:vertAlign w:val="superscript"/>
        </w:rPr>
        <w:t>b</w:t>
      </w:r>
      <w:r>
        <w:rPr>
          <w:sz w:val="18"/>
          <w:szCs w:val="18"/>
        </w:rPr>
        <w:tab/>
      </w:r>
      <w:r w:rsidRPr="00562B75">
        <w:rPr>
          <w:sz w:val="18"/>
          <w:szCs w:val="18"/>
        </w:rPr>
        <w:t xml:space="preserve">A new indicator has been added to measure progress </w:t>
      </w:r>
      <w:r w:rsidR="00F367F1">
        <w:rPr>
          <w:sz w:val="18"/>
          <w:szCs w:val="18"/>
        </w:rPr>
        <w:t>o</w:t>
      </w:r>
      <w:r w:rsidRPr="00562B75">
        <w:rPr>
          <w:sz w:val="18"/>
          <w:szCs w:val="18"/>
        </w:rPr>
        <w:t>n the publication of national model contractual clauses, given the importance of publishing th</w:t>
      </w:r>
      <w:r w:rsidR="00F367F1">
        <w:rPr>
          <w:sz w:val="18"/>
          <w:szCs w:val="18"/>
        </w:rPr>
        <w:t>at</w:t>
      </w:r>
      <w:r w:rsidRPr="00562B75">
        <w:rPr>
          <w:sz w:val="18"/>
          <w:szCs w:val="18"/>
        </w:rPr>
        <w:t xml:space="preserve"> information for potential users of genetic resources </w:t>
      </w:r>
      <w:r w:rsidR="00C771EE">
        <w:rPr>
          <w:sz w:val="18"/>
          <w:szCs w:val="18"/>
        </w:rPr>
        <w:t>and/or</w:t>
      </w:r>
      <w:r w:rsidRPr="00562B75">
        <w:rPr>
          <w:sz w:val="18"/>
          <w:szCs w:val="18"/>
        </w:rPr>
        <w:t xml:space="preserve"> associated traditional knowledge.</w:t>
      </w:r>
    </w:p>
    <w:p w14:paraId="7D2CA566" w14:textId="5C21EE30" w:rsidR="00CE2AC4" w:rsidRDefault="00CE2AC4" w:rsidP="00562B75">
      <w:pPr>
        <w:pStyle w:val="CBDNormalNoNumber"/>
        <w:tabs>
          <w:tab w:val="clear" w:pos="567"/>
          <w:tab w:val="clear" w:pos="1134"/>
        </w:tabs>
        <w:spacing w:after="0"/>
        <w:ind w:left="993" w:hanging="284"/>
        <w:rPr>
          <w:sz w:val="18"/>
          <w:szCs w:val="18"/>
        </w:rPr>
      </w:pPr>
      <w:r w:rsidRPr="00CE2AC4">
        <w:rPr>
          <w:i/>
          <w:iCs/>
          <w:sz w:val="18"/>
          <w:szCs w:val="18"/>
          <w:vertAlign w:val="superscript"/>
        </w:rPr>
        <w:lastRenderedPageBreak/>
        <w:t>c</w:t>
      </w:r>
      <w:r w:rsidRPr="00CE2AC4">
        <w:rPr>
          <w:sz w:val="18"/>
          <w:szCs w:val="18"/>
        </w:rPr>
        <w:tab/>
      </w:r>
      <w:r w:rsidRPr="006B066D">
        <w:rPr>
          <w:sz w:val="18"/>
          <w:szCs w:val="18"/>
        </w:rPr>
        <w:t xml:space="preserve">A new indicator has been added to measure progress </w:t>
      </w:r>
      <w:r w:rsidR="00C771EE">
        <w:rPr>
          <w:sz w:val="18"/>
          <w:szCs w:val="18"/>
        </w:rPr>
        <w:t>o</w:t>
      </w:r>
      <w:r w:rsidRPr="006B066D">
        <w:rPr>
          <w:sz w:val="18"/>
          <w:szCs w:val="18"/>
        </w:rPr>
        <w:t>n the publication of national websites and databases, given the importance of publishing th</w:t>
      </w:r>
      <w:r w:rsidR="00176428">
        <w:rPr>
          <w:sz w:val="18"/>
          <w:szCs w:val="18"/>
        </w:rPr>
        <w:t>at</w:t>
      </w:r>
      <w:r w:rsidRPr="006B066D">
        <w:rPr>
          <w:sz w:val="18"/>
          <w:szCs w:val="18"/>
        </w:rPr>
        <w:t xml:space="preserve"> information for potential users of genetic resources </w:t>
      </w:r>
      <w:r w:rsidR="00176428">
        <w:rPr>
          <w:sz w:val="18"/>
          <w:szCs w:val="18"/>
        </w:rPr>
        <w:t>and/or</w:t>
      </w:r>
      <w:r w:rsidRPr="006B066D">
        <w:rPr>
          <w:sz w:val="18"/>
          <w:szCs w:val="18"/>
        </w:rPr>
        <w:t xml:space="preserve"> associated traditional knowledge.</w:t>
      </w:r>
    </w:p>
    <w:p w14:paraId="5F73C9C5" w14:textId="6A91798A" w:rsidR="00094251" w:rsidRPr="006B066D" w:rsidRDefault="00094251" w:rsidP="006B066D">
      <w:pPr>
        <w:pStyle w:val="CBDNormalNoNumber"/>
        <w:tabs>
          <w:tab w:val="clear" w:pos="567"/>
          <w:tab w:val="clear" w:pos="1134"/>
        </w:tabs>
        <w:spacing w:after="0"/>
        <w:ind w:left="993" w:hanging="284"/>
        <w:rPr>
          <w:sz w:val="18"/>
          <w:szCs w:val="18"/>
        </w:rPr>
      </w:pPr>
      <w:r w:rsidRPr="00094251">
        <w:rPr>
          <w:i/>
          <w:iCs/>
          <w:sz w:val="18"/>
          <w:szCs w:val="18"/>
          <w:vertAlign w:val="superscript"/>
        </w:rPr>
        <w:t>d</w:t>
      </w:r>
      <w:r>
        <w:rPr>
          <w:sz w:val="18"/>
          <w:szCs w:val="18"/>
        </w:rPr>
        <w:tab/>
      </w:r>
      <w:r w:rsidRPr="00094251">
        <w:rPr>
          <w:sz w:val="18"/>
          <w:szCs w:val="18"/>
        </w:rPr>
        <w:t xml:space="preserve">The indicator measures the number </w:t>
      </w:r>
      <w:r w:rsidR="00D14CE8" w:rsidRPr="00094251">
        <w:rPr>
          <w:sz w:val="18"/>
          <w:szCs w:val="18"/>
        </w:rPr>
        <w:t xml:space="preserve">and percentage </w:t>
      </w:r>
      <w:r w:rsidRPr="00094251">
        <w:rPr>
          <w:sz w:val="18"/>
          <w:szCs w:val="18"/>
        </w:rPr>
        <w:t>of Parties that have published checkpoint communiqu</w:t>
      </w:r>
      <w:r w:rsidR="00D14CE8">
        <w:rPr>
          <w:sz w:val="18"/>
          <w:szCs w:val="18"/>
        </w:rPr>
        <w:t>é</w:t>
      </w:r>
      <w:r w:rsidRPr="00094251">
        <w:rPr>
          <w:sz w:val="18"/>
          <w:szCs w:val="18"/>
        </w:rPr>
        <w:t xml:space="preserve">s </w:t>
      </w:r>
      <w:r w:rsidR="00F3101C">
        <w:rPr>
          <w:sz w:val="18"/>
          <w:szCs w:val="18"/>
        </w:rPr>
        <w:t>pursuant to</w:t>
      </w:r>
      <w:r w:rsidRPr="00094251">
        <w:rPr>
          <w:sz w:val="18"/>
          <w:szCs w:val="18"/>
        </w:rPr>
        <w:t xml:space="preserve"> information provided in the national report and </w:t>
      </w:r>
      <w:r w:rsidR="00F3101C">
        <w:rPr>
          <w:sz w:val="18"/>
          <w:szCs w:val="18"/>
        </w:rPr>
        <w:t xml:space="preserve">on </w:t>
      </w:r>
      <w:r w:rsidRPr="00094251">
        <w:rPr>
          <w:sz w:val="18"/>
          <w:szCs w:val="18"/>
        </w:rPr>
        <w:t xml:space="preserve">the </w:t>
      </w:r>
      <w:proofErr w:type="gramStart"/>
      <w:r w:rsidRPr="00094251">
        <w:rPr>
          <w:sz w:val="18"/>
          <w:szCs w:val="18"/>
        </w:rPr>
        <w:t>Clearing-House</w:t>
      </w:r>
      <w:proofErr w:type="gramEnd"/>
      <w:r w:rsidRPr="00094251">
        <w:rPr>
          <w:sz w:val="18"/>
          <w:szCs w:val="18"/>
        </w:rPr>
        <w:t xml:space="preserve">. It is proposed that this indicator </w:t>
      </w:r>
      <w:r w:rsidR="00164250">
        <w:rPr>
          <w:sz w:val="18"/>
          <w:szCs w:val="18"/>
        </w:rPr>
        <w:t xml:space="preserve">be used to </w:t>
      </w:r>
      <w:r w:rsidRPr="00094251">
        <w:rPr>
          <w:sz w:val="18"/>
          <w:szCs w:val="18"/>
        </w:rPr>
        <w:t xml:space="preserve">assist in measuring progress on the implementation and operation of the </w:t>
      </w:r>
      <w:proofErr w:type="gramStart"/>
      <w:r w:rsidRPr="00094251">
        <w:rPr>
          <w:sz w:val="18"/>
          <w:szCs w:val="18"/>
        </w:rPr>
        <w:t>Clearing-House</w:t>
      </w:r>
      <w:proofErr w:type="gramEnd"/>
      <w:r w:rsidRPr="00094251">
        <w:rPr>
          <w:sz w:val="18"/>
          <w:szCs w:val="18"/>
        </w:rPr>
        <w:t>.</w:t>
      </w:r>
    </w:p>
    <w:p w14:paraId="6E31E7C1" w14:textId="69F0989E" w:rsidR="002C555B" w:rsidRPr="00D2758E" w:rsidRDefault="00540BD4" w:rsidP="00540BD4">
      <w:pPr>
        <w:pStyle w:val="CBDH4"/>
      </w:pPr>
      <w:r>
        <w:t>(</w:t>
      </w:r>
      <w:r w:rsidR="00B139A7">
        <w:t>b)</w:t>
      </w:r>
      <w:r w:rsidR="00B139A7">
        <w:tab/>
      </w:r>
      <w:r w:rsidR="002C555B" w:rsidRPr="00D2758E">
        <w:t>Challenges</w:t>
      </w:r>
      <w:r w:rsidR="00345E62" w:rsidRPr="00D2758E">
        <w:t xml:space="preserve"> and</w:t>
      </w:r>
      <w:r w:rsidR="002C555B" w:rsidRPr="00D2758E">
        <w:t xml:space="preserve"> root causes </w:t>
      </w:r>
      <w:r w:rsidR="00EE7575" w:rsidRPr="00D2758E">
        <w:t>that</w:t>
      </w:r>
      <w:r w:rsidR="002C555B" w:rsidRPr="00D2758E">
        <w:t xml:space="preserve"> </w:t>
      </w:r>
      <w:r w:rsidR="008D7C21" w:rsidRPr="00D2758E">
        <w:t xml:space="preserve">impact the </w:t>
      </w:r>
      <w:r w:rsidR="002C555B" w:rsidRPr="00D2758E">
        <w:t xml:space="preserve">effectiveness of the </w:t>
      </w:r>
      <w:r w:rsidR="000D4636">
        <w:t xml:space="preserve">Access and Benefit-sharing </w:t>
      </w:r>
      <w:r w:rsidR="002C555B" w:rsidRPr="00D2758E">
        <w:t>Clearing-House in facilitating access to genetic resources and associated traditional knowledge</w:t>
      </w:r>
    </w:p>
    <w:p w14:paraId="277DA046" w14:textId="4AC2333B" w:rsidR="00D6422C" w:rsidRPr="00D2758E" w:rsidRDefault="00AA1586" w:rsidP="00CD2C50">
      <w:pPr>
        <w:pStyle w:val="CBDNormalNumber"/>
      </w:pPr>
      <w:r w:rsidRPr="00D2758E">
        <w:t>The scoping study</w:t>
      </w:r>
      <w:r w:rsidR="00C50CCD" w:rsidRPr="00D2758E">
        <w:t xml:space="preserve"> and </w:t>
      </w:r>
      <w:r w:rsidR="00F85D35" w:rsidRPr="00D2758E">
        <w:t xml:space="preserve">the analysis of the responses to the </w:t>
      </w:r>
      <w:r w:rsidR="00BB6011" w:rsidRPr="00BB6011">
        <w:t xml:space="preserve">Access and Benefit-sharing </w:t>
      </w:r>
      <w:r w:rsidR="00F85D35" w:rsidRPr="00D2758E">
        <w:t xml:space="preserve">Clearing-House </w:t>
      </w:r>
      <w:r w:rsidR="00936F7A" w:rsidRPr="00D2758E">
        <w:t xml:space="preserve">targeted </w:t>
      </w:r>
      <w:r w:rsidR="00C50CCD" w:rsidRPr="00D2758E">
        <w:t>survey</w:t>
      </w:r>
      <w:r w:rsidR="00D6422C" w:rsidRPr="00D2758E">
        <w:t xml:space="preserve"> reaffirm</w:t>
      </w:r>
      <w:r w:rsidR="002A4B81">
        <w:t>ed</w:t>
      </w:r>
      <w:r w:rsidR="00D6422C" w:rsidRPr="00D2758E">
        <w:t xml:space="preserve"> the central role of the </w:t>
      </w:r>
      <w:proofErr w:type="gramStart"/>
      <w:r w:rsidR="00D6422C" w:rsidRPr="00D2758E">
        <w:t>Clearing-House</w:t>
      </w:r>
      <w:proofErr w:type="gramEnd"/>
      <w:r w:rsidR="00D6422C" w:rsidRPr="00D2758E">
        <w:t xml:space="preserve"> in the implementation of the Nagoya Protocol</w:t>
      </w:r>
      <w:r w:rsidR="001E64CA" w:rsidRPr="00D2758E">
        <w:t xml:space="preserve"> and </w:t>
      </w:r>
      <w:r w:rsidR="0090613C">
        <w:t>the</w:t>
      </w:r>
      <w:r w:rsidR="001E64CA" w:rsidRPr="00D2758E">
        <w:t xml:space="preserve"> facilitati</w:t>
      </w:r>
      <w:r w:rsidR="0090613C">
        <w:t>on</w:t>
      </w:r>
      <w:r w:rsidR="002A4B81">
        <w:t xml:space="preserve"> of</w:t>
      </w:r>
      <w:r w:rsidR="001E64CA" w:rsidRPr="00D2758E">
        <w:t xml:space="preserve"> access to genetic resources and associated traditional knowledge. </w:t>
      </w:r>
      <w:r w:rsidR="00D6422C" w:rsidRPr="00D2758E">
        <w:t>Th</w:t>
      </w:r>
      <w:r w:rsidR="000576F4">
        <w:t>at</w:t>
      </w:r>
      <w:r w:rsidR="00D6422C" w:rsidRPr="00D2758E">
        <w:t xml:space="preserve"> can be seen in the real-life examples provided by many respondents to the </w:t>
      </w:r>
      <w:r w:rsidR="001E64CA" w:rsidRPr="00D2758E">
        <w:t>s</w:t>
      </w:r>
      <w:r w:rsidR="00D6422C" w:rsidRPr="00D2758E">
        <w:t>urvey, which illustrate</w:t>
      </w:r>
      <w:r w:rsidR="000576F4">
        <w:t>d</w:t>
      </w:r>
      <w:r w:rsidR="00D6422C" w:rsidRPr="00D2758E">
        <w:t xml:space="preserve"> that when information </w:t>
      </w:r>
      <w:r w:rsidR="000576F4">
        <w:t>wa</w:t>
      </w:r>
      <w:r w:rsidR="00D6422C" w:rsidRPr="00D2758E">
        <w:t xml:space="preserve">s complete, accurate and up to date, the </w:t>
      </w:r>
      <w:proofErr w:type="gramStart"/>
      <w:r w:rsidR="00D6422C" w:rsidRPr="00D2758E">
        <w:t>Clearing-House</w:t>
      </w:r>
      <w:proofErr w:type="gramEnd"/>
      <w:r w:rsidR="00D6422C" w:rsidRPr="00D2758E">
        <w:t xml:space="preserve"> effectively and meaningfully contribute</w:t>
      </w:r>
      <w:r w:rsidR="000576F4">
        <w:t>d</w:t>
      </w:r>
      <w:r w:rsidR="00D6422C" w:rsidRPr="00D2758E">
        <w:t xml:space="preserve"> to achieving the fair and equitable sharing of benefits arising from the use of genetic resources.</w:t>
      </w:r>
      <w:r w:rsidR="001E64CA" w:rsidRPr="00D2758E">
        <w:rPr>
          <w:rStyle w:val="FootnoteReference"/>
        </w:rPr>
        <w:footnoteReference w:id="88"/>
      </w:r>
    </w:p>
    <w:p w14:paraId="23E8C4C9" w14:textId="38000859" w:rsidR="00626A33" w:rsidRPr="00D2758E" w:rsidRDefault="00626A33" w:rsidP="00CD2C50">
      <w:pPr>
        <w:pStyle w:val="CBDNormalNumber"/>
      </w:pPr>
      <w:r w:rsidRPr="00D2758E">
        <w:t>At the same time,</w:t>
      </w:r>
      <w:r w:rsidR="00644FB6" w:rsidRPr="00D2758E">
        <w:t xml:space="preserve"> </w:t>
      </w:r>
      <w:r w:rsidRPr="00D2758E">
        <w:t>the survey results</w:t>
      </w:r>
      <w:r w:rsidR="00644FB6" w:rsidRPr="00D2758E">
        <w:t xml:space="preserve"> and the scoping study</w:t>
      </w:r>
      <w:r w:rsidRPr="00D2758E">
        <w:t xml:space="preserve"> indicate</w:t>
      </w:r>
      <w:r w:rsidR="000576F4">
        <w:t>d</w:t>
      </w:r>
      <w:r w:rsidRPr="00D2758E">
        <w:t xml:space="preserve"> that the </w:t>
      </w:r>
      <w:proofErr w:type="gramStart"/>
      <w:r w:rsidRPr="00D2758E">
        <w:t>Clearing-House</w:t>
      </w:r>
      <w:proofErr w:type="gramEnd"/>
      <w:r w:rsidRPr="00D2758E">
        <w:t xml:space="preserve"> </w:t>
      </w:r>
      <w:r w:rsidR="007E6835">
        <w:t>wa</w:t>
      </w:r>
      <w:r w:rsidRPr="00D2758E">
        <w:t xml:space="preserve">s not yet fully meeting the intended objectives. While its overall usability and functionality are perceived </w:t>
      </w:r>
      <w:r w:rsidR="00E73B20" w:rsidRPr="00D2758E">
        <w:t xml:space="preserve">generally </w:t>
      </w:r>
      <w:r w:rsidRPr="00D2758E">
        <w:t xml:space="preserve">as positive, its effectiveness </w:t>
      </w:r>
      <w:r w:rsidR="00E73B20">
        <w:t xml:space="preserve">has been </w:t>
      </w:r>
      <w:r w:rsidRPr="00D2758E">
        <w:t xml:space="preserve">significantly constrained by </w:t>
      </w:r>
      <w:r w:rsidR="00575ADE">
        <w:t>issue</w:t>
      </w:r>
      <w:r w:rsidR="009D2307">
        <w:t xml:space="preserve">s related to </w:t>
      </w:r>
      <w:r w:rsidRPr="00D2758E">
        <w:t xml:space="preserve">the quality, completeness and reliability of the information made available. Outdated, incomplete, inconsistent or unreliable information, especially regarding access measures, procedures and scope, was identified as a major barrier to the effective use of the </w:t>
      </w:r>
      <w:proofErr w:type="gramStart"/>
      <w:r w:rsidRPr="00D2758E">
        <w:t>Clearing-House</w:t>
      </w:r>
      <w:proofErr w:type="gramEnd"/>
      <w:r w:rsidRPr="00D2758E">
        <w:t>.</w:t>
      </w:r>
      <w:r w:rsidR="00D23953" w:rsidRPr="00D2758E">
        <w:rPr>
          <w:rStyle w:val="FootnoteReference"/>
        </w:rPr>
        <w:footnoteReference w:id="89"/>
      </w:r>
    </w:p>
    <w:p w14:paraId="39C6A65A" w14:textId="1018D881" w:rsidR="001F317A" w:rsidRPr="00D2758E" w:rsidRDefault="00626A33" w:rsidP="00CD2C50">
      <w:pPr>
        <w:pStyle w:val="CBDNormalNumber"/>
      </w:pPr>
      <w:r w:rsidRPr="00D2758E">
        <w:t>For users of genetic resources and associated traditional knowledge</w:t>
      </w:r>
      <w:r w:rsidR="009D2307">
        <w:t>,</w:t>
      </w:r>
      <w:r w:rsidRPr="00D2758E">
        <w:t xml:space="preserve"> the effectiveness and added value of the </w:t>
      </w:r>
      <w:proofErr w:type="gramStart"/>
      <w:r w:rsidRPr="00D2758E">
        <w:t>Clearing-House</w:t>
      </w:r>
      <w:proofErr w:type="gramEnd"/>
      <w:r w:rsidRPr="00D2758E">
        <w:t xml:space="preserve"> are closely linked to the practicality of the information </w:t>
      </w:r>
      <w:r w:rsidR="00B24840">
        <w:t xml:space="preserve">that is </w:t>
      </w:r>
      <w:r w:rsidRPr="00D2758E">
        <w:t>provide</w:t>
      </w:r>
      <w:r w:rsidR="00B24840">
        <w:t>d</w:t>
      </w:r>
      <w:r w:rsidRPr="00D2758E">
        <w:t xml:space="preserve">, such as, clear legal requirements and rules, accurate procedural guidance, and current contact details, rather than to the specific technical functionalities of the platform itself. </w:t>
      </w:r>
      <w:r w:rsidR="001942DA">
        <w:t>The</w:t>
      </w:r>
      <w:r w:rsidR="00644ABA">
        <w:t xml:space="preserve"> </w:t>
      </w:r>
      <w:r w:rsidR="009A5570">
        <w:t xml:space="preserve">results of the </w:t>
      </w:r>
      <w:r w:rsidR="00631CCD" w:rsidRPr="00D2758E">
        <w:t>Clearing-House</w:t>
      </w:r>
      <w:r w:rsidR="001F317A" w:rsidRPr="00D2758E">
        <w:t xml:space="preserve"> </w:t>
      </w:r>
      <w:r w:rsidR="00DA70DA" w:rsidRPr="00D2758E">
        <w:t>targeted</w:t>
      </w:r>
      <w:r w:rsidR="001F317A" w:rsidRPr="00D2758E">
        <w:t xml:space="preserve"> survey illustra</w:t>
      </w:r>
      <w:r w:rsidR="00BE40DE">
        <w:t xml:space="preserve">te </w:t>
      </w:r>
      <w:r w:rsidR="001F317A" w:rsidRPr="00D2758E">
        <w:t xml:space="preserve">the nature of </w:t>
      </w:r>
      <w:r w:rsidR="00092336">
        <w:t xml:space="preserve">the </w:t>
      </w:r>
      <w:r w:rsidR="001F317A" w:rsidRPr="00D2758E">
        <w:t xml:space="preserve">concerns expressed by </w:t>
      </w:r>
      <w:r w:rsidR="007E1C15" w:rsidRPr="00D2758E">
        <w:t xml:space="preserve">many </w:t>
      </w:r>
      <w:r w:rsidR="001F317A" w:rsidRPr="00D2758E">
        <w:t>respondent</w:t>
      </w:r>
      <w:r w:rsidR="00631CCD" w:rsidRPr="00D2758E">
        <w:t>s</w:t>
      </w:r>
      <w:r w:rsidR="008E19ED">
        <w:t>, who o</w:t>
      </w:r>
      <w:r w:rsidR="000700DA">
        <w:t xml:space="preserve">bserve, for example, that </w:t>
      </w:r>
      <w:r w:rsidR="001F317A" w:rsidRPr="00D2758E">
        <w:t xml:space="preserve"> </w:t>
      </w:r>
      <w:r w:rsidR="001F317A" w:rsidRPr="006B066D">
        <w:rPr>
          <w:iCs/>
        </w:rPr>
        <w:t>“</w:t>
      </w:r>
      <w:r w:rsidR="000700DA">
        <w:rPr>
          <w:iCs/>
        </w:rPr>
        <w:t>[f</w:t>
      </w:r>
      <w:r w:rsidR="008E19ED">
        <w:rPr>
          <w:iCs/>
        </w:rPr>
        <w:t>]</w:t>
      </w:r>
      <w:proofErr w:type="spellStart"/>
      <w:r w:rsidR="001F317A" w:rsidRPr="006B066D">
        <w:rPr>
          <w:iCs/>
        </w:rPr>
        <w:t>unctionality</w:t>
      </w:r>
      <w:proofErr w:type="spellEnd"/>
      <w:r w:rsidR="001F317A" w:rsidRPr="006B066D">
        <w:rPr>
          <w:iCs/>
        </w:rPr>
        <w:t xml:space="preserve"> is not the main issue</w:t>
      </w:r>
      <w:r w:rsidR="00C87CE1">
        <w:rPr>
          <w:iCs/>
        </w:rPr>
        <w:t>:</w:t>
      </w:r>
      <w:r w:rsidR="001F317A" w:rsidRPr="006B066D">
        <w:rPr>
          <w:iCs/>
        </w:rPr>
        <w:t xml:space="preserve"> it is the lack of up-to-date useful information or incomplete information on individual countries which means that the website does not allow the user to establish their compliance obligations. Inevitably this means you are required to contact the NFP of the applicable country</w:t>
      </w:r>
      <w:r w:rsidR="003A3856" w:rsidRPr="006B066D">
        <w:rPr>
          <w:iCs/>
        </w:rPr>
        <w:t>”</w:t>
      </w:r>
      <w:r w:rsidR="007E46E0">
        <w:rPr>
          <w:iCs/>
        </w:rPr>
        <w:t>.</w:t>
      </w:r>
    </w:p>
    <w:p w14:paraId="7AB4E61B" w14:textId="40D22AF3" w:rsidR="00104DB1" w:rsidRPr="00D2758E" w:rsidRDefault="00F825A7" w:rsidP="00CD2C50">
      <w:pPr>
        <w:pStyle w:val="CBDNormalNumber"/>
      </w:pPr>
      <w:r w:rsidRPr="00D2758E">
        <w:t xml:space="preserve">Based on survey results </w:t>
      </w:r>
      <w:r w:rsidR="00ED7923">
        <w:t xml:space="preserve">presented </w:t>
      </w:r>
      <w:r w:rsidRPr="00D2758E">
        <w:t xml:space="preserve">in the scoping study, </w:t>
      </w:r>
      <w:r w:rsidR="00ED7923">
        <w:t>which are</w:t>
      </w:r>
      <w:r w:rsidRPr="00D2758E">
        <w:t xml:space="preserve"> consistent with the overall findings, the reasons and root causes put forward by countries that ha</w:t>
      </w:r>
      <w:r w:rsidR="00205170">
        <w:t>d</w:t>
      </w:r>
      <w:r w:rsidRPr="00D2758E">
        <w:t xml:space="preserve"> not published mandatory information </w:t>
      </w:r>
      <w:r w:rsidR="00205170">
        <w:t>we</w:t>
      </w:r>
      <w:r w:rsidRPr="00D2758E">
        <w:t xml:space="preserve">re lack of resources and capacity, high staff turnover and lack of prioritization. </w:t>
      </w:r>
      <w:r w:rsidR="00205170">
        <w:t>Moreover, t</w:t>
      </w:r>
      <w:r w:rsidR="00104DB1" w:rsidRPr="00D2758E">
        <w:t xml:space="preserve">he survey found that </w:t>
      </w:r>
      <w:r w:rsidR="00F95D91">
        <w:t xml:space="preserve">the level of </w:t>
      </w:r>
      <w:r w:rsidR="00104DB1" w:rsidRPr="00D2758E">
        <w:t xml:space="preserve">institutionalization of </w:t>
      </w:r>
      <w:r w:rsidR="0050497B">
        <w:t xml:space="preserve">Access and Benefit-sharing </w:t>
      </w:r>
      <w:r w:rsidR="00104DB1" w:rsidRPr="00D2758E">
        <w:t xml:space="preserve">Clearing-House training </w:t>
      </w:r>
      <w:r w:rsidR="009E6996">
        <w:t xml:space="preserve">was </w:t>
      </w:r>
      <w:r w:rsidR="00104DB1" w:rsidRPr="00D2758E">
        <w:t xml:space="preserve">quite low and only about one third of respondents had taken steps to include Clearing-House training in internal capacity-building or onboarding activities. These finding highlight the need to continue to strengthen and better target capacity-building efforts and promote best practices related to the ABS Clearing-House. </w:t>
      </w:r>
    </w:p>
    <w:p w14:paraId="269DC2BB" w14:textId="1418E92E" w:rsidR="00F825A7" w:rsidRPr="00D2758E" w:rsidRDefault="00F825A7" w:rsidP="00CD2C50">
      <w:pPr>
        <w:pStyle w:val="CBDNormalNumber"/>
      </w:pPr>
      <w:r w:rsidRPr="00D2758E">
        <w:t>In the</w:t>
      </w:r>
      <w:r w:rsidR="00AF219E">
        <w:t>ir</w:t>
      </w:r>
      <w:r w:rsidRPr="00D2758E">
        <w:t xml:space="preserve"> national report many Parties cite</w:t>
      </w:r>
      <w:r w:rsidR="00AF219E">
        <w:t>d</w:t>
      </w:r>
      <w:r w:rsidRPr="00D2758E">
        <w:t xml:space="preserve"> their efforts to establish or revise national frameworks as </w:t>
      </w:r>
      <w:r w:rsidR="00316C29">
        <w:t xml:space="preserve">constituting </w:t>
      </w:r>
      <w:r w:rsidRPr="00D2758E">
        <w:t>a reason for not publishing information, suggesting that Clearing-House publication gaps c</w:t>
      </w:r>
      <w:r w:rsidR="00FC2A32">
        <w:t>ould</w:t>
      </w:r>
      <w:r w:rsidRPr="00D2758E">
        <w:t xml:space="preserve"> reflect broader national implementation gaps rather than </w:t>
      </w:r>
      <w:r w:rsidR="00FC2A32">
        <w:t xml:space="preserve">only </w:t>
      </w:r>
      <w:r w:rsidRPr="00D2758E">
        <w:t xml:space="preserve">technical barriers or challenges </w:t>
      </w:r>
      <w:r w:rsidR="00AF219E">
        <w:t xml:space="preserve">associated with </w:t>
      </w:r>
      <w:r w:rsidRPr="00D2758E">
        <w:t xml:space="preserve">using the platform. </w:t>
      </w:r>
    </w:p>
    <w:p w14:paraId="6AED45F1" w14:textId="5BDA91AB" w:rsidR="00C6409D" w:rsidRPr="00D2758E" w:rsidRDefault="00B139A7" w:rsidP="00B139A7">
      <w:pPr>
        <w:pStyle w:val="CBDH4"/>
      </w:pPr>
      <w:r>
        <w:t>(c)</w:t>
      </w:r>
      <w:r>
        <w:tab/>
      </w:r>
      <w:r w:rsidR="00C6409D" w:rsidRPr="00D2758E">
        <w:t>Challenges</w:t>
      </w:r>
      <w:r w:rsidR="00CB4A09">
        <w:t xml:space="preserve"> and</w:t>
      </w:r>
      <w:r w:rsidR="00C6409D" w:rsidRPr="00D2758E">
        <w:t xml:space="preserve"> root causes </w:t>
      </w:r>
      <w:r w:rsidR="005E61CD" w:rsidRPr="00D2758E">
        <w:t>that impact</w:t>
      </w:r>
      <w:r w:rsidR="00C6409D" w:rsidRPr="00D2758E">
        <w:t xml:space="preserve"> the effectiveness of the </w:t>
      </w:r>
      <w:r w:rsidR="00EC4C5D">
        <w:t xml:space="preserve">Access and Benefit-sharing </w:t>
      </w:r>
      <w:r w:rsidR="00C6409D" w:rsidRPr="00D2758E">
        <w:t xml:space="preserve">Clearing-House in supporting compliance and monitoring utilization of genetic resources </w:t>
      </w:r>
    </w:p>
    <w:p w14:paraId="29EDBB1F" w14:textId="5C4874D1" w:rsidR="00620664" w:rsidRPr="00D2758E" w:rsidRDefault="00FF2B3F" w:rsidP="00CD2C50">
      <w:pPr>
        <w:pStyle w:val="CBDNormalNumber"/>
        <w:rPr>
          <w:rFonts w:asciiTheme="majorBidi" w:eastAsiaTheme="majorEastAsia" w:hAnsiTheme="majorBidi" w:cstheme="majorBidi"/>
        </w:rPr>
      </w:pPr>
      <w:r w:rsidRPr="00D2758E">
        <w:rPr>
          <w:rFonts w:asciiTheme="majorBidi" w:eastAsiaTheme="majorEastAsia" w:hAnsiTheme="majorBidi" w:cstheme="majorBidi"/>
        </w:rPr>
        <w:t>In accordance with Article 17 of the Protocol, s</w:t>
      </w:r>
      <w:r w:rsidR="00620664" w:rsidRPr="00D2758E">
        <w:rPr>
          <w:rFonts w:asciiTheme="majorBidi" w:eastAsiaTheme="majorEastAsia" w:hAnsiTheme="majorBidi" w:cstheme="majorBidi"/>
        </w:rPr>
        <w:t xml:space="preserve">upporting compliance and effectively monitoring utilization of genetic resources depends on the operationalization of national systems that </w:t>
      </w:r>
      <w:r w:rsidR="00620664" w:rsidRPr="00D2758E">
        <w:rPr>
          <w:rFonts w:asciiTheme="majorBidi" w:eastAsiaTheme="majorEastAsia" w:hAnsiTheme="majorBidi" w:cstheme="majorBidi"/>
        </w:rPr>
        <w:lastRenderedPageBreak/>
        <w:t>generate certificates, gather relevant information at effective checkpoints and transmit that information back to provider countries</w:t>
      </w:r>
      <w:r w:rsidR="000A67F7" w:rsidRPr="00D2758E">
        <w:rPr>
          <w:rFonts w:asciiTheme="majorBidi" w:eastAsiaTheme="majorEastAsia" w:hAnsiTheme="majorBidi" w:cstheme="majorBidi"/>
        </w:rPr>
        <w:t xml:space="preserve"> and through the </w:t>
      </w:r>
      <w:proofErr w:type="gramStart"/>
      <w:r w:rsidR="000A67F7" w:rsidRPr="00D2758E">
        <w:rPr>
          <w:rFonts w:asciiTheme="majorBidi" w:eastAsiaTheme="majorEastAsia" w:hAnsiTheme="majorBidi" w:cstheme="majorBidi"/>
        </w:rPr>
        <w:t>Clearing-House</w:t>
      </w:r>
      <w:proofErr w:type="gramEnd"/>
      <w:r w:rsidR="000A67F7" w:rsidRPr="00D2758E">
        <w:rPr>
          <w:rFonts w:asciiTheme="majorBidi" w:eastAsiaTheme="majorEastAsia" w:hAnsiTheme="majorBidi" w:cstheme="majorBidi"/>
        </w:rPr>
        <w:t xml:space="preserve"> when appropriate</w:t>
      </w:r>
      <w:r w:rsidR="00620664" w:rsidRPr="00D2758E">
        <w:rPr>
          <w:rFonts w:asciiTheme="majorBidi" w:eastAsiaTheme="majorEastAsia" w:hAnsiTheme="majorBidi" w:cstheme="majorBidi"/>
        </w:rPr>
        <w:t xml:space="preserve"> as checkpoint communiques.</w:t>
      </w:r>
      <w:r w:rsidR="00346B85" w:rsidRPr="00D2758E">
        <w:rPr>
          <w:rStyle w:val="FootnoteReference"/>
        </w:rPr>
        <w:footnoteReference w:id="90"/>
      </w:r>
      <w:r w:rsidR="00346B85" w:rsidRPr="00D2758E">
        <w:t xml:space="preserve"> </w:t>
      </w:r>
    </w:p>
    <w:p w14:paraId="2993090E" w14:textId="2510252F" w:rsidR="00407B2E" w:rsidRPr="00D2758E" w:rsidRDefault="001C18A5" w:rsidP="00CD2C50">
      <w:pPr>
        <w:pStyle w:val="CBDNormalNumber"/>
      </w:pPr>
      <w:r w:rsidRPr="00D2758E">
        <w:t xml:space="preserve">Key </w:t>
      </w:r>
      <w:r w:rsidRPr="00D2758E">
        <w:rPr>
          <w:rFonts w:asciiTheme="majorBidi" w:eastAsiaTheme="majorEastAsia" w:hAnsiTheme="majorBidi" w:cstheme="majorBidi"/>
        </w:rPr>
        <w:t>information</w:t>
      </w:r>
      <w:r w:rsidRPr="00D2758E">
        <w:t xml:space="preserve"> </w:t>
      </w:r>
      <w:r w:rsidR="007D7B7E">
        <w:t xml:space="preserve">sources </w:t>
      </w:r>
      <w:r w:rsidRPr="00D2758E">
        <w:t xml:space="preserve">published by Parties </w:t>
      </w:r>
      <w:r w:rsidR="00421438">
        <w:t>o</w:t>
      </w:r>
      <w:r w:rsidRPr="00D2758E">
        <w:t xml:space="preserve">n the </w:t>
      </w:r>
      <w:proofErr w:type="gramStart"/>
      <w:r w:rsidRPr="00D2758E">
        <w:t>Clearing-House</w:t>
      </w:r>
      <w:proofErr w:type="gramEnd"/>
      <w:r w:rsidRPr="00D2758E">
        <w:t xml:space="preserve"> to support monitoring utilization are the certificates, checkpoints and checkpoint communiqu</w:t>
      </w:r>
      <w:r w:rsidR="00421438">
        <w:t>é</w:t>
      </w:r>
      <w:r w:rsidRPr="00D2758E">
        <w:t>s. Again, there is significant room for improvement in term</w:t>
      </w:r>
      <w:r w:rsidR="008E5CD6" w:rsidRPr="00D2758E">
        <w:t>s</w:t>
      </w:r>
      <w:r w:rsidRPr="00D2758E">
        <w:t xml:space="preserve"> of </w:t>
      </w:r>
      <w:r w:rsidR="008E5CD6" w:rsidRPr="00D2758E">
        <w:t xml:space="preserve">increasing </w:t>
      </w:r>
      <w:r w:rsidR="00F06733" w:rsidRPr="00D2758E">
        <w:t>wider</w:t>
      </w:r>
      <w:r w:rsidRPr="00D2758E">
        <w:t xml:space="preserve"> Party participation and the number of records published.</w:t>
      </w:r>
    </w:p>
    <w:p w14:paraId="2913B668" w14:textId="5C955C5E" w:rsidR="001C18A5" w:rsidRPr="00D2758E" w:rsidRDefault="001C18A5" w:rsidP="00CD2C50">
      <w:pPr>
        <w:pStyle w:val="CBDNormalNumber"/>
      </w:pPr>
      <w:r w:rsidRPr="00D2758E">
        <w:t xml:space="preserve">According to information available </w:t>
      </w:r>
      <w:r w:rsidRPr="00D2758E">
        <w:rPr>
          <w:rFonts w:asciiTheme="majorBidi" w:eastAsiaTheme="majorEastAsia" w:hAnsiTheme="majorBidi" w:cstheme="majorBidi"/>
        </w:rPr>
        <w:t>from</w:t>
      </w:r>
      <w:r w:rsidRPr="00D2758E">
        <w:t xml:space="preserve"> national reports, although 64 Parties (45</w:t>
      </w:r>
      <w:r w:rsidR="00A21688">
        <w:t xml:space="preserve"> per cent</w:t>
      </w:r>
      <w:r w:rsidRPr="00D2758E">
        <w:t xml:space="preserve">) have issued access permits, approximately only half have published them as certificates. It can also be seen that approximately four times as many </w:t>
      </w:r>
      <w:r w:rsidR="00745DE9">
        <w:t xml:space="preserve">access and benefit-sharing </w:t>
      </w:r>
      <w:r w:rsidRPr="00D2758E">
        <w:t xml:space="preserve">permits </w:t>
      </w:r>
      <w:r w:rsidR="004F3A7F" w:rsidRPr="00D2758E">
        <w:t xml:space="preserve">(24,253) </w:t>
      </w:r>
      <w:r w:rsidRPr="00D2758E">
        <w:t xml:space="preserve">have been issued </w:t>
      </w:r>
      <w:r w:rsidR="0071058F">
        <w:t xml:space="preserve">as </w:t>
      </w:r>
      <w:r w:rsidRPr="00D2758E">
        <w:t xml:space="preserve">certificates published. </w:t>
      </w:r>
      <w:r w:rsidR="0071058F">
        <w:t>S</w:t>
      </w:r>
      <w:r w:rsidRPr="00D2758E">
        <w:t>ome Parties acknowledged</w:t>
      </w:r>
      <w:r w:rsidR="0071058F">
        <w:t>, h</w:t>
      </w:r>
      <w:r w:rsidR="0071058F" w:rsidRPr="00D2758E">
        <w:t>owever,</w:t>
      </w:r>
      <w:r w:rsidR="0071058F">
        <w:t xml:space="preserve"> that </w:t>
      </w:r>
      <w:r w:rsidRPr="00D2758E">
        <w:t xml:space="preserve">the permits </w:t>
      </w:r>
      <w:r w:rsidR="006348A1">
        <w:t xml:space="preserve">that </w:t>
      </w:r>
      <w:r w:rsidRPr="00D2758E">
        <w:t>they ha</w:t>
      </w:r>
      <w:r w:rsidR="006348A1">
        <w:t>d</w:t>
      </w:r>
      <w:r w:rsidRPr="00D2758E">
        <w:t xml:space="preserve"> issued</w:t>
      </w:r>
      <w:r w:rsidR="00BE5E53">
        <w:t>,</w:t>
      </w:r>
      <w:r w:rsidRPr="00D2758E">
        <w:t xml:space="preserve"> referred to as authorizations, approvals or recommendations, did not meet the requirements for publication as certificates, citing factors such as the absence of </w:t>
      </w:r>
      <w:r w:rsidR="007F57BA" w:rsidRPr="00D2758E">
        <w:t>mutually agreed terms</w:t>
      </w:r>
      <w:r w:rsidRPr="00D2758E">
        <w:t xml:space="preserve"> or </w:t>
      </w:r>
      <w:r w:rsidR="006348A1">
        <w:t xml:space="preserve">an </w:t>
      </w:r>
      <w:r w:rsidRPr="00D2758E">
        <w:t xml:space="preserve">insufficient legal basis. </w:t>
      </w:r>
      <w:r w:rsidR="001B10CC">
        <w:t>Moreover</w:t>
      </w:r>
      <w:r w:rsidRPr="00D2758E">
        <w:t xml:space="preserve">, a few Parties responded </w:t>
      </w:r>
      <w:r w:rsidR="001B10CC">
        <w:t xml:space="preserve">that </w:t>
      </w:r>
      <w:r w:rsidRPr="00D2758E">
        <w:t xml:space="preserve">they had uploaded permits to national </w:t>
      </w:r>
      <w:r w:rsidR="002D51DF">
        <w:t>access and benefit</w:t>
      </w:r>
      <w:r w:rsidR="008319B8">
        <w:t>-</w:t>
      </w:r>
      <w:r w:rsidR="002D51DF">
        <w:t xml:space="preserve">sharing </w:t>
      </w:r>
      <w:r w:rsidRPr="00D2758E">
        <w:t>clearing</w:t>
      </w:r>
      <w:r w:rsidR="008319B8">
        <w:t xml:space="preserve"> </w:t>
      </w:r>
      <w:r w:rsidRPr="00D2758E">
        <w:t>houses, which suggest</w:t>
      </w:r>
      <w:r w:rsidR="00157A86">
        <w:t>s that there may have been</w:t>
      </w:r>
      <w:r w:rsidRPr="00D2758E">
        <w:t xml:space="preserve"> a misunderstanding regarding Parties’ obligation to publish information through the </w:t>
      </w:r>
      <w:r w:rsidR="00157A86">
        <w:t xml:space="preserve">Access and Benefit-sharing </w:t>
      </w:r>
      <w:r w:rsidRPr="00D2758E">
        <w:t xml:space="preserve">Clearing-House. </w:t>
      </w:r>
    </w:p>
    <w:p w14:paraId="6BD7977E" w14:textId="0B9B4762" w:rsidR="005E74E0" w:rsidRPr="00D2758E" w:rsidRDefault="005D5C32" w:rsidP="00CD2C50">
      <w:pPr>
        <w:pStyle w:val="CBDNormalNumber"/>
      </w:pPr>
      <w:r>
        <w:t xml:space="preserve">On the other hand, </w:t>
      </w:r>
      <w:r w:rsidR="001C18A5" w:rsidRPr="00D2758E">
        <w:t>the number of checkpoint records published have steadily increased</w:t>
      </w:r>
      <w:r w:rsidR="00436ECC">
        <w:t>,</w:t>
      </w:r>
      <w:r w:rsidR="001C18A5" w:rsidRPr="00D2758E">
        <w:t xml:space="preserve"> with 40 new checkpoint records hav</w:t>
      </w:r>
      <w:r w:rsidR="00436ECC">
        <w:t>ing</w:t>
      </w:r>
      <w:r w:rsidR="001C18A5" w:rsidRPr="00D2758E">
        <w:t xml:space="preserve"> been added within the last two years</w:t>
      </w:r>
      <w:r w:rsidR="00E71721">
        <w:t>,</w:t>
      </w:r>
      <w:r w:rsidR="001C18A5" w:rsidRPr="00D2758E">
        <w:t xml:space="preserve"> bringing the total to 106 records published by 34</w:t>
      </w:r>
      <w:r w:rsidR="001B34A1">
        <w:t xml:space="preserve"> per cent</w:t>
      </w:r>
      <w:r w:rsidR="001C18A5" w:rsidRPr="00D2758E">
        <w:t xml:space="preserve"> of Parties</w:t>
      </w:r>
      <w:r w:rsidR="001B34A1" w:rsidRPr="001B34A1">
        <w:t xml:space="preserve"> </w:t>
      </w:r>
      <w:r w:rsidR="001B34A1" w:rsidRPr="00D2758E">
        <w:t>(48)</w:t>
      </w:r>
      <w:r w:rsidR="001B34A1">
        <w:t>.</w:t>
      </w:r>
      <w:r w:rsidR="001B34A1" w:rsidRPr="00D2758E">
        <w:t xml:space="preserve"> </w:t>
      </w:r>
      <w:r w:rsidR="001C18A5" w:rsidRPr="00D2758E">
        <w:t xml:space="preserve"> </w:t>
      </w:r>
    </w:p>
    <w:p w14:paraId="74498407" w14:textId="6905680C" w:rsidR="001C18A5" w:rsidRPr="00D2758E" w:rsidRDefault="001C18A5" w:rsidP="00CD2C50">
      <w:pPr>
        <w:pStyle w:val="CBDNormalNumber"/>
      </w:pPr>
      <w:r w:rsidRPr="00D2758E">
        <w:t xml:space="preserve">The findings highlight a widespread and persistent lack of understanding </w:t>
      </w:r>
      <w:r w:rsidR="00F800E6">
        <w:t xml:space="preserve">among </w:t>
      </w:r>
      <w:r w:rsidR="00F800E6" w:rsidRPr="00D2758E">
        <w:t xml:space="preserve">many Parties </w:t>
      </w:r>
      <w:r w:rsidRPr="00D2758E">
        <w:t xml:space="preserve">of the system </w:t>
      </w:r>
      <w:r w:rsidR="00663979">
        <w:t>for</w:t>
      </w:r>
      <w:r w:rsidRPr="00D2758E">
        <w:t xml:space="preserve"> monitor</w:t>
      </w:r>
      <w:r w:rsidR="00663979">
        <w:t>ing</w:t>
      </w:r>
      <w:r w:rsidRPr="00D2758E">
        <w:t xml:space="preserve"> utilization through the </w:t>
      </w:r>
      <w:proofErr w:type="gramStart"/>
      <w:r w:rsidRPr="00D2758E">
        <w:t>Clearing-House</w:t>
      </w:r>
      <w:proofErr w:type="gramEnd"/>
      <w:r w:rsidRPr="00D2758E">
        <w:t xml:space="preserve"> and </w:t>
      </w:r>
      <w:r w:rsidR="00F800E6">
        <w:t xml:space="preserve">a </w:t>
      </w:r>
      <w:r w:rsidRPr="00D2758E">
        <w:t xml:space="preserve">lack </w:t>
      </w:r>
      <w:r w:rsidR="00F800E6">
        <w:t xml:space="preserve">of </w:t>
      </w:r>
      <w:r w:rsidRPr="00D2758E">
        <w:t>clarity on the responsibilities and functions of checkpoints</w:t>
      </w:r>
      <w:r w:rsidR="00C31429" w:rsidRPr="00D2758E">
        <w:t xml:space="preserve">. </w:t>
      </w:r>
      <w:r w:rsidR="00161582" w:rsidRPr="00D2758E">
        <w:t>Th</w:t>
      </w:r>
      <w:r w:rsidR="00B92B88">
        <w:t xml:space="preserve">at </w:t>
      </w:r>
      <w:r w:rsidR="00E66792" w:rsidRPr="00D2758E">
        <w:t xml:space="preserve">lack of understanding </w:t>
      </w:r>
      <w:r w:rsidR="00A1060C" w:rsidRPr="00D2758E">
        <w:t xml:space="preserve">may </w:t>
      </w:r>
      <w:r w:rsidR="00161582" w:rsidRPr="00D2758E">
        <w:t xml:space="preserve">help </w:t>
      </w:r>
      <w:r w:rsidRPr="00D2758E">
        <w:t xml:space="preserve">explain </w:t>
      </w:r>
      <w:r w:rsidR="00161582" w:rsidRPr="00D2758E">
        <w:t>in part</w:t>
      </w:r>
      <w:r w:rsidRPr="00D2758E">
        <w:t xml:space="preserve"> the </w:t>
      </w:r>
      <w:r w:rsidR="00D22712">
        <w:t xml:space="preserve">absence </w:t>
      </w:r>
      <w:r w:rsidRPr="00D2758E">
        <w:t xml:space="preserve">of Parties </w:t>
      </w:r>
      <w:r w:rsidR="00F20ED3">
        <w:t xml:space="preserve">that have </w:t>
      </w:r>
      <w:r w:rsidRPr="00D2758E">
        <w:t>publish</w:t>
      </w:r>
      <w:r w:rsidR="00F20ED3">
        <w:t>ed</w:t>
      </w:r>
      <w:r w:rsidRPr="00D2758E">
        <w:t xml:space="preserve"> checkpoint communiqu</w:t>
      </w:r>
      <w:r w:rsidR="00B92B88">
        <w:t>é</w:t>
      </w:r>
      <w:r w:rsidRPr="00D2758E">
        <w:t>s</w:t>
      </w:r>
      <w:r w:rsidR="00B92B88">
        <w:t>,</w:t>
      </w:r>
      <w:r w:rsidR="00A1060C" w:rsidRPr="00D2758E">
        <w:t xml:space="preserve"> particularly</w:t>
      </w:r>
      <w:r w:rsidRPr="00D2758E">
        <w:t xml:space="preserve"> in regions with lower capacity and fewer users utilizing genetic resources. </w:t>
      </w:r>
    </w:p>
    <w:p w14:paraId="2934013A" w14:textId="0F4AA857" w:rsidR="00023F77" w:rsidRPr="00D2758E" w:rsidRDefault="00B139A7" w:rsidP="00B139A7">
      <w:pPr>
        <w:pStyle w:val="CBDH4"/>
      </w:pPr>
      <w:r>
        <w:t>(d)</w:t>
      </w:r>
      <w:r>
        <w:tab/>
      </w:r>
      <w:r w:rsidR="00023F77" w:rsidRPr="00D2758E">
        <w:t xml:space="preserve">Ways to enhance effectiveness of the </w:t>
      </w:r>
      <w:r w:rsidR="00BF471C">
        <w:t xml:space="preserve">Access and Benefit-sharing </w:t>
      </w:r>
      <w:r w:rsidR="00023F77" w:rsidRPr="00D2758E">
        <w:t>Clearing-House</w:t>
      </w:r>
    </w:p>
    <w:p w14:paraId="60F1C53E" w14:textId="03A57704" w:rsidR="003850B3" w:rsidRPr="00D2758E" w:rsidRDefault="003850B3" w:rsidP="00CD2C50">
      <w:pPr>
        <w:pStyle w:val="CBDNormalNumber"/>
      </w:pPr>
      <w:r w:rsidRPr="00D2758E">
        <w:t xml:space="preserve">Strengthening the role and core functions of the </w:t>
      </w:r>
      <w:proofErr w:type="gramStart"/>
      <w:r w:rsidRPr="00D2758E">
        <w:t>Clearing-House</w:t>
      </w:r>
      <w:proofErr w:type="gramEnd"/>
      <w:r w:rsidRPr="00D2758E">
        <w:t xml:space="preserve"> as the central mechanism for information exchange on </w:t>
      </w:r>
      <w:r w:rsidR="004135F9">
        <w:t>access and benefit sharing</w:t>
      </w:r>
      <w:r w:rsidRPr="00D2758E">
        <w:t xml:space="preserve"> and support </w:t>
      </w:r>
      <w:r w:rsidR="00E52DAB">
        <w:t xml:space="preserve">for </w:t>
      </w:r>
      <w:r w:rsidRPr="00D2758E">
        <w:t>the implementation of the Nagoya Protocol is essential</w:t>
      </w:r>
      <w:r w:rsidR="002204EF">
        <w:t xml:space="preserve"> </w:t>
      </w:r>
      <w:r w:rsidR="00951F25">
        <w:t>for</w:t>
      </w:r>
      <w:r w:rsidR="002204EF">
        <w:t xml:space="preserve"> </w:t>
      </w:r>
      <w:r w:rsidRPr="00D2758E">
        <w:t>enhancing the effectiveness of the Protocol.</w:t>
      </w:r>
    </w:p>
    <w:p w14:paraId="4B1FE9B5" w14:textId="1E712A42" w:rsidR="00023F77" w:rsidRPr="00D2758E" w:rsidRDefault="00023F77" w:rsidP="00CD2C50">
      <w:pPr>
        <w:pStyle w:val="CBDNormalNumber"/>
      </w:pPr>
      <w:r w:rsidRPr="00D2758E">
        <w:t>According to the Clearing-House targeted survey</w:t>
      </w:r>
      <w:r w:rsidR="00236D28">
        <w:t>, the</w:t>
      </w:r>
      <w:r w:rsidRPr="00D2758E">
        <w:t xml:space="preserve"> </w:t>
      </w:r>
      <w:r w:rsidR="00236D28" w:rsidRPr="00D2758E">
        <w:t xml:space="preserve">efforts </w:t>
      </w:r>
      <w:r w:rsidR="00236D28">
        <w:t xml:space="preserve">of the </w:t>
      </w:r>
      <w:r w:rsidRPr="00D2758E">
        <w:t xml:space="preserve">Secretariat </w:t>
      </w:r>
      <w:r w:rsidR="002914E1">
        <w:t>related to</w:t>
      </w:r>
      <w:r w:rsidRPr="00D2758E">
        <w:t xml:space="preserve"> building capacity for the </w:t>
      </w:r>
      <w:proofErr w:type="gramStart"/>
      <w:r w:rsidRPr="00D2758E">
        <w:t>Clearing-House</w:t>
      </w:r>
      <w:proofErr w:type="gramEnd"/>
      <w:r w:rsidRPr="00D2758E">
        <w:t xml:space="preserve"> were considered worthwhile and valuable. Th</w:t>
      </w:r>
      <w:r w:rsidR="002914E1">
        <w:t>ose</w:t>
      </w:r>
      <w:r w:rsidR="00AF1608">
        <w:t xml:space="preserve"> efforts</w:t>
      </w:r>
      <w:r w:rsidRPr="00D2758E">
        <w:t xml:space="preserve"> include</w:t>
      </w:r>
      <w:r w:rsidR="00AF1608">
        <w:t>d</w:t>
      </w:r>
      <w:r w:rsidRPr="00D2758E">
        <w:t xml:space="preserve"> workshops and webinars, outreach, on-demand training and technical support</w:t>
      </w:r>
      <w:r w:rsidR="00782064">
        <w:t>,</w:t>
      </w:r>
      <w:r w:rsidRPr="00D2758E">
        <w:t xml:space="preserve"> as well as the resources found in the Clearing-House knowledge base</w:t>
      </w:r>
      <w:r w:rsidR="00546C7F" w:rsidRPr="00D2758E">
        <w:t>.</w:t>
      </w:r>
      <w:r w:rsidRPr="00D2758E">
        <w:rPr>
          <w:vertAlign w:val="superscript"/>
        </w:rPr>
        <w:footnoteReference w:id="91"/>
      </w:r>
      <w:r w:rsidRPr="00D2758E">
        <w:t xml:space="preserve"> </w:t>
      </w:r>
    </w:p>
    <w:p w14:paraId="4A899531" w14:textId="18AC0C61" w:rsidR="00023F77" w:rsidRPr="00D2758E" w:rsidRDefault="00023F77" w:rsidP="00CD2C50">
      <w:pPr>
        <w:pStyle w:val="CBDNormalNumber"/>
      </w:pPr>
      <w:r w:rsidRPr="00D2758E">
        <w:t xml:space="preserve">The analysis highlights several </w:t>
      </w:r>
      <w:r w:rsidR="00ED59FC">
        <w:t xml:space="preserve">means of </w:t>
      </w:r>
      <w:r w:rsidRPr="00D2758E">
        <w:t>enhanc</w:t>
      </w:r>
      <w:r w:rsidR="00ED59FC">
        <w:t>ing</w:t>
      </w:r>
      <w:r w:rsidRPr="00D2758E">
        <w:t xml:space="preserve"> the effectiveness of the </w:t>
      </w:r>
      <w:proofErr w:type="gramStart"/>
      <w:r w:rsidRPr="00D2758E">
        <w:t>Clearing-House</w:t>
      </w:r>
      <w:proofErr w:type="gramEnd"/>
      <w:r w:rsidR="00C262A8">
        <w:t>, including through:</w:t>
      </w:r>
      <w:r w:rsidRPr="00D2758E">
        <w:t xml:space="preserve"> </w:t>
      </w:r>
    </w:p>
    <w:p w14:paraId="1B2D5005" w14:textId="0F7595C4" w:rsidR="00023F77" w:rsidRPr="00D2758E" w:rsidRDefault="00023F77" w:rsidP="00A558F3">
      <w:pPr>
        <w:pStyle w:val="CBDNormalNumber"/>
        <w:numPr>
          <w:ilvl w:val="1"/>
          <w:numId w:val="7"/>
        </w:numPr>
      </w:pPr>
      <w:r w:rsidRPr="00D2758E">
        <w:t xml:space="preserve">Enhancing the clarity and usability of national information on access and compliance requirements, </w:t>
      </w:r>
      <w:proofErr w:type="gramStart"/>
      <w:r w:rsidR="00670C9F">
        <w:t xml:space="preserve">in </w:t>
      </w:r>
      <w:r w:rsidRPr="00D2758E">
        <w:t>particular by</w:t>
      </w:r>
      <w:proofErr w:type="gramEnd"/>
      <w:r w:rsidRPr="00D2758E">
        <w:t xml:space="preserve"> enhancing the format </w:t>
      </w:r>
      <w:r w:rsidR="004F7EC4">
        <w:t xml:space="preserve">for access and benefit-sharing </w:t>
      </w:r>
      <w:r w:rsidRPr="00D2758E">
        <w:t>procedures to better address the needs of users of genetic resources</w:t>
      </w:r>
      <w:r w:rsidR="00B139A7">
        <w:t>;</w:t>
      </w:r>
    </w:p>
    <w:p w14:paraId="346393C7" w14:textId="1C950F8A" w:rsidR="00023F77" w:rsidRPr="00D2758E" w:rsidRDefault="00023F77" w:rsidP="00A558F3">
      <w:pPr>
        <w:pStyle w:val="CBDNormalNumber"/>
        <w:numPr>
          <w:ilvl w:val="1"/>
          <w:numId w:val="7"/>
        </w:numPr>
      </w:pPr>
      <w:r w:rsidRPr="00D2758E">
        <w:t xml:space="preserve">Enhancing Clearing-House functionality </w:t>
      </w:r>
      <w:r w:rsidR="004F7EC4">
        <w:t>to better</w:t>
      </w:r>
      <w:r w:rsidRPr="00D2758E">
        <w:t xml:space="preserve"> assist Parties </w:t>
      </w:r>
      <w:r w:rsidR="004F7EC4">
        <w:t>in</w:t>
      </w:r>
      <w:r w:rsidRPr="00D2758E">
        <w:t xml:space="preserve"> updat</w:t>
      </w:r>
      <w:r w:rsidR="004F7EC4">
        <w:t>ing</w:t>
      </w:r>
      <w:r w:rsidRPr="00D2758E">
        <w:t xml:space="preserve"> and maintain</w:t>
      </w:r>
      <w:r w:rsidR="004F7EC4">
        <w:t>ing</w:t>
      </w:r>
      <w:r w:rsidRPr="00D2758E">
        <w:t xml:space="preserve"> the accuracy and reliability of their national information, for example, through automated reminders and streamlined record management processes</w:t>
      </w:r>
      <w:r w:rsidR="00B139A7">
        <w:t>;</w:t>
      </w:r>
    </w:p>
    <w:p w14:paraId="205D01B5" w14:textId="6033CC0C" w:rsidR="00023F77" w:rsidRPr="00D2758E" w:rsidRDefault="00023F77" w:rsidP="00A558F3">
      <w:pPr>
        <w:pStyle w:val="CBDNormalNumber"/>
        <w:numPr>
          <w:ilvl w:val="1"/>
          <w:numId w:val="7"/>
        </w:numPr>
      </w:pPr>
      <w:r w:rsidRPr="00D2758E">
        <w:t xml:space="preserve">Providing regular, consistent and targeted outreach to Parties, </w:t>
      </w:r>
      <w:r w:rsidR="006A7F98">
        <w:t>which would</w:t>
      </w:r>
      <w:r w:rsidRPr="00D2758E">
        <w:t xml:space="preserve"> include offers of training and assistance and guidance, </w:t>
      </w:r>
      <w:proofErr w:type="gramStart"/>
      <w:r w:rsidR="00670C9F">
        <w:t xml:space="preserve">in </w:t>
      </w:r>
      <w:r w:rsidRPr="00D2758E">
        <w:t>particular to</w:t>
      </w:r>
      <w:proofErr w:type="gramEnd"/>
      <w:r w:rsidRPr="00D2758E">
        <w:t xml:space="preserve"> those Parties with available national information not yet published </w:t>
      </w:r>
      <w:r w:rsidR="00BA03EE">
        <w:t xml:space="preserve">on </w:t>
      </w:r>
      <w:r w:rsidRPr="00D2758E">
        <w:t xml:space="preserve">the </w:t>
      </w:r>
      <w:proofErr w:type="gramStart"/>
      <w:r w:rsidRPr="00D2758E">
        <w:t>Clearing-House</w:t>
      </w:r>
      <w:proofErr w:type="gramEnd"/>
      <w:r w:rsidRPr="00D2758E">
        <w:t>, and promot</w:t>
      </w:r>
      <w:r w:rsidR="006A498D">
        <w:t>ing</w:t>
      </w:r>
      <w:r w:rsidRPr="00D2758E">
        <w:t xml:space="preserve"> the effective use </w:t>
      </w:r>
      <w:r w:rsidR="006A498D">
        <w:t xml:space="preserve">of </w:t>
      </w:r>
      <w:r w:rsidRPr="00D2758E">
        <w:t xml:space="preserve">the </w:t>
      </w:r>
      <w:proofErr w:type="gramStart"/>
      <w:r w:rsidRPr="00D2758E">
        <w:lastRenderedPageBreak/>
        <w:t>Clearing-House</w:t>
      </w:r>
      <w:proofErr w:type="gramEnd"/>
      <w:r w:rsidRPr="00D2758E">
        <w:t>, including for the publication and maintenance of accurate, reliable and up-to-date national information</w:t>
      </w:r>
      <w:r w:rsidR="00B139A7">
        <w:t>;</w:t>
      </w:r>
    </w:p>
    <w:p w14:paraId="2B1750C0" w14:textId="166EAEE9" w:rsidR="00023F77" w:rsidRPr="00D2758E" w:rsidRDefault="00023F77" w:rsidP="00A558F3">
      <w:pPr>
        <w:pStyle w:val="CBDNormalNumber"/>
        <w:numPr>
          <w:ilvl w:val="1"/>
          <w:numId w:val="7"/>
        </w:numPr>
      </w:pPr>
      <w:r w:rsidRPr="00D2758E">
        <w:t>Supporting the institutionalization of Clearing-House training in Parties’ capacity-building and onboarding activities</w:t>
      </w:r>
      <w:r w:rsidR="00B139A7">
        <w:t>;</w:t>
      </w:r>
    </w:p>
    <w:p w14:paraId="3881A0FB" w14:textId="2CFF27EB" w:rsidR="00023F77" w:rsidRPr="00D2758E" w:rsidRDefault="00023F77" w:rsidP="00A558F3">
      <w:pPr>
        <w:pStyle w:val="CBDNormalNumber"/>
        <w:numPr>
          <w:ilvl w:val="1"/>
          <w:numId w:val="7"/>
        </w:numPr>
      </w:pPr>
      <w:r w:rsidRPr="00D2758E">
        <w:t xml:space="preserve">Promoting the development of national </w:t>
      </w:r>
      <w:r w:rsidR="0076264F">
        <w:t xml:space="preserve">access and benefit-sharing </w:t>
      </w:r>
      <w:r w:rsidRPr="00D2758E">
        <w:t xml:space="preserve">information systems and </w:t>
      </w:r>
      <w:r w:rsidR="0076264F">
        <w:t xml:space="preserve">the </w:t>
      </w:r>
      <w:r w:rsidRPr="00D2758E">
        <w:t xml:space="preserve">efficient publication of national information through interoperability, </w:t>
      </w:r>
      <w:proofErr w:type="gramStart"/>
      <w:r w:rsidR="00670C9F">
        <w:t xml:space="preserve">in </w:t>
      </w:r>
      <w:r w:rsidRPr="00D2758E">
        <w:t xml:space="preserve">particular </w:t>
      </w:r>
      <w:r w:rsidR="0057761F">
        <w:t>with</w:t>
      </w:r>
      <w:proofErr w:type="gramEnd"/>
      <w:r w:rsidR="0057761F">
        <w:t xml:space="preserve"> respect to </w:t>
      </w:r>
      <w:r w:rsidRPr="00D2758E">
        <w:t>internationally recognized certificates of compliance and checkpoint communiqu</w:t>
      </w:r>
      <w:r w:rsidR="003F7A4B">
        <w:t>é</w:t>
      </w:r>
      <w:r w:rsidRPr="00D2758E">
        <w:t>s</w:t>
      </w:r>
      <w:r w:rsidR="00B139A7">
        <w:t>;</w:t>
      </w:r>
    </w:p>
    <w:p w14:paraId="60097EBF" w14:textId="6B3D99D1" w:rsidR="00023F77" w:rsidRPr="00D2758E" w:rsidRDefault="00023F77" w:rsidP="00A558F3">
      <w:pPr>
        <w:pStyle w:val="CBDNormalNumber"/>
        <w:numPr>
          <w:ilvl w:val="1"/>
          <w:numId w:val="7"/>
        </w:numPr>
      </w:pPr>
      <w:r w:rsidRPr="00D2758E">
        <w:t>Creating opportunities, incentives and recognition for Parties</w:t>
      </w:r>
      <w:r w:rsidR="00111C9E">
        <w:t>’</w:t>
      </w:r>
      <w:r w:rsidRPr="00D2758E">
        <w:t xml:space="preserve"> participation and providing best practices that highlight and promote the value of the </w:t>
      </w:r>
      <w:proofErr w:type="gramStart"/>
      <w:r w:rsidRPr="00D2758E">
        <w:t>Clearing-House</w:t>
      </w:r>
      <w:proofErr w:type="gramEnd"/>
      <w:r w:rsidRPr="00D2758E">
        <w:t xml:space="preserve"> as a tool </w:t>
      </w:r>
      <w:r w:rsidR="00111C9E">
        <w:t>for</w:t>
      </w:r>
      <w:r w:rsidRPr="00D2758E">
        <w:t xml:space="preserve"> support</w:t>
      </w:r>
      <w:r w:rsidR="00111C9E">
        <w:t>ing</w:t>
      </w:r>
      <w:r w:rsidRPr="00D2758E">
        <w:t xml:space="preserve"> implementation</w:t>
      </w:r>
      <w:r w:rsidR="00B139A7">
        <w:t>;</w:t>
      </w:r>
      <w:r w:rsidRPr="00D2758E">
        <w:t xml:space="preserve">  </w:t>
      </w:r>
    </w:p>
    <w:p w14:paraId="67503CC0" w14:textId="62DD6C68" w:rsidR="00023F77" w:rsidRPr="00D2758E" w:rsidRDefault="00023F77" w:rsidP="00A558F3">
      <w:pPr>
        <w:pStyle w:val="CBDNormalNumber"/>
        <w:numPr>
          <w:ilvl w:val="1"/>
          <w:numId w:val="7"/>
        </w:numPr>
      </w:pPr>
      <w:r w:rsidRPr="00D2758E">
        <w:t xml:space="preserve">Ensuring that the publication of relevant information on the Clearing-House </w:t>
      </w:r>
      <w:r w:rsidR="0040573A" w:rsidRPr="00D2758E">
        <w:t xml:space="preserve">and </w:t>
      </w:r>
      <w:r w:rsidR="00397606" w:rsidRPr="00D2758E">
        <w:t>appropriate</w:t>
      </w:r>
      <w:r w:rsidR="004F5AAA" w:rsidRPr="00D2758E">
        <w:t xml:space="preserve"> training</w:t>
      </w:r>
      <w:r w:rsidRPr="00D2758E">
        <w:t xml:space="preserve"> </w:t>
      </w:r>
      <w:r w:rsidR="00540E2C">
        <w:t>are</w:t>
      </w:r>
      <w:r w:rsidRPr="00D2758E">
        <w:t xml:space="preserve"> </w:t>
      </w:r>
      <w:r w:rsidR="00397606" w:rsidRPr="00D2758E">
        <w:t>included in</w:t>
      </w:r>
      <w:r w:rsidRPr="00D2758E">
        <w:t xml:space="preserve"> projects </w:t>
      </w:r>
      <w:r w:rsidR="007D5EDD" w:rsidRPr="00D2758E">
        <w:t>and capacity-building</w:t>
      </w:r>
      <w:r w:rsidRPr="00D2758E">
        <w:t xml:space="preserve"> relate</w:t>
      </w:r>
      <w:r w:rsidR="005B4263" w:rsidRPr="00D2758E">
        <w:t>d</w:t>
      </w:r>
      <w:r w:rsidRPr="00D2758E">
        <w:t xml:space="preserve"> to </w:t>
      </w:r>
      <w:r w:rsidR="0040573A" w:rsidRPr="00D2758E">
        <w:t>the implementation of the Protocol;</w:t>
      </w:r>
    </w:p>
    <w:p w14:paraId="0C378A03" w14:textId="0E2CBC7D" w:rsidR="00023F77" w:rsidRPr="00D2758E" w:rsidRDefault="00023F77" w:rsidP="00A558F3">
      <w:pPr>
        <w:pStyle w:val="CBDNormalNumber"/>
        <w:numPr>
          <w:ilvl w:val="1"/>
          <w:numId w:val="7"/>
        </w:numPr>
      </w:pPr>
      <w:r w:rsidRPr="00D2758E">
        <w:t xml:space="preserve">Ensuring dedicated and sustained capacity-building support focused specifically on the Protocol’s system for monitoring utilization through the </w:t>
      </w:r>
      <w:proofErr w:type="gramStart"/>
      <w:r w:rsidRPr="00D2758E">
        <w:t>Clearing-House</w:t>
      </w:r>
      <w:proofErr w:type="gramEnd"/>
      <w:r w:rsidRPr="00D2758E">
        <w:t xml:space="preserve"> and the operationalization of checkpoints, the issuance of certificates, and the publication of checkpoint communiques, including by strengthening communication, cooperation and trust between provider and user country authorities</w:t>
      </w:r>
      <w:r w:rsidR="00CA5AC6">
        <w:t>.</w:t>
      </w:r>
      <w:r w:rsidRPr="00D2758E">
        <w:t xml:space="preserve"> </w:t>
      </w:r>
    </w:p>
    <w:p w14:paraId="59A82A00" w14:textId="7076F290" w:rsidR="00484881" w:rsidRPr="00D2758E" w:rsidRDefault="00B139A7" w:rsidP="00B139A7">
      <w:pPr>
        <w:pStyle w:val="CBDH3"/>
      </w:pPr>
      <w:r>
        <w:t>2.</w:t>
      </w:r>
      <w:r>
        <w:tab/>
      </w:r>
      <w:r w:rsidR="00484881" w:rsidRPr="00D2758E">
        <w:t xml:space="preserve">Reference records </w:t>
      </w:r>
      <w:r w:rsidR="00262B42" w:rsidRPr="00D2758E">
        <w:t>in the Access and Benefit-sharing Clearing-House</w:t>
      </w:r>
    </w:p>
    <w:p w14:paraId="36F896A1" w14:textId="30C91A3B" w:rsidR="00BA027D" w:rsidRPr="00D2758E" w:rsidRDefault="00B139A7" w:rsidP="00B139A7">
      <w:pPr>
        <w:pStyle w:val="CBDH4"/>
      </w:pPr>
      <w:r>
        <w:t>(a)</w:t>
      </w:r>
      <w:r>
        <w:tab/>
      </w:r>
      <w:r w:rsidR="00BA027D" w:rsidRPr="00D2758E">
        <w:t xml:space="preserve">Progress made in publication of </w:t>
      </w:r>
      <w:r w:rsidR="00382232" w:rsidRPr="00D2758E">
        <w:t xml:space="preserve">reference </w:t>
      </w:r>
      <w:r w:rsidR="00BA027D" w:rsidRPr="00D2758E">
        <w:t>records and updated indicator data</w:t>
      </w:r>
    </w:p>
    <w:p w14:paraId="4834446A" w14:textId="796F3AE1" w:rsidR="00F57AC4" w:rsidRPr="00D2758E" w:rsidRDefault="001405EF" w:rsidP="00CD2C50">
      <w:pPr>
        <w:pStyle w:val="CBDNormalNumber"/>
        <w:rPr>
          <w:rFonts w:asciiTheme="majorBidi" w:hAnsiTheme="majorBidi" w:cstheme="majorBidi"/>
        </w:rPr>
      </w:pPr>
      <w:r w:rsidRPr="00D2758E">
        <w:t xml:space="preserve">As </w:t>
      </w:r>
      <w:r w:rsidR="00942178" w:rsidRPr="00D2758E">
        <w:t>demonstrate</w:t>
      </w:r>
      <w:r w:rsidR="00BE6784">
        <w:t>d in</w:t>
      </w:r>
      <w:r w:rsidR="00942178" w:rsidRPr="00D2758E">
        <w:t xml:space="preserve"> </w:t>
      </w:r>
      <w:r w:rsidRPr="00D2758E">
        <w:t>t</w:t>
      </w:r>
      <w:r w:rsidR="001B62EC" w:rsidRPr="00D2758E">
        <w:t xml:space="preserve">able </w:t>
      </w:r>
      <w:r w:rsidR="00C941B3" w:rsidRPr="00D2758E">
        <w:t>16</w:t>
      </w:r>
      <w:r w:rsidR="001B62EC" w:rsidRPr="00D2758E">
        <w:t xml:space="preserve"> below</w:t>
      </w:r>
      <w:r w:rsidR="00BE6784">
        <w:t>.</w:t>
      </w:r>
      <w:r w:rsidR="001B62EC" w:rsidRPr="00D2758E">
        <w:t xml:space="preserve"> </w:t>
      </w:r>
      <w:r w:rsidR="000B045A" w:rsidRPr="00D2758E">
        <w:t xml:space="preserve">virtual library resources </w:t>
      </w:r>
      <w:r w:rsidR="001B62EC" w:rsidRPr="00D2758E">
        <w:t xml:space="preserve">and </w:t>
      </w:r>
      <w:r w:rsidR="000B045A" w:rsidRPr="00D2758E">
        <w:t>community protocols and procedures as well as customary law records have increased</w:t>
      </w:r>
      <w:r w:rsidR="000B045A" w:rsidRPr="00D2758E" w:rsidDel="00470A32">
        <w:t xml:space="preserve"> </w:t>
      </w:r>
      <w:r w:rsidR="000B045A" w:rsidRPr="00D2758E">
        <w:t xml:space="preserve">incrementally over the past few years. </w:t>
      </w:r>
      <w:r w:rsidR="00F57AC4" w:rsidRPr="00D2758E">
        <w:rPr>
          <w:rFonts w:asciiTheme="majorBidi" w:hAnsiTheme="majorBidi" w:cstheme="majorBidi"/>
        </w:rPr>
        <w:t>Website traffic has also increased significantly from approximately 19,000 to 85,000 visitors per year.</w:t>
      </w:r>
      <w:r w:rsidR="00F57AC4" w:rsidRPr="00D2758E">
        <w:rPr>
          <w:rStyle w:val="FootnoteReference"/>
          <w:rFonts w:asciiTheme="majorBidi" w:hAnsiTheme="majorBidi" w:cstheme="majorBidi"/>
        </w:rPr>
        <w:footnoteReference w:id="92"/>
      </w:r>
    </w:p>
    <w:p w14:paraId="308A8BC1" w14:textId="6E8E38B2" w:rsidR="00E54064" w:rsidRPr="00D2758E" w:rsidRDefault="00827D35" w:rsidP="00CD2C50">
      <w:pPr>
        <w:pStyle w:val="CBDNormalNumber"/>
      </w:pPr>
      <w:r w:rsidRPr="00D2758E">
        <w:t>Information on model contractual clauses</w:t>
      </w:r>
      <w:r w:rsidR="003D579D">
        <w:t>,</w:t>
      </w:r>
      <w:r w:rsidRPr="00D2758E">
        <w:t xml:space="preserve"> </w:t>
      </w:r>
      <w:r w:rsidR="003D579D" w:rsidRPr="00D2758E">
        <w:t xml:space="preserve">tools </w:t>
      </w:r>
      <w:r w:rsidR="003D579D">
        <w:t xml:space="preserve">related to </w:t>
      </w:r>
      <w:r w:rsidRPr="00D2758E">
        <w:t>Article</w:t>
      </w:r>
      <w:r w:rsidR="003D579D">
        <w:t>s</w:t>
      </w:r>
      <w:r w:rsidRPr="00D2758E">
        <w:t xml:space="preserve"> 19 and 20, codes of conduct, guidelines, best practices and standards and indigenous peoples and local communities’ customary laws, community protocols and procedures </w:t>
      </w:r>
      <w:r w:rsidR="00B9558D" w:rsidRPr="00D2758E">
        <w:t xml:space="preserve">published </w:t>
      </w:r>
      <w:r w:rsidR="00C30688">
        <w:t>o</w:t>
      </w:r>
      <w:r w:rsidR="00B9558D" w:rsidRPr="00D2758E">
        <w:t xml:space="preserve">n the </w:t>
      </w:r>
      <w:proofErr w:type="gramStart"/>
      <w:r w:rsidR="00B9558D" w:rsidRPr="00D2758E">
        <w:t>Clearing-House</w:t>
      </w:r>
      <w:proofErr w:type="gramEnd"/>
      <w:r w:rsidRPr="00D2758E">
        <w:t xml:space="preserve"> can be found </w:t>
      </w:r>
      <w:r w:rsidR="00B9558D" w:rsidRPr="00D2758E">
        <w:t>in section III</w:t>
      </w:r>
      <w:r w:rsidR="00AB67A9" w:rsidRPr="00D2758E">
        <w:t>.</w:t>
      </w:r>
      <w:r w:rsidR="00FD66CA" w:rsidRPr="00D2758E">
        <w:t>F above.</w:t>
      </w:r>
    </w:p>
    <w:p w14:paraId="53F60E69" w14:textId="3442AD13" w:rsidR="005F79C1" w:rsidRPr="00D2758E" w:rsidRDefault="00E27BB4" w:rsidP="00CD2C50">
      <w:pPr>
        <w:pStyle w:val="CBDNormalNumber"/>
      </w:pPr>
      <w:r w:rsidRPr="00D2758E">
        <w:t xml:space="preserve">The </w:t>
      </w:r>
      <w:r w:rsidR="009446C8" w:rsidRPr="00D2758E">
        <w:t>results of the</w:t>
      </w:r>
      <w:r w:rsidRPr="00D2758E">
        <w:t xml:space="preserve"> analysis of th</w:t>
      </w:r>
      <w:r w:rsidR="00701D19" w:rsidRPr="00D2758E">
        <w:t>e information on capacity-building initiatives</w:t>
      </w:r>
      <w:r w:rsidRPr="00D2758E">
        <w:t xml:space="preserve"> </w:t>
      </w:r>
      <w:r w:rsidR="00800F67" w:rsidRPr="00D2758E">
        <w:t>and resources</w:t>
      </w:r>
      <w:r w:rsidR="008F65DD" w:rsidRPr="00D2758E">
        <w:t xml:space="preserve"> </w:t>
      </w:r>
      <w:r w:rsidR="00C346BC" w:rsidRPr="00D2758E">
        <w:t>show</w:t>
      </w:r>
      <w:r w:rsidR="006C159C">
        <w:t>ed</w:t>
      </w:r>
      <w:r w:rsidR="00C346BC" w:rsidRPr="00D2758E">
        <w:t xml:space="preserve"> that</w:t>
      </w:r>
      <w:r w:rsidR="006C159C">
        <w:t>,</w:t>
      </w:r>
      <w:r w:rsidR="00C346BC" w:rsidRPr="00D2758E">
        <w:t xml:space="preserve"> </w:t>
      </w:r>
      <w:r w:rsidR="008F65DD" w:rsidRPr="00D2758E">
        <w:t xml:space="preserve">despite the extensive capacity‑building activity under the Nagoya Protocol, its visibility </w:t>
      </w:r>
      <w:r w:rsidR="006C159C">
        <w:t>o</w:t>
      </w:r>
      <w:r w:rsidR="008F65DD" w:rsidRPr="00D2758E">
        <w:t>n the ABS Clearing‑House remain</w:t>
      </w:r>
      <w:r w:rsidR="006C159C">
        <w:t>ed</w:t>
      </w:r>
      <w:r w:rsidR="008F65DD" w:rsidRPr="00D2758E">
        <w:t xml:space="preserve"> partial, with only 61 of the 134 identified initiatives recorded as of March 2026. The increase in records observed in earlier periods reflect</w:t>
      </w:r>
      <w:r w:rsidR="006C159C">
        <w:t>ed</w:t>
      </w:r>
      <w:r w:rsidR="008F65DD" w:rsidRPr="00D2758E">
        <w:t xml:space="preserve"> the targeted stocktaking and publication efforts led by the Secretariat, rather than sustained routine updating by Parties and capacity‑building providers themselves.</w:t>
      </w:r>
      <w:r w:rsidR="008F65DD" w:rsidRPr="00D2758E">
        <w:rPr>
          <w:rStyle w:val="FootnoteReference"/>
        </w:rPr>
        <w:t xml:space="preserve"> </w:t>
      </w:r>
      <w:r w:rsidR="008F65DD" w:rsidRPr="00D2758E">
        <w:rPr>
          <w:rStyle w:val="FootnoteReference"/>
        </w:rPr>
        <w:footnoteReference w:id="93"/>
      </w:r>
    </w:p>
    <w:p w14:paraId="7E63C319" w14:textId="6B238C05" w:rsidR="00531C5F" w:rsidRPr="00D2758E" w:rsidRDefault="00E27BB4" w:rsidP="00CD2C50">
      <w:pPr>
        <w:pStyle w:val="CBDNormalNumber"/>
      </w:pPr>
      <w:r w:rsidRPr="00D2758E">
        <w:t>The analysis of reference records indicate</w:t>
      </w:r>
      <w:r w:rsidR="000E499C">
        <w:t>d</w:t>
      </w:r>
      <w:r w:rsidRPr="00D2758E">
        <w:t xml:space="preserve"> that the number of new records being published per year ha</w:t>
      </w:r>
      <w:r w:rsidR="000E499C">
        <w:t>d</w:t>
      </w:r>
      <w:r w:rsidRPr="00D2758E">
        <w:t xml:space="preserve"> generally declined across all reference record types</w:t>
      </w:r>
      <w:r w:rsidR="00E83A72">
        <w:t>;</w:t>
      </w:r>
      <w:r w:rsidRPr="00D2758E">
        <w:t xml:space="preserve"> only 29 reference records ha been published within the last 12 months</w:t>
      </w:r>
      <w:r w:rsidR="00E83A72">
        <w:t>;</w:t>
      </w:r>
      <w:r w:rsidRPr="00D2758E">
        <w:t xml:space="preserve"> and about 65</w:t>
      </w:r>
      <w:r w:rsidR="00E83A72">
        <w:t xml:space="preserve"> per cent</w:t>
      </w:r>
      <w:r w:rsidRPr="00D2758E">
        <w:t xml:space="preserve"> of those records were directly related to digital sequence information.</w:t>
      </w:r>
      <w:r w:rsidR="005706DA" w:rsidRPr="006B066D">
        <w:rPr>
          <w:vertAlign w:val="superscript"/>
        </w:rPr>
        <w:footnoteReference w:id="94"/>
      </w:r>
      <w:r w:rsidR="00E83A72">
        <w:t xml:space="preserve"> </w:t>
      </w:r>
      <w:r w:rsidRPr="00D2758E">
        <w:t xml:space="preserve">The analysis highlighted several potential issues and inconsistencies with </w:t>
      </w:r>
      <w:r w:rsidR="00636B9D">
        <w:t xml:space="preserve">respect to </w:t>
      </w:r>
      <w:r w:rsidRPr="00D2758E">
        <w:t xml:space="preserve">reference records, which may require further review, updating and reorganization to </w:t>
      </w:r>
      <w:r w:rsidR="00546C56">
        <w:t xml:space="preserve">enable a </w:t>
      </w:r>
      <w:r w:rsidRPr="00D2758E">
        <w:t xml:space="preserve">more effective contribute to the implementation of the Protocol. </w:t>
      </w:r>
    </w:p>
    <w:p w14:paraId="54449893" w14:textId="78BA4E18" w:rsidR="00531C5F" w:rsidRPr="00D2758E" w:rsidRDefault="00531C5F" w:rsidP="00CD2C50">
      <w:pPr>
        <w:pStyle w:val="CBDNormalNumber"/>
      </w:pPr>
      <w:r w:rsidRPr="00D2758E">
        <w:lastRenderedPageBreak/>
        <w:t>The categorization of reference records, including virtual</w:t>
      </w:r>
      <w:r w:rsidR="004A6BE6" w:rsidRPr="00D2758E">
        <w:t xml:space="preserve"> </w:t>
      </w:r>
      <w:r w:rsidR="00D007D7" w:rsidRPr="00D2758E">
        <w:t xml:space="preserve">library records, </w:t>
      </w:r>
      <w:r w:rsidR="004A6BE6" w:rsidRPr="00D2758E">
        <w:t xml:space="preserve">model contractual clauses, codes of conduct, guidelines, best practices and/or standards </w:t>
      </w:r>
      <w:r w:rsidR="005356A3">
        <w:t xml:space="preserve">derived </w:t>
      </w:r>
      <w:r w:rsidR="004A6BE6" w:rsidRPr="00D2758E">
        <w:t xml:space="preserve"> from Article</w:t>
      </w:r>
      <w:r w:rsidR="005356A3">
        <w:t>s</w:t>
      </w:r>
      <w:r w:rsidR="004A6BE6" w:rsidRPr="00D2758E">
        <w:t xml:space="preserve"> 19 and 20 of the Protocol, and community protocols and procedures and customary laws</w:t>
      </w:r>
      <w:r w:rsidRPr="00D2758E">
        <w:t xml:space="preserve"> reveal</w:t>
      </w:r>
      <w:r w:rsidR="000566E2">
        <w:t>ed</w:t>
      </w:r>
      <w:r w:rsidRPr="00D2758E">
        <w:t xml:space="preserve"> some inconsistencies, including overlapping terminology, potential duplication across record types and instances where records may be more appropriately classified as national record. </w:t>
      </w:r>
    </w:p>
    <w:p w14:paraId="700A5211" w14:textId="6D6E3372" w:rsidR="001405EF" w:rsidRPr="00D2758E" w:rsidRDefault="001405EF" w:rsidP="00B139A7">
      <w:pPr>
        <w:pStyle w:val="CBDTableTitle"/>
      </w:pPr>
      <w:r w:rsidRPr="004B0132">
        <w:rPr>
          <w:b w:val="0"/>
          <w:bCs/>
        </w:rPr>
        <w:t>Table 1</w:t>
      </w:r>
      <w:r w:rsidR="001B62EC" w:rsidRPr="004B0132">
        <w:rPr>
          <w:b w:val="0"/>
          <w:bCs/>
          <w:iCs/>
        </w:rPr>
        <w:t>6</w:t>
      </w:r>
      <w:r w:rsidRPr="00D2758E">
        <w:t xml:space="preserve"> </w:t>
      </w:r>
      <w:r w:rsidR="00B139A7">
        <w:br/>
      </w:r>
      <w:r w:rsidRPr="00D2758E">
        <w:t xml:space="preserve">Indicators to measure progress in the publication of </w:t>
      </w:r>
      <w:r w:rsidR="001B62EC" w:rsidRPr="00D2758E">
        <w:t>reference</w:t>
      </w:r>
      <w:r w:rsidRPr="00D2758E">
        <w:t xml:space="preserve"> records on the </w:t>
      </w:r>
      <w:r w:rsidR="00932374">
        <w:t xml:space="preserve">Access and Benefit-sharing </w:t>
      </w:r>
      <w:r w:rsidRPr="00D2758E">
        <w:t>Clearing-House</w:t>
      </w:r>
    </w:p>
    <w:tbl>
      <w:tblPr>
        <w:tblW w:w="8561" w:type="dxa"/>
        <w:tblInd w:w="56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387"/>
        <w:gridCol w:w="1843"/>
        <w:gridCol w:w="1331"/>
      </w:tblGrid>
      <w:tr w:rsidR="00387201" w:rsidRPr="00CA5AC6" w14:paraId="4FA813DD" w14:textId="77777777" w:rsidTr="006B066D">
        <w:trPr>
          <w:cantSplit/>
        </w:trPr>
        <w:tc>
          <w:tcPr>
            <w:tcW w:w="5387" w:type="dxa"/>
            <w:tcBorders>
              <w:top w:val="single" w:sz="4" w:space="0" w:color="auto"/>
              <w:left w:val="single" w:sz="4" w:space="0" w:color="auto"/>
              <w:bottom w:val="single" w:sz="4" w:space="0" w:color="auto"/>
              <w:right w:val="single" w:sz="4" w:space="0" w:color="auto"/>
            </w:tcBorders>
            <w:tcMar>
              <w:top w:w="29" w:type="dxa"/>
              <w:left w:w="115" w:type="dxa"/>
              <w:bottom w:w="29" w:type="dxa"/>
              <w:right w:w="115" w:type="dxa"/>
            </w:tcMar>
            <w:vAlign w:val="bottom"/>
            <w:hideMark/>
          </w:tcPr>
          <w:p w14:paraId="4785D26B" w14:textId="77777777" w:rsidR="00387201" w:rsidRPr="006B066D" w:rsidRDefault="00387201" w:rsidP="006B066D">
            <w:pPr>
              <w:suppressLineNumbers/>
              <w:suppressAutoHyphens/>
              <w:kinsoku w:val="0"/>
              <w:overflowPunct w:val="0"/>
              <w:autoSpaceDE w:val="0"/>
              <w:autoSpaceDN w:val="0"/>
              <w:adjustRightInd w:val="0"/>
              <w:snapToGrid w:val="0"/>
              <w:ind w:left="314" w:hanging="360"/>
              <w:jc w:val="left"/>
              <w:rPr>
                <w:rFonts w:eastAsia="Malgun Gothic"/>
                <w:i/>
                <w:iCs/>
                <w:kern w:val="22"/>
                <w:sz w:val="20"/>
                <w:szCs w:val="20"/>
              </w:rPr>
            </w:pPr>
            <w:r w:rsidRPr="006B066D">
              <w:rPr>
                <w:rFonts w:eastAsia="Malgun Gothic"/>
                <w:i/>
                <w:iCs/>
                <w:kern w:val="22"/>
                <w:sz w:val="20"/>
                <w:szCs w:val="20"/>
              </w:rPr>
              <w:t>Framework of indicators</w:t>
            </w:r>
          </w:p>
        </w:tc>
        <w:tc>
          <w:tcPr>
            <w:tcW w:w="1843" w:type="dxa"/>
            <w:tcBorders>
              <w:top w:val="single" w:sz="4" w:space="0" w:color="auto"/>
              <w:left w:val="single" w:sz="4" w:space="0" w:color="auto"/>
              <w:bottom w:val="single" w:sz="4" w:space="0" w:color="auto"/>
              <w:right w:val="single" w:sz="4" w:space="0" w:color="auto"/>
            </w:tcBorders>
            <w:tcMar>
              <w:top w:w="29" w:type="dxa"/>
              <w:left w:w="115" w:type="dxa"/>
              <w:bottom w:w="29" w:type="dxa"/>
              <w:right w:w="115" w:type="dxa"/>
            </w:tcMar>
            <w:vAlign w:val="bottom"/>
            <w:hideMark/>
          </w:tcPr>
          <w:p w14:paraId="73E6339A" w14:textId="390050D5" w:rsidR="00387201" w:rsidRPr="006B066D" w:rsidRDefault="00387201" w:rsidP="006B066D">
            <w:pPr>
              <w:suppressLineNumbers/>
              <w:suppressAutoHyphens/>
              <w:kinsoku w:val="0"/>
              <w:overflowPunct w:val="0"/>
              <w:autoSpaceDE w:val="0"/>
              <w:autoSpaceDN w:val="0"/>
              <w:adjustRightInd w:val="0"/>
              <w:snapToGrid w:val="0"/>
              <w:jc w:val="right"/>
              <w:rPr>
                <w:rFonts w:eastAsia="Calibri"/>
                <w:i/>
                <w:iCs/>
                <w:kern w:val="22"/>
                <w:sz w:val="20"/>
                <w:szCs w:val="20"/>
              </w:rPr>
            </w:pPr>
            <w:r w:rsidRPr="006B066D">
              <w:rPr>
                <w:rFonts w:eastAsia="Calibri"/>
                <w:i/>
                <w:iCs/>
                <w:kern w:val="22"/>
                <w:sz w:val="20"/>
                <w:szCs w:val="20"/>
              </w:rPr>
              <w:t xml:space="preserve">Reference point </w:t>
            </w:r>
            <w:r w:rsidR="00300CAC">
              <w:rPr>
                <w:rFonts w:eastAsia="Calibri"/>
                <w:i/>
                <w:iCs/>
                <w:kern w:val="22"/>
                <w:sz w:val="20"/>
                <w:szCs w:val="20"/>
              </w:rPr>
              <w:br/>
            </w:r>
            <w:r w:rsidRPr="006B066D">
              <w:rPr>
                <w:rFonts w:eastAsia="Calibri"/>
                <w:i/>
                <w:iCs/>
                <w:kern w:val="22"/>
                <w:sz w:val="20"/>
                <w:szCs w:val="20"/>
              </w:rPr>
              <w:t>(as at 22 February 2018)</w:t>
            </w:r>
          </w:p>
        </w:tc>
        <w:tc>
          <w:tcPr>
            <w:tcW w:w="1331" w:type="dxa"/>
            <w:tcBorders>
              <w:top w:val="single" w:sz="4" w:space="0" w:color="auto"/>
              <w:left w:val="single" w:sz="4" w:space="0" w:color="auto"/>
              <w:bottom w:val="single" w:sz="4" w:space="0" w:color="auto"/>
              <w:right w:val="single" w:sz="4" w:space="0" w:color="auto"/>
            </w:tcBorders>
            <w:vAlign w:val="bottom"/>
          </w:tcPr>
          <w:p w14:paraId="615687E4" w14:textId="7FA6DBFB" w:rsidR="00387201" w:rsidRPr="006B066D" w:rsidRDefault="00726E8D" w:rsidP="006B066D">
            <w:pPr>
              <w:suppressLineNumbers/>
              <w:suppressAutoHyphens/>
              <w:kinsoku w:val="0"/>
              <w:overflowPunct w:val="0"/>
              <w:autoSpaceDE w:val="0"/>
              <w:autoSpaceDN w:val="0"/>
              <w:adjustRightInd w:val="0"/>
              <w:snapToGrid w:val="0"/>
              <w:jc w:val="right"/>
              <w:rPr>
                <w:rFonts w:eastAsia="Calibri"/>
                <w:i/>
                <w:iCs/>
                <w:kern w:val="22"/>
                <w:sz w:val="20"/>
                <w:szCs w:val="20"/>
              </w:rPr>
            </w:pPr>
            <w:r>
              <w:rPr>
                <w:rFonts w:eastAsia="Calibri"/>
                <w:i/>
                <w:iCs/>
                <w:kern w:val="22"/>
                <w:sz w:val="20"/>
                <w:szCs w:val="20"/>
              </w:rPr>
              <w:t xml:space="preserve">Progress </w:t>
            </w:r>
            <w:r w:rsidR="00180785">
              <w:rPr>
                <w:rFonts w:eastAsia="Calibri"/>
                <w:i/>
                <w:iCs/>
                <w:kern w:val="22"/>
                <w:sz w:val="20"/>
                <w:szCs w:val="20"/>
              </w:rPr>
              <w:t xml:space="preserve">as at </w:t>
            </w:r>
            <w:r w:rsidR="00387201" w:rsidRPr="006B066D">
              <w:rPr>
                <w:rFonts w:eastAsia="Calibri"/>
                <w:i/>
                <w:iCs/>
                <w:kern w:val="22"/>
                <w:sz w:val="20"/>
                <w:szCs w:val="20"/>
              </w:rPr>
              <w:t>9 March 2026</w:t>
            </w:r>
          </w:p>
        </w:tc>
      </w:tr>
      <w:tr w:rsidR="00917F12" w:rsidRPr="00D2758E" w14:paraId="360650E6" w14:textId="77777777" w:rsidTr="006B066D">
        <w:trPr>
          <w:cantSplit/>
        </w:trPr>
        <w:tc>
          <w:tcPr>
            <w:tcW w:w="5387" w:type="dxa"/>
            <w:tcBorders>
              <w:top w:val="single" w:sz="4" w:space="0" w:color="auto"/>
              <w:left w:val="single" w:sz="4" w:space="0" w:color="auto"/>
              <w:bottom w:val="single" w:sz="4" w:space="0" w:color="auto"/>
              <w:right w:val="single" w:sz="4" w:space="0" w:color="auto"/>
            </w:tcBorders>
            <w:tcMar>
              <w:top w:w="29" w:type="dxa"/>
              <w:left w:w="115" w:type="dxa"/>
              <w:bottom w:w="29" w:type="dxa"/>
              <w:right w:w="115" w:type="dxa"/>
            </w:tcMar>
          </w:tcPr>
          <w:p w14:paraId="50A00ED3" w14:textId="16E5F000" w:rsidR="00917F12" w:rsidRPr="00D2758E" w:rsidRDefault="00917F12" w:rsidP="006B066D">
            <w:pPr>
              <w:suppressLineNumbers/>
              <w:suppressAutoHyphens/>
              <w:kinsoku w:val="0"/>
              <w:overflowPunct w:val="0"/>
              <w:autoSpaceDE w:val="0"/>
              <w:autoSpaceDN w:val="0"/>
              <w:adjustRightInd w:val="0"/>
              <w:snapToGrid w:val="0"/>
              <w:jc w:val="left"/>
              <w:rPr>
                <w:rFonts w:eastAsia="Malgun Gothic"/>
                <w:kern w:val="22"/>
                <w:sz w:val="20"/>
                <w:szCs w:val="20"/>
              </w:rPr>
            </w:pPr>
            <w:r w:rsidRPr="00D2758E">
              <w:rPr>
                <w:rFonts w:eastAsia="Malgun Gothic"/>
                <w:kern w:val="22"/>
                <w:sz w:val="20"/>
                <w:szCs w:val="20"/>
              </w:rPr>
              <w:t xml:space="preserve">Number of indigenous peoples and local communities’ customary laws, community protocols and procedures made available as reference records </w:t>
            </w:r>
            <w:r w:rsidR="00180785">
              <w:rPr>
                <w:rFonts w:eastAsia="Malgun Gothic"/>
                <w:kern w:val="22"/>
                <w:sz w:val="20"/>
                <w:szCs w:val="20"/>
              </w:rPr>
              <w:t>o</w:t>
            </w:r>
            <w:r w:rsidRPr="00D2758E">
              <w:rPr>
                <w:rFonts w:eastAsia="Malgun Gothic"/>
                <w:kern w:val="22"/>
                <w:sz w:val="20"/>
                <w:szCs w:val="20"/>
              </w:rPr>
              <w:t xml:space="preserve">n the </w:t>
            </w:r>
            <w:r w:rsidR="00A33546" w:rsidRPr="00A33546">
              <w:rPr>
                <w:rFonts w:eastAsia="Malgun Gothic"/>
                <w:kern w:val="22"/>
                <w:sz w:val="20"/>
                <w:szCs w:val="20"/>
              </w:rPr>
              <w:t xml:space="preserve">Access and Benefit-sharing </w:t>
            </w:r>
            <w:r w:rsidRPr="00D2758E">
              <w:rPr>
                <w:rFonts w:eastAsia="Malgun Gothic"/>
                <w:kern w:val="22"/>
                <w:sz w:val="20"/>
                <w:szCs w:val="20"/>
              </w:rPr>
              <w:t>Clearing-</w:t>
            </w:r>
            <w:proofErr w:type="spellStart"/>
            <w:r w:rsidRPr="00D2758E">
              <w:rPr>
                <w:rFonts w:eastAsia="Malgun Gothic"/>
                <w:kern w:val="22"/>
                <w:sz w:val="20"/>
                <w:szCs w:val="20"/>
              </w:rPr>
              <w:t>House</w:t>
            </w:r>
            <w:r w:rsidR="008F4C00" w:rsidRPr="006B066D">
              <w:rPr>
                <w:rFonts w:eastAsia="Malgun Gothic"/>
                <w:i/>
                <w:iCs/>
                <w:kern w:val="22"/>
                <w:sz w:val="20"/>
                <w:szCs w:val="20"/>
                <w:vertAlign w:val="superscript"/>
              </w:rPr>
              <w:t>a</w:t>
            </w:r>
            <w:proofErr w:type="spellEnd"/>
          </w:p>
        </w:tc>
        <w:tc>
          <w:tcPr>
            <w:tcW w:w="1843" w:type="dxa"/>
            <w:tcBorders>
              <w:top w:val="single" w:sz="4" w:space="0" w:color="auto"/>
              <w:left w:val="single" w:sz="4" w:space="0" w:color="auto"/>
              <w:bottom w:val="single" w:sz="4" w:space="0" w:color="auto"/>
              <w:right w:val="single" w:sz="4" w:space="0" w:color="auto"/>
            </w:tcBorders>
            <w:tcMar>
              <w:top w:w="29" w:type="dxa"/>
              <w:left w:w="115" w:type="dxa"/>
              <w:bottom w:w="29" w:type="dxa"/>
              <w:right w:w="115" w:type="dxa"/>
            </w:tcMar>
            <w:vAlign w:val="bottom"/>
          </w:tcPr>
          <w:p w14:paraId="27658DBE" w14:textId="77777777" w:rsidR="00917F12" w:rsidRPr="00D2758E" w:rsidRDefault="00917F12" w:rsidP="006B066D">
            <w:pPr>
              <w:suppressLineNumbers/>
              <w:suppressAutoHyphens/>
              <w:kinsoku w:val="0"/>
              <w:overflowPunct w:val="0"/>
              <w:autoSpaceDE w:val="0"/>
              <w:autoSpaceDN w:val="0"/>
              <w:adjustRightInd w:val="0"/>
              <w:snapToGrid w:val="0"/>
              <w:jc w:val="right"/>
              <w:rPr>
                <w:kern w:val="22"/>
                <w:sz w:val="20"/>
                <w:szCs w:val="20"/>
              </w:rPr>
            </w:pPr>
            <w:r w:rsidRPr="00D2758E">
              <w:rPr>
                <w:rFonts w:eastAsia="Malgun Gothic"/>
                <w:kern w:val="22"/>
                <w:sz w:val="20"/>
                <w:szCs w:val="20"/>
              </w:rPr>
              <w:t>3</w:t>
            </w:r>
          </w:p>
        </w:tc>
        <w:tc>
          <w:tcPr>
            <w:tcW w:w="1331" w:type="dxa"/>
            <w:tcBorders>
              <w:top w:val="single" w:sz="4" w:space="0" w:color="auto"/>
              <w:left w:val="single" w:sz="4" w:space="0" w:color="auto"/>
              <w:bottom w:val="single" w:sz="4" w:space="0" w:color="auto"/>
              <w:right w:val="single" w:sz="4" w:space="0" w:color="auto"/>
            </w:tcBorders>
            <w:vAlign w:val="bottom"/>
          </w:tcPr>
          <w:p w14:paraId="7DFB8ABC" w14:textId="0E34F5D7" w:rsidR="00917F12" w:rsidRPr="00D2758E" w:rsidRDefault="00917F12" w:rsidP="006B066D">
            <w:pPr>
              <w:suppressLineNumbers/>
              <w:suppressAutoHyphens/>
              <w:kinsoku w:val="0"/>
              <w:overflowPunct w:val="0"/>
              <w:autoSpaceDE w:val="0"/>
              <w:autoSpaceDN w:val="0"/>
              <w:adjustRightInd w:val="0"/>
              <w:snapToGrid w:val="0"/>
              <w:jc w:val="right"/>
              <w:rPr>
                <w:kern w:val="22"/>
                <w:sz w:val="20"/>
                <w:szCs w:val="20"/>
              </w:rPr>
            </w:pPr>
            <w:r w:rsidRPr="00D2758E">
              <w:rPr>
                <w:kern w:val="22"/>
                <w:sz w:val="20"/>
                <w:szCs w:val="20"/>
              </w:rPr>
              <w:t>44 (92</w:t>
            </w:r>
            <w:r w:rsidR="007F52A5">
              <w:rPr>
                <w:kern w:val="22"/>
                <w:sz w:val="20"/>
                <w:szCs w:val="20"/>
              </w:rPr>
              <w:t xml:space="preserve"> per cent</w:t>
            </w:r>
            <w:r w:rsidRPr="00D2758E">
              <w:rPr>
                <w:kern w:val="22"/>
                <w:sz w:val="20"/>
                <w:szCs w:val="20"/>
              </w:rPr>
              <w:t>)</w:t>
            </w:r>
          </w:p>
        </w:tc>
      </w:tr>
      <w:tr w:rsidR="00917F12" w:rsidRPr="00D2758E" w14:paraId="2C772136" w14:textId="77777777" w:rsidTr="006B066D">
        <w:trPr>
          <w:cantSplit/>
        </w:trPr>
        <w:tc>
          <w:tcPr>
            <w:tcW w:w="5387" w:type="dxa"/>
            <w:tcBorders>
              <w:top w:val="single" w:sz="4" w:space="0" w:color="auto"/>
              <w:left w:val="single" w:sz="4" w:space="0" w:color="auto"/>
              <w:bottom w:val="single" w:sz="4" w:space="0" w:color="auto"/>
              <w:right w:val="single" w:sz="4" w:space="0" w:color="auto"/>
            </w:tcBorders>
            <w:tcMar>
              <w:top w:w="29" w:type="dxa"/>
              <w:left w:w="115" w:type="dxa"/>
              <w:bottom w:w="29" w:type="dxa"/>
              <w:right w:w="115" w:type="dxa"/>
            </w:tcMar>
          </w:tcPr>
          <w:p w14:paraId="2B5A521C" w14:textId="630852B9" w:rsidR="00917F12" w:rsidRPr="00D2758E" w:rsidRDefault="00917F12" w:rsidP="006B066D">
            <w:pPr>
              <w:suppressLineNumbers/>
              <w:suppressAutoHyphens/>
              <w:kinsoku w:val="0"/>
              <w:overflowPunct w:val="0"/>
              <w:autoSpaceDE w:val="0"/>
              <w:autoSpaceDN w:val="0"/>
              <w:adjustRightInd w:val="0"/>
              <w:snapToGrid w:val="0"/>
              <w:jc w:val="left"/>
              <w:rPr>
                <w:rFonts w:eastAsia="Malgun Gothic"/>
                <w:kern w:val="22"/>
                <w:sz w:val="20"/>
                <w:szCs w:val="20"/>
              </w:rPr>
            </w:pPr>
            <w:r w:rsidRPr="00D2758E">
              <w:rPr>
                <w:rFonts w:eastAsia="Malgun Gothic"/>
                <w:kern w:val="22"/>
                <w:sz w:val="20"/>
                <w:szCs w:val="20"/>
              </w:rPr>
              <w:t xml:space="preserve">Number and percentage of model contractual clauses made available as reference records </w:t>
            </w:r>
            <w:r w:rsidR="00180785">
              <w:rPr>
                <w:rFonts w:eastAsia="Malgun Gothic"/>
                <w:kern w:val="22"/>
                <w:sz w:val="20"/>
                <w:szCs w:val="20"/>
              </w:rPr>
              <w:t>o</w:t>
            </w:r>
            <w:r w:rsidRPr="00D2758E">
              <w:rPr>
                <w:rFonts w:eastAsia="Malgun Gothic"/>
                <w:kern w:val="22"/>
                <w:sz w:val="20"/>
                <w:szCs w:val="20"/>
              </w:rPr>
              <w:t xml:space="preserve">n the </w:t>
            </w:r>
            <w:r w:rsidR="00A33546" w:rsidRPr="00A33546">
              <w:rPr>
                <w:rFonts w:eastAsia="Malgun Gothic"/>
                <w:kern w:val="22"/>
                <w:sz w:val="20"/>
                <w:szCs w:val="20"/>
              </w:rPr>
              <w:t xml:space="preserve">Access and Benefit-sharing </w:t>
            </w:r>
            <w:r w:rsidRPr="00D2758E">
              <w:rPr>
                <w:rFonts w:eastAsia="Malgun Gothic"/>
                <w:kern w:val="22"/>
                <w:sz w:val="20"/>
                <w:szCs w:val="20"/>
              </w:rPr>
              <w:t xml:space="preserve">Clearing-House </w:t>
            </w:r>
            <w:r w:rsidRPr="00D2758E">
              <w:rPr>
                <w:rFonts w:eastAsia="Malgun Gothic"/>
                <w:i/>
                <w:iCs/>
                <w:kern w:val="22"/>
                <w:sz w:val="20"/>
                <w:szCs w:val="20"/>
              </w:rPr>
              <w:t xml:space="preserve">(change of </w:t>
            </w:r>
            <w:proofErr w:type="gramStart"/>
            <w:r w:rsidRPr="00D2758E">
              <w:rPr>
                <w:rFonts w:eastAsia="Malgun Gothic"/>
                <w:i/>
                <w:iCs/>
                <w:kern w:val="22"/>
                <w:sz w:val="20"/>
                <w:szCs w:val="20"/>
              </w:rPr>
              <w:t>methodology)</w:t>
            </w:r>
            <w:r w:rsidR="008F4C00" w:rsidRPr="006B066D">
              <w:rPr>
                <w:i/>
                <w:iCs/>
                <w:vertAlign w:val="superscript"/>
              </w:rPr>
              <w:t>b</w:t>
            </w:r>
            <w:proofErr w:type="gramEnd"/>
          </w:p>
        </w:tc>
        <w:tc>
          <w:tcPr>
            <w:tcW w:w="1843" w:type="dxa"/>
            <w:tcBorders>
              <w:top w:val="single" w:sz="4" w:space="0" w:color="auto"/>
              <w:left w:val="single" w:sz="4" w:space="0" w:color="auto"/>
              <w:bottom w:val="single" w:sz="4" w:space="0" w:color="auto"/>
              <w:right w:val="single" w:sz="4" w:space="0" w:color="auto"/>
            </w:tcBorders>
            <w:tcMar>
              <w:top w:w="29" w:type="dxa"/>
              <w:left w:w="115" w:type="dxa"/>
              <w:bottom w:w="29" w:type="dxa"/>
              <w:right w:w="115" w:type="dxa"/>
            </w:tcMar>
            <w:vAlign w:val="bottom"/>
          </w:tcPr>
          <w:p w14:paraId="430CCBBF" w14:textId="515A70C0" w:rsidR="00917F12" w:rsidRPr="006B066D" w:rsidRDefault="00917F12" w:rsidP="006B066D">
            <w:pPr>
              <w:suppressLineNumbers/>
              <w:suppressAutoHyphens/>
              <w:kinsoku w:val="0"/>
              <w:overflowPunct w:val="0"/>
              <w:autoSpaceDE w:val="0"/>
              <w:autoSpaceDN w:val="0"/>
              <w:adjustRightInd w:val="0"/>
              <w:snapToGrid w:val="0"/>
              <w:jc w:val="right"/>
              <w:rPr>
                <w:rFonts w:eastAsia="Malgun Gothic"/>
                <w:kern w:val="22"/>
                <w:sz w:val="20"/>
                <w:szCs w:val="20"/>
              </w:rPr>
            </w:pPr>
            <w:r w:rsidRPr="00B714A0">
              <w:rPr>
                <w:rFonts w:eastAsia="Malgun Gothic"/>
                <w:kern w:val="22"/>
                <w:sz w:val="20"/>
                <w:szCs w:val="20"/>
              </w:rPr>
              <w:t>17 (59</w:t>
            </w:r>
            <w:r w:rsidR="007F52A5">
              <w:rPr>
                <w:rFonts w:eastAsia="Malgun Gothic"/>
                <w:kern w:val="22"/>
                <w:sz w:val="20"/>
                <w:szCs w:val="20"/>
              </w:rPr>
              <w:t xml:space="preserve"> per cent</w:t>
            </w:r>
            <w:r w:rsidRPr="00B714A0">
              <w:rPr>
                <w:rFonts w:eastAsia="Malgun Gothic"/>
                <w:kern w:val="22"/>
                <w:sz w:val="20"/>
                <w:szCs w:val="20"/>
              </w:rPr>
              <w:t>)</w:t>
            </w:r>
          </w:p>
        </w:tc>
        <w:tc>
          <w:tcPr>
            <w:tcW w:w="1331" w:type="dxa"/>
            <w:tcBorders>
              <w:top w:val="single" w:sz="4" w:space="0" w:color="auto"/>
              <w:left w:val="single" w:sz="4" w:space="0" w:color="auto"/>
              <w:bottom w:val="single" w:sz="4" w:space="0" w:color="auto"/>
              <w:right w:val="single" w:sz="4" w:space="0" w:color="auto"/>
            </w:tcBorders>
            <w:vAlign w:val="bottom"/>
          </w:tcPr>
          <w:p w14:paraId="5CF1347A" w14:textId="15A46505" w:rsidR="00917F12" w:rsidRPr="006B066D" w:rsidRDefault="00917F12" w:rsidP="006B066D">
            <w:pPr>
              <w:suppressLineNumbers/>
              <w:suppressAutoHyphens/>
              <w:kinsoku w:val="0"/>
              <w:overflowPunct w:val="0"/>
              <w:autoSpaceDE w:val="0"/>
              <w:autoSpaceDN w:val="0"/>
              <w:adjustRightInd w:val="0"/>
              <w:snapToGrid w:val="0"/>
              <w:jc w:val="right"/>
              <w:rPr>
                <w:kern w:val="22"/>
                <w:sz w:val="20"/>
                <w:szCs w:val="20"/>
              </w:rPr>
            </w:pPr>
            <w:r w:rsidRPr="00B714A0">
              <w:rPr>
                <w:kern w:val="22"/>
                <w:sz w:val="20"/>
                <w:szCs w:val="20"/>
              </w:rPr>
              <w:t>12 (100</w:t>
            </w:r>
            <w:r w:rsidR="007F52A5">
              <w:rPr>
                <w:kern w:val="22"/>
                <w:sz w:val="20"/>
                <w:szCs w:val="20"/>
              </w:rPr>
              <w:t xml:space="preserve"> per cent</w:t>
            </w:r>
            <w:r w:rsidRPr="00B714A0">
              <w:rPr>
                <w:kern w:val="22"/>
                <w:sz w:val="20"/>
                <w:szCs w:val="20"/>
              </w:rPr>
              <w:t>)</w:t>
            </w:r>
          </w:p>
        </w:tc>
      </w:tr>
      <w:tr w:rsidR="00917F12" w:rsidRPr="00D2758E" w14:paraId="5B70491E" w14:textId="77777777" w:rsidTr="006B066D">
        <w:trPr>
          <w:cantSplit/>
        </w:trPr>
        <w:tc>
          <w:tcPr>
            <w:tcW w:w="5387" w:type="dxa"/>
            <w:tcBorders>
              <w:top w:val="single" w:sz="4" w:space="0" w:color="auto"/>
              <w:left w:val="single" w:sz="4" w:space="0" w:color="auto"/>
              <w:bottom w:val="single" w:sz="4" w:space="0" w:color="auto"/>
              <w:right w:val="single" w:sz="4" w:space="0" w:color="auto"/>
            </w:tcBorders>
            <w:tcMar>
              <w:top w:w="29" w:type="dxa"/>
              <w:left w:w="115" w:type="dxa"/>
              <w:bottom w:w="29" w:type="dxa"/>
              <w:right w:w="115" w:type="dxa"/>
            </w:tcMar>
          </w:tcPr>
          <w:p w14:paraId="7141D5E1" w14:textId="782E0A09" w:rsidR="00917F12" w:rsidRPr="00D2758E" w:rsidRDefault="00917F12" w:rsidP="006B066D">
            <w:pPr>
              <w:suppressLineNumbers/>
              <w:suppressAutoHyphens/>
              <w:kinsoku w:val="0"/>
              <w:overflowPunct w:val="0"/>
              <w:autoSpaceDE w:val="0"/>
              <w:autoSpaceDN w:val="0"/>
              <w:adjustRightInd w:val="0"/>
              <w:snapToGrid w:val="0"/>
              <w:jc w:val="left"/>
              <w:rPr>
                <w:rFonts w:eastAsia="Malgun Gothic"/>
                <w:kern w:val="22"/>
                <w:sz w:val="20"/>
                <w:szCs w:val="20"/>
              </w:rPr>
            </w:pPr>
            <w:r w:rsidRPr="00D2758E">
              <w:rPr>
                <w:rFonts w:eastAsia="Malgun Gothic"/>
                <w:kern w:val="22"/>
                <w:sz w:val="20"/>
                <w:szCs w:val="20"/>
              </w:rPr>
              <w:t xml:space="preserve">Number and percentage of codes of conduct, guidelines, best practices and standards made available as reference records </w:t>
            </w:r>
            <w:r w:rsidR="007F52A5">
              <w:rPr>
                <w:rFonts w:eastAsia="Malgun Gothic"/>
                <w:kern w:val="22"/>
                <w:sz w:val="20"/>
                <w:szCs w:val="20"/>
              </w:rPr>
              <w:t>o</w:t>
            </w:r>
            <w:r w:rsidRPr="00D2758E">
              <w:rPr>
                <w:rFonts w:eastAsia="Malgun Gothic"/>
                <w:kern w:val="22"/>
                <w:sz w:val="20"/>
                <w:szCs w:val="20"/>
              </w:rPr>
              <w:t xml:space="preserve">n the </w:t>
            </w:r>
            <w:r w:rsidR="00A33546" w:rsidRPr="00A33546">
              <w:rPr>
                <w:rFonts w:eastAsia="Malgun Gothic"/>
                <w:kern w:val="22"/>
                <w:sz w:val="20"/>
                <w:szCs w:val="20"/>
              </w:rPr>
              <w:t xml:space="preserve">Access and Benefit-sharing </w:t>
            </w:r>
            <w:r w:rsidRPr="00D2758E">
              <w:rPr>
                <w:rFonts w:eastAsia="Malgun Gothic"/>
                <w:kern w:val="22"/>
                <w:sz w:val="20"/>
                <w:szCs w:val="20"/>
              </w:rPr>
              <w:t xml:space="preserve">Clearing-House </w:t>
            </w:r>
            <w:r w:rsidRPr="00D2758E">
              <w:rPr>
                <w:rFonts w:eastAsia="Malgun Gothic"/>
                <w:i/>
                <w:iCs/>
                <w:kern w:val="22"/>
                <w:sz w:val="20"/>
                <w:szCs w:val="20"/>
              </w:rPr>
              <w:t xml:space="preserve">(change of </w:t>
            </w:r>
            <w:proofErr w:type="gramStart"/>
            <w:r w:rsidRPr="00D2758E">
              <w:rPr>
                <w:rFonts w:eastAsia="Malgun Gothic"/>
                <w:i/>
                <w:iCs/>
                <w:kern w:val="22"/>
                <w:sz w:val="20"/>
                <w:szCs w:val="20"/>
              </w:rPr>
              <w:t>methodology)</w:t>
            </w:r>
            <w:r w:rsidR="008F4C00" w:rsidRPr="006B066D">
              <w:rPr>
                <w:rFonts w:eastAsia="Malgun Gothic"/>
                <w:i/>
                <w:iCs/>
                <w:kern w:val="22"/>
                <w:sz w:val="20"/>
                <w:szCs w:val="20"/>
                <w:vertAlign w:val="superscript"/>
              </w:rPr>
              <w:t>c</w:t>
            </w:r>
            <w:proofErr w:type="gramEnd"/>
          </w:p>
        </w:tc>
        <w:tc>
          <w:tcPr>
            <w:tcW w:w="1843" w:type="dxa"/>
            <w:tcBorders>
              <w:top w:val="single" w:sz="4" w:space="0" w:color="auto"/>
              <w:left w:val="single" w:sz="4" w:space="0" w:color="auto"/>
              <w:bottom w:val="single" w:sz="4" w:space="0" w:color="auto"/>
              <w:right w:val="single" w:sz="4" w:space="0" w:color="auto"/>
            </w:tcBorders>
            <w:tcMar>
              <w:top w:w="29" w:type="dxa"/>
              <w:left w:w="115" w:type="dxa"/>
              <w:bottom w:w="29" w:type="dxa"/>
              <w:right w:w="115" w:type="dxa"/>
            </w:tcMar>
            <w:vAlign w:val="bottom"/>
          </w:tcPr>
          <w:p w14:paraId="05B6FA99" w14:textId="1943E7B2" w:rsidR="00917F12" w:rsidRPr="00B714A0" w:rsidRDefault="00917F12" w:rsidP="006B066D">
            <w:pPr>
              <w:suppressLineNumbers/>
              <w:suppressAutoHyphens/>
              <w:kinsoku w:val="0"/>
              <w:overflowPunct w:val="0"/>
              <w:autoSpaceDE w:val="0"/>
              <w:autoSpaceDN w:val="0"/>
              <w:adjustRightInd w:val="0"/>
              <w:snapToGrid w:val="0"/>
              <w:jc w:val="right"/>
              <w:rPr>
                <w:kern w:val="22"/>
                <w:sz w:val="20"/>
                <w:szCs w:val="20"/>
              </w:rPr>
            </w:pPr>
            <w:r w:rsidRPr="00B714A0">
              <w:rPr>
                <w:rFonts w:eastAsia="Malgun Gothic"/>
                <w:kern w:val="22"/>
                <w:sz w:val="20"/>
                <w:szCs w:val="20"/>
              </w:rPr>
              <w:t>25 (75</w:t>
            </w:r>
            <w:r w:rsidR="007F52A5">
              <w:rPr>
                <w:rFonts w:eastAsia="Malgun Gothic"/>
                <w:kern w:val="22"/>
                <w:sz w:val="20"/>
                <w:szCs w:val="20"/>
              </w:rPr>
              <w:t xml:space="preserve"> per cent</w:t>
            </w:r>
            <w:r w:rsidRPr="00B714A0">
              <w:rPr>
                <w:rFonts w:eastAsia="Malgun Gothic"/>
                <w:kern w:val="22"/>
                <w:sz w:val="20"/>
                <w:szCs w:val="20"/>
              </w:rPr>
              <w:t>)</w:t>
            </w:r>
          </w:p>
        </w:tc>
        <w:tc>
          <w:tcPr>
            <w:tcW w:w="1331" w:type="dxa"/>
            <w:tcBorders>
              <w:top w:val="single" w:sz="4" w:space="0" w:color="auto"/>
              <w:left w:val="single" w:sz="4" w:space="0" w:color="auto"/>
              <w:bottom w:val="single" w:sz="4" w:space="0" w:color="auto"/>
              <w:right w:val="single" w:sz="4" w:space="0" w:color="auto"/>
            </w:tcBorders>
            <w:vAlign w:val="bottom"/>
          </w:tcPr>
          <w:p w14:paraId="57B87BC0" w14:textId="5D1C44D8" w:rsidR="00917F12" w:rsidRPr="00B714A0" w:rsidRDefault="00917F12" w:rsidP="006B066D">
            <w:pPr>
              <w:suppressLineNumbers/>
              <w:suppressAutoHyphens/>
              <w:kinsoku w:val="0"/>
              <w:overflowPunct w:val="0"/>
              <w:autoSpaceDE w:val="0"/>
              <w:autoSpaceDN w:val="0"/>
              <w:adjustRightInd w:val="0"/>
              <w:snapToGrid w:val="0"/>
              <w:jc w:val="right"/>
              <w:rPr>
                <w:kern w:val="22"/>
                <w:sz w:val="20"/>
                <w:szCs w:val="20"/>
              </w:rPr>
            </w:pPr>
            <w:r w:rsidRPr="00B714A0">
              <w:rPr>
                <w:kern w:val="22"/>
                <w:sz w:val="20"/>
                <w:szCs w:val="20"/>
              </w:rPr>
              <w:t>29 (100</w:t>
            </w:r>
            <w:r w:rsidR="000F7EB5">
              <w:rPr>
                <w:kern w:val="22"/>
                <w:sz w:val="20"/>
                <w:szCs w:val="20"/>
              </w:rPr>
              <w:t xml:space="preserve"> per cent</w:t>
            </w:r>
            <w:r w:rsidRPr="00B714A0">
              <w:rPr>
                <w:kern w:val="22"/>
                <w:sz w:val="20"/>
                <w:szCs w:val="20"/>
              </w:rPr>
              <w:t>)</w:t>
            </w:r>
          </w:p>
        </w:tc>
      </w:tr>
      <w:tr w:rsidR="00917F12" w:rsidRPr="00D2758E" w14:paraId="5925CF0A" w14:textId="77777777" w:rsidTr="006B066D">
        <w:trPr>
          <w:cantSplit/>
        </w:trPr>
        <w:tc>
          <w:tcPr>
            <w:tcW w:w="5387" w:type="dxa"/>
            <w:tcBorders>
              <w:top w:val="single" w:sz="4" w:space="0" w:color="auto"/>
              <w:left w:val="single" w:sz="4" w:space="0" w:color="auto"/>
              <w:bottom w:val="single" w:sz="4" w:space="0" w:color="auto"/>
              <w:right w:val="single" w:sz="4" w:space="0" w:color="auto"/>
            </w:tcBorders>
            <w:tcMar>
              <w:top w:w="29" w:type="dxa"/>
              <w:left w:w="115" w:type="dxa"/>
              <w:bottom w:w="29" w:type="dxa"/>
              <w:right w:w="115" w:type="dxa"/>
            </w:tcMar>
          </w:tcPr>
          <w:p w14:paraId="7DB1F1F7" w14:textId="208A009E" w:rsidR="00917F12" w:rsidRPr="00D2758E" w:rsidRDefault="00917F12" w:rsidP="006B066D">
            <w:pPr>
              <w:suppressLineNumbers/>
              <w:suppressAutoHyphens/>
              <w:kinsoku w:val="0"/>
              <w:overflowPunct w:val="0"/>
              <w:autoSpaceDE w:val="0"/>
              <w:autoSpaceDN w:val="0"/>
              <w:adjustRightInd w:val="0"/>
              <w:snapToGrid w:val="0"/>
              <w:jc w:val="left"/>
              <w:rPr>
                <w:rFonts w:eastAsia="Malgun Gothic"/>
                <w:kern w:val="22"/>
                <w:sz w:val="20"/>
                <w:szCs w:val="20"/>
              </w:rPr>
            </w:pPr>
            <w:r w:rsidRPr="00D2758E">
              <w:rPr>
                <w:rFonts w:eastAsia="Malgun Gothic"/>
                <w:kern w:val="22"/>
                <w:sz w:val="20"/>
                <w:szCs w:val="20"/>
              </w:rPr>
              <w:t xml:space="preserve">Number of capacity-building and development initiatives made available as reference records to the </w:t>
            </w:r>
            <w:r w:rsidR="00A33546" w:rsidRPr="00A33546">
              <w:rPr>
                <w:rFonts w:eastAsia="Malgun Gothic"/>
                <w:kern w:val="22"/>
                <w:sz w:val="20"/>
                <w:szCs w:val="20"/>
              </w:rPr>
              <w:t xml:space="preserve">Access and Benefit-sharing </w:t>
            </w:r>
            <w:r w:rsidRPr="00D2758E">
              <w:rPr>
                <w:rFonts w:eastAsia="Malgun Gothic"/>
                <w:kern w:val="22"/>
                <w:sz w:val="20"/>
                <w:szCs w:val="20"/>
              </w:rPr>
              <w:t>Clearing-House</w:t>
            </w:r>
          </w:p>
        </w:tc>
        <w:tc>
          <w:tcPr>
            <w:tcW w:w="1843" w:type="dxa"/>
            <w:tcBorders>
              <w:top w:val="single" w:sz="4" w:space="0" w:color="auto"/>
              <w:left w:val="single" w:sz="4" w:space="0" w:color="auto"/>
              <w:bottom w:val="single" w:sz="4" w:space="0" w:color="auto"/>
              <w:right w:val="single" w:sz="4" w:space="0" w:color="auto"/>
            </w:tcBorders>
            <w:tcMar>
              <w:top w:w="29" w:type="dxa"/>
              <w:left w:w="115" w:type="dxa"/>
              <w:bottom w:w="29" w:type="dxa"/>
              <w:right w:w="115" w:type="dxa"/>
            </w:tcMar>
            <w:vAlign w:val="center"/>
          </w:tcPr>
          <w:p w14:paraId="2E9C8A6A" w14:textId="77777777" w:rsidR="00917F12" w:rsidRPr="00D2758E" w:rsidRDefault="00917F12" w:rsidP="006B066D">
            <w:pPr>
              <w:suppressLineNumbers/>
              <w:suppressAutoHyphens/>
              <w:kinsoku w:val="0"/>
              <w:overflowPunct w:val="0"/>
              <w:autoSpaceDE w:val="0"/>
              <w:autoSpaceDN w:val="0"/>
              <w:adjustRightInd w:val="0"/>
              <w:snapToGrid w:val="0"/>
              <w:jc w:val="right"/>
              <w:rPr>
                <w:kern w:val="22"/>
                <w:sz w:val="20"/>
                <w:szCs w:val="20"/>
              </w:rPr>
            </w:pPr>
            <w:r w:rsidRPr="00D2758E">
              <w:rPr>
                <w:kern w:val="22"/>
                <w:sz w:val="20"/>
                <w:szCs w:val="20"/>
              </w:rPr>
              <w:t>57</w:t>
            </w:r>
          </w:p>
        </w:tc>
        <w:tc>
          <w:tcPr>
            <w:tcW w:w="1331" w:type="dxa"/>
            <w:tcBorders>
              <w:top w:val="single" w:sz="4" w:space="0" w:color="auto"/>
              <w:left w:val="single" w:sz="4" w:space="0" w:color="auto"/>
              <w:bottom w:val="single" w:sz="4" w:space="0" w:color="auto"/>
              <w:right w:val="single" w:sz="4" w:space="0" w:color="auto"/>
            </w:tcBorders>
            <w:vAlign w:val="center"/>
          </w:tcPr>
          <w:p w14:paraId="4676DDBF" w14:textId="77777777" w:rsidR="00917F12" w:rsidRPr="00D2758E" w:rsidRDefault="00917F12" w:rsidP="006B066D">
            <w:pPr>
              <w:suppressLineNumbers/>
              <w:suppressAutoHyphens/>
              <w:kinsoku w:val="0"/>
              <w:overflowPunct w:val="0"/>
              <w:autoSpaceDE w:val="0"/>
              <w:autoSpaceDN w:val="0"/>
              <w:adjustRightInd w:val="0"/>
              <w:snapToGrid w:val="0"/>
              <w:jc w:val="right"/>
              <w:rPr>
                <w:kern w:val="22"/>
                <w:sz w:val="20"/>
                <w:szCs w:val="20"/>
              </w:rPr>
            </w:pPr>
            <w:r w:rsidRPr="00D2758E">
              <w:rPr>
                <w:kern w:val="22"/>
                <w:sz w:val="20"/>
                <w:szCs w:val="20"/>
              </w:rPr>
              <w:t>104</w:t>
            </w:r>
          </w:p>
        </w:tc>
      </w:tr>
      <w:tr w:rsidR="00917F12" w:rsidRPr="00D2758E" w14:paraId="5AFD1225" w14:textId="77777777" w:rsidTr="006B066D">
        <w:trPr>
          <w:cantSplit/>
        </w:trPr>
        <w:tc>
          <w:tcPr>
            <w:tcW w:w="5387" w:type="dxa"/>
            <w:tcBorders>
              <w:top w:val="single" w:sz="4" w:space="0" w:color="auto"/>
              <w:left w:val="single" w:sz="4" w:space="0" w:color="auto"/>
              <w:bottom w:val="single" w:sz="4" w:space="0" w:color="auto"/>
              <w:right w:val="single" w:sz="4" w:space="0" w:color="auto"/>
            </w:tcBorders>
            <w:tcMar>
              <w:top w:w="29" w:type="dxa"/>
              <w:left w:w="115" w:type="dxa"/>
              <w:bottom w:w="29" w:type="dxa"/>
              <w:right w:w="115" w:type="dxa"/>
            </w:tcMar>
          </w:tcPr>
          <w:p w14:paraId="1A8486A1" w14:textId="4C108245" w:rsidR="00917F12" w:rsidRPr="00D2758E" w:rsidRDefault="00917F12" w:rsidP="006B066D">
            <w:pPr>
              <w:suppressLineNumbers/>
              <w:suppressAutoHyphens/>
              <w:kinsoku w:val="0"/>
              <w:overflowPunct w:val="0"/>
              <w:autoSpaceDE w:val="0"/>
              <w:autoSpaceDN w:val="0"/>
              <w:adjustRightInd w:val="0"/>
              <w:snapToGrid w:val="0"/>
              <w:jc w:val="left"/>
              <w:rPr>
                <w:rFonts w:eastAsia="Malgun Gothic"/>
                <w:kern w:val="22"/>
                <w:sz w:val="20"/>
                <w:szCs w:val="20"/>
              </w:rPr>
            </w:pPr>
            <w:r w:rsidRPr="00D2758E">
              <w:rPr>
                <w:rFonts w:eastAsia="Malgun Gothic"/>
                <w:kern w:val="22"/>
                <w:sz w:val="20"/>
                <w:szCs w:val="20"/>
              </w:rPr>
              <w:t xml:space="preserve">Number of capacity-building and awareness-raising tools (virtual library resources) and resources made available as reference records </w:t>
            </w:r>
            <w:r w:rsidR="000F7EB5">
              <w:rPr>
                <w:rFonts w:eastAsia="Malgun Gothic"/>
                <w:kern w:val="22"/>
                <w:sz w:val="20"/>
                <w:szCs w:val="20"/>
              </w:rPr>
              <w:t>o</w:t>
            </w:r>
            <w:r w:rsidRPr="00D2758E">
              <w:rPr>
                <w:rFonts w:eastAsia="Malgun Gothic"/>
                <w:kern w:val="22"/>
                <w:sz w:val="20"/>
                <w:szCs w:val="20"/>
              </w:rPr>
              <w:t xml:space="preserve">n the </w:t>
            </w:r>
            <w:r w:rsidR="00A33546" w:rsidRPr="00A33546">
              <w:rPr>
                <w:rFonts w:eastAsia="Malgun Gothic"/>
                <w:kern w:val="22"/>
                <w:sz w:val="20"/>
                <w:szCs w:val="20"/>
              </w:rPr>
              <w:t xml:space="preserve">Access and Benefit-sharing </w:t>
            </w:r>
            <w:r w:rsidRPr="00D2758E">
              <w:rPr>
                <w:rFonts w:eastAsia="Malgun Gothic"/>
                <w:kern w:val="22"/>
                <w:sz w:val="20"/>
                <w:szCs w:val="20"/>
              </w:rPr>
              <w:t xml:space="preserve">Clearing-House </w:t>
            </w:r>
          </w:p>
        </w:tc>
        <w:tc>
          <w:tcPr>
            <w:tcW w:w="1843" w:type="dxa"/>
            <w:tcBorders>
              <w:top w:val="single" w:sz="4" w:space="0" w:color="auto"/>
              <w:left w:val="single" w:sz="4" w:space="0" w:color="auto"/>
              <w:bottom w:val="single" w:sz="4" w:space="0" w:color="auto"/>
              <w:right w:val="single" w:sz="4" w:space="0" w:color="auto"/>
            </w:tcBorders>
            <w:tcMar>
              <w:top w:w="29" w:type="dxa"/>
              <w:left w:w="115" w:type="dxa"/>
              <w:bottom w:w="29" w:type="dxa"/>
              <w:right w:w="115" w:type="dxa"/>
            </w:tcMar>
            <w:vAlign w:val="center"/>
          </w:tcPr>
          <w:p w14:paraId="692D99B7" w14:textId="77777777" w:rsidR="00917F12" w:rsidRPr="00D2758E" w:rsidRDefault="00917F12" w:rsidP="006B066D">
            <w:pPr>
              <w:suppressLineNumbers/>
              <w:suppressAutoHyphens/>
              <w:kinsoku w:val="0"/>
              <w:overflowPunct w:val="0"/>
              <w:autoSpaceDE w:val="0"/>
              <w:autoSpaceDN w:val="0"/>
              <w:adjustRightInd w:val="0"/>
              <w:snapToGrid w:val="0"/>
              <w:jc w:val="right"/>
              <w:rPr>
                <w:kern w:val="22"/>
                <w:sz w:val="20"/>
                <w:szCs w:val="20"/>
              </w:rPr>
            </w:pPr>
            <w:r w:rsidRPr="00D2758E">
              <w:rPr>
                <w:kern w:val="22"/>
                <w:sz w:val="20"/>
                <w:szCs w:val="20"/>
              </w:rPr>
              <w:t>34</w:t>
            </w:r>
          </w:p>
        </w:tc>
        <w:tc>
          <w:tcPr>
            <w:tcW w:w="1331" w:type="dxa"/>
            <w:tcBorders>
              <w:top w:val="single" w:sz="4" w:space="0" w:color="auto"/>
              <w:left w:val="single" w:sz="4" w:space="0" w:color="auto"/>
              <w:bottom w:val="single" w:sz="4" w:space="0" w:color="auto"/>
              <w:right w:val="single" w:sz="4" w:space="0" w:color="auto"/>
            </w:tcBorders>
            <w:vAlign w:val="center"/>
          </w:tcPr>
          <w:p w14:paraId="156EE969" w14:textId="77777777" w:rsidR="00917F12" w:rsidRPr="00D2758E" w:rsidRDefault="00917F12" w:rsidP="006B066D">
            <w:pPr>
              <w:suppressLineNumbers/>
              <w:suppressAutoHyphens/>
              <w:kinsoku w:val="0"/>
              <w:overflowPunct w:val="0"/>
              <w:autoSpaceDE w:val="0"/>
              <w:autoSpaceDN w:val="0"/>
              <w:adjustRightInd w:val="0"/>
              <w:snapToGrid w:val="0"/>
              <w:jc w:val="right"/>
              <w:rPr>
                <w:kern w:val="22"/>
                <w:sz w:val="20"/>
                <w:szCs w:val="20"/>
              </w:rPr>
            </w:pPr>
            <w:r w:rsidRPr="00D2758E">
              <w:rPr>
                <w:kern w:val="22"/>
                <w:sz w:val="20"/>
                <w:szCs w:val="20"/>
              </w:rPr>
              <w:t>367</w:t>
            </w:r>
          </w:p>
        </w:tc>
      </w:tr>
      <w:tr w:rsidR="00816077" w:rsidRPr="00D2758E" w14:paraId="19BF3F49" w14:textId="77777777" w:rsidTr="006B066D">
        <w:trPr>
          <w:cantSplit/>
        </w:trPr>
        <w:tc>
          <w:tcPr>
            <w:tcW w:w="5387" w:type="dxa"/>
            <w:tcBorders>
              <w:top w:val="single" w:sz="4" w:space="0" w:color="auto"/>
              <w:left w:val="single" w:sz="4" w:space="0" w:color="auto"/>
              <w:bottom w:val="single" w:sz="4" w:space="0" w:color="auto"/>
              <w:right w:val="single" w:sz="4" w:space="0" w:color="auto"/>
            </w:tcBorders>
            <w:tcMar>
              <w:top w:w="29" w:type="dxa"/>
              <w:left w:w="115" w:type="dxa"/>
              <w:bottom w:w="29" w:type="dxa"/>
              <w:right w:w="115" w:type="dxa"/>
            </w:tcMar>
          </w:tcPr>
          <w:p w14:paraId="5989BA69" w14:textId="5944FF0C" w:rsidR="00816077" w:rsidRPr="00D2758E" w:rsidRDefault="000F7EB5" w:rsidP="006B066D">
            <w:pPr>
              <w:suppressLineNumbers/>
              <w:suppressAutoHyphens/>
              <w:kinsoku w:val="0"/>
              <w:overflowPunct w:val="0"/>
              <w:autoSpaceDE w:val="0"/>
              <w:autoSpaceDN w:val="0"/>
              <w:adjustRightInd w:val="0"/>
              <w:snapToGrid w:val="0"/>
              <w:jc w:val="left"/>
              <w:rPr>
                <w:rFonts w:eastAsia="Malgun Gothic"/>
                <w:kern w:val="22"/>
                <w:sz w:val="20"/>
                <w:szCs w:val="20"/>
              </w:rPr>
            </w:pPr>
            <w:r>
              <w:rPr>
                <w:rFonts w:eastAsia="Malgun Gothic"/>
                <w:kern w:val="22"/>
                <w:sz w:val="20"/>
                <w:szCs w:val="20"/>
              </w:rPr>
              <w:t>N</w:t>
            </w:r>
            <w:r w:rsidR="008B7EC5">
              <w:rPr>
                <w:rFonts w:eastAsia="Malgun Gothic"/>
                <w:kern w:val="22"/>
                <w:sz w:val="20"/>
                <w:szCs w:val="20"/>
              </w:rPr>
              <w:t>u</w:t>
            </w:r>
            <w:r w:rsidR="00816077" w:rsidRPr="00D2758E">
              <w:rPr>
                <w:rFonts w:eastAsia="Malgun Gothic"/>
                <w:kern w:val="22"/>
                <w:sz w:val="20"/>
                <w:szCs w:val="20"/>
              </w:rPr>
              <w:t xml:space="preserve">mber of visitors to the </w:t>
            </w:r>
            <w:r w:rsidR="00A33546">
              <w:rPr>
                <w:rFonts w:eastAsia="Malgun Gothic"/>
                <w:kern w:val="22"/>
                <w:sz w:val="20"/>
                <w:szCs w:val="20"/>
              </w:rPr>
              <w:t>Access and Benefit-sharing</w:t>
            </w:r>
            <w:r w:rsidR="00A33546" w:rsidRPr="00D2758E">
              <w:rPr>
                <w:rFonts w:eastAsia="Malgun Gothic"/>
                <w:kern w:val="22"/>
                <w:sz w:val="20"/>
                <w:szCs w:val="20"/>
              </w:rPr>
              <w:t xml:space="preserve"> </w:t>
            </w:r>
            <w:r w:rsidR="00816077" w:rsidRPr="00D2758E">
              <w:rPr>
                <w:rFonts w:eastAsia="Malgun Gothic"/>
                <w:kern w:val="22"/>
                <w:sz w:val="20"/>
                <w:szCs w:val="20"/>
              </w:rPr>
              <w:t xml:space="preserve">Clearing-House per </w:t>
            </w:r>
            <w:proofErr w:type="spellStart"/>
            <w:r w:rsidR="00816077" w:rsidRPr="00D2758E">
              <w:rPr>
                <w:rFonts w:eastAsia="Malgun Gothic"/>
                <w:kern w:val="22"/>
                <w:sz w:val="20"/>
                <w:szCs w:val="20"/>
              </w:rPr>
              <w:t>year</w:t>
            </w:r>
            <w:r w:rsidR="00B714A0" w:rsidRPr="006B066D">
              <w:rPr>
                <w:rFonts w:eastAsia="Malgun Gothic"/>
                <w:i/>
                <w:iCs/>
                <w:kern w:val="22"/>
                <w:sz w:val="20"/>
                <w:szCs w:val="20"/>
                <w:vertAlign w:val="superscript"/>
              </w:rPr>
              <w:t>d</w:t>
            </w:r>
            <w:proofErr w:type="spellEnd"/>
          </w:p>
        </w:tc>
        <w:tc>
          <w:tcPr>
            <w:tcW w:w="1843" w:type="dxa"/>
            <w:tcBorders>
              <w:top w:val="single" w:sz="4" w:space="0" w:color="auto"/>
              <w:left w:val="single" w:sz="4" w:space="0" w:color="auto"/>
              <w:bottom w:val="single" w:sz="4" w:space="0" w:color="auto"/>
              <w:right w:val="single" w:sz="4" w:space="0" w:color="auto"/>
            </w:tcBorders>
            <w:tcMar>
              <w:top w:w="29" w:type="dxa"/>
              <w:left w:w="115" w:type="dxa"/>
              <w:bottom w:w="29" w:type="dxa"/>
              <w:right w:w="115" w:type="dxa"/>
            </w:tcMar>
            <w:vAlign w:val="center"/>
          </w:tcPr>
          <w:p w14:paraId="73BA8521" w14:textId="6BF60CF3" w:rsidR="00816077" w:rsidRPr="00D2758E" w:rsidRDefault="00816077" w:rsidP="006B066D">
            <w:pPr>
              <w:suppressLineNumbers/>
              <w:suppressAutoHyphens/>
              <w:kinsoku w:val="0"/>
              <w:overflowPunct w:val="0"/>
              <w:autoSpaceDE w:val="0"/>
              <w:autoSpaceDN w:val="0"/>
              <w:adjustRightInd w:val="0"/>
              <w:snapToGrid w:val="0"/>
              <w:jc w:val="right"/>
              <w:rPr>
                <w:kern w:val="22"/>
                <w:sz w:val="20"/>
                <w:szCs w:val="20"/>
              </w:rPr>
            </w:pPr>
            <w:r w:rsidRPr="00D2758E">
              <w:rPr>
                <w:kern w:val="22"/>
                <w:sz w:val="20"/>
                <w:szCs w:val="20"/>
              </w:rPr>
              <w:t xml:space="preserve">18,709 </w:t>
            </w:r>
          </w:p>
        </w:tc>
        <w:tc>
          <w:tcPr>
            <w:tcW w:w="1331" w:type="dxa"/>
            <w:tcBorders>
              <w:top w:val="single" w:sz="4" w:space="0" w:color="auto"/>
              <w:left w:val="single" w:sz="4" w:space="0" w:color="auto"/>
              <w:bottom w:val="single" w:sz="4" w:space="0" w:color="auto"/>
              <w:right w:val="single" w:sz="4" w:space="0" w:color="auto"/>
            </w:tcBorders>
            <w:vAlign w:val="center"/>
          </w:tcPr>
          <w:p w14:paraId="678FFBE4" w14:textId="382E292D" w:rsidR="00816077" w:rsidRPr="00D2758E" w:rsidRDefault="00816077" w:rsidP="006B066D">
            <w:pPr>
              <w:suppressLineNumbers/>
              <w:suppressAutoHyphens/>
              <w:kinsoku w:val="0"/>
              <w:overflowPunct w:val="0"/>
              <w:autoSpaceDE w:val="0"/>
              <w:autoSpaceDN w:val="0"/>
              <w:adjustRightInd w:val="0"/>
              <w:snapToGrid w:val="0"/>
              <w:jc w:val="right"/>
              <w:rPr>
                <w:kern w:val="22"/>
                <w:sz w:val="20"/>
                <w:szCs w:val="20"/>
              </w:rPr>
            </w:pPr>
            <w:r w:rsidRPr="00D2758E">
              <w:rPr>
                <w:kern w:val="22"/>
                <w:sz w:val="20"/>
                <w:szCs w:val="20"/>
              </w:rPr>
              <w:t xml:space="preserve">85,000 </w:t>
            </w:r>
          </w:p>
        </w:tc>
      </w:tr>
    </w:tbl>
    <w:p w14:paraId="1EC462B7" w14:textId="60477501" w:rsidR="008F4C00" w:rsidRPr="006B066D" w:rsidRDefault="008F4C00" w:rsidP="006B066D">
      <w:pPr>
        <w:pStyle w:val="CBDNormal"/>
        <w:ind w:left="993" w:hanging="284"/>
        <w:rPr>
          <w:sz w:val="18"/>
          <w:szCs w:val="18"/>
        </w:rPr>
      </w:pPr>
      <w:r w:rsidRPr="006B066D">
        <w:rPr>
          <w:i/>
          <w:iCs/>
          <w:sz w:val="18"/>
          <w:szCs w:val="18"/>
          <w:vertAlign w:val="superscript"/>
        </w:rPr>
        <w:t>a</w:t>
      </w:r>
      <w:r w:rsidRPr="006B066D">
        <w:rPr>
          <w:b/>
          <w:bCs/>
          <w:sz w:val="18"/>
          <w:szCs w:val="18"/>
        </w:rPr>
        <w:tab/>
      </w:r>
      <w:r w:rsidRPr="006B066D">
        <w:rPr>
          <w:sz w:val="18"/>
          <w:szCs w:val="18"/>
        </w:rPr>
        <w:t>The indicator has been modified to clarify that it considers information submitted as reference records in the record category “community protocols and procedures and customary law”.</w:t>
      </w:r>
    </w:p>
    <w:p w14:paraId="095EE540" w14:textId="02B3A945" w:rsidR="008F4C00" w:rsidRPr="006B066D" w:rsidRDefault="008F4C00" w:rsidP="006B066D">
      <w:pPr>
        <w:pStyle w:val="CBDNormal"/>
        <w:ind w:left="993" w:hanging="284"/>
        <w:rPr>
          <w:bCs/>
          <w:sz w:val="18"/>
          <w:szCs w:val="18"/>
        </w:rPr>
      </w:pPr>
      <w:r w:rsidRPr="006B066D">
        <w:rPr>
          <w:bCs/>
          <w:i/>
          <w:iCs/>
          <w:sz w:val="18"/>
          <w:szCs w:val="18"/>
          <w:vertAlign w:val="superscript"/>
        </w:rPr>
        <w:t>b</w:t>
      </w:r>
      <w:r w:rsidRPr="006B066D">
        <w:rPr>
          <w:bCs/>
          <w:sz w:val="18"/>
          <w:szCs w:val="18"/>
        </w:rPr>
        <w:tab/>
        <w:t xml:space="preserve">The indicator has been modified to clarify that it measures </w:t>
      </w:r>
      <w:r w:rsidR="00056E63" w:rsidRPr="00A71BA2">
        <w:rPr>
          <w:bCs/>
          <w:sz w:val="18"/>
          <w:szCs w:val="18"/>
        </w:rPr>
        <w:t>only</w:t>
      </w:r>
      <w:r w:rsidR="00056E63" w:rsidRPr="00056E63">
        <w:rPr>
          <w:bCs/>
          <w:sz w:val="18"/>
          <w:szCs w:val="18"/>
        </w:rPr>
        <w:t xml:space="preserve"> </w:t>
      </w:r>
      <w:r w:rsidRPr="006B066D">
        <w:rPr>
          <w:bCs/>
          <w:sz w:val="18"/>
          <w:szCs w:val="18"/>
        </w:rPr>
        <w:t xml:space="preserve">model contractual clauses submitted as reference records and does not include those that Parties have submitted as national records and that constitute part of the national </w:t>
      </w:r>
      <w:r w:rsidR="005B720E">
        <w:rPr>
          <w:bCs/>
          <w:sz w:val="18"/>
          <w:szCs w:val="18"/>
        </w:rPr>
        <w:t xml:space="preserve">access and benefit-sharing </w:t>
      </w:r>
      <w:r w:rsidRPr="006B066D">
        <w:rPr>
          <w:bCs/>
          <w:sz w:val="18"/>
          <w:szCs w:val="18"/>
        </w:rPr>
        <w:t>ABS framework.</w:t>
      </w:r>
    </w:p>
    <w:p w14:paraId="0B4D412A" w14:textId="30B528A8" w:rsidR="008F4C00" w:rsidRPr="006B066D" w:rsidRDefault="008F4C00" w:rsidP="006B066D">
      <w:pPr>
        <w:pStyle w:val="CBDNormal"/>
        <w:ind w:left="993" w:hanging="284"/>
        <w:rPr>
          <w:bCs/>
          <w:sz w:val="18"/>
          <w:szCs w:val="18"/>
        </w:rPr>
      </w:pPr>
      <w:r w:rsidRPr="006B066D">
        <w:rPr>
          <w:bCs/>
          <w:i/>
          <w:iCs/>
          <w:sz w:val="18"/>
          <w:szCs w:val="18"/>
          <w:vertAlign w:val="superscript"/>
        </w:rPr>
        <w:t>c</w:t>
      </w:r>
      <w:r w:rsidRPr="006B066D">
        <w:rPr>
          <w:bCs/>
          <w:sz w:val="18"/>
          <w:szCs w:val="18"/>
        </w:rPr>
        <w:tab/>
        <w:t xml:space="preserve">The indicator has been modified to clarify that it measures </w:t>
      </w:r>
      <w:r w:rsidR="00390F10" w:rsidRPr="00506368">
        <w:rPr>
          <w:bCs/>
          <w:sz w:val="18"/>
          <w:szCs w:val="18"/>
        </w:rPr>
        <w:t xml:space="preserve">only </w:t>
      </w:r>
      <w:r w:rsidRPr="006B066D">
        <w:rPr>
          <w:bCs/>
          <w:sz w:val="18"/>
          <w:szCs w:val="18"/>
        </w:rPr>
        <w:t xml:space="preserve">codes of conduct, guidelines, best practices and standards made available as reference records and does not include guidelines or other documents submitted by Parties as national records and that constitute part of the national </w:t>
      </w:r>
      <w:r w:rsidR="00A35FF6">
        <w:rPr>
          <w:bCs/>
          <w:sz w:val="18"/>
          <w:szCs w:val="18"/>
        </w:rPr>
        <w:t xml:space="preserve">access and benefit-sharing </w:t>
      </w:r>
      <w:r w:rsidRPr="006B066D">
        <w:rPr>
          <w:bCs/>
          <w:sz w:val="18"/>
          <w:szCs w:val="18"/>
        </w:rPr>
        <w:t>framework.</w:t>
      </w:r>
    </w:p>
    <w:p w14:paraId="5E365D27" w14:textId="6DF51D3B" w:rsidR="008F4C00" w:rsidRPr="006B066D" w:rsidRDefault="00B714A0" w:rsidP="006B066D">
      <w:pPr>
        <w:pStyle w:val="CBDNormal"/>
        <w:ind w:left="993" w:hanging="284"/>
        <w:rPr>
          <w:bCs/>
          <w:sz w:val="18"/>
          <w:szCs w:val="18"/>
        </w:rPr>
      </w:pPr>
      <w:r w:rsidRPr="006B066D">
        <w:rPr>
          <w:bCs/>
          <w:i/>
          <w:iCs/>
          <w:sz w:val="18"/>
          <w:szCs w:val="18"/>
          <w:vertAlign w:val="superscript"/>
        </w:rPr>
        <w:t>d</w:t>
      </w:r>
      <w:r w:rsidRPr="006B066D">
        <w:rPr>
          <w:bCs/>
          <w:sz w:val="18"/>
          <w:szCs w:val="18"/>
        </w:rPr>
        <w:tab/>
        <w:t>This indicator is calculated based on the total of visits during the year before the date of reference (</w:t>
      </w:r>
      <w:r w:rsidR="00B376A9">
        <w:rPr>
          <w:bCs/>
          <w:sz w:val="18"/>
          <w:szCs w:val="18"/>
        </w:rPr>
        <w:t xml:space="preserve">that is, </w:t>
      </w:r>
      <w:r w:rsidRPr="006B066D">
        <w:rPr>
          <w:bCs/>
          <w:sz w:val="18"/>
          <w:szCs w:val="18"/>
        </w:rPr>
        <w:t xml:space="preserve">from 9 March 2025 to 9 March 2026, for this reporting period). Approximated data </w:t>
      </w:r>
      <w:r w:rsidR="00B376A9">
        <w:rPr>
          <w:bCs/>
          <w:sz w:val="18"/>
          <w:szCs w:val="18"/>
        </w:rPr>
        <w:t>are</w:t>
      </w:r>
      <w:r w:rsidRPr="006B066D">
        <w:rPr>
          <w:bCs/>
          <w:sz w:val="18"/>
          <w:szCs w:val="18"/>
        </w:rPr>
        <w:t xml:space="preserve"> provided for this indicator.</w:t>
      </w:r>
    </w:p>
    <w:p w14:paraId="71CC3D9E" w14:textId="1B012B3F" w:rsidR="002A146A" w:rsidRPr="00D2758E" w:rsidRDefault="004B0132" w:rsidP="004B0132">
      <w:pPr>
        <w:pStyle w:val="CBDH4"/>
      </w:pPr>
      <w:r>
        <w:t>(b)</w:t>
      </w:r>
      <w:r>
        <w:tab/>
      </w:r>
      <w:r w:rsidR="002A146A" w:rsidRPr="00D2758E">
        <w:t>Challenges</w:t>
      </w:r>
      <w:r w:rsidR="00561309">
        <w:t xml:space="preserve"> and</w:t>
      </w:r>
      <w:r w:rsidR="002A146A" w:rsidRPr="00D2758E">
        <w:t xml:space="preserve"> root causes that impact the effectiveness of the </w:t>
      </w:r>
      <w:r w:rsidR="00561309">
        <w:t xml:space="preserve">Access and Benefit-sharing </w:t>
      </w:r>
      <w:r w:rsidR="002A146A" w:rsidRPr="00D2758E">
        <w:t xml:space="preserve">Clearing-House in supporting capacity-building for the implementation of the </w:t>
      </w:r>
      <w:r w:rsidR="002A146A" w:rsidRPr="00D2758E" w:rsidDel="002A146A">
        <w:t>Protocol</w:t>
      </w:r>
    </w:p>
    <w:p w14:paraId="18FDEACD" w14:textId="6682CB33" w:rsidR="007A5A02" w:rsidRPr="00D2758E" w:rsidRDefault="003535B5" w:rsidP="00CD2C50">
      <w:pPr>
        <w:pStyle w:val="CBDNormalNumber"/>
      </w:pPr>
      <w:r w:rsidRPr="00D2758E">
        <w:t>T</w:t>
      </w:r>
      <w:r w:rsidR="00682765" w:rsidRPr="00D2758E">
        <w:t xml:space="preserve">he </w:t>
      </w:r>
      <w:r w:rsidR="00A962B7">
        <w:t>Access and Benefit-sharing</w:t>
      </w:r>
      <w:r w:rsidR="00682765" w:rsidRPr="00D2758E">
        <w:t xml:space="preserve"> Clearing-House plays </w:t>
      </w:r>
      <w:r w:rsidR="005B7DE7" w:rsidRPr="00D2758E">
        <w:t>a</w:t>
      </w:r>
      <w:r w:rsidRPr="00D2758E">
        <w:t xml:space="preserve"> </w:t>
      </w:r>
      <w:r w:rsidR="005B7DE7" w:rsidRPr="00D2758E">
        <w:t>key</w:t>
      </w:r>
      <w:r w:rsidRPr="00D2758E">
        <w:t xml:space="preserve"> </w:t>
      </w:r>
      <w:r w:rsidR="00682765" w:rsidRPr="00D2758E">
        <w:t xml:space="preserve">role </w:t>
      </w:r>
      <w:r w:rsidRPr="00D2758E">
        <w:t xml:space="preserve">as the </w:t>
      </w:r>
      <w:r w:rsidR="007F11CF" w:rsidRPr="00D2758E">
        <w:t xml:space="preserve">central </w:t>
      </w:r>
      <w:r w:rsidR="00BE3366" w:rsidRPr="00D2758E">
        <w:t>platform</w:t>
      </w:r>
      <w:r w:rsidR="00657E44" w:rsidRPr="00D2758E">
        <w:t xml:space="preserve"> for information exchange </w:t>
      </w:r>
      <w:r w:rsidR="007F11CF" w:rsidRPr="00D2758E">
        <w:t>under</w:t>
      </w:r>
      <w:r w:rsidR="00BE3366" w:rsidRPr="00D2758E">
        <w:t xml:space="preserve"> the Protocol</w:t>
      </w:r>
      <w:r w:rsidR="00657E44" w:rsidRPr="00D2758E">
        <w:t xml:space="preserve"> </w:t>
      </w:r>
      <w:r w:rsidR="00682765" w:rsidRPr="00D2758E">
        <w:t>a</w:t>
      </w:r>
      <w:r w:rsidR="00657E44" w:rsidRPr="00D2758E">
        <w:t xml:space="preserve">nd as such </w:t>
      </w:r>
      <w:r w:rsidR="00435063" w:rsidRPr="00D2758E">
        <w:t xml:space="preserve">it </w:t>
      </w:r>
      <w:r w:rsidR="00657E44" w:rsidRPr="00D2758E">
        <w:t xml:space="preserve">functions </w:t>
      </w:r>
      <w:r w:rsidR="00682765" w:rsidRPr="00D2758E">
        <w:t xml:space="preserve">to promote and support capacity-building for </w:t>
      </w:r>
      <w:r w:rsidR="007F11CF" w:rsidRPr="00D2758E">
        <w:t xml:space="preserve">its </w:t>
      </w:r>
      <w:r w:rsidR="00682765" w:rsidRPr="00D2758E">
        <w:t xml:space="preserve">implementation </w:t>
      </w:r>
    </w:p>
    <w:p w14:paraId="669BB01A" w14:textId="51B9F849" w:rsidR="006A4FDD" w:rsidRPr="00D2758E" w:rsidRDefault="000E5577" w:rsidP="00CD2C50">
      <w:pPr>
        <w:pStyle w:val="CBDNormalNumber"/>
      </w:pPr>
      <w:r>
        <w:t>U</w:t>
      </w:r>
      <w:r w:rsidR="006A4FDD" w:rsidRPr="00D2758E">
        <w:t xml:space="preserve">sers </w:t>
      </w:r>
      <w:r w:rsidR="007A5A02" w:rsidRPr="00D2758E">
        <w:t>of the platform</w:t>
      </w:r>
      <w:r w:rsidR="006A4FDD" w:rsidRPr="00D2758E">
        <w:t xml:space="preserve"> must be able to easily find </w:t>
      </w:r>
      <w:r w:rsidR="007A5A02" w:rsidRPr="00D2758E">
        <w:t xml:space="preserve">current, relevant and </w:t>
      </w:r>
      <w:r w:rsidR="009B6C76" w:rsidRPr="00D2758E">
        <w:t xml:space="preserve">practical </w:t>
      </w:r>
      <w:r w:rsidR="007A5A02" w:rsidRPr="00D2758E">
        <w:t>guidance and resources</w:t>
      </w:r>
      <w:r w:rsidR="00E348CE" w:rsidRPr="00D2758E">
        <w:t xml:space="preserve"> on </w:t>
      </w:r>
      <w:r w:rsidRPr="00D2758E">
        <w:t xml:space="preserve">the </w:t>
      </w:r>
      <w:proofErr w:type="gramStart"/>
      <w:r w:rsidRPr="00D2758E">
        <w:t>Clearing-House</w:t>
      </w:r>
      <w:proofErr w:type="gramEnd"/>
      <w:r w:rsidRPr="00D2758E">
        <w:t xml:space="preserve"> </w:t>
      </w:r>
      <w:proofErr w:type="gramStart"/>
      <w:r>
        <w:t>in order f</w:t>
      </w:r>
      <w:r w:rsidRPr="00D2758E">
        <w:t>or</w:t>
      </w:r>
      <w:proofErr w:type="gramEnd"/>
      <w:r w:rsidRPr="00D2758E">
        <w:t xml:space="preserve"> </w:t>
      </w:r>
      <w:r>
        <w:t xml:space="preserve">it </w:t>
      </w:r>
      <w:r w:rsidRPr="00D2758E">
        <w:t xml:space="preserve">to be </w:t>
      </w:r>
      <w:r w:rsidR="00C30632">
        <w:t xml:space="preserve">perceived as being </w:t>
      </w:r>
      <w:r w:rsidRPr="00D2758E">
        <w:t>effective</w:t>
      </w:r>
      <w:r w:rsidR="000D44C4" w:rsidRPr="00D2758E">
        <w:t xml:space="preserve">. </w:t>
      </w:r>
      <w:r w:rsidR="006271C9">
        <w:t xml:space="preserve">The </w:t>
      </w:r>
      <w:proofErr w:type="gramStart"/>
      <w:r w:rsidR="006271C9">
        <w:t>Clearing-House</w:t>
      </w:r>
      <w:proofErr w:type="gramEnd"/>
      <w:r w:rsidR="009B6C76" w:rsidRPr="00D2758E">
        <w:t xml:space="preserve"> must also </w:t>
      </w:r>
      <w:r w:rsidR="006A4FDD" w:rsidRPr="00D2758E">
        <w:t xml:space="preserve">respond to </w:t>
      </w:r>
      <w:r w:rsidR="009B6C76" w:rsidRPr="00D2758E">
        <w:t xml:space="preserve">actual </w:t>
      </w:r>
      <w:r w:rsidR="006A4FDD" w:rsidRPr="00D2758E">
        <w:t xml:space="preserve">capacity-building needs and </w:t>
      </w:r>
      <w:r w:rsidR="001C5972" w:rsidRPr="00D2758E">
        <w:t>add sufficient</w:t>
      </w:r>
      <w:r w:rsidR="006A4FDD" w:rsidRPr="00D2758E">
        <w:t xml:space="preserve"> value to </w:t>
      </w:r>
      <w:r w:rsidR="00873D4F">
        <w:t>render</w:t>
      </w:r>
      <w:r w:rsidR="006A4FDD" w:rsidRPr="00D2758E">
        <w:t xml:space="preserve"> the </w:t>
      </w:r>
      <w:r w:rsidR="001D56EF" w:rsidRPr="00D2758E">
        <w:t>collection</w:t>
      </w:r>
      <w:r w:rsidR="006A4FDD" w:rsidRPr="00D2758E">
        <w:t xml:space="preserve"> and sharing </w:t>
      </w:r>
      <w:r w:rsidR="00F459A1">
        <w:t>of</w:t>
      </w:r>
      <w:r w:rsidR="00D270B9" w:rsidRPr="00D2758E">
        <w:t xml:space="preserve"> </w:t>
      </w:r>
      <w:r w:rsidR="000D44C4" w:rsidRPr="00D2758E">
        <w:t>information</w:t>
      </w:r>
      <w:r w:rsidR="006A4FDD" w:rsidRPr="00D2758E">
        <w:t xml:space="preserve"> worthwhile</w:t>
      </w:r>
      <w:r w:rsidR="002655E0" w:rsidRPr="00D2758E">
        <w:t xml:space="preserve">, </w:t>
      </w:r>
      <w:r w:rsidR="006A4FDD" w:rsidRPr="00D2758E">
        <w:t>thereby incenti</w:t>
      </w:r>
      <w:r w:rsidR="008E55E6" w:rsidRPr="00D2758E">
        <w:t>vizing</w:t>
      </w:r>
      <w:r w:rsidR="006A4FDD" w:rsidRPr="00D2758E">
        <w:t xml:space="preserve"> its continuous submission. </w:t>
      </w:r>
    </w:p>
    <w:p w14:paraId="0C74A09D" w14:textId="5FAE8B78" w:rsidR="005B6DBE" w:rsidRPr="00D2758E" w:rsidRDefault="008F65DD" w:rsidP="00CD2C50">
      <w:pPr>
        <w:pStyle w:val="CBDNormalNumber"/>
      </w:pPr>
      <w:r w:rsidRPr="00D2758E">
        <w:t>The</w:t>
      </w:r>
      <w:r w:rsidR="00DD53BE" w:rsidRPr="00D2758E">
        <w:t xml:space="preserve"> </w:t>
      </w:r>
      <w:r w:rsidR="00721AF7" w:rsidRPr="00D2758E">
        <w:t xml:space="preserve">decline </w:t>
      </w:r>
      <w:r w:rsidRPr="00D2758E">
        <w:t xml:space="preserve">in </w:t>
      </w:r>
      <w:r w:rsidR="00833EDC" w:rsidRPr="00D2758E">
        <w:t>number</w:t>
      </w:r>
      <w:r w:rsidRPr="00D2758E">
        <w:t xml:space="preserve"> </w:t>
      </w:r>
      <w:r w:rsidR="009459A4" w:rsidRPr="00D2758E">
        <w:t xml:space="preserve">publications in virtual library resources and </w:t>
      </w:r>
      <w:r w:rsidRPr="00D2758E">
        <w:t>capacity</w:t>
      </w:r>
      <w:r w:rsidR="009459A4" w:rsidRPr="00D2758E">
        <w:t>-</w:t>
      </w:r>
      <w:r w:rsidRPr="00D2758E">
        <w:t>building initiatives</w:t>
      </w:r>
      <w:r w:rsidR="00915536" w:rsidRPr="00D2758E">
        <w:t xml:space="preserve">, reflects </w:t>
      </w:r>
      <w:r w:rsidR="00F459A1" w:rsidRPr="00D2758E">
        <w:t xml:space="preserve">largely </w:t>
      </w:r>
      <w:r w:rsidR="00915536" w:rsidRPr="00D2758E">
        <w:t xml:space="preserve">the </w:t>
      </w:r>
      <w:r w:rsidR="00EC2B81" w:rsidRPr="00D2758E">
        <w:t xml:space="preserve">less active role </w:t>
      </w:r>
      <w:r w:rsidR="00F459A1">
        <w:t xml:space="preserve">that </w:t>
      </w:r>
      <w:r w:rsidR="00EC2B81" w:rsidRPr="00D2758E">
        <w:t xml:space="preserve">the </w:t>
      </w:r>
      <w:r w:rsidR="009459A4" w:rsidRPr="00D2758E">
        <w:t xml:space="preserve">Secretariat </w:t>
      </w:r>
      <w:r w:rsidR="00EC2B81" w:rsidRPr="00D2758E">
        <w:t>has played in the</w:t>
      </w:r>
      <w:r w:rsidR="009459A4" w:rsidRPr="00D2758E">
        <w:t xml:space="preserve"> </w:t>
      </w:r>
      <w:r w:rsidR="00F956F9" w:rsidRPr="00D2758E">
        <w:t>collection and</w:t>
      </w:r>
      <w:r w:rsidR="009459A4" w:rsidRPr="00D2758E">
        <w:t xml:space="preserve"> </w:t>
      </w:r>
      <w:r w:rsidR="009459A4" w:rsidRPr="00D2758E">
        <w:lastRenderedPageBreak/>
        <w:t>publication</w:t>
      </w:r>
      <w:r w:rsidR="00EC2B81" w:rsidRPr="00D2758E">
        <w:t xml:space="preserve"> of th</w:t>
      </w:r>
      <w:r w:rsidR="00F459A1">
        <w:t>at</w:t>
      </w:r>
      <w:r w:rsidR="00EC2B81" w:rsidRPr="00D2758E">
        <w:t xml:space="preserve"> content</w:t>
      </w:r>
      <w:r w:rsidR="00813181">
        <w:t xml:space="preserve"> and</w:t>
      </w:r>
      <w:r w:rsidRPr="00D2758E">
        <w:t xml:space="preserve"> suggests that the capacity component of the Clearing‑House has not yet become a central or consistently valued channel for the regular sharing and updating of information by Parties and capacity‑building providers.</w:t>
      </w:r>
    </w:p>
    <w:p w14:paraId="1381AA31" w14:textId="46296956" w:rsidR="00C43F31" w:rsidRPr="00D2758E" w:rsidRDefault="004B0132" w:rsidP="004B0132">
      <w:pPr>
        <w:pStyle w:val="CBDH4"/>
      </w:pPr>
      <w:r>
        <w:t>(c)</w:t>
      </w:r>
      <w:r>
        <w:tab/>
      </w:r>
      <w:r w:rsidR="00C43F31" w:rsidRPr="00D2758E">
        <w:t xml:space="preserve">Ways to enhance effectiveness of the </w:t>
      </w:r>
      <w:proofErr w:type="gramStart"/>
      <w:r w:rsidR="00C43F31" w:rsidRPr="00D2758E">
        <w:t>Clearing-House</w:t>
      </w:r>
      <w:proofErr w:type="gramEnd"/>
      <w:r w:rsidR="00BC0F97" w:rsidRPr="00D2758E">
        <w:t xml:space="preserve"> with respect to </w:t>
      </w:r>
      <w:r w:rsidR="00855A2D" w:rsidRPr="00D2758E">
        <w:t>reference records</w:t>
      </w:r>
    </w:p>
    <w:p w14:paraId="67CAEEC2" w14:textId="3D4B9FB8" w:rsidR="005F79C1" w:rsidRPr="00D2758E" w:rsidRDefault="00786791" w:rsidP="00CD2C50">
      <w:pPr>
        <w:pStyle w:val="CBDNormalNumber"/>
      </w:pPr>
      <w:r w:rsidRPr="00D2758E">
        <w:t>As</w:t>
      </w:r>
      <w:r w:rsidR="003E4F7A" w:rsidRPr="00D2758E">
        <w:t xml:space="preserve"> concluded in </w:t>
      </w:r>
      <w:r w:rsidR="00CC7635">
        <w:t>a</w:t>
      </w:r>
      <w:r w:rsidR="00790582" w:rsidRPr="00D2758E">
        <w:t xml:space="preserve"> </w:t>
      </w:r>
      <w:r w:rsidR="003E4F7A" w:rsidRPr="00D2758E">
        <w:t xml:space="preserve">different analysis, </w:t>
      </w:r>
      <w:r w:rsidR="00317763" w:rsidRPr="00D2758E">
        <w:t>f</w:t>
      </w:r>
      <w:r w:rsidR="00F043D4" w:rsidRPr="00D2758E">
        <w:t xml:space="preserve">urther consideration </w:t>
      </w:r>
      <w:r w:rsidR="00E33B53" w:rsidRPr="00D2758E">
        <w:t>could be give</w:t>
      </w:r>
      <w:r w:rsidR="005B6DBE" w:rsidRPr="00D2758E">
        <w:t>n</w:t>
      </w:r>
      <w:r w:rsidR="00E33B53" w:rsidRPr="00D2758E">
        <w:t xml:space="preserve"> to </w:t>
      </w:r>
      <w:r w:rsidR="00476C9C" w:rsidRPr="00D2758E">
        <w:t xml:space="preserve">the value of </w:t>
      </w:r>
      <w:r w:rsidR="005B6DBE" w:rsidRPr="00D2758E">
        <w:t>maintaining</w:t>
      </w:r>
      <w:r w:rsidR="00476C9C" w:rsidRPr="00D2758E">
        <w:t xml:space="preserve"> </w:t>
      </w:r>
      <w:r w:rsidR="005B6DBE" w:rsidRPr="00D2758E">
        <w:t xml:space="preserve">and </w:t>
      </w:r>
      <w:r w:rsidR="00F17ADA" w:rsidRPr="00D2758E">
        <w:t xml:space="preserve">effectively </w:t>
      </w:r>
      <w:r w:rsidR="005B6DBE" w:rsidRPr="00D2758E">
        <w:t>using up-to-date capacity-building</w:t>
      </w:r>
      <w:r w:rsidR="00476C9C" w:rsidRPr="00D2758E">
        <w:t xml:space="preserve"> </w:t>
      </w:r>
      <w:r w:rsidR="005F79C1" w:rsidRPr="00D2758E">
        <w:t>initiatives</w:t>
      </w:r>
      <w:r w:rsidR="00476C9C" w:rsidRPr="00D2758E">
        <w:t xml:space="preserve"> </w:t>
      </w:r>
      <w:r w:rsidR="00CC7635">
        <w:t>o</w:t>
      </w:r>
      <w:r w:rsidR="00476C9C" w:rsidRPr="00D2758E">
        <w:t xml:space="preserve">n the Clearing-House, including in relation to the role of the Secretariat </w:t>
      </w:r>
      <w:r w:rsidR="00CC7635">
        <w:t>in</w:t>
      </w:r>
      <w:r w:rsidR="00476C9C" w:rsidRPr="00D2758E">
        <w:t xml:space="preserve"> coordinat</w:t>
      </w:r>
      <w:r w:rsidR="00CC7635">
        <w:t>ing</w:t>
      </w:r>
      <w:r w:rsidR="00476C9C" w:rsidRPr="00D2758E">
        <w:t xml:space="preserve"> and facilitat</w:t>
      </w:r>
      <w:r w:rsidR="00CC7635">
        <w:t>ing</w:t>
      </w:r>
      <w:r w:rsidR="00476C9C" w:rsidRPr="00D2758E">
        <w:t xml:space="preserve"> capacity-building</w:t>
      </w:r>
      <w:r w:rsidR="00EE1AC0">
        <w:t xml:space="preserve">, </w:t>
      </w:r>
      <w:r w:rsidR="00476C9C" w:rsidRPr="00D2758E">
        <w:t xml:space="preserve"> work on capacity-building and development and technical and scientific cooperation </w:t>
      </w:r>
      <w:r w:rsidR="00EE1AC0">
        <w:t xml:space="preserve">in </w:t>
      </w:r>
      <w:r w:rsidR="00476C9C" w:rsidRPr="00D2758E">
        <w:t xml:space="preserve">support </w:t>
      </w:r>
      <w:r w:rsidR="00415347">
        <w:t xml:space="preserve">of </w:t>
      </w:r>
      <w:r w:rsidR="00476C9C" w:rsidRPr="00D2758E">
        <w:t xml:space="preserve">nationally determined priorities for the implementation of the Kunming-Montreal </w:t>
      </w:r>
      <w:r w:rsidR="00790582" w:rsidRPr="00D2758E">
        <w:t>G</w:t>
      </w:r>
      <w:r w:rsidR="00476C9C" w:rsidRPr="00D2758E">
        <w:t xml:space="preserve">lobal </w:t>
      </w:r>
      <w:r w:rsidR="00790582" w:rsidRPr="00D2758E">
        <w:t>B</w:t>
      </w:r>
      <w:r w:rsidR="00476C9C" w:rsidRPr="00D2758E">
        <w:t xml:space="preserve">iodiversity </w:t>
      </w:r>
      <w:r w:rsidR="00790582" w:rsidRPr="00D2758E">
        <w:t>F</w:t>
      </w:r>
      <w:r w:rsidR="00476C9C" w:rsidRPr="00D2758E">
        <w:t>ramework.</w:t>
      </w:r>
    </w:p>
    <w:p w14:paraId="6FE477F4" w14:textId="1892A86C" w:rsidR="004A6BE6" w:rsidRPr="00D2758E" w:rsidRDefault="00546C7F" w:rsidP="00CD2C50">
      <w:pPr>
        <w:pStyle w:val="CBDNormalNumber"/>
      </w:pPr>
      <w:r w:rsidRPr="00D2758E">
        <w:t xml:space="preserve">Further </w:t>
      </w:r>
      <w:r w:rsidR="004A6BE6" w:rsidRPr="00D2758E">
        <w:t xml:space="preserve">review and refinement of reference records </w:t>
      </w:r>
      <w:r w:rsidR="009646E3" w:rsidRPr="00D2758E">
        <w:t xml:space="preserve">including </w:t>
      </w:r>
      <w:r w:rsidR="004A6BE6" w:rsidRPr="00D2758E">
        <w:t xml:space="preserve">virtual library records, </w:t>
      </w:r>
      <w:r w:rsidR="00932D8F" w:rsidRPr="00D2758E">
        <w:t xml:space="preserve">capacity-building resources, </w:t>
      </w:r>
      <w:r w:rsidR="004A6BE6" w:rsidRPr="00D2758E">
        <w:t>model contractual clauses, codes of conduct, guidelines, best practices and/or standards, and community protocols and procedures and customary laws</w:t>
      </w:r>
      <w:r w:rsidR="009646E3" w:rsidRPr="00D2758E">
        <w:t>,</w:t>
      </w:r>
      <w:r w:rsidR="004A6BE6" w:rsidRPr="00D2758E">
        <w:t xml:space="preserve"> in </w:t>
      </w:r>
      <w:r w:rsidR="0021503E">
        <w:t xml:space="preserve">terms of </w:t>
      </w:r>
      <w:r w:rsidR="004A6BE6" w:rsidRPr="00D2758E">
        <w:t>both content and presentation</w:t>
      </w:r>
      <w:r w:rsidR="00A07B7A" w:rsidRPr="00D2758E">
        <w:t xml:space="preserve"> (</w:t>
      </w:r>
      <w:r w:rsidR="004A6BE6" w:rsidRPr="00D2758E">
        <w:t>including organization, accessibility, and visibility</w:t>
      </w:r>
      <w:r w:rsidR="00A07B7A" w:rsidRPr="00D2758E">
        <w:t>)</w:t>
      </w:r>
      <w:r w:rsidR="00A10C5E">
        <w:t>,</w:t>
      </w:r>
      <w:r w:rsidR="004A6BE6" w:rsidRPr="00D2758E">
        <w:t xml:space="preserve"> </w:t>
      </w:r>
      <w:r w:rsidR="00A10C5E">
        <w:t xml:space="preserve">should be carried out </w:t>
      </w:r>
      <w:r w:rsidRPr="00D2758E">
        <w:t>to</w:t>
      </w:r>
      <w:r w:rsidR="004A6BE6" w:rsidRPr="00D2758E">
        <w:t xml:space="preserve"> enhance their effectiveness in supporting the implementation of the Nagoya Protocol.</w:t>
      </w:r>
    </w:p>
    <w:p w14:paraId="57186692" w14:textId="53D5CD9C" w:rsidR="0056552E" w:rsidRPr="00D2758E" w:rsidRDefault="004B0132" w:rsidP="004B0132">
      <w:pPr>
        <w:pStyle w:val="CBDH2"/>
      </w:pPr>
      <w:bookmarkStart w:id="15" w:name="_Toc228803311"/>
      <w:r>
        <w:t>H.</w:t>
      </w:r>
      <w:r>
        <w:tab/>
      </w:r>
      <w:r w:rsidR="0056552E" w:rsidRPr="00D2758E">
        <w:t>Progress on the implementation of Article 10</w:t>
      </w:r>
      <w:r w:rsidR="00650508">
        <w:t>,</w:t>
      </w:r>
      <w:r w:rsidR="0056552E" w:rsidRPr="00D2758E">
        <w:t xml:space="preserve"> on a global multilateral benefit-sharing mechanism</w:t>
      </w:r>
      <w:bookmarkEnd w:id="15"/>
    </w:p>
    <w:p w14:paraId="7175CE60" w14:textId="6C00CCBA" w:rsidR="004C73EE" w:rsidRPr="00D2758E" w:rsidRDefault="004C73EE" w:rsidP="00CD2C50">
      <w:pPr>
        <w:pStyle w:val="CBDNormalNumber"/>
        <w:rPr>
          <w:rFonts w:asciiTheme="majorBidi" w:hAnsiTheme="majorBidi" w:cstheme="majorBidi"/>
        </w:rPr>
      </w:pPr>
      <w:r w:rsidRPr="00D2758E">
        <w:rPr>
          <w:rFonts w:asciiTheme="majorBidi" w:hAnsiTheme="majorBidi" w:cstheme="majorBidi"/>
        </w:rPr>
        <w:t>Article 10 of the Nagoya Protocol</w:t>
      </w:r>
      <w:r w:rsidRPr="00D2758E">
        <w:rPr>
          <w:rFonts w:asciiTheme="majorBidi" w:hAnsiTheme="majorBidi" w:cstheme="majorBidi"/>
          <w:vertAlign w:val="superscript"/>
        </w:rPr>
        <w:footnoteReference w:id="95"/>
      </w:r>
      <w:r w:rsidRPr="00D2758E">
        <w:rPr>
          <w:rFonts w:asciiTheme="majorBidi" w:hAnsiTheme="majorBidi" w:cstheme="majorBidi"/>
        </w:rPr>
        <w:t xml:space="preserve"> has been under consideration since shortly after the adoption of the Protocol in 2010. Work over the years has included the submission of views, online discussions, expert meetings and the commission of studies.</w:t>
      </w:r>
      <w:r w:rsidRPr="00D2758E">
        <w:rPr>
          <w:rFonts w:asciiTheme="majorBidi" w:hAnsiTheme="majorBidi" w:cstheme="majorBidi"/>
          <w:vertAlign w:val="superscript"/>
        </w:rPr>
        <w:footnoteReference w:id="96"/>
      </w:r>
      <w:r w:rsidRPr="00D2758E">
        <w:rPr>
          <w:rFonts w:asciiTheme="majorBidi" w:hAnsiTheme="majorBidi" w:cstheme="majorBidi"/>
        </w:rPr>
        <w:t xml:space="preserve"> </w:t>
      </w:r>
    </w:p>
    <w:p w14:paraId="3BE5008D" w14:textId="79A58AA1" w:rsidR="007A0AED" w:rsidRPr="00D2758E" w:rsidRDefault="007A0AED" w:rsidP="00CD2C50">
      <w:pPr>
        <w:pStyle w:val="CBDNormalNumber"/>
        <w:rPr>
          <w:rFonts w:asciiTheme="majorBidi" w:hAnsiTheme="majorBidi" w:cstheme="majorBidi"/>
        </w:rPr>
      </w:pPr>
      <w:r w:rsidRPr="00D2758E">
        <w:rPr>
          <w:rFonts w:asciiTheme="majorBidi" w:hAnsiTheme="majorBidi" w:cstheme="majorBidi"/>
        </w:rPr>
        <w:t xml:space="preserve">Most recently, at its fifth meeting </w:t>
      </w:r>
      <w:r w:rsidR="000454D8">
        <w:rPr>
          <w:rFonts w:asciiTheme="majorBidi" w:hAnsiTheme="majorBidi" w:cstheme="majorBidi"/>
        </w:rPr>
        <w:t xml:space="preserve">in </w:t>
      </w:r>
      <w:r w:rsidRPr="00D2758E">
        <w:rPr>
          <w:rFonts w:asciiTheme="majorBidi" w:hAnsiTheme="majorBidi" w:cstheme="majorBidi"/>
        </w:rPr>
        <w:t>October 2024, the Conference of the Parties serving as the meeting of the Parties to the Nagoya Protocol considered a document</w:t>
      </w:r>
      <w:r w:rsidR="008F0197" w:rsidRPr="008F0197">
        <w:rPr>
          <w:rFonts w:asciiTheme="majorBidi" w:hAnsiTheme="majorBidi" w:cstheme="majorBidi"/>
        </w:rPr>
        <w:t xml:space="preserve"> </w:t>
      </w:r>
      <w:r w:rsidR="008F0197" w:rsidRPr="00D2758E">
        <w:rPr>
          <w:rFonts w:asciiTheme="majorBidi" w:hAnsiTheme="majorBidi" w:cstheme="majorBidi"/>
        </w:rPr>
        <w:t>on Article 10</w:t>
      </w:r>
      <w:r w:rsidR="00BD08FA" w:rsidRPr="00D2758E">
        <w:rPr>
          <w:rStyle w:val="FootnoteReference"/>
          <w:rFonts w:asciiTheme="majorBidi" w:hAnsiTheme="majorBidi" w:cstheme="majorBidi"/>
        </w:rPr>
        <w:footnoteReference w:id="97"/>
      </w:r>
      <w:r w:rsidR="009375A7" w:rsidRPr="00D2758E">
        <w:rPr>
          <w:rFonts w:asciiTheme="majorBidi" w:hAnsiTheme="majorBidi" w:cstheme="majorBidi"/>
        </w:rPr>
        <w:t xml:space="preserve"> and decided to revisit at its sixth meeting the issue of the need for and modalities of a global multilateral benefit-sharing mechanism</w:t>
      </w:r>
      <w:r w:rsidR="003F38A2">
        <w:rPr>
          <w:rFonts w:asciiTheme="majorBidi" w:hAnsiTheme="majorBidi" w:cstheme="majorBidi"/>
        </w:rPr>
        <w:t>,</w:t>
      </w:r>
      <w:r w:rsidR="009375A7" w:rsidRPr="00D2758E">
        <w:rPr>
          <w:rFonts w:asciiTheme="majorBidi" w:hAnsiTheme="majorBidi" w:cstheme="majorBidi"/>
        </w:rPr>
        <w:t xml:space="preserve"> as provided in Article 10 of the Protocol, taking into consideration the analysis and synthesis of information for the second assessment and review of the Protocol (</w:t>
      </w:r>
      <w:r w:rsidR="009777D1">
        <w:rPr>
          <w:rFonts w:asciiTheme="majorBidi" w:hAnsiTheme="majorBidi" w:cstheme="majorBidi"/>
        </w:rPr>
        <w:t xml:space="preserve">see </w:t>
      </w:r>
      <w:r w:rsidR="009375A7" w:rsidRPr="00D2758E">
        <w:rPr>
          <w:rFonts w:asciiTheme="majorBidi" w:hAnsiTheme="majorBidi" w:cstheme="majorBidi"/>
        </w:rPr>
        <w:t xml:space="preserve">decision </w:t>
      </w:r>
      <w:hyperlink r:id="rId31" w:history="1">
        <w:r w:rsidR="009375A7" w:rsidRPr="00D2758E">
          <w:rPr>
            <w:rStyle w:val="Hyperlink"/>
            <w:rFonts w:asciiTheme="majorBidi" w:hAnsiTheme="majorBidi" w:cstheme="majorBidi"/>
          </w:rPr>
          <w:t>NP-5/7</w:t>
        </w:r>
      </w:hyperlink>
      <w:r w:rsidR="009375A7" w:rsidRPr="00D2758E">
        <w:rPr>
          <w:rFonts w:asciiTheme="majorBidi" w:hAnsiTheme="majorBidi" w:cstheme="majorBidi"/>
        </w:rPr>
        <w:t>).</w:t>
      </w:r>
    </w:p>
    <w:p w14:paraId="1D401887" w14:textId="37DD7BBC" w:rsidR="0056552E" w:rsidRPr="00D2758E" w:rsidRDefault="004B0132" w:rsidP="004B0132">
      <w:pPr>
        <w:pStyle w:val="CBDH2"/>
      </w:pPr>
      <w:bookmarkStart w:id="16" w:name="_Toc228803312"/>
      <w:r>
        <w:t>I.</w:t>
      </w:r>
      <w:r>
        <w:tab/>
      </w:r>
      <w:r w:rsidR="0056552E" w:rsidRPr="00D2758E">
        <w:t>Progress on the implementation of Article 23, on technology transfer, collaboration and cooperation</w:t>
      </w:r>
      <w:r w:rsidR="00B37C88" w:rsidRPr="00D2758E">
        <w:rPr>
          <w:rStyle w:val="FootnoteReference"/>
          <w:rFonts w:asciiTheme="majorBidi" w:hAnsiTheme="majorBidi"/>
        </w:rPr>
        <w:footnoteReference w:id="98"/>
      </w:r>
      <w:bookmarkEnd w:id="16"/>
      <w:r w:rsidR="00814E9C" w:rsidRPr="00D2758E">
        <w:t xml:space="preserve"> </w:t>
      </w:r>
    </w:p>
    <w:p w14:paraId="7D9EB6B8" w14:textId="21A3298B" w:rsidR="0016687C" w:rsidRPr="00D2758E" w:rsidRDefault="004B0132" w:rsidP="004B0132">
      <w:pPr>
        <w:pStyle w:val="CBDH3"/>
      </w:pPr>
      <w:r>
        <w:t>1.</w:t>
      </w:r>
      <w:r>
        <w:tab/>
      </w:r>
      <w:r w:rsidR="00814E9C" w:rsidRPr="00D2758E">
        <w:t xml:space="preserve">Progress made in implementation and updated </w:t>
      </w:r>
      <w:r w:rsidR="007C15A5" w:rsidRPr="00D2758E">
        <w:t xml:space="preserve">indicator </w:t>
      </w:r>
      <w:r w:rsidR="00814E9C" w:rsidRPr="00D2758E">
        <w:t>data</w:t>
      </w:r>
    </w:p>
    <w:p w14:paraId="4E88A146" w14:textId="291964DC" w:rsidR="001E55CE" w:rsidRPr="00D2758E" w:rsidRDefault="001E55CE" w:rsidP="00CD2C50">
      <w:pPr>
        <w:pStyle w:val="CBDNormalNumber"/>
        <w:rPr>
          <w:rFonts w:asciiTheme="majorBidi" w:hAnsiTheme="majorBidi" w:cstheme="majorBidi"/>
        </w:rPr>
      </w:pPr>
      <w:r w:rsidRPr="00D2758E">
        <w:rPr>
          <w:rFonts w:asciiTheme="majorBidi" w:hAnsiTheme="majorBidi" w:cstheme="majorBidi"/>
        </w:rPr>
        <w:t xml:space="preserve">As </w:t>
      </w:r>
      <w:r w:rsidR="00F403A7">
        <w:rPr>
          <w:rFonts w:asciiTheme="majorBidi" w:hAnsiTheme="majorBidi" w:cstheme="majorBidi"/>
        </w:rPr>
        <w:t xml:space="preserve">evidenced by </w:t>
      </w:r>
      <w:r w:rsidRPr="00D2758E">
        <w:rPr>
          <w:rFonts w:asciiTheme="majorBidi" w:hAnsiTheme="majorBidi" w:cstheme="majorBidi"/>
        </w:rPr>
        <w:t xml:space="preserve">the </w:t>
      </w:r>
      <w:r w:rsidRPr="00D2758E">
        <w:t>indicator</w:t>
      </w:r>
      <w:r w:rsidR="00DB40B4" w:rsidRPr="00D2758E">
        <w:rPr>
          <w:rFonts w:asciiTheme="majorBidi" w:hAnsiTheme="majorBidi" w:cstheme="majorBidi"/>
        </w:rPr>
        <w:t xml:space="preserve"> included in table</w:t>
      </w:r>
      <w:r w:rsidRPr="00D2758E">
        <w:rPr>
          <w:rFonts w:asciiTheme="majorBidi" w:hAnsiTheme="majorBidi" w:cstheme="majorBidi"/>
        </w:rPr>
        <w:t xml:space="preserve"> </w:t>
      </w:r>
      <w:r w:rsidR="00F403A7">
        <w:rPr>
          <w:rFonts w:asciiTheme="majorBidi" w:hAnsiTheme="majorBidi" w:cstheme="majorBidi"/>
        </w:rPr>
        <w:t xml:space="preserve">17 </w:t>
      </w:r>
      <w:r w:rsidRPr="00D2758E">
        <w:rPr>
          <w:rFonts w:asciiTheme="majorBidi" w:hAnsiTheme="majorBidi" w:cstheme="majorBidi"/>
        </w:rPr>
        <w:t>below</w:t>
      </w:r>
      <w:r w:rsidR="00650508">
        <w:rPr>
          <w:rFonts w:asciiTheme="majorBidi" w:hAnsiTheme="majorBidi" w:cstheme="majorBidi"/>
        </w:rPr>
        <w:t>,</w:t>
      </w:r>
      <w:r w:rsidRPr="00D2758E">
        <w:rPr>
          <w:rFonts w:asciiTheme="majorBidi" w:hAnsiTheme="majorBidi" w:cstheme="majorBidi"/>
        </w:rPr>
        <w:t xml:space="preserve"> there has </w:t>
      </w:r>
      <w:r w:rsidR="008463A6" w:rsidRPr="00D2758E">
        <w:rPr>
          <w:rFonts w:asciiTheme="majorBidi" w:hAnsiTheme="majorBidi" w:cstheme="majorBidi"/>
        </w:rPr>
        <w:t>been</w:t>
      </w:r>
      <w:r w:rsidRPr="00D2758E">
        <w:rPr>
          <w:rFonts w:asciiTheme="majorBidi" w:hAnsiTheme="majorBidi" w:cstheme="majorBidi"/>
        </w:rPr>
        <w:t xml:space="preserve"> moderate progress </w:t>
      </w:r>
      <w:proofErr w:type="gramStart"/>
      <w:r w:rsidR="005E69E7">
        <w:rPr>
          <w:rFonts w:asciiTheme="majorBidi" w:hAnsiTheme="majorBidi" w:cstheme="majorBidi"/>
        </w:rPr>
        <w:t>with regard to</w:t>
      </w:r>
      <w:proofErr w:type="gramEnd"/>
      <w:r w:rsidR="005E69E7">
        <w:rPr>
          <w:rFonts w:asciiTheme="majorBidi" w:hAnsiTheme="majorBidi" w:cstheme="majorBidi"/>
        </w:rPr>
        <w:t xml:space="preserve"> </w:t>
      </w:r>
      <w:r w:rsidRPr="00D2758E">
        <w:rPr>
          <w:rFonts w:asciiTheme="majorBidi" w:hAnsiTheme="majorBidi" w:cstheme="majorBidi"/>
        </w:rPr>
        <w:t xml:space="preserve">the percentage of Parties that collaborated and cooperated in technical and scientific research and development programmes </w:t>
      </w:r>
      <w:r w:rsidR="00740F65" w:rsidRPr="00D2758E">
        <w:rPr>
          <w:rFonts w:asciiTheme="majorBidi" w:hAnsiTheme="majorBidi" w:cstheme="majorBidi"/>
        </w:rPr>
        <w:t xml:space="preserve">as means to </w:t>
      </w:r>
      <w:r w:rsidRPr="00D2758E">
        <w:rPr>
          <w:rFonts w:asciiTheme="majorBidi" w:hAnsiTheme="majorBidi" w:cstheme="majorBidi"/>
        </w:rPr>
        <w:t>achieve the objective of the Protocol as provided in Article 23</w:t>
      </w:r>
      <w:r w:rsidR="00BB2D22" w:rsidRPr="00D2758E">
        <w:rPr>
          <w:rFonts w:asciiTheme="majorBidi" w:hAnsiTheme="majorBidi" w:cstheme="majorBidi"/>
        </w:rPr>
        <w:t xml:space="preserve"> of the Protocol.</w:t>
      </w:r>
    </w:p>
    <w:p w14:paraId="6A9FD16B" w14:textId="0718CFE1" w:rsidR="001E55CE" w:rsidRPr="00D2758E" w:rsidRDefault="001E55CE" w:rsidP="00CD2C50">
      <w:pPr>
        <w:pStyle w:val="CBDNormalNumber"/>
        <w:rPr>
          <w:rFonts w:asciiTheme="majorBidi" w:hAnsiTheme="majorBidi" w:cstheme="majorBidi"/>
        </w:rPr>
      </w:pPr>
      <w:r w:rsidRPr="00D2758E">
        <w:rPr>
          <w:rFonts w:asciiTheme="majorBidi" w:hAnsiTheme="majorBidi" w:cstheme="majorBidi"/>
        </w:rPr>
        <w:t>Parties reported a variety of cooperation and technology transfer modalities</w:t>
      </w:r>
      <w:r w:rsidR="00A273E5" w:rsidRPr="00D2758E">
        <w:rPr>
          <w:rFonts w:asciiTheme="majorBidi" w:hAnsiTheme="majorBidi" w:cstheme="majorBidi"/>
        </w:rPr>
        <w:t>.</w:t>
      </w:r>
      <w:r w:rsidR="00685EEF" w:rsidRPr="00D2758E">
        <w:rPr>
          <w:rStyle w:val="FootnoteReference"/>
          <w:rFonts w:asciiTheme="majorBidi" w:hAnsiTheme="majorBidi" w:cstheme="majorBidi"/>
        </w:rPr>
        <w:footnoteReference w:id="99"/>
      </w:r>
      <w:r w:rsidR="00FC223F">
        <w:rPr>
          <w:rFonts w:asciiTheme="majorBidi" w:hAnsiTheme="majorBidi" w:cstheme="majorBidi"/>
        </w:rPr>
        <w:t xml:space="preserve"> </w:t>
      </w:r>
      <w:r w:rsidR="00FE06B1" w:rsidRPr="00D2758E">
        <w:rPr>
          <w:rFonts w:asciiTheme="majorBidi" w:hAnsiTheme="majorBidi" w:cstheme="majorBidi"/>
        </w:rPr>
        <w:t xml:space="preserve">Technology transfer </w:t>
      </w:r>
      <w:r w:rsidR="00A273E5" w:rsidRPr="00D2758E">
        <w:rPr>
          <w:rFonts w:asciiTheme="majorBidi" w:hAnsiTheme="majorBidi" w:cstheme="majorBidi"/>
        </w:rPr>
        <w:t>occur</w:t>
      </w:r>
      <w:r w:rsidR="00450E9B">
        <w:rPr>
          <w:rFonts w:asciiTheme="majorBidi" w:hAnsiTheme="majorBidi" w:cstheme="majorBidi"/>
        </w:rPr>
        <w:t>red</w:t>
      </w:r>
      <w:r w:rsidR="00A273E5" w:rsidRPr="00D2758E">
        <w:rPr>
          <w:rFonts w:asciiTheme="majorBidi" w:hAnsiTheme="majorBidi" w:cstheme="majorBidi"/>
        </w:rPr>
        <w:t xml:space="preserve"> </w:t>
      </w:r>
      <w:r w:rsidR="00FE06B1" w:rsidRPr="00D2758E">
        <w:rPr>
          <w:rFonts w:asciiTheme="majorBidi" w:hAnsiTheme="majorBidi" w:cstheme="majorBidi"/>
        </w:rPr>
        <w:t xml:space="preserve">both within and outside </w:t>
      </w:r>
      <w:r w:rsidR="00FE06B1" w:rsidRPr="00D2758E">
        <w:t>the</w:t>
      </w:r>
      <w:r w:rsidR="00FE06B1" w:rsidRPr="00D2758E">
        <w:rPr>
          <w:rFonts w:asciiTheme="majorBidi" w:hAnsiTheme="majorBidi" w:cstheme="majorBidi"/>
        </w:rPr>
        <w:t xml:space="preserve"> access and benefit</w:t>
      </w:r>
      <w:r w:rsidR="00FE06B1" w:rsidRPr="00D2758E">
        <w:rPr>
          <w:rFonts w:asciiTheme="majorBidi" w:hAnsiTheme="majorBidi" w:cstheme="majorBidi"/>
        </w:rPr>
        <w:noBreakHyphen/>
        <w:t>sharing context, often through broader research cooperation, capacity</w:t>
      </w:r>
      <w:r w:rsidR="00FE06B1" w:rsidRPr="00D2758E">
        <w:rPr>
          <w:rFonts w:asciiTheme="majorBidi" w:hAnsiTheme="majorBidi" w:cstheme="majorBidi"/>
        </w:rPr>
        <w:noBreakHyphen/>
        <w:t xml:space="preserve">building initiatives and technical partnerships. Where </w:t>
      </w:r>
      <w:r w:rsidR="00FE06B1" w:rsidRPr="00D2758E">
        <w:rPr>
          <w:rFonts w:asciiTheme="majorBidi" w:hAnsiTheme="majorBidi" w:cstheme="majorBidi"/>
        </w:rPr>
        <w:lastRenderedPageBreak/>
        <w:t xml:space="preserve">technology transfer </w:t>
      </w:r>
      <w:r w:rsidR="00450E9B">
        <w:rPr>
          <w:rFonts w:asciiTheme="majorBidi" w:hAnsiTheme="majorBidi" w:cstheme="majorBidi"/>
        </w:rPr>
        <w:t>wa</w:t>
      </w:r>
      <w:r w:rsidR="00FE06B1" w:rsidRPr="00D2758E">
        <w:rPr>
          <w:rFonts w:asciiTheme="majorBidi" w:hAnsiTheme="majorBidi" w:cstheme="majorBidi"/>
        </w:rPr>
        <w:t>s linked specifically to access to genetic resources or associated traditional knowledge under the Nagoya Protocol</w:t>
      </w:r>
      <w:r w:rsidR="009A5EB6" w:rsidRPr="00D2758E">
        <w:rPr>
          <w:rFonts w:asciiTheme="majorBidi" w:hAnsiTheme="majorBidi" w:cstheme="majorBidi"/>
        </w:rPr>
        <w:t>,</w:t>
      </w:r>
      <w:r w:rsidR="007E4935" w:rsidRPr="00D2758E">
        <w:rPr>
          <w:rFonts w:asciiTheme="majorBidi" w:hAnsiTheme="majorBidi" w:cstheme="majorBidi"/>
        </w:rPr>
        <w:t xml:space="preserve"> </w:t>
      </w:r>
      <w:r w:rsidR="009A5EB6" w:rsidRPr="00D2758E">
        <w:rPr>
          <w:rFonts w:asciiTheme="majorBidi" w:hAnsiTheme="majorBidi" w:cstheme="majorBidi"/>
        </w:rPr>
        <w:t>i</w:t>
      </w:r>
      <w:r w:rsidR="00FE06B1" w:rsidRPr="00D2758E">
        <w:rPr>
          <w:rFonts w:asciiTheme="majorBidi" w:hAnsiTheme="majorBidi" w:cstheme="majorBidi"/>
        </w:rPr>
        <w:t xml:space="preserve">t </w:t>
      </w:r>
      <w:r w:rsidR="003002C7">
        <w:rPr>
          <w:rFonts w:asciiTheme="majorBidi" w:hAnsiTheme="majorBidi" w:cstheme="majorBidi"/>
        </w:rPr>
        <w:t>constituted</w:t>
      </w:r>
      <w:r w:rsidR="00FE06B1" w:rsidRPr="00D2758E">
        <w:rPr>
          <w:rFonts w:asciiTheme="majorBidi" w:hAnsiTheme="majorBidi" w:cstheme="majorBidi"/>
        </w:rPr>
        <w:t xml:space="preserve"> </w:t>
      </w:r>
      <w:r w:rsidR="007E4935" w:rsidRPr="00D2758E">
        <w:rPr>
          <w:rFonts w:asciiTheme="majorBidi" w:hAnsiTheme="majorBidi" w:cstheme="majorBidi"/>
        </w:rPr>
        <w:t>most</w:t>
      </w:r>
      <w:r w:rsidR="003002C7">
        <w:rPr>
          <w:rFonts w:asciiTheme="majorBidi" w:hAnsiTheme="majorBidi" w:cstheme="majorBidi"/>
        </w:rPr>
        <w:t>ly</w:t>
      </w:r>
      <w:r w:rsidR="00FE06B1" w:rsidRPr="00D2758E">
        <w:rPr>
          <w:rFonts w:asciiTheme="majorBidi" w:hAnsiTheme="majorBidi" w:cstheme="majorBidi"/>
        </w:rPr>
        <w:t xml:space="preserve"> a non</w:t>
      </w:r>
      <w:r w:rsidR="00FE06B1" w:rsidRPr="00D2758E">
        <w:rPr>
          <w:rFonts w:asciiTheme="majorBidi" w:hAnsiTheme="majorBidi" w:cstheme="majorBidi"/>
        </w:rPr>
        <w:noBreakHyphen/>
        <w:t>monetary benefit negotiated through mutually agreed terms</w:t>
      </w:r>
      <w:r w:rsidR="00FA3E8C" w:rsidRPr="00D2758E">
        <w:rPr>
          <w:rFonts w:asciiTheme="majorBidi" w:hAnsiTheme="majorBidi" w:cstheme="majorBidi"/>
        </w:rPr>
        <w:t>.</w:t>
      </w:r>
      <w:r w:rsidR="00FA3E8C" w:rsidRPr="00D2758E">
        <w:rPr>
          <w:rStyle w:val="cf01"/>
        </w:rPr>
        <w:t xml:space="preserve"> </w:t>
      </w:r>
      <w:r w:rsidR="00FA3E8C" w:rsidRPr="00D2758E">
        <w:rPr>
          <w:rFonts w:asciiTheme="majorBidi" w:hAnsiTheme="majorBidi" w:cstheme="majorBidi"/>
        </w:rPr>
        <w:t>In such cases, technology</w:t>
      </w:r>
      <w:r w:rsidR="003002C7">
        <w:rPr>
          <w:rFonts w:asciiTheme="majorBidi" w:hAnsiTheme="majorBidi" w:cstheme="majorBidi"/>
        </w:rPr>
        <w:t xml:space="preserve"> </w:t>
      </w:r>
      <w:r w:rsidR="00FA3E8C" w:rsidRPr="00D2758E">
        <w:rPr>
          <w:rFonts w:asciiTheme="majorBidi" w:hAnsiTheme="majorBidi" w:cstheme="majorBidi"/>
        </w:rPr>
        <w:t>transfer arrangements form</w:t>
      </w:r>
      <w:r w:rsidR="003002C7">
        <w:rPr>
          <w:rFonts w:asciiTheme="majorBidi" w:hAnsiTheme="majorBidi" w:cstheme="majorBidi"/>
        </w:rPr>
        <w:t>ed</w:t>
      </w:r>
      <w:r w:rsidR="00FA3E8C" w:rsidRPr="00D2758E">
        <w:rPr>
          <w:rFonts w:asciiTheme="majorBidi" w:hAnsiTheme="majorBidi" w:cstheme="majorBidi"/>
        </w:rPr>
        <w:t xml:space="preserve"> part of the benefit</w:t>
      </w:r>
      <w:r w:rsidR="00FA3E8C" w:rsidRPr="00D2758E">
        <w:rPr>
          <w:rFonts w:asciiTheme="majorBidi" w:hAnsiTheme="majorBidi" w:cstheme="majorBidi"/>
        </w:rPr>
        <w:noBreakHyphen/>
        <w:t>sharing conditions associated with access, alongside other non</w:t>
      </w:r>
      <w:r w:rsidR="00FA3E8C" w:rsidRPr="00D2758E">
        <w:rPr>
          <w:rFonts w:asciiTheme="majorBidi" w:hAnsiTheme="majorBidi" w:cstheme="majorBidi"/>
        </w:rPr>
        <w:noBreakHyphen/>
        <w:t xml:space="preserve">monetary benefits such as training, joint research </w:t>
      </w:r>
      <w:r w:rsidR="00860166">
        <w:rPr>
          <w:rFonts w:asciiTheme="majorBidi" w:hAnsiTheme="majorBidi" w:cstheme="majorBidi"/>
        </w:rPr>
        <w:t>and</w:t>
      </w:r>
      <w:r w:rsidR="00FA3E8C" w:rsidRPr="00D2758E">
        <w:rPr>
          <w:rFonts w:asciiTheme="majorBidi" w:hAnsiTheme="majorBidi" w:cstheme="majorBidi"/>
        </w:rPr>
        <w:t xml:space="preserve"> access to scientific information.</w:t>
      </w:r>
    </w:p>
    <w:p w14:paraId="67107034" w14:textId="4EBAE37A" w:rsidR="001E55CE" w:rsidRPr="00D2758E" w:rsidRDefault="001E55CE" w:rsidP="004B0132">
      <w:pPr>
        <w:pStyle w:val="CBDTableTitle"/>
        <w:rPr>
          <w:highlight w:val="yellow"/>
        </w:rPr>
      </w:pPr>
      <w:r w:rsidRPr="004B0132">
        <w:rPr>
          <w:b w:val="0"/>
          <w:bCs/>
        </w:rPr>
        <w:t xml:space="preserve">Table </w:t>
      </w:r>
      <w:r w:rsidR="00BB2D22" w:rsidRPr="004B0132">
        <w:rPr>
          <w:b w:val="0"/>
          <w:bCs/>
        </w:rPr>
        <w:t>1</w:t>
      </w:r>
      <w:r w:rsidR="001B62EC" w:rsidRPr="004B0132">
        <w:rPr>
          <w:b w:val="0"/>
          <w:bCs/>
        </w:rPr>
        <w:t>7</w:t>
      </w:r>
      <w:r w:rsidR="004B0132" w:rsidRPr="004B0132">
        <w:rPr>
          <w:b w:val="0"/>
          <w:bCs/>
        </w:rPr>
        <w:t>.</w:t>
      </w:r>
      <w:r w:rsidRPr="004B0132">
        <w:rPr>
          <w:b w:val="0"/>
          <w:bCs/>
        </w:rPr>
        <w:t xml:space="preserve"> </w:t>
      </w:r>
      <w:r w:rsidR="004B0132">
        <w:br/>
      </w:r>
      <w:r w:rsidRPr="00D2758E">
        <w:t>Indicators to measure progress on technology transfer</w:t>
      </w:r>
    </w:p>
    <w:tbl>
      <w:tblPr>
        <w:tblW w:w="9144" w:type="dxa"/>
        <w:tblInd w:w="56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803"/>
        <w:gridCol w:w="1829"/>
        <w:gridCol w:w="1512"/>
      </w:tblGrid>
      <w:tr w:rsidR="00D72E88" w:rsidRPr="00D2758E" w14:paraId="70AE2CFC" w14:textId="77777777" w:rsidTr="006B066D">
        <w:trPr>
          <w:cantSplit/>
        </w:trPr>
        <w:tc>
          <w:tcPr>
            <w:tcW w:w="5803" w:type="dxa"/>
            <w:tcBorders>
              <w:top w:val="single" w:sz="4" w:space="0" w:color="auto"/>
              <w:left w:val="single" w:sz="4" w:space="0" w:color="auto"/>
              <w:bottom w:val="single" w:sz="4" w:space="0" w:color="auto"/>
              <w:right w:val="single" w:sz="4" w:space="0" w:color="auto"/>
            </w:tcBorders>
            <w:tcMar>
              <w:top w:w="29" w:type="dxa"/>
              <w:left w:w="115" w:type="dxa"/>
              <w:bottom w:w="29" w:type="dxa"/>
              <w:right w:w="115" w:type="dxa"/>
            </w:tcMar>
            <w:vAlign w:val="bottom"/>
            <w:hideMark/>
          </w:tcPr>
          <w:p w14:paraId="7CAD613D" w14:textId="77777777" w:rsidR="001E55CE" w:rsidRPr="006B066D" w:rsidRDefault="001E55CE" w:rsidP="006B066D">
            <w:pPr>
              <w:suppressLineNumbers/>
              <w:suppressAutoHyphens/>
              <w:kinsoku w:val="0"/>
              <w:overflowPunct w:val="0"/>
              <w:autoSpaceDE w:val="0"/>
              <w:autoSpaceDN w:val="0"/>
              <w:adjustRightInd w:val="0"/>
              <w:snapToGrid w:val="0"/>
              <w:ind w:left="314" w:hanging="360"/>
              <w:jc w:val="left"/>
              <w:rPr>
                <w:rFonts w:asciiTheme="majorBidi" w:hAnsiTheme="majorBidi" w:cstheme="majorBidi"/>
                <w:i/>
                <w:iCs/>
                <w:kern w:val="22"/>
                <w:sz w:val="20"/>
                <w:szCs w:val="20"/>
                <w:shd w:val="pct15" w:color="auto" w:fill="FFFFFF"/>
              </w:rPr>
            </w:pPr>
            <w:r w:rsidRPr="006B066D">
              <w:rPr>
                <w:rFonts w:asciiTheme="majorBidi" w:hAnsiTheme="majorBidi" w:cstheme="majorBidi"/>
                <w:i/>
                <w:iCs/>
                <w:kern w:val="22"/>
                <w:sz w:val="20"/>
                <w:szCs w:val="20"/>
              </w:rPr>
              <w:t>Framework of indicators</w:t>
            </w:r>
          </w:p>
        </w:tc>
        <w:tc>
          <w:tcPr>
            <w:tcW w:w="1829" w:type="dxa"/>
            <w:tcBorders>
              <w:top w:val="single" w:sz="4" w:space="0" w:color="auto"/>
              <w:left w:val="single" w:sz="4" w:space="0" w:color="auto"/>
              <w:bottom w:val="single" w:sz="4" w:space="0" w:color="auto"/>
              <w:right w:val="single" w:sz="4" w:space="0" w:color="auto"/>
            </w:tcBorders>
            <w:tcMar>
              <w:top w:w="29" w:type="dxa"/>
              <w:left w:w="115" w:type="dxa"/>
              <w:bottom w:w="29" w:type="dxa"/>
              <w:right w:w="115" w:type="dxa"/>
            </w:tcMar>
            <w:vAlign w:val="bottom"/>
            <w:hideMark/>
          </w:tcPr>
          <w:p w14:paraId="22786603" w14:textId="5DEB8C4E" w:rsidR="001E55CE" w:rsidRPr="006B066D" w:rsidRDefault="001E55CE" w:rsidP="006B066D">
            <w:pPr>
              <w:suppressLineNumbers/>
              <w:suppressAutoHyphens/>
              <w:kinsoku w:val="0"/>
              <w:overflowPunct w:val="0"/>
              <w:autoSpaceDE w:val="0"/>
              <w:autoSpaceDN w:val="0"/>
              <w:adjustRightInd w:val="0"/>
              <w:snapToGrid w:val="0"/>
              <w:jc w:val="right"/>
              <w:rPr>
                <w:rFonts w:asciiTheme="majorBidi" w:eastAsia="Calibri" w:hAnsiTheme="majorBidi" w:cstheme="majorBidi"/>
                <w:i/>
                <w:iCs/>
                <w:kern w:val="22"/>
                <w:sz w:val="20"/>
                <w:szCs w:val="20"/>
              </w:rPr>
            </w:pPr>
            <w:r w:rsidRPr="006B066D">
              <w:rPr>
                <w:rFonts w:asciiTheme="majorBidi" w:eastAsia="Calibri" w:hAnsiTheme="majorBidi" w:cstheme="majorBidi"/>
                <w:i/>
                <w:iCs/>
                <w:kern w:val="22"/>
                <w:sz w:val="20"/>
                <w:szCs w:val="20"/>
              </w:rPr>
              <w:t xml:space="preserve">Reference point (as </w:t>
            </w:r>
            <w:r w:rsidR="00673D0E" w:rsidRPr="006B066D">
              <w:rPr>
                <w:rFonts w:asciiTheme="majorBidi" w:eastAsia="Calibri" w:hAnsiTheme="majorBidi" w:cstheme="majorBidi"/>
                <w:i/>
                <w:iCs/>
                <w:kern w:val="22"/>
                <w:sz w:val="20"/>
                <w:szCs w:val="20"/>
              </w:rPr>
              <w:t xml:space="preserve">at </w:t>
            </w:r>
            <w:r w:rsidRPr="006B066D">
              <w:rPr>
                <w:rFonts w:asciiTheme="majorBidi" w:eastAsia="Calibri" w:hAnsiTheme="majorBidi" w:cstheme="majorBidi"/>
                <w:i/>
                <w:iCs/>
                <w:kern w:val="22"/>
                <w:sz w:val="20"/>
                <w:szCs w:val="20"/>
              </w:rPr>
              <w:t>22 February 2018)</w:t>
            </w:r>
          </w:p>
        </w:tc>
        <w:tc>
          <w:tcPr>
            <w:tcW w:w="1512" w:type="dxa"/>
            <w:tcBorders>
              <w:top w:val="single" w:sz="4" w:space="0" w:color="auto"/>
              <w:left w:val="single" w:sz="4" w:space="0" w:color="auto"/>
              <w:bottom w:val="single" w:sz="4" w:space="0" w:color="auto"/>
              <w:right w:val="single" w:sz="4" w:space="0" w:color="auto"/>
            </w:tcBorders>
            <w:vAlign w:val="bottom"/>
          </w:tcPr>
          <w:p w14:paraId="7FEE3683" w14:textId="67F4F256" w:rsidR="001E55CE" w:rsidRPr="006B066D" w:rsidRDefault="00F43D6C" w:rsidP="006B066D">
            <w:pPr>
              <w:suppressLineNumbers/>
              <w:suppressAutoHyphens/>
              <w:kinsoku w:val="0"/>
              <w:overflowPunct w:val="0"/>
              <w:autoSpaceDE w:val="0"/>
              <w:autoSpaceDN w:val="0"/>
              <w:adjustRightInd w:val="0"/>
              <w:snapToGrid w:val="0"/>
              <w:jc w:val="right"/>
              <w:rPr>
                <w:rFonts w:asciiTheme="majorBidi" w:eastAsia="Calibri" w:hAnsiTheme="majorBidi" w:cstheme="majorBidi"/>
                <w:i/>
                <w:iCs/>
                <w:kern w:val="22"/>
                <w:sz w:val="20"/>
                <w:szCs w:val="20"/>
              </w:rPr>
            </w:pPr>
            <w:r>
              <w:rPr>
                <w:rFonts w:asciiTheme="majorBidi" w:eastAsia="Calibri" w:hAnsiTheme="majorBidi" w:cstheme="majorBidi"/>
                <w:i/>
                <w:iCs/>
                <w:kern w:val="22"/>
                <w:sz w:val="20"/>
                <w:szCs w:val="20"/>
              </w:rPr>
              <w:t>Progress as at</w:t>
            </w:r>
            <w:r w:rsidR="002808D4">
              <w:rPr>
                <w:rFonts w:asciiTheme="majorBidi" w:eastAsia="Calibri" w:hAnsiTheme="majorBidi" w:cstheme="majorBidi"/>
                <w:i/>
                <w:iCs/>
                <w:kern w:val="22"/>
                <w:sz w:val="20"/>
                <w:szCs w:val="20"/>
              </w:rPr>
              <w:t xml:space="preserve"> </w:t>
            </w:r>
            <w:r w:rsidR="001E55CE" w:rsidRPr="006B066D">
              <w:rPr>
                <w:rFonts w:asciiTheme="majorBidi" w:eastAsia="Calibri" w:hAnsiTheme="majorBidi" w:cstheme="majorBidi"/>
                <w:i/>
                <w:iCs/>
                <w:kern w:val="22"/>
                <w:sz w:val="20"/>
                <w:szCs w:val="20"/>
              </w:rPr>
              <w:t>9 March 2026</w:t>
            </w:r>
          </w:p>
        </w:tc>
      </w:tr>
      <w:tr w:rsidR="008463A6" w:rsidRPr="00D2758E" w14:paraId="1388CEA1" w14:textId="77777777" w:rsidTr="006B066D">
        <w:trPr>
          <w:cantSplit/>
        </w:trPr>
        <w:tc>
          <w:tcPr>
            <w:tcW w:w="5803" w:type="dxa"/>
            <w:tcBorders>
              <w:top w:val="single" w:sz="4" w:space="0" w:color="auto"/>
              <w:left w:val="single" w:sz="4" w:space="0" w:color="auto"/>
              <w:bottom w:val="single" w:sz="4" w:space="0" w:color="auto"/>
              <w:right w:val="single" w:sz="4" w:space="0" w:color="auto"/>
            </w:tcBorders>
            <w:tcMar>
              <w:top w:w="29" w:type="dxa"/>
              <w:left w:w="115" w:type="dxa"/>
              <w:bottom w:w="29" w:type="dxa"/>
              <w:right w:w="115" w:type="dxa"/>
            </w:tcMar>
            <w:hideMark/>
          </w:tcPr>
          <w:p w14:paraId="6500A0E0" w14:textId="0D201A8B" w:rsidR="001E55CE" w:rsidRPr="00D2758E" w:rsidRDefault="001E55CE" w:rsidP="006B066D">
            <w:pPr>
              <w:suppressLineNumbers/>
              <w:suppressAutoHyphens/>
              <w:kinsoku w:val="0"/>
              <w:overflowPunct w:val="0"/>
              <w:autoSpaceDE w:val="0"/>
              <w:autoSpaceDN w:val="0"/>
              <w:adjustRightInd w:val="0"/>
              <w:snapToGrid w:val="0"/>
              <w:jc w:val="left"/>
              <w:rPr>
                <w:rFonts w:asciiTheme="majorBidi" w:hAnsiTheme="majorBidi" w:cstheme="majorBidi"/>
                <w:kern w:val="22"/>
                <w:sz w:val="20"/>
                <w:szCs w:val="20"/>
              </w:rPr>
            </w:pPr>
            <w:r w:rsidRPr="00D2758E">
              <w:rPr>
                <w:rFonts w:eastAsia="Malgun Gothic"/>
                <w:kern w:val="22"/>
                <w:sz w:val="20"/>
                <w:szCs w:val="20"/>
              </w:rPr>
              <w:t xml:space="preserve">Number and percentage of Parties that have collaborated and cooperated in technical and scientific research and development programmes </w:t>
            </w:r>
            <w:proofErr w:type="gramStart"/>
            <w:r w:rsidRPr="00D2758E">
              <w:rPr>
                <w:rFonts w:eastAsia="Malgun Gothic"/>
                <w:kern w:val="22"/>
                <w:sz w:val="20"/>
                <w:szCs w:val="20"/>
              </w:rPr>
              <w:t>as a means to</w:t>
            </w:r>
            <w:proofErr w:type="gramEnd"/>
            <w:r w:rsidRPr="00D2758E">
              <w:rPr>
                <w:rFonts w:eastAsia="Malgun Gothic"/>
                <w:kern w:val="22"/>
                <w:sz w:val="20"/>
                <w:szCs w:val="20"/>
              </w:rPr>
              <w:t xml:space="preserve"> achieve the objective of the Protocol as provided in Article 23</w:t>
            </w:r>
          </w:p>
        </w:tc>
        <w:tc>
          <w:tcPr>
            <w:tcW w:w="1829" w:type="dxa"/>
            <w:tcBorders>
              <w:top w:val="single" w:sz="4" w:space="0" w:color="auto"/>
              <w:left w:val="single" w:sz="4" w:space="0" w:color="auto"/>
              <w:bottom w:val="single" w:sz="4" w:space="0" w:color="auto"/>
              <w:right w:val="single" w:sz="4" w:space="0" w:color="auto"/>
            </w:tcBorders>
            <w:tcMar>
              <w:top w:w="29" w:type="dxa"/>
              <w:left w:w="115" w:type="dxa"/>
              <w:bottom w:w="29" w:type="dxa"/>
              <w:right w:w="115" w:type="dxa"/>
            </w:tcMar>
            <w:vAlign w:val="bottom"/>
            <w:hideMark/>
          </w:tcPr>
          <w:p w14:paraId="6428AFC7" w14:textId="30727490" w:rsidR="001E55CE" w:rsidRPr="00D2758E" w:rsidRDefault="00F462B9" w:rsidP="006B066D">
            <w:pPr>
              <w:jc w:val="right"/>
              <w:rPr>
                <w:rFonts w:eastAsia="Calibri"/>
                <w:sz w:val="20"/>
                <w:szCs w:val="20"/>
              </w:rPr>
            </w:pPr>
            <w:r w:rsidRPr="00D2758E">
              <w:rPr>
                <w:rFonts w:eastAsia="Calibri"/>
                <w:sz w:val="20"/>
                <w:szCs w:val="20"/>
              </w:rPr>
              <w:t xml:space="preserve">46 </w:t>
            </w:r>
            <w:r w:rsidR="001E55CE" w:rsidRPr="00D2758E">
              <w:rPr>
                <w:rFonts w:eastAsia="Calibri"/>
                <w:sz w:val="20"/>
                <w:szCs w:val="20"/>
              </w:rPr>
              <w:t>(44</w:t>
            </w:r>
            <w:r w:rsidR="002808D4">
              <w:rPr>
                <w:rFonts w:eastAsia="Calibri"/>
                <w:sz w:val="20"/>
                <w:szCs w:val="20"/>
              </w:rPr>
              <w:t xml:space="preserve"> per cent</w:t>
            </w:r>
            <w:r w:rsidR="001E55CE" w:rsidRPr="00D2758E">
              <w:rPr>
                <w:rFonts w:eastAsia="Calibri"/>
                <w:sz w:val="20"/>
                <w:szCs w:val="20"/>
              </w:rPr>
              <w:t>)</w:t>
            </w:r>
          </w:p>
        </w:tc>
        <w:tc>
          <w:tcPr>
            <w:tcW w:w="1512" w:type="dxa"/>
            <w:vAlign w:val="bottom"/>
          </w:tcPr>
          <w:p w14:paraId="0FB450B4" w14:textId="31EE8531" w:rsidR="001E55CE" w:rsidRPr="00D2758E" w:rsidRDefault="00661EB5" w:rsidP="006B066D">
            <w:pPr>
              <w:jc w:val="right"/>
              <w:rPr>
                <w:rFonts w:eastAsia="Calibri"/>
                <w:sz w:val="20"/>
                <w:szCs w:val="20"/>
              </w:rPr>
            </w:pPr>
            <w:r w:rsidRPr="00D2758E">
              <w:rPr>
                <w:rFonts w:eastAsia="Calibri"/>
                <w:sz w:val="20"/>
                <w:szCs w:val="20"/>
              </w:rPr>
              <w:t xml:space="preserve">66 </w:t>
            </w:r>
            <w:r w:rsidR="00B25670" w:rsidRPr="00D2758E">
              <w:rPr>
                <w:rFonts w:eastAsia="Calibri"/>
                <w:sz w:val="20"/>
                <w:szCs w:val="20"/>
              </w:rPr>
              <w:t>(</w:t>
            </w:r>
            <w:r w:rsidR="001E55CE" w:rsidRPr="00D2758E">
              <w:rPr>
                <w:rFonts w:eastAsia="Calibri"/>
                <w:sz w:val="20"/>
                <w:szCs w:val="20"/>
              </w:rPr>
              <w:t>47</w:t>
            </w:r>
            <w:r w:rsidR="002808D4">
              <w:rPr>
                <w:rFonts w:eastAsia="Calibri"/>
                <w:sz w:val="20"/>
                <w:szCs w:val="20"/>
              </w:rPr>
              <w:t xml:space="preserve"> per cent</w:t>
            </w:r>
            <w:r w:rsidR="001E55CE" w:rsidRPr="00D2758E">
              <w:rPr>
                <w:rFonts w:eastAsia="Calibri"/>
                <w:sz w:val="20"/>
                <w:szCs w:val="20"/>
              </w:rPr>
              <w:t>)</w:t>
            </w:r>
          </w:p>
        </w:tc>
      </w:tr>
    </w:tbl>
    <w:p w14:paraId="7B8A2EA3" w14:textId="597BEA76" w:rsidR="00030F36" w:rsidRPr="00D2758E" w:rsidRDefault="004B0132" w:rsidP="004B0132">
      <w:pPr>
        <w:pStyle w:val="CBDH3"/>
      </w:pPr>
      <w:r>
        <w:t>2.</w:t>
      </w:r>
      <w:r>
        <w:tab/>
      </w:r>
      <w:r w:rsidR="00814E9C" w:rsidRPr="00D2758E">
        <w:t xml:space="preserve">Challenges, root causes and possible ways to enhance </w:t>
      </w:r>
      <w:r w:rsidR="004762E9" w:rsidRPr="00D2758E">
        <w:t>technology transfer, collaboration and cooperation</w:t>
      </w:r>
      <w:r w:rsidR="00815B7E" w:rsidRPr="00D2758E">
        <w:t xml:space="preserve"> </w:t>
      </w:r>
      <w:r w:rsidR="00F31AA5" w:rsidRPr="00D2758E">
        <w:t xml:space="preserve">to </w:t>
      </w:r>
      <w:r w:rsidR="004455FB" w:rsidRPr="00D2758E">
        <w:t>support the</w:t>
      </w:r>
      <w:r w:rsidR="00F31AA5" w:rsidRPr="00D2758E">
        <w:t xml:space="preserve"> implementation of the Protocol</w:t>
      </w:r>
      <w:r w:rsidR="00815B7E" w:rsidRPr="00D2758E">
        <w:t xml:space="preserve"> </w:t>
      </w:r>
    </w:p>
    <w:p w14:paraId="2E1BC165" w14:textId="26628D3A" w:rsidR="000C652D" w:rsidRPr="00D2758E" w:rsidRDefault="0034760F" w:rsidP="00CD2C50">
      <w:pPr>
        <w:pStyle w:val="CBDNormalNumber"/>
        <w:rPr>
          <w:rFonts w:asciiTheme="majorBidi" w:hAnsiTheme="majorBidi" w:cstheme="majorBidi"/>
        </w:rPr>
      </w:pPr>
      <w:r w:rsidRPr="00D2758E">
        <w:rPr>
          <w:rFonts w:asciiTheme="majorBidi" w:hAnsiTheme="majorBidi" w:cstheme="majorBidi"/>
        </w:rPr>
        <w:t>Challenges mentioned include</w:t>
      </w:r>
      <w:r w:rsidR="000633D5">
        <w:rPr>
          <w:rFonts w:asciiTheme="majorBidi" w:hAnsiTheme="majorBidi" w:cstheme="majorBidi"/>
        </w:rPr>
        <w:t>d</w:t>
      </w:r>
      <w:r w:rsidR="00993B43" w:rsidRPr="00D2758E">
        <w:rPr>
          <w:rFonts w:asciiTheme="majorBidi" w:hAnsiTheme="majorBidi" w:cstheme="majorBidi"/>
        </w:rPr>
        <w:t xml:space="preserve"> the fact that some Parties ha</w:t>
      </w:r>
      <w:r w:rsidR="000633D5">
        <w:rPr>
          <w:rFonts w:asciiTheme="majorBidi" w:hAnsiTheme="majorBidi" w:cstheme="majorBidi"/>
        </w:rPr>
        <w:t>d</w:t>
      </w:r>
      <w:r w:rsidR="00993B43" w:rsidRPr="00D2758E">
        <w:rPr>
          <w:rFonts w:asciiTheme="majorBidi" w:hAnsiTheme="majorBidi" w:cstheme="majorBidi"/>
        </w:rPr>
        <w:t xml:space="preserve"> </w:t>
      </w:r>
      <w:r w:rsidR="00D84EFB" w:rsidRPr="00D2758E">
        <w:rPr>
          <w:rFonts w:asciiTheme="majorBidi" w:hAnsiTheme="majorBidi" w:cstheme="majorBidi"/>
        </w:rPr>
        <w:t>limited capacity</w:t>
      </w:r>
      <w:r w:rsidR="000C652D" w:rsidRPr="00D2758E">
        <w:rPr>
          <w:rFonts w:asciiTheme="majorBidi" w:hAnsiTheme="majorBidi" w:cstheme="majorBidi"/>
        </w:rPr>
        <w:t xml:space="preserve"> to receive or absorb advanced technologie</w:t>
      </w:r>
      <w:r w:rsidR="00CC0E9C" w:rsidRPr="00D2758E">
        <w:rPr>
          <w:rFonts w:asciiTheme="majorBidi" w:hAnsiTheme="majorBidi" w:cstheme="majorBidi"/>
        </w:rPr>
        <w:t xml:space="preserve">s, the need </w:t>
      </w:r>
      <w:r w:rsidR="00217DA1" w:rsidRPr="00D2758E">
        <w:rPr>
          <w:rFonts w:asciiTheme="majorBidi" w:hAnsiTheme="majorBidi" w:cstheme="majorBidi"/>
        </w:rPr>
        <w:t xml:space="preserve">to </w:t>
      </w:r>
      <w:r w:rsidR="00CC0E9C" w:rsidRPr="00D2758E">
        <w:rPr>
          <w:rFonts w:asciiTheme="majorBidi" w:hAnsiTheme="majorBidi" w:cstheme="majorBidi"/>
        </w:rPr>
        <w:t xml:space="preserve">better articulate the connection between national research activities and </w:t>
      </w:r>
      <w:r w:rsidR="00AB38BA">
        <w:rPr>
          <w:rFonts w:asciiTheme="majorBidi" w:hAnsiTheme="majorBidi" w:cstheme="majorBidi"/>
        </w:rPr>
        <w:t>access and benefit-sharing</w:t>
      </w:r>
      <w:r w:rsidR="00CC0E9C" w:rsidRPr="00D2758E">
        <w:rPr>
          <w:rFonts w:asciiTheme="majorBidi" w:hAnsiTheme="majorBidi" w:cstheme="majorBidi"/>
        </w:rPr>
        <w:t>, short</w:t>
      </w:r>
      <w:r w:rsidR="00AB38BA">
        <w:rPr>
          <w:rFonts w:asciiTheme="majorBidi" w:hAnsiTheme="majorBidi" w:cstheme="majorBidi"/>
        </w:rPr>
        <w:t>-</w:t>
      </w:r>
      <w:r w:rsidR="00CC0E9C" w:rsidRPr="00D2758E">
        <w:t>term</w:t>
      </w:r>
      <w:r w:rsidR="00CC0E9C" w:rsidRPr="00D2758E">
        <w:rPr>
          <w:rFonts w:asciiTheme="majorBidi" w:hAnsiTheme="majorBidi" w:cstheme="majorBidi"/>
        </w:rPr>
        <w:t xml:space="preserve"> approaches </w:t>
      </w:r>
      <w:r w:rsidR="002326D7" w:rsidRPr="00D2758E">
        <w:rPr>
          <w:rFonts w:asciiTheme="majorBidi" w:hAnsiTheme="majorBidi" w:cstheme="majorBidi"/>
        </w:rPr>
        <w:t xml:space="preserve">to funding for research </w:t>
      </w:r>
      <w:r w:rsidR="006C7FAF" w:rsidRPr="00D2758E">
        <w:rPr>
          <w:rFonts w:asciiTheme="majorBidi" w:hAnsiTheme="majorBidi" w:cstheme="majorBidi"/>
        </w:rPr>
        <w:t>and lack of capacity to negotiate and monitor</w:t>
      </w:r>
      <w:r w:rsidR="007E4935" w:rsidRPr="00D2758E">
        <w:rPr>
          <w:rFonts w:asciiTheme="majorBidi" w:hAnsiTheme="majorBidi" w:cstheme="majorBidi"/>
        </w:rPr>
        <w:t xml:space="preserve"> mutually agreed terms</w:t>
      </w:r>
      <w:r w:rsidR="006C7FAF" w:rsidRPr="00D2758E">
        <w:rPr>
          <w:rFonts w:asciiTheme="majorBidi" w:hAnsiTheme="majorBidi" w:cstheme="majorBidi"/>
        </w:rPr>
        <w:t xml:space="preserve">. </w:t>
      </w:r>
    </w:p>
    <w:p w14:paraId="3732390A" w14:textId="572CEE61" w:rsidR="005C19B5" w:rsidRPr="00D2758E" w:rsidRDefault="003F3750" w:rsidP="00CD2C50">
      <w:pPr>
        <w:pStyle w:val="CBDNormalNumber"/>
      </w:pPr>
      <w:r w:rsidRPr="00D2758E">
        <w:t xml:space="preserve">Establishing a clear policy vision prior to drafting legislation was found to support the development of a </w:t>
      </w:r>
      <w:r w:rsidRPr="00D2758E">
        <w:rPr>
          <w:rFonts w:asciiTheme="majorBidi" w:hAnsiTheme="majorBidi" w:cstheme="majorBidi"/>
        </w:rPr>
        <w:t>stronger</w:t>
      </w:r>
      <w:r w:rsidRPr="00D2758E">
        <w:t xml:space="preserve"> and more coherent legal framework</w:t>
      </w:r>
      <w:r w:rsidR="006A6CE0" w:rsidRPr="00D2758E">
        <w:t xml:space="preserve">. </w:t>
      </w:r>
      <w:r w:rsidR="00254186" w:rsidRPr="00D2758E">
        <w:t>Policy instruments c</w:t>
      </w:r>
      <w:r w:rsidR="007D0CEF">
        <w:t>ould</w:t>
      </w:r>
      <w:r w:rsidR="00254186" w:rsidRPr="00D2758E">
        <w:t xml:space="preserve"> help articulate </w:t>
      </w:r>
      <w:r w:rsidR="00E913B3" w:rsidRPr="00D2758E">
        <w:t>countries’ priorities</w:t>
      </w:r>
      <w:r w:rsidR="00B47840" w:rsidRPr="00D2758E">
        <w:t xml:space="preserve"> </w:t>
      </w:r>
      <w:r w:rsidR="00FF4D3C" w:rsidRPr="00D2758E">
        <w:t xml:space="preserve">for </w:t>
      </w:r>
      <w:r w:rsidR="007D0CEF">
        <w:t>access and benefit-sharing</w:t>
      </w:r>
      <w:r w:rsidR="000A131C" w:rsidRPr="00D2758E">
        <w:t xml:space="preserve">. </w:t>
      </w:r>
      <w:r w:rsidR="000A131C" w:rsidRPr="00D2758E">
        <w:rPr>
          <w:rFonts w:asciiTheme="majorBidi" w:hAnsiTheme="majorBidi" w:cstheme="majorBidi"/>
        </w:rPr>
        <w:t>S</w:t>
      </w:r>
      <w:r w:rsidR="005C19B5" w:rsidRPr="00D2758E">
        <w:rPr>
          <w:rFonts w:asciiTheme="majorBidi" w:hAnsiTheme="majorBidi" w:cstheme="majorBidi"/>
        </w:rPr>
        <w:t>trengthen</w:t>
      </w:r>
      <w:r w:rsidR="001F7151">
        <w:rPr>
          <w:rFonts w:asciiTheme="majorBidi" w:hAnsiTheme="majorBidi" w:cstheme="majorBidi"/>
        </w:rPr>
        <w:t>ed</w:t>
      </w:r>
      <w:r w:rsidR="005C19B5" w:rsidRPr="00D2758E">
        <w:rPr>
          <w:rFonts w:asciiTheme="majorBidi" w:hAnsiTheme="majorBidi" w:cstheme="majorBidi"/>
        </w:rPr>
        <w:t xml:space="preserve"> capacity to undertake endogenous biodiversity-based research and development to add value to genetic resources</w:t>
      </w:r>
      <w:r w:rsidR="006049BC" w:rsidRPr="00D2758E">
        <w:rPr>
          <w:rFonts w:asciiTheme="majorBidi" w:hAnsiTheme="majorBidi" w:cstheme="majorBidi"/>
        </w:rPr>
        <w:t>,</w:t>
      </w:r>
      <w:r w:rsidR="005C19B5" w:rsidRPr="00D2758E">
        <w:rPr>
          <w:rStyle w:val="FootnoteReference"/>
          <w:rFonts w:asciiTheme="majorBidi" w:hAnsiTheme="majorBidi" w:cstheme="majorBidi"/>
        </w:rPr>
        <w:footnoteReference w:id="100"/>
      </w:r>
      <w:r w:rsidR="006049BC" w:rsidRPr="00D2758E">
        <w:rPr>
          <w:rFonts w:asciiTheme="majorBidi" w:hAnsiTheme="majorBidi" w:cstheme="majorBidi"/>
        </w:rPr>
        <w:t xml:space="preserve"> </w:t>
      </w:r>
      <w:r w:rsidR="000A131C" w:rsidRPr="00D2758E">
        <w:rPr>
          <w:rFonts w:asciiTheme="majorBidi" w:hAnsiTheme="majorBidi" w:cstheme="majorBidi"/>
        </w:rPr>
        <w:t xml:space="preserve">including </w:t>
      </w:r>
      <w:r w:rsidR="00F90748" w:rsidRPr="00D2758E">
        <w:rPr>
          <w:rFonts w:asciiTheme="majorBidi" w:hAnsiTheme="majorBidi" w:cstheme="majorBidi"/>
        </w:rPr>
        <w:t xml:space="preserve">technology transfer as </w:t>
      </w:r>
      <w:r w:rsidR="001F7151">
        <w:rPr>
          <w:rFonts w:asciiTheme="majorBidi" w:hAnsiTheme="majorBidi" w:cstheme="majorBidi"/>
        </w:rPr>
        <w:t xml:space="preserve">a </w:t>
      </w:r>
      <w:r w:rsidR="00F90748" w:rsidRPr="00D2758E">
        <w:rPr>
          <w:rFonts w:asciiTheme="majorBidi" w:hAnsiTheme="majorBidi" w:cstheme="majorBidi"/>
        </w:rPr>
        <w:t>priority</w:t>
      </w:r>
      <w:r w:rsidR="001F7151">
        <w:rPr>
          <w:rFonts w:asciiTheme="majorBidi" w:hAnsiTheme="majorBidi" w:cstheme="majorBidi"/>
        </w:rPr>
        <w:t>,</w:t>
      </w:r>
      <w:r w:rsidR="000A131C" w:rsidRPr="00D2758E">
        <w:rPr>
          <w:rFonts w:asciiTheme="majorBidi" w:hAnsiTheme="majorBidi" w:cstheme="majorBidi"/>
        </w:rPr>
        <w:t xml:space="preserve"> could be</w:t>
      </w:r>
      <w:r w:rsidR="00726BB0" w:rsidRPr="00D2758E">
        <w:rPr>
          <w:rFonts w:asciiTheme="majorBidi" w:hAnsiTheme="majorBidi" w:cstheme="majorBidi"/>
        </w:rPr>
        <w:t xml:space="preserve"> among</w:t>
      </w:r>
      <w:r w:rsidR="000A131C" w:rsidRPr="00D2758E">
        <w:rPr>
          <w:rFonts w:asciiTheme="majorBidi" w:hAnsiTheme="majorBidi" w:cstheme="majorBidi"/>
        </w:rPr>
        <w:t xml:space="preserve"> the poli</w:t>
      </w:r>
      <w:r w:rsidR="00726BB0" w:rsidRPr="00D2758E">
        <w:rPr>
          <w:rFonts w:asciiTheme="majorBidi" w:hAnsiTheme="majorBidi" w:cstheme="majorBidi"/>
        </w:rPr>
        <w:t>cy’s objectives</w:t>
      </w:r>
      <w:r w:rsidR="00FD2FAD" w:rsidRPr="00D2758E">
        <w:rPr>
          <w:rFonts w:asciiTheme="majorBidi" w:hAnsiTheme="majorBidi" w:cstheme="majorBidi"/>
        </w:rPr>
        <w:t>.</w:t>
      </w:r>
    </w:p>
    <w:p w14:paraId="2DC97733" w14:textId="6EE84789" w:rsidR="00030F36" w:rsidRPr="006B066D" w:rsidRDefault="007D0CEF" w:rsidP="006B066D">
      <w:pPr>
        <w:pStyle w:val="CBDNormalNumber"/>
        <w:numPr>
          <w:ilvl w:val="0"/>
          <w:numId w:val="0"/>
        </w:numPr>
        <w:ind w:left="567"/>
        <w:rPr>
          <w:kern w:val="22"/>
        </w:rPr>
      </w:pPr>
      <w:r>
        <w:rPr>
          <w:rFonts w:asciiTheme="majorBidi" w:hAnsiTheme="majorBidi" w:cstheme="majorBidi"/>
        </w:rPr>
        <w:t xml:space="preserve">243. </w:t>
      </w:r>
      <w:r w:rsidR="006E2E0C" w:rsidRPr="00D2758E">
        <w:rPr>
          <w:rFonts w:asciiTheme="majorBidi" w:hAnsiTheme="majorBidi" w:cstheme="majorBidi"/>
        </w:rPr>
        <w:t>T</w:t>
      </w:r>
      <w:r w:rsidR="00EB49BC" w:rsidRPr="00D2758E">
        <w:rPr>
          <w:rFonts w:asciiTheme="majorBidi" w:hAnsiTheme="majorBidi" w:cstheme="majorBidi"/>
        </w:rPr>
        <w:t xml:space="preserve">he inclusion of technology transfer elements in negotiated </w:t>
      </w:r>
      <w:r w:rsidR="00D86B2D">
        <w:rPr>
          <w:rFonts w:asciiTheme="majorBidi" w:hAnsiTheme="majorBidi" w:cstheme="majorBidi"/>
        </w:rPr>
        <w:t xml:space="preserve">access and benefit-sharing </w:t>
      </w:r>
      <w:r w:rsidR="00EB49BC" w:rsidRPr="00D2758E">
        <w:rPr>
          <w:rFonts w:asciiTheme="majorBidi" w:hAnsiTheme="majorBidi" w:cstheme="majorBidi"/>
        </w:rPr>
        <w:t>agreements c</w:t>
      </w:r>
      <w:r w:rsidR="00D86B2D">
        <w:rPr>
          <w:rFonts w:asciiTheme="majorBidi" w:hAnsiTheme="majorBidi" w:cstheme="majorBidi"/>
        </w:rPr>
        <w:t>ould</w:t>
      </w:r>
      <w:r w:rsidR="00EB49BC" w:rsidRPr="00D2758E">
        <w:rPr>
          <w:rFonts w:asciiTheme="majorBidi" w:hAnsiTheme="majorBidi" w:cstheme="majorBidi"/>
        </w:rPr>
        <w:t xml:space="preserve"> contribute to longer</w:t>
      </w:r>
      <w:r w:rsidR="00564632">
        <w:rPr>
          <w:rFonts w:asciiTheme="majorBidi" w:hAnsiTheme="majorBidi" w:cstheme="majorBidi"/>
        </w:rPr>
        <w:t>-</w:t>
      </w:r>
      <w:r w:rsidR="00EB49BC" w:rsidRPr="00D2758E">
        <w:rPr>
          <w:rFonts w:asciiTheme="majorBidi" w:hAnsiTheme="majorBidi" w:cstheme="majorBidi"/>
        </w:rPr>
        <w:t>term capacity development and more balanced benefit</w:t>
      </w:r>
      <w:r w:rsidR="00D16C61" w:rsidRPr="00D2758E">
        <w:rPr>
          <w:rFonts w:asciiTheme="majorBidi" w:hAnsiTheme="majorBidi" w:cstheme="majorBidi"/>
        </w:rPr>
        <w:t>-</w:t>
      </w:r>
      <w:r w:rsidR="00EB49BC" w:rsidRPr="00D2758E">
        <w:rPr>
          <w:rFonts w:asciiTheme="majorBidi" w:hAnsiTheme="majorBidi" w:cstheme="majorBidi"/>
        </w:rPr>
        <w:t xml:space="preserve">sharing outcomes, </w:t>
      </w:r>
      <w:proofErr w:type="gramStart"/>
      <w:r w:rsidR="00670C9F">
        <w:rPr>
          <w:rFonts w:asciiTheme="majorBidi" w:hAnsiTheme="majorBidi" w:cstheme="majorBidi"/>
        </w:rPr>
        <w:t xml:space="preserve">in </w:t>
      </w:r>
      <w:r w:rsidR="00EB49BC" w:rsidRPr="00D2758E">
        <w:rPr>
          <w:rFonts w:asciiTheme="majorBidi" w:hAnsiTheme="majorBidi" w:cstheme="majorBidi"/>
        </w:rPr>
        <w:t>particular when</w:t>
      </w:r>
      <w:proofErr w:type="gramEnd"/>
      <w:r w:rsidR="00EB49BC" w:rsidRPr="00D2758E">
        <w:rPr>
          <w:rFonts w:asciiTheme="majorBidi" w:hAnsiTheme="majorBidi" w:cstheme="majorBidi"/>
        </w:rPr>
        <w:t xml:space="preserve"> aligned with national priorities and implementation capacitie</w:t>
      </w:r>
      <w:r w:rsidR="009F1B58" w:rsidRPr="00D2758E">
        <w:rPr>
          <w:rFonts w:asciiTheme="majorBidi" w:hAnsiTheme="majorBidi" w:cstheme="majorBidi"/>
        </w:rPr>
        <w:t xml:space="preserve">s. </w:t>
      </w:r>
      <w:r w:rsidR="00564632">
        <w:rPr>
          <w:rFonts w:asciiTheme="majorBidi" w:hAnsiTheme="majorBidi" w:cstheme="majorBidi"/>
        </w:rPr>
        <w:t xml:space="preserve">Access and benefit-sharing </w:t>
      </w:r>
      <w:r w:rsidR="009F1B58" w:rsidRPr="00D2758E">
        <w:rPr>
          <w:rFonts w:asciiTheme="majorBidi" w:hAnsiTheme="majorBidi" w:cstheme="majorBidi"/>
        </w:rPr>
        <w:t xml:space="preserve">measures, </w:t>
      </w:r>
      <w:r w:rsidR="00685AEB" w:rsidRPr="00D2758E">
        <w:rPr>
          <w:rFonts w:asciiTheme="majorBidi" w:hAnsiTheme="majorBidi" w:cstheme="majorBidi"/>
        </w:rPr>
        <w:t xml:space="preserve">templates or model contractual clauses </w:t>
      </w:r>
      <w:r w:rsidR="00564632">
        <w:rPr>
          <w:rFonts w:asciiTheme="majorBidi" w:hAnsiTheme="majorBidi" w:cstheme="majorBidi"/>
        </w:rPr>
        <w:t xml:space="preserve">could </w:t>
      </w:r>
      <w:r w:rsidR="00685AEB" w:rsidRPr="00D2758E">
        <w:t>support</w:t>
      </w:r>
      <w:r w:rsidR="00685AEB" w:rsidRPr="00D2758E">
        <w:rPr>
          <w:rFonts w:asciiTheme="majorBidi" w:hAnsiTheme="majorBidi" w:cstheme="majorBidi"/>
        </w:rPr>
        <w:t xml:space="preserve"> the inclusion of technology</w:t>
      </w:r>
      <w:r w:rsidR="009F1B58" w:rsidRPr="00D2758E">
        <w:rPr>
          <w:rFonts w:asciiTheme="majorBidi" w:hAnsiTheme="majorBidi" w:cstheme="majorBidi"/>
        </w:rPr>
        <w:t xml:space="preserve"> </w:t>
      </w:r>
      <w:r w:rsidR="00685AEB" w:rsidRPr="00D2758E">
        <w:rPr>
          <w:rFonts w:asciiTheme="majorBidi" w:hAnsiTheme="majorBidi" w:cstheme="majorBidi"/>
        </w:rPr>
        <w:t xml:space="preserve">transfer provisions in </w:t>
      </w:r>
      <w:r w:rsidR="00564632">
        <w:rPr>
          <w:rFonts w:asciiTheme="majorBidi" w:hAnsiTheme="majorBidi" w:cstheme="majorBidi"/>
        </w:rPr>
        <w:t xml:space="preserve">access and benefit-sharing </w:t>
      </w:r>
      <w:r w:rsidR="00685AEB" w:rsidRPr="00D2758E">
        <w:rPr>
          <w:rFonts w:asciiTheme="majorBidi" w:hAnsiTheme="majorBidi" w:cstheme="majorBidi"/>
        </w:rPr>
        <w:t>agreements, reflecting national priorities and implementation needs.</w:t>
      </w:r>
    </w:p>
    <w:p w14:paraId="20EFB657" w14:textId="630ABB8A" w:rsidR="00C45731" w:rsidRPr="00D2758E" w:rsidRDefault="00D84123" w:rsidP="00A85D7A">
      <w:pPr>
        <w:pStyle w:val="Para1"/>
        <w:numPr>
          <w:ilvl w:val="0"/>
          <w:numId w:val="0"/>
        </w:numPr>
        <w:tabs>
          <w:tab w:val="left" w:pos="1080"/>
        </w:tabs>
        <w:ind w:left="720"/>
        <w:jc w:val="center"/>
        <w:rPr>
          <w:kern w:val="22"/>
        </w:rPr>
      </w:pPr>
      <w:r w:rsidRPr="00D2758E">
        <w:rPr>
          <w:kern w:val="22"/>
        </w:rPr>
        <w:t>__________</w:t>
      </w:r>
    </w:p>
    <w:sectPr w:rsidR="00C45731" w:rsidRPr="00D2758E" w:rsidSect="00515215">
      <w:pgSz w:w="12240" w:h="15840" w:code="1"/>
      <w:pgMar w:top="1021" w:right="1440" w:bottom="1134" w:left="1440" w:header="720" w:footer="720" w:gutter="0"/>
      <w:cols w:space="720"/>
      <w:noEndnote/>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BD5F8D9" w14:textId="77777777" w:rsidR="0008333A" w:rsidRPr="00D2758E" w:rsidRDefault="0008333A" w:rsidP="00A96B21">
      <w:r w:rsidRPr="00D2758E">
        <w:separator/>
      </w:r>
    </w:p>
  </w:endnote>
  <w:endnote w:type="continuationSeparator" w:id="0">
    <w:p w14:paraId="7A6C89B3" w14:textId="77777777" w:rsidR="0008333A" w:rsidRPr="00D2758E" w:rsidRDefault="0008333A" w:rsidP="00A96B21">
      <w:r w:rsidRPr="00D2758E">
        <w:continuationSeparator/>
      </w:r>
    </w:p>
  </w:endnote>
  <w:endnote w:type="continuationNotice" w:id="1">
    <w:p w14:paraId="55AF8A0C" w14:textId="77777777" w:rsidR="0008333A" w:rsidRPr="00D2758E" w:rsidRDefault="0008333A"/>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Times New Roman Bold">
    <w:altName w:val="Times New Roman"/>
    <w:panose1 w:val="02020803070505020304"/>
    <w:charset w:val="00"/>
    <w:family w:val="auto"/>
    <w:pitch w:val="variable"/>
    <w:sig w:usb0="00000003" w:usb1="00000000" w:usb2="00000000" w:usb3="00000000" w:csb0="00000001"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DengXian Light">
    <w:charset w:val="86"/>
    <w:family w:val="auto"/>
    <w:pitch w:val="variable"/>
    <w:sig w:usb0="A00002BF" w:usb1="38CF7CFA" w:usb2="00000016" w:usb3="00000000" w:csb0="0004000F" w:csb1="00000000"/>
  </w:font>
  <w:font w:name="DengXian">
    <w:panose1 w:val="02010600030101010101"/>
    <w:charset w:val="86"/>
    <w:family w:val="auto"/>
    <w:pitch w:val="variable"/>
    <w:sig w:usb0="A00002BF" w:usb1="38CF7CFA" w:usb2="00000016" w:usb3="00000000" w:csb0="0004000F" w:csb1="00000000"/>
  </w:font>
  <w:font w:name="Simplified Arabic">
    <w:charset w:val="B2"/>
    <w:family w:val="roman"/>
    <w:pitch w:val="variable"/>
    <w:sig w:usb0="00002003" w:usb1="80000000" w:usb2="00000008" w:usb3="00000000" w:csb0="00000041"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Consolas">
    <w:panose1 w:val="020B0609020204030204"/>
    <w:charset w:val="00"/>
    <w:family w:val="modern"/>
    <w:pitch w:val="fixed"/>
    <w:sig w:usb0="E00006FF" w:usb1="0000FCFF" w:usb2="00000001" w:usb3="00000000" w:csb0="0000019F" w:csb1="00000000"/>
  </w:font>
  <w:font w:name="Malgun Gothic">
    <w:panose1 w:val="020B0503020000020004"/>
    <w:charset w:val="81"/>
    <w:family w:val="swiss"/>
    <w:pitch w:val="variable"/>
    <w:sig w:usb0="9000002F" w:usb1="29D77CFB" w:usb2="00000012" w:usb3="00000000" w:csb0="00080001" w:csb1="00000000"/>
  </w:font>
  <w:font w:name="Aptos">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9E0B336" w14:textId="77777777" w:rsidR="002B559C" w:rsidRPr="00D2758E" w:rsidRDefault="002B559C">
    <w:pPr>
      <w:pStyle w:val="Footer"/>
    </w:pPr>
    <w:r w:rsidRPr="00D2758E">
      <w:rPr>
        <w:szCs w:val="20"/>
      </w:rPr>
      <w:fldChar w:fldCharType="begin"/>
    </w:r>
    <w:r w:rsidRPr="00D2758E">
      <w:rPr>
        <w:szCs w:val="20"/>
      </w:rPr>
      <w:instrText xml:space="preserve"> PAGE </w:instrText>
    </w:r>
    <w:r w:rsidRPr="00D2758E">
      <w:rPr>
        <w:szCs w:val="20"/>
      </w:rPr>
      <w:fldChar w:fldCharType="separate"/>
    </w:r>
    <w:r w:rsidRPr="00D2758E">
      <w:rPr>
        <w:noProof/>
        <w:szCs w:val="20"/>
      </w:rPr>
      <w:t>2</w:t>
    </w:r>
    <w:r w:rsidRPr="00D2758E">
      <w:rPr>
        <w:szCs w:val="20"/>
      </w:rPr>
      <w:fldChar w:fldCharType="end"/>
    </w:r>
    <w:r w:rsidRPr="00D2758E">
      <w:rPr>
        <w:szCs w:val="20"/>
      </w:rPr>
      <w:t>/</w:t>
    </w:r>
    <w:r w:rsidRPr="00D2758E">
      <w:rPr>
        <w:szCs w:val="20"/>
      </w:rPr>
      <w:fldChar w:fldCharType="begin"/>
    </w:r>
    <w:r w:rsidRPr="00D2758E">
      <w:rPr>
        <w:szCs w:val="20"/>
      </w:rPr>
      <w:instrText xml:space="preserve"> NUMPAGES  </w:instrText>
    </w:r>
    <w:r w:rsidRPr="00D2758E">
      <w:rPr>
        <w:szCs w:val="20"/>
      </w:rPr>
      <w:fldChar w:fldCharType="separate"/>
    </w:r>
    <w:r w:rsidRPr="00D2758E">
      <w:rPr>
        <w:noProof/>
        <w:szCs w:val="20"/>
      </w:rPr>
      <w:t>2</w:t>
    </w:r>
    <w:r w:rsidRPr="00D2758E">
      <w:rPr>
        <w:szCs w:val="20"/>
      </w:rP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2064511934"/>
      <w:docPartObj>
        <w:docPartGallery w:val="Page Numbers (Bottom of Page)"/>
        <w:docPartUnique/>
      </w:docPartObj>
    </w:sdtPr>
    <w:sdtContent>
      <w:sdt>
        <w:sdtPr>
          <w:id w:val="-1769616900"/>
          <w:docPartObj>
            <w:docPartGallery w:val="Page Numbers (Top of Page)"/>
            <w:docPartUnique/>
          </w:docPartObj>
        </w:sdtPr>
        <w:sdtContent>
          <w:p w14:paraId="3537F705" w14:textId="77777777" w:rsidR="002B559C" w:rsidRPr="00D2758E" w:rsidRDefault="002B559C" w:rsidP="002B559C">
            <w:pPr>
              <w:pStyle w:val="Footer"/>
              <w:jc w:val="right"/>
            </w:pPr>
            <w:r w:rsidRPr="00D2758E">
              <w:rPr>
                <w:szCs w:val="20"/>
              </w:rPr>
              <w:fldChar w:fldCharType="begin"/>
            </w:r>
            <w:r w:rsidRPr="00D2758E">
              <w:rPr>
                <w:szCs w:val="20"/>
              </w:rPr>
              <w:instrText xml:space="preserve"> PAGE </w:instrText>
            </w:r>
            <w:r w:rsidRPr="00D2758E">
              <w:rPr>
                <w:szCs w:val="20"/>
              </w:rPr>
              <w:fldChar w:fldCharType="separate"/>
            </w:r>
            <w:r w:rsidRPr="00D2758E">
              <w:rPr>
                <w:noProof/>
                <w:szCs w:val="20"/>
              </w:rPr>
              <w:t>2</w:t>
            </w:r>
            <w:r w:rsidRPr="00D2758E">
              <w:rPr>
                <w:szCs w:val="20"/>
              </w:rPr>
              <w:fldChar w:fldCharType="end"/>
            </w:r>
            <w:r w:rsidRPr="00D2758E">
              <w:rPr>
                <w:szCs w:val="20"/>
              </w:rPr>
              <w:t>/</w:t>
            </w:r>
            <w:r w:rsidRPr="00D2758E">
              <w:rPr>
                <w:szCs w:val="20"/>
              </w:rPr>
              <w:fldChar w:fldCharType="begin"/>
            </w:r>
            <w:r w:rsidRPr="00D2758E">
              <w:rPr>
                <w:szCs w:val="20"/>
              </w:rPr>
              <w:instrText xml:space="preserve"> NUMPAGES  </w:instrText>
            </w:r>
            <w:r w:rsidRPr="00D2758E">
              <w:rPr>
                <w:szCs w:val="20"/>
              </w:rPr>
              <w:fldChar w:fldCharType="separate"/>
            </w:r>
            <w:r w:rsidRPr="00D2758E">
              <w:rPr>
                <w:noProof/>
                <w:szCs w:val="20"/>
              </w:rPr>
              <w:t>2</w:t>
            </w:r>
            <w:r w:rsidRPr="00D2758E">
              <w:rPr>
                <w:szCs w:val="20"/>
              </w:rPr>
              <w:fldChar w:fldCharType="end"/>
            </w:r>
          </w:p>
        </w:sdtContent>
      </w:sdt>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C7691D4" w14:textId="77777777" w:rsidR="0008333A" w:rsidRPr="00D2758E" w:rsidRDefault="0008333A" w:rsidP="00A96B21">
      <w:r w:rsidRPr="00D2758E">
        <w:separator/>
      </w:r>
    </w:p>
  </w:footnote>
  <w:footnote w:type="continuationSeparator" w:id="0">
    <w:p w14:paraId="7CF8AB56" w14:textId="77777777" w:rsidR="0008333A" w:rsidRPr="00D2758E" w:rsidRDefault="0008333A" w:rsidP="00A96B21">
      <w:r w:rsidRPr="00D2758E">
        <w:continuationSeparator/>
      </w:r>
    </w:p>
  </w:footnote>
  <w:footnote w:type="continuationNotice" w:id="1">
    <w:p w14:paraId="158F42EB" w14:textId="77777777" w:rsidR="0008333A" w:rsidRPr="00D2758E" w:rsidRDefault="0008333A"/>
  </w:footnote>
  <w:footnote w:id="2">
    <w:p w14:paraId="43EBC488" w14:textId="1521B0E5" w:rsidR="009E7724" w:rsidRPr="00D2758E" w:rsidRDefault="009E7724" w:rsidP="00775CED">
      <w:pPr>
        <w:pStyle w:val="Footnote"/>
      </w:pPr>
      <w:r w:rsidRPr="00D2758E">
        <w:rPr>
          <w:rStyle w:val="FootnoteReference"/>
          <w:sz w:val="20"/>
          <w:szCs w:val="20"/>
        </w:rPr>
        <w:t>*</w:t>
      </w:r>
      <w:r w:rsidRPr="00D2758E">
        <w:t xml:space="preserve"> CBD/NP/CC/5/1.</w:t>
      </w:r>
    </w:p>
  </w:footnote>
  <w:footnote w:id="3">
    <w:p w14:paraId="64273AF6" w14:textId="488BFBC9" w:rsidR="009E7724" w:rsidRPr="00D2758E" w:rsidRDefault="009E7724" w:rsidP="00775CED">
      <w:pPr>
        <w:pStyle w:val="Footnote"/>
      </w:pPr>
      <w:r w:rsidRPr="00D2758E">
        <w:rPr>
          <w:rStyle w:val="FootnoteReference"/>
          <w:sz w:val="20"/>
          <w:szCs w:val="20"/>
        </w:rPr>
        <w:t>**</w:t>
      </w:r>
      <w:r w:rsidRPr="00D2758E">
        <w:rPr>
          <w:rStyle w:val="normaltextrun"/>
          <w:color w:val="000000"/>
          <w:shd w:val="clear" w:color="auto" w:fill="FFFFFF"/>
        </w:rPr>
        <w:t xml:space="preserve"> </w:t>
      </w:r>
      <w:r w:rsidRPr="00D2758E">
        <w:t>CBD/NP/CB-IAC/2026/1/1.</w:t>
      </w:r>
    </w:p>
  </w:footnote>
  <w:footnote w:id="4">
    <w:p w14:paraId="4C05E88A" w14:textId="127106E1" w:rsidR="009E7724" w:rsidRPr="00D2758E" w:rsidRDefault="009E7724" w:rsidP="00775CED">
      <w:pPr>
        <w:pStyle w:val="Footnote"/>
      </w:pPr>
      <w:r w:rsidRPr="00D2758E">
        <w:rPr>
          <w:rStyle w:val="FootnoteReference"/>
        </w:rPr>
        <w:t>***</w:t>
      </w:r>
      <w:r w:rsidRPr="00D2758E">
        <w:t xml:space="preserve"> CBD/SBI/7/1.</w:t>
      </w:r>
    </w:p>
  </w:footnote>
  <w:footnote w:id="5">
    <w:p w14:paraId="3DD1F4F0" w14:textId="1AE745AF" w:rsidR="009E7724" w:rsidRPr="00D2758E" w:rsidRDefault="009E7724">
      <w:pPr>
        <w:pStyle w:val="FootnoteText"/>
      </w:pPr>
    </w:p>
  </w:footnote>
  <w:footnote w:id="6">
    <w:p w14:paraId="47FD48F8" w14:textId="42399D08" w:rsidR="005F3F95" w:rsidRPr="00D2758E" w:rsidRDefault="005F3F95">
      <w:pPr>
        <w:pStyle w:val="FootnoteText"/>
        <w:rPr>
          <w:szCs w:val="18"/>
        </w:rPr>
      </w:pPr>
      <w:r w:rsidRPr="00D2758E">
        <w:rPr>
          <w:rStyle w:val="FootnoteReference"/>
          <w:szCs w:val="18"/>
        </w:rPr>
        <w:footnoteRef/>
      </w:r>
      <w:r w:rsidRPr="00D2758E">
        <w:rPr>
          <w:szCs w:val="18"/>
        </w:rPr>
        <w:t xml:space="preserve"> </w:t>
      </w:r>
      <w:hyperlink r:id="rId1" w:history="1">
        <w:r w:rsidR="009F3341" w:rsidRPr="00D2758E">
          <w:rPr>
            <w:rStyle w:val="Hyperlink"/>
            <w:szCs w:val="18"/>
          </w:rPr>
          <w:t>CBD/SBI/7/INF/2</w:t>
        </w:r>
      </w:hyperlink>
      <w:r w:rsidR="00803281">
        <w:t>.</w:t>
      </w:r>
    </w:p>
  </w:footnote>
  <w:footnote w:id="7">
    <w:p w14:paraId="6BC5D75A" w14:textId="03351D75" w:rsidR="00DA087A" w:rsidRPr="00D2758E" w:rsidRDefault="00DA087A">
      <w:pPr>
        <w:pStyle w:val="FootnoteText"/>
        <w:rPr>
          <w:szCs w:val="18"/>
        </w:rPr>
      </w:pPr>
      <w:r w:rsidRPr="00D2758E">
        <w:rPr>
          <w:rStyle w:val="FootnoteReference"/>
          <w:szCs w:val="18"/>
        </w:rPr>
        <w:footnoteRef/>
      </w:r>
      <w:r w:rsidRPr="00D2758E">
        <w:rPr>
          <w:szCs w:val="18"/>
        </w:rPr>
        <w:t xml:space="preserve"> </w:t>
      </w:r>
      <w:hyperlink r:id="rId2" w:history="1">
        <w:r w:rsidR="0004661B" w:rsidRPr="00D2758E">
          <w:rPr>
            <w:rStyle w:val="Hyperlink"/>
            <w:szCs w:val="18"/>
          </w:rPr>
          <w:t>CBD/SBI/7/INF/3</w:t>
        </w:r>
      </w:hyperlink>
    </w:p>
  </w:footnote>
  <w:footnote w:id="8">
    <w:p w14:paraId="56CD5733" w14:textId="4A452433" w:rsidR="00C1145B" w:rsidRPr="00D2758E" w:rsidRDefault="00C1145B">
      <w:pPr>
        <w:pStyle w:val="FootnoteText"/>
        <w:rPr>
          <w:szCs w:val="18"/>
        </w:rPr>
      </w:pPr>
      <w:r w:rsidRPr="00D2758E">
        <w:rPr>
          <w:rStyle w:val="FootnoteReference"/>
          <w:szCs w:val="18"/>
        </w:rPr>
        <w:footnoteRef/>
      </w:r>
      <w:r w:rsidRPr="00D2758E">
        <w:rPr>
          <w:szCs w:val="18"/>
        </w:rPr>
        <w:t xml:space="preserve"> </w:t>
      </w:r>
      <w:hyperlink r:id="rId3" w:history="1">
        <w:r w:rsidR="00027F7E" w:rsidRPr="00D2758E">
          <w:rPr>
            <w:rStyle w:val="Hyperlink"/>
            <w:szCs w:val="18"/>
          </w:rPr>
          <w:t>CBD/SBI/7/INF/4</w:t>
        </w:r>
      </w:hyperlink>
      <w:r w:rsidR="009905FC">
        <w:t>.</w:t>
      </w:r>
    </w:p>
  </w:footnote>
  <w:footnote w:id="9">
    <w:p w14:paraId="2724B835" w14:textId="3DB3A6EE" w:rsidR="00C1145B" w:rsidRPr="00D2758E" w:rsidRDefault="00C1145B">
      <w:pPr>
        <w:pStyle w:val="FootnoteText"/>
        <w:rPr>
          <w:szCs w:val="18"/>
        </w:rPr>
      </w:pPr>
      <w:r w:rsidRPr="00D2758E">
        <w:rPr>
          <w:rStyle w:val="FootnoteReference"/>
          <w:szCs w:val="18"/>
        </w:rPr>
        <w:footnoteRef/>
      </w:r>
      <w:r w:rsidRPr="00D2758E">
        <w:rPr>
          <w:szCs w:val="18"/>
        </w:rPr>
        <w:t xml:space="preserve"> </w:t>
      </w:r>
      <w:hyperlink r:id="rId4" w:history="1">
        <w:r w:rsidR="00CF47FF" w:rsidRPr="00D2758E">
          <w:rPr>
            <w:rStyle w:val="Hyperlink"/>
            <w:szCs w:val="18"/>
          </w:rPr>
          <w:t>CBD/SBI/7/INF/5</w:t>
        </w:r>
      </w:hyperlink>
      <w:r w:rsidR="009905FC">
        <w:t>.</w:t>
      </w:r>
    </w:p>
  </w:footnote>
  <w:footnote w:id="10">
    <w:p w14:paraId="1B25C6DF" w14:textId="79C8CEBD" w:rsidR="00BD3C78" w:rsidRPr="00D2758E" w:rsidRDefault="00BD3C78">
      <w:pPr>
        <w:pStyle w:val="FootnoteText"/>
        <w:rPr>
          <w:szCs w:val="18"/>
        </w:rPr>
      </w:pPr>
      <w:r w:rsidRPr="00D2758E">
        <w:rPr>
          <w:rStyle w:val="FootnoteReference"/>
          <w:szCs w:val="18"/>
        </w:rPr>
        <w:footnoteRef/>
      </w:r>
      <w:r w:rsidRPr="00D2758E">
        <w:rPr>
          <w:szCs w:val="18"/>
        </w:rPr>
        <w:t xml:space="preserve"> </w:t>
      </w:r>
      <w:hyperlink r:id="rId5" w:history="1">
        <w:r w:rsidR="00522414" w:rsidRPr="00D2758E">
          <w:rPr>
            <w:rStyle w:val="Hyperlink"/>
            <w:szCs w:val="18"/>
          </w:rPr>
          <w:t>CBD/SBI/7/INF/6</w:t>
        </w:r>
      </w:hyperlink>
      <w:r w:rsidR="009905FC">
        <w:t>.</w:t>
      </w:r>
    </w:p>
  </w:footnote>
  <w:footnote w:id="11">
    <w:p w14:paraId="0AD13AC5" w14:textId="50BEAAAD" w:rsidR="00822C9A" w:rsidRPr="00D2758E" w:rsidRDefault="00822C9A" w:rsidP="00822C9A">
      <w:pPr>
        <w:pStyle w:val="FootnoteText"/>
      </w:pPr>
      <w:r w:rsidRPr="00D2758E">
        <w:rPr>
          <w:rStyle w:val="FootnoteReference"/>
          <w:szCs w:val="18"/>
        </w:rPr>
        <w:footnoteRef/>
      </w:r>
      <w:r w:rsidRPr="00D2758E">
        <w:rPr>
          <w:szCs w:val="18"/>
        </w:rPr>
        <w:t xml:space="preserve"> </w:t>
      </w:r>
      <w:hyperlink r:id="rId6" w:history="1">
        <w:r w:rsidR="00862239" w:rsidRPr="00D2758E">
          <w:rPr>
            <w:rStyle w:val="Hyperlink"/>
            <w:szCs w:val="18"/>
          </w:rPr>
          <w:t>CBD/SBI/7/INF/7</w:t>
        </w:r>
      </w:hyperlink>
      <w:r w:rsidR="009905FC">
        <w:t>.</w:t>
      </w:r>
    </w:p>
  </w:footnote>
  <w:footnote w:id="12">
    <w:p w14:paraId="7729F412" w14:textId="32051107" w:rsidR="000A483F" w:rsidRPr="00D2758E" w:rsidRDefault="000A483F" w:rsidP="000A483F">
      <w:pPr>
        <w:pStyle w:val="FootnoteText"/>
        <w:rPr>
          <w:szCs w:val="18"/>
        </w:rPr>
      </w:pPr>
      <w:r w:rsidRPr="00D2758E">
        <w:rPr>
          <w:rStyle w:val="FootnoteReference"/>
          <w:szCs w:val="18"/>
        </w:rPr>
        <w:footnoteRef/>
      </w:r>
      <w:r w:rsidRPr="00D2758E">
        <w:rPr>
          <w:szCs w:val="18"/>
        </w:rPr>
        <w:t xml:space="preserve"> For </w:t>
      </w:r>
      <w:r w:rsidR="00B75074">
        <w:rPr>
          <w:szCs w:val="18"/>
        </w:rPr>
        <w:t>further</w:t>
      </w:r>
      <w:r w:rsidRPr="00D2758E">
        <w:rPr>
          <w:szCs w:val="18"/>
        </w:rPr>
        <w:t xml:space="preserve"> information</w:t>
      </w:r>
      <w:r w:rsidR="00830C4A">
        <w:rPr>
          <w:szCs w:val="18"/>
        </w:rPr>
        <w:t>,</w:t>
      </w:r>
      <w:r w:rsidRPr="00D2758E">
        <w:rPr>
          <w:szCs w:val="18"/>
        </w:rPr>
        <w:t xml:space="preserve"> see </w:t>
      </w:r>
      <w:hyperlink r:id="rId7" w:history="1">
        <w:r w:rsidR="001F7ED0" w:rsidRPr="00D2758E">
          <w:rPr>
            <w:rStyle w:val="Hyperlink"/>
            <w:szCs w:val="18"/>
          </w:rPr>
          <w:t>CBD/SBI/7/INF/2</w:t>
        </w:r>
      </w:hyperlink>
      <w:r w:rsidR="009F1722" w:rsidRPr="00D2758E">
        <w:rPr>
          <w:szCs w:val="18"/>
        </w:rPr>
        <w:t xml:space="preserve">, </w:t>
      </w:r>
      <w:r w:rsidRPr="00D2758E">
        <w:rPr>
          <w:szCs w:val="18"/>
        </w:rPr>
        <w:t>sect</w:t>
      </w:r>
      <w:r w:rsidR="009F1722" w:rsidRPr="00D2758E">
        <w:rPr>
          <w:szCs w:val="18"/>
        </w:rPr>
        <w:t>.</w:t>
      </w:r>
      <w:r w:rsidRPr="00D2758E">
        <w:rPr>
          <w:szCs w:val="18"/>
        </w:rPr>
        <w:t xml:space="preserve"> III.A.2</w:t>
      </w:r>
      <w:r w:rsidR="00C72442">
        <w:rPr>
          <w:szCs w:val="18"/>
        </w:rPr>
        <w:t>;</w:t>
      </w:r>
      <w:r w:rsidR="003D2601" w:rsidRPr="00D2758E">
        <w:rPr>
          <w:szCs w:val="18"/>
        </w:rPr>
        <w:t xml:space="preserve"> </w:t>
      </w:r>
      <w:hyperlink r:id="rId8" w:history="1">
        <w:r w:rsidR="007236BD" w:rsidRPr="00D2758E">
          <w:rPr>
            <w:rStyle w:val="Hyperlink"/>
            <w:szCs w:val="18"/>
          </w:rPr>
          <w:t>CBD/SBI/7/INF/3</w:t>
        </w:r>
      </w:hyperlink>
      <w:r w:rsidR="00C72442">
        <w:t>;</w:t>
      </w:r>
      <w:r w:rsidRPr="00D2758E">
        <w:rPr>
          <w:szCs w:val="18"/>
        </w:rPr>
        <w:t xml:space="preserve"> and </w:t>
      </w:r>
      <w:hyperlink r:id="rId9" w:history="1">
        <w:r w:rsidR="007346B2" w:rsidRPr="00D2758E">
          <w:rPr>
            <w:rStyle w:val="Hyperlink"/>
            <w:szCs w:val="18"/>
          </w:rPr>
          <w:t>CBD/SBI/</w:t>
        </w:r>
        <w:r w:rsidR="00A662FE" w:rsidRPr="00D2758E">
          <w:rPr>
            <w:rStyle w:val="Hyperlink"/>
            <w:szCs w:val="18"/>
          </w:rPr>
          <w:t>7/</w:t>
        </w:r>
        <w:r w:rsidR="007346B2" w:rsidRPr="00D2758E">
          <w:rPr>
            <w:rStyle w:val="Hyperlink"/>
            <w:szCs w:val="18"/>
          </w:rPr>
          <w:t>INF</w:t>
        </w:r>
        <w:r w:rsidR="00A662FE" w:rsidRPr="00D2758E">
          <w:rPr>
            <w:rStyle w:val="Hyperlink"/>
            <w:szCs w:val="18"/>
          </w:rPr>
          <w:t>/4</w:t>
        </w:r>
      </w:hyperlink>
      <w:r w:rsidR="009F1722" w:rsidRPr="00D2758E">
        <w:rPr>
          <w:szCs w:val="18"/>
        </w:rPr>
        <w:t>.</w:t>
      </w:r>
    </w:p>
  </w:footnote>
  <w:footnote w:id="13">
    <w:p w14:paraId="07C2D96E" w14:textId="6CE0B7DE" w:rsidR="00133577" w:rsidRPr="00D2758E" w:rsidRDefault="00133577">
      <w:pPr>
        <w:pStyle w:val="FootnoteText"/>
        <w:rPr>
          <w:szCs w:val="18"/>
        </w:rPr>
      </w:pPr>
      <w:r w:rsidRPr="00D2758E">
        <w:rPr>
          <w:rStyle w:val="FootnoteReference"/>
          <w:szCs w:val="18"/>
        </w:rPr>
        <w:footnoteRef/>
      </w:r>
      <w:r w:rsidRPr="00D2758E">
        <w:rPr>
          <w:szCs w:val="18"/>
        </w:rPr>
        <w:t xml:space="preserve"> </w:t>
      </w:r>
      <w:r w:rsidR="00CD7BB6">
        <w:rPr>
          <w:szCs w:val="18"/>
        </w:rPr>
        <w:t xml:space="preserve">Document </w:t>
      </w:r>
      <w:hyperlink r:id="rId10" w:history="1">
        <w:r w:rsidR="00575A65" w:rsidRPr="00D2758E">
          <w:rPr>
            <w:rStyle w:val="Hyperlink"/>
            <w:szCs w:val="18"/>
          </w:rPr>
          <w:t>CBD/SBI/7/INF/2</w:t>
        </w:r>
      </w:hyperlink>
      <w:r w:rsidRPr="00D2758E">
        <w:rPr>
          <w:szCs w:val="18"/>
        </w:rPr>
        <w:t xml:space="preserve"> </w:t>
      </w:r>
      <w:r w:rsidR="007B163C" w:rsidRPr="00D2758E">
        <w:rPr>
          <w:szCs w:val="18"/>
        </w:rPr>
        <w:t>includes summaries and examples of some of those approaches</w:t>
      </w:r>
      <w:r w:rsidR="005C02C5" w:rsidRPr="00D2758E">
        <w:rPr>
          <w:szCs w:val="18"/>
        </w:rPr>
        <w:t xml:space="preserve">. </w:t>
      </w:r>
      <w:r w:rsidR="00CD7BB6">
        <w:rPr>
          <w:szCs w:val="18"/>
        </w:rPr>
        <w:t xml:space="preserve">Document </w:t>
      </w:r>
      <w:hyperlink r:id="rId11" w:history="1">
        <w:r w:rsidR="003970DD" w:rsidRPr="00D2758E">
          <w:rPr>
            <w:rStyle w:val="Hyperlink"/>
            <w:szCs w:val="18"/>
          </w:rPr>
          <w:t>CBD/SBI/7/INF/4</w:t>
        </w:r>
      </w:hyperlink>
      <w:r w:rsidR="005C02C5" w:rsidRPr="00D2758E">
        <w:rPr>
          <w:szCs w:val="18"/>
        </w:rPr>
        <w:t xml:space="preserve"> </w:t>
      </w:r>
      <w:r w:rsidR="00CD7BB6">
        <w:rPr>
          <w:szCs w:val="18"/>
        </w:rPr>
        <w:t>contains</w:t>
      </w:r>
      <w:r w:rsidR="00CD7BB6" w:rsidRPr="00D2758E">
        <w:rPr>
          <w:szCs w:val="18"/>
        </w:rPr>
        <w:t xml:space="preserve"> </w:t>
      </w:r>
      <w:r w:rsidR="005C02C5" w:rsidRPr="00D2758E">
        <w:rPr>
          <w:szCs w:val="18"/>
        </w:rPr>
        <w:t xml:space="preserve">an analysis of the information available </w:t>
      </w:r>
      <w:r w:rsidR="00C648B0">
        <w:rPr>
          <w:szCs w:val="18"/>
        </w:rPr>
        <w:t>o</w:t>
      </w:r>
      <w:r w:rsidR="005C02C5" w:rsidRPr="00D2758E">
        <w:rPr>
          <w:szCs w:val="18"/>
        </w:rPr>
        <w:t>n the A</w:t>
      </w:r>
      <w:r w:rsidR="00E42C3D">
        <w:rPr>
          <w:szCs w:val="18"/>
        </w:rPr>
        <w:t xml:space="preserve">ccess and Benefit-sharing </w:t>
      </w:r>
      <w:r w:rsidR="005C02C5" w:rsidRPr="00D2758E">
        <w:rPr>
          <w:szCs w:val="18"/>
        </w:rPr>
        <w:t xml:space="preserve">Clearing-House </w:t>
      </w:r>
      <w:r w:rsidR="00AA5928" w:rsidRPr="00D2758E">
        <w:rPr>
          <w:szCs w:val="18"/>
        </w:rPr>
        <w:t>on the type</w:t>
      </w:r>
      <w:r w:rsidR="006C0B71">
        <w:rPr>
          <w:szCs w:val="18"/>
        </w:rPr>
        <w:t>s</w:t>
      </w:r>
      <w:r w:rsidR="00AA5928" w:rsidRPr="00D2758E">
        <w:rPr>
          <w:szCs w:val="18"/>
        </w:rPr>
        <w:t xml:space="preserve"> of</w:t>
      </w:r>
      <w:r w:rsidR="00FF2AEF" w:rsidRPr="00D2758E">
        <w:rPr>
          <w:szCs w:val="18"/>
        </w:rPr>
        <w:t xml:space="preserve"> national focal points</w:t>
      </w:r>
      <w:r w:rsidR="00AA5928" w:rsidRPr="00D2758E">
        <w:rPr>
          <w:szCs w:val="18"/>
        </w:rPr>
        <w:t xml:space="preserve">, </w:t>
      </w:r>
      <w:r w:rsidR="005230A8" w:rsidRPr="00D2758E">
        <w:rPr>
          <w:szCs w:val="18"/>
        </w:rPr>
        <w:t>c</w:t>
      </w:r>
      <w:r w:rsidR="00A32EA1" w:rsidRPr="00D2758E">
        <w:rPr>
          <w:szCs w:val="18"/>
        </w:rPr>
        <w:t>ompetent national authorities</w:t>
      </w:r>
      <w:r w:rsidR="00AA5928" w:rsidRPr="00D2758E">
        <w:rPr>
          <w:szCs w:val="18"/>
        </w:rPr>
        <w:t xml:space="preserve">, checkpoints and </w:t>
      </w:r>
      <w:r w:rsidR="00FE454C" w:rsidRPr="00FE454C">
        <w:rPr>
          <w:szCs w:val="18"/>
        </w:rPr>
        <w:t xml:space="preserve">access and benefit-sharing </w:t>
      </w:r>
      <w:r w:rsidR="00AA5928" w:rsidRPr="00D2758E">
        <w:rPr>
          <w:szCs w:val="18"/>
        </w:rPr>
        <w:t xml:space="preserve">measures established. </w:t>
      </w:r>
    </w:p>
  </w:footnote>
  <w:footnote w:id="14">
    <w:p w14:paraId="71FBB0F4" w14:textId="3D684008" w:rsidR="00A80675" w:rsidRPr="00D2758E" w:rsidRDefault="00A80675">
      <w:pPr>
        <w:pStyle w:val="FootnoteText"/>
      </w:pPr>
      <w:r w:rsidRPr="00D2758E">
        <w:rPr>
          <w:rStyle w:val="FootnoteReference"/>
        </w:rPr>
        <w:footnoteRef/>
      </w:r>
      <w:r w:rsidRPr="00D2758E">
        <w:t xml:space="preserve"> </w:t>
      </w:r>
      <w:r w:rsidR="00C024CA" w:rsidRPr="00D2758E">
        <w:rPr>
          <w:szCs w:val="18"/>
        </w:rPr>
        <w:t xml:space="preserve">For </w:t>
      </w:r>
      <w:r w:rsidR="00B1083B">
        <w:rPr>
          <w:szCs w:val="18"/>
        </w:rPr>
        <w:t>further</w:t>
      </w:r>
      <w:r w:rsidR="00CD7D08" w:rsidRPr="00D2758E">
        <w:rPr>
          <w:szCs w:val="18"/>
        </w:rPr>
        <w:t xml:space="preserve"> information</w:t>
      </w:r>
      <w:r w:rsidR="004C4459">
        <w:rPr>
          <w:szCs w:val="18"/>
        </w:rPr>
        <w:t>,</w:t>
      </w:r>
      <w:r w:rsidR="00C024CA" w:rsidRPr="00D2758E">
        <w:rPr>
          <w:szCs w:val="18"/>
        </w:rPr>
        <w:t xml:space="preserve"> see </w:t>
      </w:r>
      <w:r w:rsidR="00231CDE">
        <w:rPr>
          <w:szCs w:val="18"/>
        </w:rPr>
        <w:t xml:space="preserve">document </w:t>
      </w:r>
      <w:hyperlink r:id="rId12" w:history="1">
        <w:r w:rsidR="00E724C6" w:rsidRPr="00D2758E">
          <w:rPr>
            <w:rStyle w:val="Hyperlink"/>
            <w:szCs w:val="18"/>
          </w:rPr>
          <w:t>CBD/SBI/7/INF/3</w:t>
        </w:r>
      </w:hyperlink>
      <w:r w:rsidR="00E724C6" w:rsidRPr="00D2758E">
        <w:rPr>
          <w:szCs w:val="18"/>
        </w:rPr>
        <w:t xml:space="preserve">, </w:t>
      </w:r>
      <w:r w:rsidR="008A4B66" w:rsidRPr="00D2758E">
        <w:rPr>
          <w:szCs w:val="18"/>
        </w:rPr>
        <w:t>sect</w:t>
      </w:r>
      <w:r w:rsidR="00E724C6" w:rsidRPr="00D2758E">
        <w:rPr>
          <w:szCs w:val="18"/>
        </w:rPr>
        <w:t>.</w:t>
      </w:r>
      <w:r w:rsidR="008A4B66" w:rsidRPr="00D2758E">
        <w:rPr>
          <w:szCs w:val="18"/>
        </w:rPr>
        <w:t xml:space="preserve"> 2.1</w:t>
      </w:r>
      <w:r w:rsidR="00E724C6" w:rsidRPr="00D2758E">
        <w:rPr>
          <w:szCs w:val="18"/>
        </w:rPr>
        <w:t>.</w:t>
      </w:r>
      <w:r w:rsidR="00CE3011" w:rsidRPr="00D2758E">
        <w:rPr>
          <w:szCs w:val="18"/>
        </w:rPr>
        <w:t xml:space="preserve"> </w:t>
      </w:r>
      <w:r w:rsidR="00CE3011" w:rsidRPr="00D2758E">
        <w:rPr>
          <w:rFonts w:asciiTheme="majorBidi" w:hAnsiTheme="majorBidi" w:cstheme="majorBidi"/>
          <w:szCs w:val="18"/>
        </w:rPr>
        <w:t>Some of the root causes of th</w:t>
      </w:r>
      <w:r w:rsidR="003E4986">
        <w:rPr>
          <w:rFonts w:asciiTheme="majorBidi" w:hAnsiTheme="majorBidi" w:cstheme="majorBidi"/>
          <w:szCs w:val="18"/>
        </w:rPr>
        <w:t>e</w:t>
      </w:r>
      <w:r w:rsidR="00CE3011" w:rsidRPr="00D2758E">
        <w:rPr>
          <w:rFonts w:asciiTheme="majorBidi" w:hAnsiTheme="majorBidi" w:cstheme="majorBidi"/>
          <w:szCs w:val="18"/>
        </w:rPr>
        <w:t xml:space="preserve"> challenges </w:t>
      </w:r>
      <w:r w:rsidR="003E4986">
        <w:rPr>
          <w:rFonts w:asciiTheme="majorBidi" w:hAnsiTheme="majorBidi" w:cstheme="majorBidi"/>
          <w:szCs w:val="18"/>
        </w:rPr>
        <w:t>li</w:t>
      </w:r>
      <w:r w:rsidR="006E38BC">
        <w:rPr>
          <w:rFonts w:asciiTheme="majorBidi" w:hAnsiTheme="majorBidi" w:cstheme="majorBidi"/>
          <w:szCs w:val="18"/>
        </w:rPr>
        <w:t>s</w:t>
      </w:r>
      <w:r w:rsidR="003E4986">
        <w:rPr>
          <w:rFonts w:asciiTheme="majorBidi" w:hAnsiTheme="majorBidi" w:cstheme="majorBidi"/>
          <w:szCs w:val="18"/>
        </w:rPr>
        <w:t xml:space="preserve">ted in </w:t>
      </w:r>
      <w:r w:rsidR="00871AE9">
        <w:rPr>
          <w:rFonts w:asciiTheme="majorBidi" w:hAnsiTheme="majorBidi" w:cstheme="majorBidi"/>
          <w:szCs w:val="18"/>
        </w:rPr>
        <w:t xml:space="preserve">para. 21 above </w:t>
      </w:r>
      <w:r w:rsidR="00CE3011" w:rsidRPr="00D2758E">
        <w:rPr>
          <w:rFonts w:asciiTheme="majorBidi" w:hAnsiTheme="majorBidi" w:cstheme="majorBidi"/>
          <w:szCs w:val="18"/>
        </w:rPr>
        <w:t xml:space="preserve">are addressed </w:t>
      </w:r>
      <w:r w:rsidR="006E38BC" w:rsidRPr="00D2758E">
        <w:rPr>
          <w:rFonts w:asciiTheme="majorBidi" w:hAnsiTheme="majorBidi" w:cstheme="majorBidi"/>
          <w:szCs w:val="18"/>
        </w:rPr>
        <w:t xml:space="preserve">below </w:t>
      </w:r>
      <w:r w:rsidR="00CE3011" w:rsidRPr="00D2758E">
        <w:rPr>
          <w:rFonts w:asciiTheme="majorBidi" w:hAnsiTheme="majorBidi" w:cstheme="majorBidi"/>
          <w:szCs w:val="18"/>
        </w:rPr>
        <w:t>under element B on effectiveness</w:t>
      </w:r>
      <w:r w:rsidR="00CE3011" w:rsidRPr="00D2758E">
        <w:rPr>
          <w:rFonts w:asciiTheme="majorBidi" w:hAnsiTheme="majorBidi" w:cstheme="majorBidi"/>
        </w:rPr>
        <w:t>.</w:t>
      </w:r>
    </w:p>
  </w:footnote>
  <w:footnote w:id="15">
    <w:p w14:paraId="2E1507C7" w14:textId="70576D63" w:rsidR="007E497A" w:rsidRPr="00D2758E" w:rsidRDefault="007E497A" w:rsidP="007E497A">
      <w:pPr>
        <w:pStyle w:val="FootnoteText"/>
        <w:rPr>
          <w:szCs w:val="18"/>
        </w:rPr>
      </w:pPr>
      <w:r w:rsidRPr="00D2758E">
        <w:rPr>
          <w:rStyle w:val="FootnoteReference"/>
          <w:szCs w:val="18"/>
        </w:rPr>
        <w:footnoteRef/>
      </w:r>
      <w:r w:rsidRPr="00D2758E">
        <w:rPr>
          <w:szCs w:val="18"/>
        </w:rPr>
        <w:t xml:space="preserve"> For </w:t>
      </w:r>
      <w:r w:rsidR="006E38BC">
        <w:rPr>
          <w:szCs w:val="18"/>
        </w:rPr>
        <w:t>further</w:t>
      </w:r>
      <w:r w:rsidRPr="00D2758E">
        <w:rPr>
          <w:szCs w:val="18"/>
        </w:rPr>
        <w:t xml:space="preserve"> information</w:t>
      </w:r>
      <w:r w:rsidR="004C4459">
        <w:rPr>
          <w:szCs w:val="18"/>
        </w:rPr>
        <w:t>,</w:t>
      </w:r>
      <w:r w:rsidRPr="00D2758E">
        <w:rPr>
          <w:szCs w:val="18"/>
        </w:rPr>
        <w:t xml:space="preserve"> see </w:t>
      </w:r>
      <w:r w:rsidR="004A0963" w:rsidRPr="006B066D">
        <w:t>CBD/SBI/7/INF/</w:t>
      </w:r>
      <w:r w:rsidR="00CA5CFA">
        <w:t>2</w:t>
      </w:r>
      <w:r w:rsidR="003B1280">
        <w:t>,</w:t>
      </w:r>
      <w:r w:rsidR="00E724C6" w:rsidRPr="00D2758E">
        <w:rPr>
          <w:szCs w:val="18"/>
        </w:rPr>
        <w:t xml:space="preserve"> </w:t>
      </w:r>
      <w:r w:rsidRPr="00D2758E">
        <w:rPr>
          <w:szCs w:val="18"/>
        </w:rPr>
        <w:t>sect</w:t>
      </w:r>
      <w:r w:rsidR="00E724C6" w:rsidRPr="00D2758E">
        <w:rPr>
          <w:szCs w:val="18"/>
        </w:rPr>
        <w:t>.</w:t>
      </w:r>
      <w:r w:rsidRPr="00D2758E">
        <w:rPr>
          <w:szCs w:val="18"/>
        </w:rPr>
        <w:t xml:space="preserve"> </w:t>
      </w:r>
      <w:r w:rsidR="005A36F2" w:rsidRPr="00D2758E">
        <w:rPr>
          <w:szCs w:val="18"/>
        </w:rPr>
        <w:t>III.A.2</w:t>
      </w:r>
      <w:r w:rsidR="00E724C6" w:rsidRPr="00D2758E">
        <w:rPr>
          <w:szCs w:val="18"/>
        </w:rPr>
        <w:t>.</w:t>
      </w:r>
    </w:p>
  </w:footnote>
  <w:footnote w:id="16">
    <w:p w14:paraId="2A835345" w14:textId="4C07D8B1" w:rsidR="00DE5F4B" w:rsidRPr="00D2758E" w:rsidRDefault="00DE5F4B" w:rsidP="002B2ACF">
      <w:pPr>
        <w:rPr>
          <w:sz w:val="20"/>
          <w:szCs w:val="20"/>
        </w:rPr>
      </w:pPr>
      <w:r w:rsidRPr="00D2758E">
        <w:rPr>
          <w:rStyle w:val="FootnoteReference"/>
        </w:rPr>
        <w:footnoteRef/>
      </w:r>
      <w:r w:rsidRPr="00D2758E">
        <w:t xml:space="preserve"> </w:t>
      </w:r>
      <w:r w:rsidR="002B2ACF" w:rsidRPr="00D2758E">
        <w:rPr>
          <w:sz w:val="18"/>
          <w:szCs w:val="18"/>
        </w:rPr>
        <w:t xml:space="preserve">In their responses to the targeted survey, a number of users from the business community indicated that planned projects were often cancelled </w:t>
      </w:r>
      <w:r w:rsidR="00B428FA">
        <w:rPr>
          <w:sz w:val="18"/>
          <w:szCs w:val="18"/>
        </w:rPr>
        <w:t>owing</w:t>
      </w:r>
      <w:r w:rsidR="00B428FA" w:rsidRPr="00D2758E">
        <w:rPr>
          <w:sz w:val="18"/>
          <w:szCs w:val="18"/>
        </w:rPr>
        <w:t xml:space="preserve"> </w:t>
      </w:r>
      <w:r w:rsidR="002B2ACF" w:rsidRPr="00D2758E">
        <w:rPr>
          <w:sz w:val="18"/>
          <w:szCs w:val="18"/>
        </w:rPr>
        <w:t xml:space="preserve">to a lack of response, delayed responses or inconsistent responses from </w:t>
      </w:r>
      <w:r w:rsidR="00E8478D">
        <w:rPr>
          <w:sz w:val="18"/>
          <w:szCs w:val="18"/>
        </w:rPr>
        <w:t>access and benefit-sharing n</w:t>
      </w:r>
      <w:r w:rsidR="00FF2AEF" w:rsidRPr="00D2758E">
        <w:rPr>
          <w:sz w:val="18"/>
          <w:szCs w:val="18"/>
        </w:rPr>
        <w:t>ational focal points</w:t>
      </w:r>
      <w:r w:rsidR="002B2ACF" w:rsidRPr="00D2758E">
        <w:rPr>
          <w:sz w:val="18"/>
          <w:szCs w:val="18"/>
        </w:rPr>
        <w:t xml:space="preserve"> regarding the scope of activities covered</w:t>
      </w:r>
      <w:r w:rsidR="008C0923">
        <w:rPr>
          <w:sz w:val="18"/>
          <w:szCs w:val="18"/>
        </w:rPr>
        <w:t>,</w:t>
      </w:r>
      <w:r w:rsidR="002B2ACF" w:rsidRPr="00D2758E">
        <w:rPr>
          <w:sz w:val="18"/>
          <w:szCs w:val="18"/>
        </w:rPr>
        <w:t xml:space="preserve"> </w:t>
      </w:r>
      <w:r w:rsidR="008C0923">
        <w:rPr>
          <w:sz w:val="18"/>
          <w:szCs w:val="18"/>
        </w:rPr>
        <w:t>in</w:t>
      </w:r>
      <w:r w:rsidR="002B2ACF" w:rsidRPr="00D2758E">
        <w:rPr>
          <w:sz w:val="18"/>
          <w:szCs w:val="18"/>
        </w:rPr>
        <w:t>as</w:t>
      </w:r>
      <w:r w:rsidR="008C0923">
        <w:rPr>
          <w:sz w:val="18"/>
          <w:szCs w:val="18"/>
        </w:rPr>
        <w:t>much as</w:t>
      </w:r>
      <w:r w:rsidR="002B2ACF" w:rsidRPr="00D2758E">
        <w:rPr>
          <w:sz w:val="18"/>
          <w:szCs w:val="18"/>
        </w:rPr>
        <w:t xml:space="preserve"> companies c</w:t>
      </w:r>
      <w:r w:rsidR="008C0923">
        <w:rPr>
          <w:sz w:val="18"/>
          <w:szCs w:val="18"/>
        </w:rPr>
        <w:t xml:space="preserve">ould </w:t>
      </w:r>
      <w:r w:rsidR="002B2ACF" w:rsidRPr="00D2758E">
        <w:rPr>
          <w:sz w:val="18"/>
          <w:szCs w:val="18"/>
        </w:rPr>
        <w:t xml:space="preserve">not </w:t>
      </w:r>
      <w:r w:rsidR="00A1289A">
        <w:rPr>
          <w:sz w:val="18"/>
          <w:szCs w:val="18"/>
        </w:rPr>
        <w:t xml:space="preserve">be expected to </w:t>
      </w:r>
      <w:r w:rsidR="002B2ACF" w:rsidRPr="00D2758E">
        <w:rPr>
          <w:sz w:val="18"/>
          <w:szCs w:val="18"/>
        </w:rPr>
        <w:t xml:space="preserve">initiate research if there </w:t>
      </w:r>
      <w:r w:rsidR="00C71A6B">
        <w:rPr>
          <w:sz w:val="18"/>
          <w:szCs w:val="18"/>
        </w:rPr>
        <w:t>was</w:t>
      </w:r>
      <w:r w:rsidR="002B2ACF" w:rsidRPr="00D2758E">
        <w:rPr>
          <w:sz w:val="18"/>
          <w:szCs w:val="18"/>
        </w:rPr>
        <w:t xml:space="preserve"> no legal certainty and they m</w:t>
      </w:r>
      <w:r w:rsidR="00A428C5">
        <w:rPr>
          <w:sz w:val="18"/>
          <w:szCs w:val="18"/>
        </w:rPr>
        <w:t>ight</w:t>
      </w:r>
      <w:r w:rsidR="002B2ACF" w:rsidRPr="00D2758E">
        <w:rPr>
          <w:sz w:val="18"/>
          <w:szCs w:val="18"/>
        </w:rPr>
        <w:t xml:space="preserve"> be infringing the law. </w:t>
      </w:r>
      <w:proofErr w:type="gramStart"/>
      <w:r w:rsidR="00CC5D60" w:rsidRPr="00D2758E">
        <w:rPr>
          <w:sz w:val="18"/>
          <w:szCs w:val="18"/>
        </w:rPr>
        <w:t>A number of</w:t>
      </w:r>
      <w:proofErr w:type="gramEnd"/>
      <w:r w:rsidR="00CC5D60" w:rsidRPr="00D2758E">
        <w:rPr>
          <w:sz w:val="18"/>
          <w:szCs w:val="18"/>
        </w:rPr>
        <w:t xml:space="preserve"> universities and other research institutions in user countries indicated </w:t>
      </w:r>
      <w:r w:rsidR="00BE22C0">
        <w:rPr>
          <w:sz w:val="18"/>
          <w:szCs w:val="18"/>
        </w:rPr>
        <w:t xml:space="preserve">that they had </w:t>
      </w:r>
      <w:r w:rsidR="00CC5D60" w:rsidRPr="00D2758E">
        <w:rPr>
          <w:sz w:val="18"/>
          <w:szCs w:val="18"/>
        </w:rPr>
        <w:t>reject</w:t>
      </w:r>
      <w:r w:rsidR="00BE22C0">
        <w:rPr>
          <w:sz w:val="18"/>
          <w:szCs w:val="18"/>
        </w:rPr>
        <w:t>ed</w:t>
      </w:r>
      <w:r w:rsidR="00CC5D60" w:rsidRPr="00D2758E">
        <w:rPr>
          <w:sz w:val="18"/>
          <w:szCs w:val="18"/>
        </w:rPr>
        <w:t xml:space="preserve"> postdoc enquiries or discontinu</w:t>
      </w:r>
      <w:r w:rsidR="00C56BEF">
        <w:rPr>
          <w:sz w:val="18"/>
          <w:szCs w:val="18"/>
        </w:rPr>
        <w:t>ed</w:t>
      </w:r>
      <w:r w:rsidR="00CC5D60" w:rsidRPr="00D2758E">
        <w:rPr>
          <w:sz w:val="18"/>
          <w:szCs w:val="18"/>
        </w:rPr>
        <w:t xml:space="preserve"> international collaborations with foreign researchers from provider countries who wish</w:t>
      </w:r>
      <w:r w:rsidR="006B558B">
        <w:rPr>
          <w:sz w:val="18"/>
          <w:szCs w:val="18"/>
        </w:rPr>
        <w:t>ed</w:t>
      </w:r>
      <w:r w:rsidR="00CC5D60" w:rsidRPr="00D2758E">
        <w:rPr>
          <w:sz w:val="18"/>
          <w:szCs w:val="18"/>
        </w:rPr>
        <w:t xml:space="preserve"> to study organisms from their home country </w:t>
      </w:r>
      <w:r w:rsidR="00C56BEF">
        <w:rPr>
          <w:sz w:val="18"/>
          <w:szCs w:val="18"/>
        </w:rPr>
        <w:t>owing</w:t>
      </w:r>
      <w:r w:rsidR="00CC5D60" w:rsidRPr="00D2758E">
        <w:rPr>
          <w:sz w:val="18"/>
          <w:szCs w:val="18"/>
        </w:rPr>
        <w:t xml:space="preserve"> to challenges in obtaining access permits. This has </w:t>
      </w:r>
      <w:r w:rsidR="00AD7DB6">
        <w:rPr>
          <w:sz w:val="18"/>
          <w:szCs w:val="18"/>
        </w:rPr>
        <w:t xml:space="preserve">an </w:t>
      </w:r>
      <w:r w:rsidR="00CC5D60" w:rsidRPr="00D2758E">
        <w:rPr>
          <w:sz w:val="18"/>
          <w:szCs w:val="18"/>
        </w:rPr>
        <w:t>impact</w:t>
      </w:r>
      <w:r w:rsidR="00AD7DB6">
        <w:rPr>
          <w:sz w:val="18"/>
          <w:szCs w:val="18"/>
        </w:rPr>
        <w:t xml:space="preserve"> on</w:t>
      </w:r>
      <w:r w:rsidR="00CC5D60" w:rsidRPr="00D2758E">
        <w:rPr>
          <w:sz w:val="18"/>
          <w:szCs w:val="18"/>
        </w:rPr>
        <w:t xml:space="preserve"> their research interest</w:t>
      </w:r>
      <w:r w:rsidR="001E038D">
        <w:rPr>
          <w:sz w:val="18"/>
          <w:szCs w:val="18"/>
        </w:rPr>
        <w:t>s</w:t>
      </w:r>
      <w:r w:rsidR="00CC5D60" w:rsidRPr="00D2758E">
        <w:rPr>
          <w:sz w:val="18"/>
          <w:szCs w:val="18"/>
        </w:rPr>
        <w:t xml:space="preserve"> as well as opportunities for scientists in developing countries, </w:t>
      </w:r>
      <w:r w:rsidR="004616C6">
        <w:rPr>
          <w:sz w:val="18"/>
          <w:szCs w:val="18"/>
        </w:rPr>
        <w:t>with</w:t>
      </w:r>
      <w:r w:rsidR="00CC5D60" w:rsidRPr="00D2758E">
        <w:rPr>
          <w:sz w:val="18"/>
          <w:szCs w:val="18"/>
        </w:rPr>
        <w:t xml:space="preserve"> both users and providers los</w:t>
      </w:r>
      <w:r w:rsidR="004616C6">
        <w:rPr>
          <w:sz w:val="18"/>
          <w:szCs w:val="18"/>
        </w:rPr>
        <w:t>ing</w:t>
      </w:r>
      <w:r w:rsidR="00CC5D60" w:rsidRPr="00D2758E">
        <w:rPr>
          <w:sz w:val="18"/>
          <w:szCs w:val="18"/>
        </w:rPr>
        <w:t xml:space="preserve"> potential scientific and societal benefits. </w:t>
      </w:r>
      <w:r w:rsidR="002B2ACF" w:rsidRPr="00D2758E">
        <w:rPr>
          <w:sz w:val="18"/>
          <w:szCs w:val="18"/>
        </w:rPr>
        <w:t>For</w:t>
      </w:r>
      <w:r w:rsidR="00BE22C0">
        <w:rPr>
          <w:sz w:val="18"/>
          <w:szCs w:val="18"/>
        </w:rPr>
        <w:t xml:space="preserve"> </w:t>
      </w:r>
      <w:r w:rsidR="003D759B">
        <w:rPr>
          <w:sz w:val="18"/>
          <w:szCs w:val="18"/>
        </w:rPr>
        <w:t>further</w:t>
      </w:r>
      <w:r w:rsidR="002B2ACF" w:rsidRPr="00D2758E">
        <w:rPr>
          <w:sz w:val="18"/>
          <w:szCs w:val="18"/>
        </w:rPr>
        <w:t xml:space="preserve"> information</w:t>
      </w:r>
      <w:r w:rsidR="004C4459">
        <w:rPr>
          <w:sz w:val="18"/>
          <w:szCs w:val="18"/>
        </w:rPr>
        <w:t>,</w:t>
      </w:r>
      <w:r w:rsidR="002B2ACF" w:rsidRPr="00D2758E">
        <w:rPr>
          <w:sz w:val="18"/>
          <w:szCs w:val="18"/>
        </w:rPr>
        <w:t xml:space="preserve"> see </w:t>
      </w:r>
      <w:hyperlink r:id="rId13" w:history="1">
        <w:r w:rsidR="004A0963" w:rsidRPr="00D2758E">
          <w:rPr>
            <w:rStyle w:val="Hyperlink"/>
            <w:sz w:val="18"/>
            <w:szCs w:val="18"/>
          </w:rPr>
          <w:t>CBD/SBI/7/INF/3</w:t>
        </w:r>
      </w:hyperlink>
      <w:r w:rsidR="00E724C6" w:rsidRPr="00D2758E">
        <w:rPr>
          <w:sz w:val="18"/>
          <w:szCs w:val="18"/>
        </w:rPr>
        <w:t xml:space="preserve">, </w:t>
      </w:r>
      <w:r w:rsidR="002B2ACF" w:rsidRPr="00D2758E">
        <w:rPr>
          <w:sz w:val="18"/>
          <w:szCs w:val="18"/>
        </w:rPr>
        <w:t>sect</w:t>
      </w:r>
      <w:r w:rsidR="00E724C6" w:rsidRPr="00D2758E">
        <w:rPr>
          <w:sz w:val="18"/>
          <w:szCs w:val="18"/>
        </w:rPr>
        <w:t>.</w:t>
      </w:r>
      <w:r w:rsidR="002B2ACF" w:rsidRPr="00D2758E">
        <w:rPr>
          <w:sz w:val="18"/>
          <w:szCs w:val="18"/>
        </w:rPr>
        <w:t xml:space="preserve"> 2.1.1</w:t>
      </w:r>
      <w:r w:rsidR="00E724C6" w:rsidRPr="00D2758E">
        <w:rPr>
          <w:sz w:val="18"/>
          <w:szCs w:val="18"/>
        </w:rPr>
        <w:t>.</w:t>
      </w:r>
    </w:p>
  </w:footnote>
  <w:footnote w:id="17">
    <w:p w14:paraId="135DFA42" w14:textId="62672F13" w:rsidR="00043F6A" w:rsidRPr="00D2758E" w:rsidRDefault="00043F6A" w:rsidP="00043F6A">
      <w:pPr>
        <w:pStyle w:val="FootnoteText"/>
        <w:rPr>
          <w:szCs w:val="18"/>
        </w:rPr>
      </w:pPr>
      <w:r w:rsidRPr="00D2758E">
        <w:rPr>
          <w:rStyle w:val="FootnoteReference"/>
          <w:szCs w:val="18"/>
        </w:rPr>
        <w:footnoteRef/>
      </w:r>
      <w:r w:rsidRPr="00D2758E">
        <w:rPr>
          <w:szCs w:val="18"/>
        </w:rPr>
        <w:t xml:space="preserve"> The </w:t>
      </w:r>
      <w:r w:rsidR="00446822" w:rsidRPr="00D2758E">
        <w:rPr>
          <w:szCs w:val="18"/>
        </w:rPr>
        <w:t>n</w:t>
      </w:r>
      <w:r w:rsidR="00FF2AEF" w:rsidRPr="00D2758E">
        <w:rPr>
          <w:szCs w:val="18"/>
        </w:rPr>
        <w:t>ational focal points</w:t>
      </w:r>
      <w:r w:rsidRPr="00D2758E">
        <w:rPr>
          <w:szCs w:val="18"/>
        </w:rPr>
        <w:t xml:space="preserve"> outside </w:t>
      </w:r>
      <w:r w:rsidR="0069479C">
        <w:rPr>
          <w:szCs w:val="18"/>
        </w:rPr>
        <w:t xml:space="preserve">the region of </w:t>
      </w:r>
      <w:r w:rsidRPr="00D2758E">
        <w:rPr>
          <w:szCs w:val="18"/>
        </w:rPr>
        <w:t>Western Europe</w:t>
      </w:r>
      <w:r w:rsidR="00A75AF5">
        <w:rPr>
          <w:szCs w:val="18"/>
        </w:rPr>
        <w:t>an</w:t>
      </w:r>
      <w:r w:rsidRPr="00D2758E">
        <w:rPr>
          <w:szCs w:val="18"/>
        </w:rPr>
        <w:t xml:space="preserve"> and </w:t>
      </w:r>
      <w:r w:rsidR="0069479C">
        <w:rPr>
          <w:szCs w:val="18"/>
        </w:rPr>
        <w:t>o</w:t>
      </w:r>
      <w:r w:rsidRPr="00D2758E">
        <w:rPr>
          <w:szCs w:val="18"/>
        </w:rPr>
        <w:t>ther States are more likely to hold an additional focal point designation</w:t>
      </w:r>
      <w:r w:rsidR="00A62142" w:rsidRPr="00D2758E">
        <w:rPr>
          <w:szCs w:val="18"/>
        </w:rPr>
        <w:t>s</w:t>
      </w:r>
      <w:r w:rsidRPr="00D2758E">
        <w:rPr>
          <w:szCs w:val="18"/>
        </w:rPr>
        <w:t xml:space="preserve">. When examining the level of seniority of the </w:t>
      </w:r>
      <w:r w:rsidR="00446822" w:rsidRPr="00D2758E">
        <w:rPr>
          <w:szCs w:val="18"/>
        </w:rPr>
        <w:t xml:space="preserve">national focal points </w:t>
      </w:r>
      <w:r w:rsidRPr="00D2758E">
        <w:rPr>
          <w:szCs w:val="18"/>
        </w:rPr>
        <w:t>based on information provided on official function, it was observed that approximately 13</w:t>
      </w:r>
      <w:r w:rsidR="00516FC5">
        <w:rPr>
          <w:szCs w:val="18"/>
        </w:rPr>
        <w:t xml:space="preserve"> per cent</w:t>
      </w:r>
      <w:r w:rsidRPr="00D2758E">
        <w:rPr>
          <w:szCs w:val="18"/>
        </w:rPr>
        <w:t xml:space="preserve"> were at the </w:t>
      </w:r>
      <w:r w:rsidR="00AB2CF1">
        <w:rPr>
          <w:szCs w:val="18"/>
        </w:rPr>
        <w:t>m</w:t>
      </w:r>
      <w:r w:rsidRPr="00D2758E">
        <w:rPr>
          <w:szCs w:val="18"/>
        </w:rPr>
        <w:t>inisterial/</w:t>
      </w:r>
      <w:r w:rsidR="00AB2CF1">
        <w:rPr>
          <w:szCs w:val="18"/>
        </w:rPr>
        <w:t>d</w:t>
      </w:r>
      <w:r w:rsidRPr="00D2758E">
        <w:rPr>
          <w:szCs w:val="18"/>
        </w:rPr>
        <w:t>irector</w:t>
      </w:r>
      <w:r w:rsidR="00E0083C">
        <w:rPr>
          <w:szCs w:val="18"/>
        </w:rPr>
        <w:t xml:space="preserve"> </w:t>
      </w:r>
      <w:r w:rsidRPr="00D2758E">
        <w:rPr>
          <w:szCs w:val="18"/>
        </w:rPr>
        <w:t>general level</w:t>
      </w:r>
      <w:r w:rsidR="00E35ADD">
        <w:rPr>
          <w:szCs w:val="18"/>
        </w:rPr>
        <w:t xml:space="preserve"> and</w:t>
      </w:r>
      <w:r w:rsidRPr="00D2758E">
        <w:rPr>
          <w:szCs w:val="18"/>
        </w:rPr>
        <w:t xml:space="preserve"> a</w:t>
      </w:r>
      <w:r w:rsidR="00E35ADD">
        <w:rPr>
          <w:szCs w:val="18"/>
        </w:rPr>
        <w:t>bout</w:t>
      </w:r>
      <w:r w:rsidRPr="00D2758E">
        <w:rPr>
          <w:szCs w:val="18"/>
        </w:rPr>
        <w:t xml:space="preserve"> 40</w:t>
      </w:r>
      <w:r w:rsidR="00E35ADD">
        <w:rPr>
          <w:szCs w:val="18"/>
        </w:rPr>
        <w:t xml:space="preserve"> per cent </w:t>
      </w:r>
      <w:r w:rsidR="00D541F4">
        <w:rPr>
          <w:szCs w:val="18"/>
        </w:rPr>
        <w:t xml:space="preserve">were </w:t>
      </w:r>
      <w:r w:rsidRPr="00D2758E">
        <w:rPr>
          <w:szCs w:val="18"/>
        </w:rPr>
        <w:t xml:space="preserve">at the </w:t>
      </w:r>
      <w:r w:rsidR="00E35ADD">
        <w:rPr>
          <w:szCs w:val="18"/>
        </w:rPr>
        <w:t>d</w:t>
      </w:r>
      <w:r w:rsidRPr="00D2758E">
        <w:rPr>
          <w:szCs w:val="18"/>
        </w:rPr>
        <w:t>irector/</w:t>
      </w:r>
      <w:r w:rsidR="00E35ADD">
        <w:rPr>
          <w:szCs w:val="18"/>
        </w:rPr>
        <w:t>h</w:t>
      </w:r>
      <w:r w:rsidRPr="00D2758E">
        <w:rPr>
          <w:szCs w:val="18"/>
        </w:rPr>
        <w:t xml:space="preserve">ead level. For </w:t>
      </w:r>
      <w:r w:rsidR="00D541F4">
        <w:rPr>
          <w:szCs w:val="18"/>
        </w:rPr>
        <w:t>further</w:t>
      </w:r>
      <w:r w:rsidRPr="00D2758E">
        <w:rPr>
          <w:szCs w:val="18"/>
        </w:rPr>
        <w:t xml:space="preserve"> information on </w:t>
      </w:r>
      <w:r w:rsidR="00800E3D" w:rsidRPr="00D2758E">
        <w:rPr>
          <w:szCs w:val="18"/>
        </w:rPr>
        <w:t>national focal points</w:t>
      </w:r>
      <w:r w:rsidR="004C4459">
        <w:rPr>
          <w:szCs w:val="18"/>
        </w:rPr>
        <w:t>,</w:t>
      </w:r>
      <w:r w:rsidRPr="00D2758E">
        <w:rPr>
          <w:szCs w:val="18"/>
        </w:rPr>
        <w:t xml:space="preserve"> see </w:t>
      </w:r>
      <w:r w:rsidR="00D541F4">
        <w:rPr>
          <w:szCs w:val="18"/>
        </w:rPr>
        <w:t xml:space="preserve">document </w:t>
      </w:r>
      <w:hyperlink r:id="rId14" w:history="1">
        <w:r w:rsidR="003A6B8D" w:rsidRPr="00D2758E">
          <w:rPr>
            <w:rStyle w:val="Hyperlink"/>
            <w:szCs w:val="18"/>
          </w:rPr>
          <w:t>CBD/SBI/7/INF/4</w:t>
        </w:r>
      </w:hyperlink>
      <w:r w:rsidR="003A6B8D" w:rsidRPr="00D2758E">
        <w:rPr>
          <w:szCs w:val="18"/>
        </w:rPr>
        <w:t xml:space="preserve">, </w:t>
      </w:r>
      <w:r w:rsidRPr="00D2758E">
        <w:rPr>
          <w:szCs w:val="18"/>
        </w:rPr>
        <w:t>sect</w:t>
      </w:r>
      <w:r w:rsidR="003A6B8D" w:rsidRPr="00D2758E">
        <w:rPr>
          <w:szCs w:val="18"/>
        </w:rPr>
        <w:t>.</w:t>
      </w:r>
      <w:r w:rsidRPr="00D2758E">
        <w:rPr>
          <w:szCs w:val="18"/>
        </w:rPr>
        <w:t xml:space="preserve"> II.A.1</w:t>
      </w:r>
      <w:r w:rsidR="000536F1" w:rsidRPr="00D2758E">
        <w:rPr>
          <w:szCs w:val="18"/>
        </w:rPr>
        <w:t>.</w:t>
      </w:r>
    </w:p>
  </w:footnote>
  <w:footnote w:id="18">
    <w:p w14:paraId="3C3E1880" w14:textId="2B85D2EE" w:rsidR="003D0CB5" w:rsidRPr="00D2758E" w:rsidRDefault="003D0CB5">
      <w:pPr>
        <w:pStyle w:val="FootnoteText"/>
        <w:rPr>
          <w:szCs w:val="18"/>
        </w:rPr>
      </w:pPr>
      <w:r w:rsidRPr="00D2758E">
        <w:rPr>
          <w:rStyle w:val="FootnoteReference"/>
          <w:szCs w:val="18"/>
        </w:rPr>
        <w:footnoteRef/>
      </w:r>
      <w:r w:rsidRPr="00D2758E">
        <w:rPr>
          <w:szCs w:val="18"/>
        </w:rPr>
        <w:t xml:space="preserve"> </w:t>
      </w:r>
      <w:r w:rsidR="00434039" w:rsidRPr="00D2758E">
        <w:rPr>
          <w:szCs w:val="18"/>
        </w:rPr>
        <w:t xml:space="preserve">For </w:t>
      </w:r>
      <w:r w:rsidR="005846CD">
        <w:rPr>
          <w:szCs w:val="18"/>
        </w:rPr>
        <w:t>further</w:t>
      </w:r>
      <w:r w:rsidR="00434039" w:rsidRPr="00D2758E">
        <w:rPr>
          <w:szCs w:val="18"/>
        </w:rPr>
        <w:t xml:space="preserve"> information</w:t>
      </w:r>
      <w:r w:rsidR="00534BA2">
        <w:rPr>
          <w:szCs w:val="18"/>
        </w:rPr>
        <w:t>,</w:t>
      </w:r>
      <w:r w:rsidR="00434039" w:rsidRPr="00D2758E">
        <w:rPr>
          <w:szCs w:val="18"/>
        </w:rPr>
        <w:t xml:space="preserve"> see </w:t>
      </w:r>
      <w:r w:rsidR="003614D9">
        <w:rPr>
          <w:szCs w:val="18"/>
        </w:rPr>
        <w:t xml:space="preserve">document </w:t>
      </w:r>
      <w:hyperlink r:id="rId15" w:history="1">
        <w:r w:rsidR="008F74FF" w:rsidRPr="00D2758E">
          <w:rPr>
            <w:rStyle w:val="Hyperlink"/>
            <w:szCs w:val="18"/>
          </w:rPr>
          <w:t>CBD/SBI/7/INF/3</w:t>
        </w:r>
      </w:hyperlink>
      <w:r w:rsidR="003614D9">
        <w:t>,</w:t>
      </w:r>
      <w:r w:rsidR="000536F1" w:rsidRPr="00D2758E">
        <w:rPr>
          <w:szCs w:val="18"/>
        </w:rPr>
        <w:t xml:space="preserve"> </w:t>
      </w:r>
      <w:r w:rsidR="00434039" w:rsidRPr="00D2758E">
        <w:rPr>
          <w:szCs w:val="18"/>
        </w:rPr>
        <w:t>sect</w:t>
      </w:r>
      <w:r w:rsidR="000536F1" w:rsidRPr="00D2758E">
        <w:rPr>
          <w:szCs w:val="18"/>
        </w:rPr>
        <w:t>.</w:t>
      </w:r>
      <w:r w:rsidR="00434039" w:rsidRPr="00D2758E">
        <w:rPr>
          <w:szCs w:val="18"/>
        </w:rPr>
        <w:t xml:space="preserve"> 2.1.1</w:t>
      </w:r>
      <w:r w:rsidR="000536F1" w:rsidRPr="00D2758E">
        <w:rPr>
          <w:szCs w:val="18"/>
        </w:rPr>
        <w:t>.</w:t>
      </w:r>
    </w:p>
  </w:footnote>
  <w:footnote w:id="19">
    <w:p w14:paraId="5FE0CEE2" w14:textId="4E4CDDA8" w:rsidR="00286EF4" w:rsidRPr="00D2758E" w:rsidRDefault="00286EF4">
      <w:pPr>
        <w:pStyle w:val="FootnoteText"/>
        <w:rPr>
          <w:szCs w:val="18"/>
        </w:rPr>
      </w:pPr>
      <w:r w:rsidRPr="00D2758E">
        <w:rPr>
          <w:rStyle w:val="FootnoteReference"/>
        </w:rPr>
        <w:footnoteRef/>
      </w:r>
      <w:r w:rsidRPr="00D2758E">
        <w:t xml:space="preserve"> </w:t>
      </w:r>
      <w:r w:rsidRPr="00D2758E">
        <w:rPr>
          <w:szCs w:val="18"/>
        </w:rPr>
        <w:t>This i</w:t>
      </w:r>
      <w:r w:rsidR="009E0A10" w:rsidRPr="00D2758E">
        <w:rPr>
          <w:szCs w:val="18"/>
        </w:rPr>
        <w:t xml:space="preserve">s further illustrated in section III.A.5 </w:t>
      </w:r>
      <w:r w:rsidR="004008B1">
        <w:rPr>
          <w:szCs w:val="18"/>
        </w:rPr>
        <w:t xml:space="preserve">below </w:t>
      </w:r>
      <w:r w:rsidR="009E0A10" w:rsidRPr="00D2758E">
        <w:rPr>
          <w:szCs w:val="18"/>
        </w:rPr>
        <w:t>on implementation of Article</w:t>
      </w:r>
      <w:r w:rsidR="00C425AC">
        <w:rPr>
          <w:szCs w:val="18"/>
        </w:rPr>
        <w:t>s</w:t>
      </w:r>
      <w:r w:rsidR="009E0A10" w:rsidRPr="00D2758E">
        <w:rPr>
          <w:szCs w:val="18"/>
        </w:rPr>
        <w:t xml:space="preserve"> 15 and 17 of the </w:t>
      </w:r>
      <w:r w:rsidR="003E3C16">
        <w:rPr>
          <w:szCs w:val="18"/>
        </w:rPr>
        <w:t xml:space="preserve">Nagoya </w:t>
      </w:r>
      <w:r w:rsidR="009E0A10" w:rsidRPr="00D2758E">
        <w:rPr>
          <w:szCs w:val="18"/>
        </w:rPr>
        <w:t>Protocol.</w:t>
      </w:r>
    </w:p>
  </w:footnote>
  <w:footnote w:id="20">
    <w:p w14:paraId="4542774F" w14:textId="706E41C1" w:rsidR="00697A48" w:rsidRPr="00D2758E" w:rsidRDefault="00697A48">
      <w:pPr>
        <w:pStyle w:val="FootnoteText"/>
        <w:rPr>
          <w:szCs w:val="18"/>
        </w:rPr>
      </w:pPr>
      <w:r w:rsidRPr="00D2758E">
        <w:rPr>
          <w:rStyle w:val="FootnoteReference"/>
        </w:rPr>
        <w:footnoteRef/>
      </w:r>
      <w:r w:rsidRPr="00D2758E">
        <w:t xml:space="preserve"> </w:t>
      </w:r>
      <w:r w:rsidR="00BC3F40">
        <w:rPr>
          <w:rFonts w:asciiTheme="majorBidi" w:hAnsiTheme="majorBidi" w:cstheme="majorBidi"/>
          <w:szCs w:val="18"/>
        </w:rPr>
        <w:t>Further to</w:t>
      </w:r>
      <w:r w:rsidRPr="00D2758E">
        <w:rPr>
          <w:rFonts w:asciiTheme="majorBidi" w:hAnsiTheme="majorBidi" w:cstheme="majorBidi"/>
          <w:szCs w:val="18"/>
        </w:rPr>
        <w:t xml:space="preserve"> </w:t>
      </w:r>
      <w:hyperlink r:id="rId16" w:history="1">
        <w:r w:rsidRPr="00D2758E">
          <w:rPr>
            <w:rStyle w:val="Hyperlink"/>
            <w:rFonts w:asciiTheme="majorBidi" w:hAnsiTheme="majorBidi" w:cstheme="majorBidi"/>
            <w:szCs w:val="18"/>
          </w:rPr>
          <w:t xml:space="preserve">Article 17, </w:t>
        </w:r>
        <w:r w:rsidR="00527956">
          <w:rPr>
            <w:rStyle w:val="Hyperlink"/>
            <w:rFonts w:asciiTheme="majorBidi" w:hAnsiTheme="majorBidi" w:cstheme="majorBidi"/>
            <w:szCs w:val="18"/>
          </w:rPr>
          <w:t>sub</w:t>
        </w:r>
        <w:r w:rsidRPr="00D2758E">
          <w:rPr>
            <w:rStyle w:val="Hyperlink"/>
            <w:rFonts w:asciiTheme="majorBidi" w:hAnsiTheme="majorBidi" w:cstheme="majorBidi"/>
            <w:szCs w:val="18"/>
          </w:rPr>
          <w:t xml:space="preserve">paragraph </w:t>
        </w:r>
        <w:r w:rsidR="00591609">
          <w:rPr>
            <w:rStyle w:val="Hyperlink"/>
            <w:rFonts w:asciiTheme="majorBidi" w:hAnsiTheme="majorBidi" w:cstheme="majorBidi"/>
            <w:szCs w:val="18"/>
          </w:rPr>
          <w:t xml:space="preserve">1 </w:t>
        </w:r>
        <w:r w:rsidRPr="00D2758E">
          <w:rPr>
            <w:rStyle w:val="Hyperlink"/>
            <w:rFonts w:asciiTheme="majorBidi" w:hAnsiTheme="majorBidi" w:cstheme="majorBidi"/>
            <w:szCs w:val="18"/>
          </w:rPr>
          <w:t xml:space="preserve">(a) </w:t>
        </w:r>
        <w:r w:rsidR="00527956">
          <w:rPr>
            <w:rStyle w:val="Hyperlink"/>
            <w:rFonts w:asciiTheme="majorBidi" w:hAnsiTheme="majorBidi" w:cstheme="majorBidi"/>
            <w:szCs w:val="18"/>
          </w:rPr>
          <w:t>(</w:t>
        </w:r>
        <w:r w:rsidRPr="00D2758E">
          <w:rPr>
            <w:rStyle w:val="Hyperlink"/>
            <w:rFonts w:asciiTheme="majorBidi" w:hAnsiTheme="majorBidi" w:cstheme="majorBidi"/>
            <w:szCs w:val="18"/>
          </w:rPr>
          <w:t>iv</w:t>
        </w:r>
      </w:hyperlink>
      <w:r w:rsidR="00527956">
        <w:t>)</w:t>
      </w:r>
      <w:r w:rsidR="00F7470E">
        <w:t>,</w:t>
      </w:r>
      <w:r w:rsidR="006500A8" w:rsidRPr="00D2758E">
        <w:rPr>
          <w:rFonts w:asciiTheme="majorBidi" w:hAnsiTheme="majorBidi" w:cstheme="majorBidi"/>
          <w:szCs w:val="18"/>
        </w:rPr>
        <w:t xml:space="preserve"> of the Nagoya Protocol</w:t>
      </w:r>
      <w:r w:rsidRPr="00D2758E">
        <w:rPr>
          <w:rFonts w:asciiTheme="majorBidi" w:hAnsiTheme="majorBidi" w:cstheme="majorBidi"/>
          <w:szCs w:val="18"/>
        </w:rPr>
        <w:t xml:space="preserve">, </w:t>
      </w:r>
      <w:r w:rsidR="00A6707E" w:rsidRPr="00D2758E">
        <w:rPr>
          <w:rFonts w:asciiTheme="majorBidi" w:hAnsiTheme="majorBidi" w:cstheme="majorBidi"/>
          <w:szCs w:val="18"/>
        </w:rPr>
        <w:t>checkpoints</w:t>
      </w:r>
      <w:r w:rsidRPr="00D2758E">
        <w:rPr>
          <w:rFonts w:asciiTheme="majorBidi" w:hAnsiTheme="majorBidi" w:cstheme="majorBidi"/>
          <w:szCs w:val="18"/>
        </w:rPr>
        <w:t xml:space="preserve"> should be relevant to the utilization of genetic resources or the collection of relevant information at, inter alia, any stage of research, development, innovation, pre</w:t>
      </w:r>
      <w:r w:rsidR="00374E36">
        <w:rPr>
          <w:rFonts w:asciiTheme="majorBidi" w:hAnsiTheme="majorBidi" w:cstheme="majorBidi"/>
          <w:szCs w:val="18"/>
        </w:rPr>
        <w:t>-</w:t>
      </w:r>
      <w:r w:rsidRPr="00D2758E">
        <w:rPr>
          <w:rFonts w:asciiTheme="majorBidi" w:hAnsiTheme="majorBidi" w:cstheme="majorBidi"/>
          <w:szCs w:val="18"/>
        </w:rPr>
        <w:t xml:space="preserve"> commercialization or commercialization.</w:t>
      </w:r>
    </w:p>
  </w:footnote>
  <w:footnote w:id="21">
    <w:p w14:paraId="2EBC21A6" w14:textId="5E87D322" w:rsidR="00AF4FE2" w:rsidRPr="00D2758E" w:rsidRDefault="00AF4FE2" w:rsidP="00FA35C6">
      <w:pPr>
        <w:pStyle w:val="FootnoteText"/>
        <w:rPr>
          <w:szCs w:val="18"/>
        </w:rPr>
      </w:pPr>
      <w:r w:rsidRPr="00D2758E">
        <w:rPr>
          <w:rStyle w:val="FootnoteReference"/>
        </w:rPr>
        <w:footnoteRef/>
      </w:r>
      <w:r w:rsidRPr="00D2758E">
        <w:t xml:space="preserve"> </w:t>
      </w:r>
      <w:r w:rsidR="00D14444" w:rsidRPr="00D2758E">
        <w:rPr>
          <w:szCs w:val="18"/>
        </w:rPr>
        <w:t xml:space="preserve">For </w:t>
      </w:r>
      <w:r w:rsidR="00683A2E">
        <w:rPr>
          <w:szCs w:val="18"/>
        </w:rPr>
        <w:t>further</w:t>
      </w:r>
      <w:r w:rsidR="00D14444" w:rsidRPr="00D2758E">
        <w:rPr>
          <w:szCs w:val="18"/>
        </w:rPr>
        <w:t xml:space="preserve"> information</w:t>
      </w:r>
      <w:r w:rsidR="009C6E83">
        <w:rPr>
          <w:szCs w:val="18"/>
        </w:rPr>
        <w:t>,</w:t>
      </w:r>
      <w:r w:rsidR="00D14444" w:rsidRPr="00D2758E">
        <w:rPr>
          <w:szCs w:val="18"/>
        </w:rPr>
        <w:t xml:space="preserve"> see </w:t>
      </w:r>
      <w:r w:rsidR="00683A2E">
        <w:rPr>
          <w:szCs w:val="18"/>
        </w:rPr>
        <w:t xml:space="preserve">documents </w:t>
      </w:r>
      <w:hyperlink r:id="rId17" w:history="1">
        <w:r w:rsidR="008D1078" w:rsidRPr="00D2758E">
          <w:rPr>
            <w:rStyle w:val="Hyperlink"/>
            <w:szCs w:val="18"/>
          </w:rPr>
          <w:t>CBD/SBI/7/INF/2</w:t>
        </w:r>
      </w:hyperlink>
      <w:r w:rsidR="008D1078" w:rsidRPr="00D2758E">
        <w:rPr>
          <w:szCs w:val="18"/>
        </w:rPr>
        <w:t xml:space="preserve">, sect. </w:t>
      </w:r>
      <w:r w:rsidR="00D14444" w:rsidRPr="00D2758E">
        <w:rPr>
          <w:szCs w:val="18"/>
        </w:rPr>
        <w:t>III.A.</w:t>
      </w:r>
      <w:r w:rsidR="00A6448A" w:rsidRPr="00D2758E">
        <w:rPr>
          <w:szCs w:val="18"/>
        </w:rPr>
        <w:t>3</w:t>
      </w:r>
      <w:r w:rsidR="007A7882">
        <w:rPr>
          <w:szCs w:val="18"/>
        </w:rPr>
        <w:t>;</w:t>
      </w:r>
      <w:r w:rsidR="00855FE4" w:rsidRPr="00D2758E">
        <w:rPr>
          <w:szCs w:val="18"/>
        </w:rPr>
        <w:t xml:space="preserve"> </w:t>
      </w:r>
      <w:hyperlink r:id="rId18" w:history="1">
        <w:r w:rsidR="008D1078" w:rsidRPr="00D2758E">
          <w:rPr>
            <w:rStyle w:val="Hyperlink"/>
            <w:szCs w:val="18"/>
          </w:rPr>
          <w:t>CBD/SBI/7/INF/3</w:t>
        </w:r>
      </w:hyperlink>
      <w:r w:rsidR="008D1078" w:rsidRPr="00D2758E">
        <w:rPr>
          <w:szCs w:val="18"/>
        </w:rPr>
        <w:t>, sect</w:t>
      </w:r>
      <w:r w:rsidR="007A7882">
        <w:rPr>
          <w:szCs w:val="18"/>
        </w:rPr>
        <w:t>s</w:t>
      </w:r>
      <w:r w:rsidR="008D1078" w:rsidRPr="00D2758E">
        <w:rPr>
          <w:szCs w:val="18"/>
        </w:rPr>
        <w:t xml:space="preserve">. </w:t>
      </w:r>
      <w:r w:rsidR="00855FE4" w:rsidRPr="00D2758E">
        <w:rPr>
          <w:szCs w:val="18"/>
        </w:rPr>
        <w:t xml:space="preserve">2.1.1 </w:t>
      </w:r>
      <w:r w:rsidR="005C01B0" w:rsidRPr="00D2758E">
        <w:rPr>
          <w:szCs w:val="18"/>
        </w:rPr>
        <w:t>and 2.2</w:t>
      </w:r>
      <w:r w:rsidR="007A7882">
        <w:rPr>
          <w:szCs w:val="18"/>
        </w:rPr>
        <w:t>;</w:t>
      </w:r>
      <w:r w:rsidR="005C01B0" w:rsidRPr="00D2758E">
        <w:rPr>
          <w:szCs w:val="18"/>
        </w:rPr>
        <w:t xml:space="preserve"> </w:t>
      </w:r>
      <w:r w:rsidR="00D14444" w:rsidRPr="00D2758E">
        <w:rPr>
          <w:szCs w:val="18"/>
        </w:rPr>
        <w:t>and</w:t>
      </w:r>
      <w:r w:rsidR="008D1078" w:rsidRPr="00D2758E">
        <w:rPr>
          <w:szCs w:val="18"/>
        </w:rPr>
        <w:t xml:space="preserve"> </w:t>
      </w:r>
      <w:hyperlink r:id="rId19" w:history="1">
        <w:r w:rsidR="008D1078" w:rsidRPr="00D2758E">
          <w:rPr>
            <w:rStyle w:val="Hyperlink"/>
            <w:szCs w:val="18"/>
          </w:rPr>
          <w:t>CBD/SBI/7/INF/4</w:t>
        </w:r>
      </w:hyperlink>
      <w:r w:rsidR="00BF1A9B" w:rsidRPr="00D2758E">
        <w:rPr>
          <w:szCs w:val="18"/>
        </w:rPr>
        <w:t>.</w:t>
      </w:r>
    </w:p>
  </w:footnote>
  <w:footnote w:id="22">
    <w:p w14:paraId="239DEB45" w14:textId="6C939F95" w:rsidR="00560059" w:rsidRPr="00D2758E" w:rsidRDefault="00560059" w:rsidP="00560059">
      <w:pPr>
        <w:pStyle w:val="FootnoteText"/>
        <w:rPr>
          <w:szCs w:val="18"/>
        </w:rPr>
      </w:pPr>
      <w:r w:rsidRPr="00D2758E">
        <w:rPr>
          <w:rStyle w:val="FootnoteReference"/>
        </w:rPr>
        <w:footnoteRef/>
      </w:r>
      <w:r w:rsidRPr="00D2758E">
        <w:t xml:space="preserve"> </w:t>
      </w:r>
      <w:r w:rsidR="00ED32D7">
        <w:rPr>
          <w:szCs w:val="18"/>
        </w:rPr>
        <w:t>S</w:t>
      </w:r>
      <w:r w:rsidR="00ED32D7" w:rsidRPr="00D2758E">
        <w:rPr>
          <w:szCs w:val="18"/>
        </w:rPr>
        <w:t xml:space="preserve">ect. III.A.3 </w:t>
      </w:r>
      <w:r w:rsidR="00ED32D7">
        <w:rPr>
          <w:szCs w:val="18"/>
        </w:rPr>
        <w:t>of d</w:t>
      </w:r>
      <w:r w:rsidR="00711D03">
        <w:t>oc</w:t>
      </w:r>
      <w:r w:rsidR="00ED32D7">
        <w:t>ument</w:t>
      </w:r>
      <w:r w:rsidR="00711D03">
        <w:t xml:space="preserve"> </w:t>
      </w:r>
      <w:hyperlink r:id="rId20" w:history="1">
        <w:r w:rsidR="00485E30" w:rsidRPr="00D2758E">
          <w:rPr>
            <w:rStyle w:val="Hyperlink"/>
            <w:szCs w:val="18"/>
          </w:rPr>
          <w:t>CBD/SBI/7/INF/2</w:t>
        </w:r>
      </w:hyperlink>
      <w:r w:rsidRPr="00D2758E">
        <w:rPr>
          <w:szCs w:val="18"/>
        </w:rPr>
        <w:t xml:space="preserve"> includes summaries and examples of some of those approaches. </w:t>
      </w:r>
    </w:p>
  </w:footnote>
  <w:footnote w:id="23">
    <w:p w14:paraId="7004D692" w14:textId="3D8E021C" w:rsidR="007A6E03" w:rsidRPr="00D2758E" w:rsidRDefault="007A6E03">
      <w:pPr>
        <w:pStyle w:val="FootnoteText"/>
        <w:rPr>
          <w:szCs w:val="18"/>
        </w:rPr>
      </w:pPr>
      <w:r w:rsidRPr="00D2758E">
        <w:rPr>
          <w:rStyle w:val="FootnoteReference"/>
        </w:rPr>
        <w:footnoteRef/>
      </w:r>
      <w:r w:rsidRPr="00D2758E">
        <w:t xml:space="preserve"> </w:t>
      </w:r>
      <w:r w:rsidR="00537055">
        <w:t>Thirty</w:t>
      </w:r>
      <w:r w:rsidRPr="00D2758E">
        <w:rPr>
          <w:szCs w:val="18"/>
        </w:rPr>
        <w:t xml:space="preserve"> Parties (21</w:t>
      </w:r>
      <w:r w:rsidR="00ED32D7">
        <w:rPr>
          <w:szCs w:val="18"/>
        </w:rPr>
        <w:t xml:space="preserve"> per cent</w:t>
      </w:r>
      <w:r w:rsidRPr="00D2758E">
        <w:rPr>
          <w:szCs w:val="18"/>
        </w:rPr>
        <w:t xml:space="preserve">) have published at least one procedure for a total of 39 records. </w:t>
      </w:r>
      <w:r w:rsidR="00F37B96">
        <w:rPr>
          <w:szCs w:val="18"/>
        </w:rPr>
        <w:t>Additional</w:t>
      </w:r>
      <w:r w:rsidRPr="00D2758E">
        <w:rPr>
          <w:szCs w:val="18"/>
        </w:rPr>
        <w:t xml:space="preserve"> information on the analysis of </w:t>
      </w:r>
      <w:r w:rsidR="00203CEB" w:rsidRPr="00D2758E">
        <w:rPr>
          <w:szCs w:val="18"/>
        </w:rPr>
        <w:t xml:space="preserve">published </w:t>
      </w:r>
      <w:r w:rsidR="00537055" w:rsidRPr="00537055">
        <w:rPr>
          <w:szCs w:val="18"/>
        </w:rPr>
        <w:t xml:space="preserve">access and benefit-sharing </w:t>
      </w:r>
      <w:r w:rsidRPr="00D2758E">
        <w:rPr>
          <w:szCs w:val="18"/>
        </w:rPr>
        <w:t>procedures and background information can be found in</w:t>
      </w:r>
      <w:r w:rsidR="008F54B0" w:rsidRPr="00D2758E">
        <w:rPr>
          <w:szCs w:val="18"/>
        </w:rPr>
        <w:t xml:space="preserve"> </w:t>
      </w:r>
      <w:r w:rsidR="0081052E" w:rsidRPr="00D2758E">
        <w:rPr>
          <w:szCs w:val="18"/>
        </w:rPr>
        <w:t>sect. II.A.5</w:t>
      </w:r>
      <w:r w:rsidR="0081052E">
        <w:rPr>
          <w:szCs w:val="18"/>
        </w:rPr>
        <w:t xml:space="preserve"> of </w:t>
      </w:r>
      <w:r w:rsidR="007654D4">
        <w:rPr>
          <w:szCs w:val="18"/>
        </w:rPr>
        <w:t xml:space="preserve">document </w:t>
      </w:r>
      <w:hyperlink r:id="rId21" w:history="1">
        <w:r w:rsidR="008F236F" w:rsidRPr="00D2758E">
          <w:rPr>
            <w:rStyle w:val="Hyperlink"/>
            <w:szCs w:val="18"/>
          </w:rPr>
          <w:t>CBD/SBI/7/INF/4</w:t>
        </w:r>
      </w:hyperlink>
      <w:r w:rsidR="00010FCA" w:rsidRPr="00D2758E">
        <w:rPr>
          <w:szCs w:val="18"/>
        </w:rPr>
        <w:t>.</w:t>
      </w:r>
    </w:p>
  </w:footnote>
  <w:footnote w:id="24">
    <w:p w14:paraId="78E7EA62" w14:textId="5B0F9145" w:rsidR="00361FCF" w:rsidRPr="00D2758E" w:rsidRDefault="00361FCF">
      <w:pPr>
        <w:pStyle w:val="FootnoteText"/>
      </w:pPr>
      <w:r w:rsidRPr="00D2758E">
        <w:rPr>
          <w:rStyle w:val="FootnoteReference"/>
        </w:rPr>
        <w:footnoteRef/>
      </w:r>
      <w:r w:rsidRPr="00D2758E">
        <w:t xml:space="preserve"> </w:t>
      </w:r>
      <w:r w:rsidR="00A27961" w:rsidRPr="00D2758E">
        <w:rPr>
          <w:szCs w:val="18"/>
        </w:rPr>
        <w:t>O</w:t>
      </w:r>
      <w:r w:rsidR="00475CB3" w:rsidRPr="00D2758E">
        <w:rPr>
          <w:szCs w:val="18"/>
        </w:rPr>
        <w:t xml:space="preserve">nly 12 Parties </w:t>
      </w:r>
      <w:r w:rsidR="006E1D40" w:rsidRPr="00D2758E">
        <w:rPr>
          <w:szCs w:val="18"/>
        </w:rPr>
        <w:t>(8</w:t>
      </w:r>
      <w:r w:rsidR="006E1D40">
        <w:rPr>
          <w:szCs w:val="18"/>
        </w:rPr>
        <w:t xml:space="preserve"> per cent</w:t>
      </w:r>
      <w:r w:rsidR="006E1D40" w:rsidRPr="00D2758E">
        <w:rPr>
          <w:szCs w:val="18"/>
        </w:rPr>
        <w:t xml:space="preserve">) </w:t>
      </w:r>
      <w:r w:rsidR="00475CB3" w:rsidRPr="00D2758E">
        <w:rPr>
          <w:szCs w:val="18"/>
        </w:rPr>
        <w:t>have published information on national model contractual clauses through th</w:t>
      </w:r>
      <w:r w:rsidR="00B71180">
        <w:rPr>
          <w:szCs w:val="18"/>
        </w:rPr>
        <w:t>at</w:t>
      </w:r>
      <w:r w:rsidR="00475CB3" w:rsidRPr="00D2758E">
        <w:rPr>
          <w:szCs w:val="18"/>
        </w:rPr>
        <w:t xml:space="preserve"> specific record format.</w:t>
      </w:r>
      <w:r w:rsidR="00E17E0F" w:rsidRPr="00D2758E">
        <w:rPr>
          <w:szCs w:val="18"/>
        </w:rPr>
        <w:t xml:space="preserve"> In some cases, national model contractual clauses have been included as part of the </w:t>
      </w:r>
      <w:r w:rsidR="00F00346" w:rsidRPr="00F00346">
        <w:rPr>
          <w:szCs w:val="18"/>
        </w:rPr>
        <w:t xml:space="preserve">access and benefit-sharing </w:t>
      </w:r>
      <w:r w:rsidR="00E17E0F" w:rsidRPr="00D2758E">
        <w:rPr>
          <w:szCs w:val="18"/>
        </w:rPr>
        <w:t xml:space="preserve">measure records. </w:t>
      </w:r>
      <w:r w:rsidR="00230EC8">
        <w:rPr>
          <w:szCs w:val="18"/>
        </w:rPr>
        <w:t xml:space="preserve">Additional </w:t>
      </w:r>
      <w:r w:rsidR="00E17E0F" w:rsidRPr="00D2758E">
        <w:rPr>
          <w:szCs w:val="18"/>
        </w:rPr>
        <w:t xml:space="preserve">information </w:t>
      </w:r>
      <w:r w:rsidR="00230EC8">
        <w:rPr>
          <w:szCs w:val="18"/>
        </w:rPr>
        <w:t>in th</w:t>
      </w:r>
      <w:r w:rsidR="005E1D94">
        <w:rPr>
          <w:szCs w:val="18"/>
        </w:rPr>
        <w:t>at</w:t>
      </w:r>
      <w:r w:rsidR="00230EC8">
        <w:rPr>
          <w:szCs w:val="18"/>
        </w:rPr>
        <w:t xml:space="preserve"> regard </w:t>
      </w:r>
      <w:r w:rsidR="00E17E0F" w:rsidRPr="00D2758E">
        <w:rPr>
          <w:szCs w:val="18"/>
        </w:rPr>
        <w:t xml:space="preserve">can be found in </w:t>
      </w:r>
      <w:r w:rsidR="00230EC8">
        <w:rPr>
          <w:szCs w:val="18"/>
        </w:rPr>
        <w:t xml:space="preserve">document </w:t>
      </w:r>
      <w:hyperlink r:id="rId22" w:history="1">
        <w:r w:rsidR="00DC45F3" w:rsidRPr="00D2758E">
          <w:rPr>
            <w:rStyle w:val="Hyperlink"/>
            <w:szCs w:val="18"/>
          </w:rPr>
          <w:t>CBD/SBI/7/INF/4</w:t>
        </w:r>
      </w:hyperlink>
      <w:r w:rsidR="008F236F" w:rsidRPr="00D2758E">
        <w:rPr>
          <w:szCs w:val="18"/>
        </w:rPr>
        <w:t xml:space="preserve">, sect. </w:t>
      </w:r>
      <w:r w:rsidR="00BF6F38" w:rsidRPr="00D2758E">
        <w:rPr>
          <w:szCs w:val="18"/>
        </w:rPr>
        <w:t>II.A</w:t>
      </w:r>
      <w:r w:rsidR="00D00F68" w:rsidRPr="00D2758E">
        <w:rPr>
          <w:szCs w:val="18"/>
        </w:rPr>
        <w:t>.4</w:t>
      </w:r>
      <w:r w:rsidR="008F236F" w:rsidRPr="00D2758E">
        <w:rPr>
          <w:szCs w:val="18"/>
        </w:rPr>
        <w:t>.</w:t>
      </w:r>
    </w:p>
  </w:footnote>
  <w:footnote w:id="25">
    <w:p w14:paraId="3133162A" w14:textId="3D819CF3" w:rsidR="00D85934" w:rsidRPr="00D2758E" w:rsidRDefault="00D85934">
      <w:pPr>
        <w:pStyle w:val="FootnoteText"/>
        <w:rPr>
          <w:szCs w:val="18"/>
        </w:rPr>
      </w:pPr>
      <w:r w:rsidRPr="00D2758E">
        <w:rPr>
          <w:rStyle w:val="FootnoteReference"/>
        </w:rPr>
        <w:footnoteRef/>
      </w:r>
      <w:r w:rsidRPr="00D2758E">
        <w:t xml:space="preserve"> </w:t>
      </w:r>
      <w:r w:rsidR="00741401">
        <w:t>Forty-six</w:t>
      </w:r>
      <w:r w:rsidRPr="00D2758E">
        <w:rPr>
          <w:szCs w:val="18"/>
        </w:rPr>
        <w:t xml:space="preserve"> Parties have published 66 records. </w:t>
      </w:r>
      <w:r w:rsidR="00741401">
        <w:rPr>
          <w:szCs w:val="18"/>
        </w:rPr>
        <w:t xml:space="preserve">Additional </w:t>
      </w:r>
      <w:r w:rsidRPr="00D2758E">
        <w:rPr>
          <w:szCs w:val="18"/>
        </w:rPr>
        <w:t xml:space="preserve">information </w:t>
      </w:r>
      <w:r w:rsidR="00741401">
        <w:rPr>
          <w:szCs w:val="18"/>
        </w:rPr>
        <w:t xml:space="preserve">is </w:t>
      </w:r>
      <w:r w:rsidRPr="00D2758E">
        <w:rPr>
          <w:szCs w:val="18"/>
        </w:rPr>
        <w:t xml:space="preserve">available in </w:t>
      </w:r>
      <w:r w:rsidR="00741401" w:rsidRPr="00D2758E">
        <w:rPr>
          <w:szCs w:val="18"/>
        </w:rPr>
        <w:t>sect. II.A.10</w:t>
      </w:r>
      <w:r w:rsidR="0050004A">
        <w:rPr>
          <w:szCs w:val="18"/>
        </w:rPr>
        <w:t xml:space="preserve"> of </w:t>
      </w:r>
      <w:r w:rsidR="00D91B85">
        <w:rPr>
          <w:szCs w:val="18"/>
        </w:rPr>
        <w:t xml:space="preserve">document </w:t>
      </w:r>
      <w:hyperlink r:id="rId23" w:history="1">
        <w:r w:rsidR="002A1965" w:rsidRPr="00D2758E">
          <w:rPr>
            <w:rStyle w:val="Hyperlink"/>
            <w:szCs w:val="18"/>
          </w:rPr>
          <w:t>CBD/SBI/7/INF/4</w:t>
        </w:r>
      </w:hyperlink>
      <w:r w:rsidR="00010FCA" w:rsidRPr="00D2758E">
        <w:rPr>
          <w:szCs w:val="18"/>
        </w:rPr>
        <w:t>,.</w:t>
      </w:r>
    </w:p>
  </w:footnote>
  <w:footnote w:id="26">
    <w:p w14:paraId="13ECD49E" w14:textId="00947245" w:rsidR="00EB527E" w:rsidRPr="00D2758E" w:rsidRDefault="00EB527E">
      <w:pPr>
        <w:pStyle w:val="FootnoteText"/>
      </w:pPr>
      <w:r w:rsidRPr="00D2758E">
        <w:rPr>
          <w:rStyle w:val="FootnoteReference"/>
        </w:rPr>
        <w:footnoteRef/>
      </w:r>
      <w:r w:rsidRPr="00D2758E">
        <w:t xml:space="preserve"> </w:t>
      </w:r>
      <w:r w:rsidRPr="00D2758E">
        <w:rPr>
          <w:szCs w:val="18"/>
        </w:rPr>
        <w:t xml:space="preserve">In the responses to the targeted survey, </w:t>
      </w:r>
      <w:proofErr w:type="gramStart"/>
      <w:r w:rsidRPr="00D2758E">
        <w:rPr>
          <w:szCs w:val="18"/>
        </w:rPr>
        <w:t>a number of</w:t>
      </w:r>
      <w:proofErr w:type="gramEnd"/>
      <w:r w:rsidRPr="00D2758E">
        <w:rPr>
          <w:szCs w:val="18"/>
        </w:rPr>
        <w:t xml:space="preserve"> users from both the scientific and business communities have </w:t>
      </w:r>
      <w:r w:rsidR="009C6ED9">
        <w:rPr>
          <w:szCs w:val="18"/>
        </w:rPr>
        <w:t>emphasized</w:t>
      </w:r>
      <w:r w:rsidRPr="00D2758E">
        <w:rPr>
          <w:szCs w:val="18"/>
        </w:rPr>
        <w:t xml:space="preserve"> </w:t>
      </w:r>
      <w:r w:rsidR="004261AB">
        <w:rPr>
          <w:szCs w:val="18"/>
        </w:rPr>
        <w:t xml:space="preserve">the challenge of dealing with </w:t>
      </w:r>
      <w:r w:rsidR="00FF1FA5">
        <w:rPr>
          <w:szCs w:val="18"/>
        </w:rPr>
        <w:t xml:space="preserve">the </w:t>
      </w:r>
      <w:r w:rsidRPr="00D2758E">
        <w:rPr>
          <w:szCs w:val="18"/>
        </w:rPr>
        <w:t xml:space="preserve">extensive </w:t>
      </w:r>
      <w:r w:rsidR="00FF1FA5">
        <w:rPr>
          <w:szCs w:val="18"/>
        </w:rPr>
        <w:t xml:space="preserve">impact of </w:t>
      </w:r>
      <w:r w:rsidRPr="00D2758E">
        <w:rPr>
          <w:szCs w:val="18"/>
        </w:rPr>
        <w:t>government bureaucrac</w:t>
      </w:r>
      <w:r w:rsidR="004261AB">
        <w:rPr>
          <w:szCs w:val="18"/>
        </w:rPr>
        <w:t>ies</w:t>
      </w:r>
      <w:r w:rsidRPr="00D2758E">
        <w:rPr>
          <w:szCs w:val="18"/>
        </w:rPr>
        <w:t xml:space="preserve"> and </w:t>
      </w:r>
      <w:r w:rsidR="00445089">
        <w:rPr>
          <w:szCs w:val="18"/>
        </w:rPr>
        <w:t xml:space="preserve">the </w:t>
      </w:r>
      <w:r w:rsidRPr="00D2758E">
        <w:rPr>
          <w:szCs w:val="18"/>
        </w:rPr>
        <w:t xml:space="preserve">considerable delays in obtaining </w:t>
      </w:r>
      <w:r w:rsidR="00427E8C" w:rsidRPr="00D2758E">
        <w:rPr>
          <w:szCs w:val="18"/>
        </w:rPr>
        <w:t>prior informed cons</w:t>
      </w:r>
      <w:r w:rsidR="000A222B" w:rsidRPr="00D2758E">
        <w:rPr>
          <w:szCs w:val="18"/>
        </w:rPr>
        <w:t>ent</w:t>
      </w:r>
      <w:r w:rsidRPr="00D2758E">
        <w:rPr>
          <w:szCs w:val="18"/>
        </w:rPr>
        <w:t xml:space="preserve">, which may take months </w:t>
      </w:r>
      <w:r w:rsidR="00A165A3">
        <w:rPr>
          <w:szCs w:val="18"/>
        </w:rPr>
        <w:t>or</w:t>
      </w:r>
      <w:r w:rsidRPr="00D2758E">
        <w:rPr>
          <w:szCs w:val="18"/>
        </w:rPr>
        <w:t xml:space="preserve"> even years. Many examples of lengthy processes were provided to illustrate </w:t>
      </w:r>
      <w:r w:rsidR="002235A8">
        <w:rPr>
          <w:szCs w:val="18"/>
        </w:rPr>
        <w:t>such</w:t>
      </w:r>
      <w:r w:rsidRPr="00D2758E">
        <w:rPr>
          <w:szCs w:val="18"/>
        </w:rPr>
        <w:t xml:space="preserve"> challenges. </w:t>
      </w:r>
      <w:r w:rsidR="00CA3759" w:rsidRPr="00D2758E">
        <w:rPr>
          <w:szCs w:val="18"/>
        </w:rPr>
        <w:t xml:space="preserve">The complexity of </w:t>
      </w:r>
      <w:r w:rsidR="002235A8" w:rsidRPr="002235A8">
        <w:rPr>
          <w:szCs w:val="18"/>
        </w:rPr>
        <w:t xml:space="preserve">access and benefit-sharing </w:t>
      </w:r>
      <w:r w:rsidR="00CA3759" w:rsidRPr="00D2758E">
        <w:rPr>
          <w:szCs w:val="18"/>
        </w:rPr>
        <w:t>processes and unpredictable timelines have affected the ability of some institutions to initiate and complete research activities</w:t>
      </w:r>
      <w:r w:rsidR="0062691A">
        <w:rPr>
          <w:szCs w:val="18"/>
        </w:rPr>
        <w:t>,</w:t>
      </w:r>
      <w:r w:rsidR="00CA3759" w:rsidRPr="00D2758E">
        <w:rPr>
          <w:szCs w:val="18"/>
        </w:rPr>
        <w:t xml:space="preserve"> as the time required to establish </w:t>
      </w:r>
      <w:r w:rsidR="001C6608" w:rsidRPr="00D2758E">
        <w:rPr>
          <w:szCs w:val="18"/>
        </w:rPr>
        <w:t xml:space="preserve">mutually agreed terms </w:t>
      </w:r>
      <w:r w:rsidR="00CA3759" w:rsidRPr="00D2758E">
        <w:rPr>
          <w:szCs w:val="18"/>
        </w:rPr>
        <w:t>may be incompatible with project deadlines or funding constraints.</w:t>
      </w:r>
      <w:r w:rsidR="00CA3759" w:rsidRPr="00D2758E">
        <w:t xml:space="preserve"> </w:t>
      </w:r>
      <w:r w:rsidR="00B400CB">
        <w:t>Further</w:t>
      </w:r>
      <w:r w:rsidRPr="00D2758E">
        <w:rPr>
          <w:szCs w:val="18"/>
        </w:rPr>
        <w:t xml:space="preserve"> information </w:t>
      </w:r>
      <w:r w:rsidR="00CE27C8">
        <w:rPr>
          <w:szCs w:val="18"/>
        </w:rPr>
        <w:t xml:space="preserve">in this regard </w:t>
      </w:r>
      <w:r w:rsidRPr="00D2758E">
        <w:rPr>
          <w:szCs w:val="18"/>
        </w:rPr>
        <w:t xml:space="preserve">can be found in </w:t>
      </w:r>
      <w:r w:rsidR="00B400CB">
        <w:rPr>
          <w:szCs w:val="18"/>
        </w:rPr>
        <w:t xml:space="preserve">document </w:t>
      </w:r>
      <w:hyperlink r:id="rId24" w:history="1">
        <w:r w:rsidR="00706875" w:rsidRPr="00D2758E">
          <w:rPr>
            <w:rStyle w:val="Hyperlink"/>
            <w:szCs w:val="18"/>
          </w:rPr>
          <w:t>CBD/SBI/7/INF/3</w:t>
        </w:r>
      </w:hyperlink>
      <w:r w:rsidR="00706875" w:rsidRPr="00D2758E">
        <w:rPr>
          <w:szCs w:val="18"/>
        </w:rPr>
        <w:t>,</w:t>
      </w:r>
      <w:r w:rsidRPr="00D2758E">
        <w:rPr>
          <w:szCs w:val="18"/>
        </w:rPr>
        <w:t xml:space="preserve"> </w:t>
      </w:r>
      <w:r w:rsidR="00706875" w:rsidRPr="00D2758E">
        <w:rPr>
          <w:szCs w:val="18"/>
        </w:rPr>
        <w:t xml:space="preserve">sect. </w:t>
      </w:r>
      <w:r w:rsidRPr="00D2758E">
        <w:rPr>
          <w:szCs w:val="18"/>
        </w:rPr>
        <w:t xml:space="preserve">2.1.1. The issue is also addressed </w:t>
      </w:r>
      <w:r w:rsidR="00723570" w:rsidRPr="00D2758E">
        <w:rPr>
          <w:szCs w:val="18"/>
        </w:rPr>
        <w:t xml:space="preserve">below </w:t>
      </w:r>
      <w:r w:rsidRPr="00D2758E">
        <w:rPr>
          <w:szCs w:val="18"/>
        </w:rPr>
        <w:t>under element B on effectiveness.</w:t>
      </w:r>
    </w:p>
  </w:footnote>
  <w:footnote w:id="27">
    <w:p w14:paraId="004697D5" w14:textId="4B41921B" w:rsidR="00136C9C" w:rsidRPr="00D2758E" w:rsidRDefault="00136C9C">
      <w:pPr>
        <w:pStyle w:val="FootnoteText"/>
        <w:rPr>
          <w:szCs w:val="18"/>
        </w:rPr>
      </w:pPr>
      <w:r w:rsidRPr="00D2758E">
        <w:rPr>
          <w:rStyle w:val="FootnoteReference"/>
        </w:rPr>
        <w:footnoteRef/>
      </w:r>
      <w:r w:rsidR="008D348F">
        <w:rPr>
          <w:szCs w:val="18"/>
        </w:rPr>
        <w:t>C</w:t>
      </w:r>
      <w:r w:rsidR="00293B95" w:rsidRPr="00D2758E">
        <w:rPr>
          <w:szCs w:val="18"/>
        </w:rPr>
        <w:t>ompanies require legal certainty and predictability</w:t>
      </w:r>
      <w:r w:rsidR="008D348F">
        <w:rPr>
          <w:szCs w:val="18"/>
        </w:rPr>
        <w:t xml:space="preserve"> and</w:t>
      </w:r>
      <w:r w:rsidR="00293B95" w:rsidRPr="00D2758E">
        <w:rPr>
          <w:szCs w:val="18"/>
        </w:rPr>
        <w:t xml:space="preserve"> many</w:t>
      </w:r>
      <w:r w:rsidR="008D348F">
        <w:rPr>
          <w:szCs w:val="18"/>
        </w:rPr>
        <w:t xml:space="preserve"> of them,</w:t>
      </w:r>
      <w:r w:rsidR="00293B95" w:rsidRPr="00D2758E">
        <w:rPr>
          <w:szCs w:val="18"/>
        </w:rPr>
        <w:t xml:space="preserve"> </w:t>
      </w:r>
      <w:r w:rsidR="008D348F">
        <w:rPr>
          <w:szCs w:val="18"/>
        </w:rPr>
        <w:t>a</w:t>
      </w:r>
      <w:r w:rsidR="008D348F" w:rsidRPr="00D2758E">
        <w:rPr>
          <w:szCs w:val="18"/>
        </w:rPr>
        <w:t>ccording to the results of the targeted survey</w:t>
      </w:r>
      <w:r w:rsidR="008D348F">
        <w:rPr>
          <w:szCs w:val="18"/>
        </w:rPr>
        <w:t>,</w:t>
      </w:r>
      <w:r w:rsidR="008D348F" w:rsidRPr="00D2758E">
        <w:rPr>
          <w:szCs w:val="18"/>
        </w:rPr>
        <w:t xml:space="preserve"> </w:t>
      </w:r>
      <w:r w:rsidR="00293B95" w:rsidRPr="00D2758E">
        <w:rPr>
          <w:szCs w:val="18"/>
        </w:rPr>
        <w:t>stress</w:t>
      </w:r>
      <w:r w:rsidR="007C4072">
        <w:rPr>
          <w:szCs w:val="18"/>
        </w:rPr>
        <w:t>ed</w:t>
      </w:r>
      <w:r w:rsidR="00293B95" w:rsidRPr="00D2758E">
        <w:rPr>
          <w:szCs w:val="18"/>
        </w:rPr>
        <w:t xml:space="preserve"> that benefit-sharing obligations c</w:t>
      </w:r>
      <w:r w:rsidR="005A3F46">
        <w:rPr>
          <w:szCs w:val="18"/>
        </w:rPr>
        <w:t xml:space="preserve">ould </w:t>
      </w:r>
      <w:r w:rsidR="00293B95" w:rsidRPr="00D2758E">
        <w:rPr>
          <w:szCs w:val="18"/>
        </w:rPr>
        <w:t>not be determined only after commerciali</w:t>
      </w:r>
      <w:r w:rsidR="00553548">
        <w:rPr>
          <w:szCs w:val="18"/>
        </w:rPr>
        <w:t>z</w:t>
      </w:r>
      <w:r w:rsidR="00293B95" w:rsidRPr="00D2758E">
        <w:rPr>
          <w:szCs w:val="18"/>
        </w:rPr>
        <w:t xml:space="preserve">ation or product development. Companies are generally not willing to invest in </w:t>
      </w:r>
      <w:r w:rsidR="0022488F" w:rsidRPr="00D2758E">
        <w:rPr>
          <w:szCs w:val="18"/>
        </w:rPr>
        <w:t xml:space="preserve">research and development </w:t>
      </w:r>
      <w:r w:rsidR="00293B95" w:rsidRPr="00D2758E">
        <w:rPr>
          <w:szCs w:val="18"/>
        </w:rPr>
        <w:t>without assurance or legal certainty that acceptable terms can be negotiated within a reasonable time</w:t>
      </w:r>
      <w:r w:rsidR="002307FC">
        <w:rPr>
          <w:szCs w:val="18"/>
        </w:rPr>
        <w:t xml:space="preserve"> </w:t>
      </w:r>
      <w:r w:rsidR="00293B95" w:rsidRPr="00D2758E">
        <w:rPr>
          <w:szCs w:val="18"/>
        </w:rPr>
        <w:t xml:space="preserve">frame. </w:t>
      </w:r>
      <w:r w:rsidR="00350A8C">
        <w:rPr>
          <w:szCs w:val="18"/>
        </w:rPr>
        <w:t>Further</w:t>
      </w:r>
      <w:r w:rsidR="004D1538" w:rsidRPr="00D2758E">
        <w:rPr>
          <w:szCs w:val="18"/>
        </w:rPr>
        <w:t xml:space="preserve"> information </w:t>
      </w:r>
      <w:r w:rsidR="00350A8C">
        <w:rPr>
          <w:szCs w:val="18"/>
        </w:rPr>
        <w:t xml:space="preserve">in that regard </w:t>
      </w:r>
      <w:r w:rsidR="004D1538" w:rsidRPr="00D2758E">
        <w:rPr>
          <w:szCs w:val="18"/>
        </w:rPr>
        <w:t xml:space="preserve">can be found in </w:t>
      </w:r>
      <w:r w:rsidR="00350A8C">
        <w:rPr>
          <w:szCs w:val="18"/>
        </w:rPr>
        <w:t xml:space="preserve">document </w:t>
      </w:r>
      <w:hyperlink r:id="rId25" w:history="1">
        <w:r w:rsidR="00B05F89" w:rsidRPr="00D2758E">
          <w:rPr>
            <w:rStyle w:val="Hyperlink"/>
            <w:szCs w:val="18"/>
          </w:rPr>
          <w:t>CBD/SBI/7/INF/3</w:t>
        </w:r>
      </w:hyperlink>
      <w:r w:rsidR="000164A9" w:rsidRPr="00D2758E">
        <w:rPr>
          <w:szCs w:val="18"/>
        </w:rPr>
        <w:t xml:space="preserve">, sect. </w:t>
      </w:r>
      <w:r w:rsidR="004D0863" w:rsidRPr="00D2758E">
        <w:rPr>
          <w:szCs w:val="18"/>
        </w:rPr>
        <w:t>2.2</w:t>
      </w:r>
      <w:r w:rsidR="000164A9" w:rsidRPr="00D2758E">
        <w:rPr>
          <w:szCs w:val="18"/>
        </w:rPr>
        <w:t>.</w:t>
      </w:r>
    </w:p>
  </w:footnote>
  <w:footnote w:id="28">
    <w:p w14:paraId="3EC9D08E" w14:textId="08FF2430" w:rsidR="00312A0A" w:rsidRPr="00D2758E" w:rsidRDefault="00312A0A" w:rsidP="00554249">
      <w:pPr>
        <w:pStyle w:val="FootnoteText"/>
        <w:rPr>
          <w:szCs w:val="18"/>
        </w:rPr>
      </w:pPr>
      <w:r w:rsidRPr="00D2758E">
        <w:rPr>
          <w:rStyle w:val="FootnoteReference"/>
          <w:szCs w:val="18"/>
        </w:rPr>
        <w:footnoteRef/>
      </w:r>
      <w:r w:rsidRPr="00D2758E">
        <w:rPr>
          <w:szCs w:val="18"/>
        </w:rPr>
        <w:t xml:space="preserve"> This aspect is addressed </w:t>
      </w:r>
      <w:r w:rsidR="00F41FD9" w:rsidRPr="00D2758E">
        <w:rPr>
          <w:szCs w:val="18"/>
        </w:rPr>
        <w:t>further under element</w:t>
      </w:r>
      <w:r w:rsidR="0017431B" w:rsidRPr="00D2758E">
        <w:rPr>
          <w:szCs w:val="18"/>
        </w:rPr>
        <w:t xml:space="preserve"> G </w:t>
      </w:r>
      <w:r w:rsidR="002E377C" w:rsidRPr="00D2758E">
        <w:rPr>
          <w:szCs w:val="18"/>
        </w:rPr>
        <w:t xml:space="preserve">below </w:t>
      </w:r>
      <w:r w:rsidR="0017431B" w:rsidRPr="00D2758E">
        <w:rPr>
          <w:szCs w:val="18"/>
        </w:rPr>
        <w:t xml:space="preserve">on the review </w:t>
      </w:r>
      <w:r w:rsidR="002E377C" w:rsidRPr="00D2758E">
        <w:rPr>
          <w:szCs w:val="18"/>
        </w:rPr>
        <w:t>of implementation and operation of the</w:t>
      </w:r>
      <w:r w:rsidR="00881C04" w:rsidRPr="00D2758E">
        <w:rPr>
          <w:szCs w:val="18"/>
        </w:rPr>
        <w:t xml:space="preserve"> </w:t>
      </w:r>
      <w:r w:rsidR="002E377C" w:rsidRPr="00D2758E">
        <w:rPr>
          <w:szCs w:val="18"/>
        </w:rPr>
        <w:t>Access and Benefit-sharing Clearing-House.</w:t>
      </w:r>
    </w:p>
  </w:footnote>
  <w:footnote w:id="29">
    <w:p w14:paraId="2E6B892A" w14:textId="2D8EEF6D" w:rsidR="007F30B4" w:rsidRPr="00D2758E" w:rsidRDefault="007F30B4">
      <w:pPr>
        <w:pStyle w:val="FootnoteText"/>
      </w:pPr>
      <w:r w:rsidRPr="00D2758E">
        <w:rPr>
          <w:rStyle w:val="FootnoteReference"/>
          <w:szCs w:val="18"/>
        </w:rPr>
        <w:footnoteRef/>
      </w:r>
      <w:r w:rsidRPr="00D2758E">
        <w:rPr>
          <w:szCs w:val="18"/>
        </w:rPr>
        <w:t xml:space="preserve"> For </w:t>
      </w:r>
      <w:r w:rsidR="0008221F">
        <w:rPr>
          <w:szCs w:val="18"/>
        </w:rPr>
        <w:t>further</w:t>
      </w:r>
      <w:r w:rsidRPr="00D2758E">
        <w:rPr>
          <w:szCs w:val="18"/>
        </w:rPr>
        <w:t xml:space="preserve"> information</w:t>
      </w:r>
      <w:r w:rsidR="00C26769">
        <w:rPr>
          <w:szCs w:val="18"/>
        </w:rPr>
        <w:t>,</w:t>
      </w:r>
      <w:r w:rsidRPr="00D2758E">
        <w:rPr>
          <w:szCs w:val="18"/>
        </w:rPr>
        <w:t xml:space="preserve"> see </w:t>
      </w:r>
      <w:r w:rsidR="0008221F">
        <w:rPr>
          <w:szCs w:val="18"/>
        </w:rPr>
        <w:t xml:space="preserve">document </w:t>
      </w:r>
      <w:hyperlink r:id="rId26" w:history="1">
        <w:r w:rsidR="00881C04" w:rsidRPr="00D2758E">
          <w:rPr>
            <w:rStyle w:val="Hyperlink"/>
            <w:szCs w:val="18"/>
          </w:rPr>
          <w:t>CBD/SBI/7/INF/2</w:t>
        </w:r>
      </w:hyperlink>
      <w:r w:rsidR="00881C04" w:rsidRPr="00D2758E">
        <w:rPr>
          <w:szCs w:val="18"/>
        </w:rPr>
        <w:t xml:space="preserve">, sect. </w:t>
      </w:r>
      <w:r w:rsidRPr="00D2758E">
        <w:rPr>
          <w:szCs w:val="18"/>
        </w:rPr>
        <w:t>III.A.4</w:t>
      </w:r>
      <w:r w:rsidR="009925EF" w:rsidRPr="00D2758E">
        <w:rPr>
          <w:szCs w:val="18"/>
        </w:rPr>
        <w:t>.</w:t>
      </w:r>
    </w:p>
  </w:footnote>
  <w:footnote w:id="30">
    <w:p w14:paraId="7C2952D9" w14:textId="6D44DF28" w:rsidR="009128C6" w:rsidRPr="00D2758E" w:rsidRDefault="009128C6" w:rsidP="009128C6">
      <w:pPr>
        <w:pStyle w:val="FootnoteText"/>
        <w:rPr>
          <w:szCs w:val="18"/>
        </w:rPr>
      </w:pPr>
      <w:r w:rsidRPr="00D2758E">
        <w:rPr>
          <w:rStyle w:val="FootnoteReference"/>
          <w:szCs w:val="18"/>
        </w:rPr>
        <w:footnoteRef/>
      </w:r>
      <w:r w:rsidRPr="00D2758E">
        <w:rPr>
          <w:szCs w:val="18"/>
        </w:rPr>
        <w:t xml:space="preserve"> </w:t>
      </w:r>
      <w:r w:rsidR="002935F5">
        <w:rPr>
          <w:szCs w:val="18"/>
        </w:rPr>
        <w:t xml:space="preserve">Document </w:t>
      </w:r>
      <w:hyperlink r:id="rId27" w:history="1">
        <w:r w:rsidR="008832E7" w:rsidRPr="00D2758E">
          <w:rPr>
            <w:rStyle w:val="Hyperlink"/>
            <w:szCs w:val="18"/>
          </w:rPr>
          <w:t>CBD/SBI/7/INF/2</w:t>
        </w:r>
      </w:hyperlink>
      <w:r w:rsidRPr="00D2758E">
        <w:rPr>
          <w:szCs w:val="18"/>
        </w:rPr>
        <w:t xml:space="preserve"> includes summaries and examples of some of those approaches. </w:t>
      </w:r>
    </w:p>
  </w:footnote>
  <w:footnote w:id="31">
    <w:p w14:paraId="2939E906" w14:textId="69ABF89F" w:rsidR="00503DB0" w:rsidRPr="00D2758E" w:rsidRDefault="00503DB0">
      <w:pPr>
        <w:pStyle w:val="FootnoteText"/>
        <w:rPr>
          <w:szCs w:val="18"/>
        </w:rPr>
      </w:pPr>
      <w:r w:rsidRPr="00D2758E">
        <w:rPr>
          <w:rStyle w:val="FootnoteReference"/>
          <w:szCs w:val="18"/>
        </w:rPr>
        <w:footnoteRef/>
      </w:r>
      <w:r w:rsidRPr="00D2758E">
        <w:rPr>
          <w:szCs w:val="18"/>
        </w:rPr>
        <w:t xml:space="preserve"> Information related to </w:t>
      </w:r>
      <w:r w:rsidR="00976E69" w:rsidRPr="00D2758E">
        <w:rPr>
          <w:szCs w:val="18"/>
        </w:rPr>
        <w:t xml:space="preserve">negotiation of mutually agreed terms is included under </w:t>
      </w:r>
      <w:r w:rsidR="00976D87" w:rsidRPr="00D2758E">
        <w:rPr>
          <w:szCs w:val="18"/>
        </w:rPr>
        <w:t xml:space="preserve">section </w:t>
      </w:r>
      <w:r w:rsidR="00035DCF" w:rsidRPr="00D2758E">
        <w:rPr>
          <w:szCs w:val="18"/>
        </w:rPr>
        <w:t>III.A.3 above on measures related to access.</w:t>
      </w:r>
    </w:p>
  </w:footnote>
  <w:footnote w:id="32">
    <w:p w14:paraId="584CFBA7" w14:textId="291EA93C" w:rsidR="00275785" w:rsidRPr="00D2758E" w:rsidRDefault="00275785" w:rsidP="00275785">
      <w:pPr>
        <w:pStyle w:val="FootnoteText"/>
        <w:rPr>
          <w:szCs w:val="18"/>
        </w:rPr>
      </w:pPr>
      <w:r w:rsidRPr="00D2758E">
        <w:rPr>
          <w:rStyle w:val="FootnoteReference"/>
          <w:szCs w:val="18"/>
        </w:rPr>
        <w:footnoteRef/>
      </w:r>
      <w:r w:rsidRPr="00D2758E">
        <w:rPr>
          <w:szCs w:val="18"/>
        </w:rPr>
        <w:t xml:space="preserve"> For </w:t>
      </w:r>
      <w:r w:rsidR="00A253CA">
        <w:rPr>
          <w:szCs w:val="18"/>
        </w:rPr>
        <w:t>further</w:t>
      </w:r>
      <w:r w:rsidRPr="00D2758E">
        <w:rPr>
          <w:szCs w:val="18"/>
        </w:rPr>
        <w:t xml:space="preserve"> information</w:t>
      </w:r>
      <w:r w:rsidR="00545F1D">
        <w:rPr>
          <w:szCs w:val="18"/>
        </w:rPr>
        <w:t>,</w:t>
      </w:r>
      <w:r w:rsidRPr="00D2758E">
        <w:rPr>
          <w:szCs w:val="18"/>
        </w:rPr>
        <w:t xml:space="preserve"> see </w:t>
      </w:r>
      <w:r w:rsidR="00A253CA">
        <w:rPr>
          <w:szCs w:val="18"/>
        </w:rPr>
        <w:t>document</w:t>
      </w:r>
      <w:r w:rsidR="00DA603F">
        <w:rPr>
          <w:szCs w:val="18"/>
        </w:rPr>
        <w:t>s</w:t>
      </w:r>
      <w:r w:rsidR="00A253CA">
        <w:rPr>
          <w:szCs w:val="18"/>
        </w:rPr>
        <w:t xml:space="preserve"> </w:t>
      </w:r>
      <w:hyperlink r:id="rId28" w:history="1">
        <w:r w:rsidR="00015AF6" w:rsidRPr="00D2758E">
          <w:rPr>
            <w:rStyle w:val="Hyperlink"/>
            <w:szCs w:val="18"/>
          </w:rPr>
          <w:t>CBD/SBI/7/INF/2</w:t>
        </w:r>
      </w:hyperlink>
      <w:r w:rsidR="00015AF6" w:rsidRPr="00D2758E">
        <w:rPr>
          <w:szCs w:val="18"/>
        </w:rPr>
        <w:t xml:space="preserve">, </w:t>
      </w:r>
      <w:r w:rsidRPr="00D2758E">
        <w:rPr>
          <w:szCs w:val="18"/>
        </w:rPr>
        <w:t>sect</w:t>
      </w:r>
      <w:r w:rsidR="00015AF6" w:rsidRPr="00D2758E">
        <w:rPr>
          <w:szCs w:val="18"/>
        </w:rPr>
        <w:t>.</w:t>
      </w:r>
      <w:r w:rsidRPr="00D2758E">
        <w:rPr>
          <w:szCs w:val="18"/>
        </w:rPr>
        <w:t xml:space="preserve"> III.A</w:t>
      </w:r>
      <w:r w:rsidR="00A503F2" w:rsidRPr="00D2758E">
        <w:rPr>
          <w:szCs w:val="18"/>
        </w:rPr>
        <w:t>.5</w:t>
      </w:r>
      <w:r w:rsidR="00DA603F">
        <w:rPr>
          <w:szCs w:val="18"/>
        </w:rPr>
        <w:t>;</w:t>
      </w:r>
      <w:r w:rsidRPr="00D2758E">
        <w:rPr>
          <w:szCs w:val="18"/>
        </w:rPr>
        <w:t xml:space="preserve"> </w:t>
      </w:r>
      <w:hyperlink r:id="rId29" w:history="1">
        <w:r w:rsidR="00015AF6" w:rsidRPr="00D2758E">
          <w:rPr>
            <w:rStyle w:val="Hyperlink"/>
            <w:szCs w:val="18"/>
          </w:rPr>
          <w:t>CBD/SBI/7/INF/3</w:t>
        </w:r>
      </w:hyperlink>
      <w:r w:rsidR="00015AF6" w:rsidRPr="00D2758E">
        <w:rPr>
          <w:szCs w:val="18"/>
        </w:rPr>
        <w:t xml:space="preserve">, </w:t>
      </w:r>
      <w:r w:rsidR="00587CFA" w:rsidRPr="00D2758E">
        <w:rPr>
          <w:szCs w:val="18"/>
        </w:rPr>
        <w:t>sect</w:t>
      </w:r>
      <w:r w:rsidR="00015AF6" w:rsidRPr="00D2758E">
        <w:rPr>
          <w:szCs w:val="18"/>
        </w:rPr>
        <w:t>.</w:t>
      </w:r>
      <w:r w:rsidR="00587CFA" w:rsidRPr="00D2758E">
        <w:rPr>
          <w:szCs w:val="18"/>
        </w:rPr>
        <w:t xml:space="preserve"> </w:t>
      </w:r>
      <w:r w:rsidR="00DA1B66" w:rsidRPr="00D2758E">
        <w:rPr>
          <w:szCs w:val="18"/>
        </w:rPr>
        <w:t>2.1.2</w:t>
      </w:r>
      <w:r w:rsidR="00DA603F">
        <w:rPr>
          <w:szCs w:val="18"/>
        </w:rPr>
        <w:t>;</w:t>
      </w:r>
      <w:r w:rsidR="00DA1B66" w:rsidRPr="00D2758E">
        <w:rPr>
          <w:szCs w:val="18"/>
        </w:rPr>
        <w:t xml:space="preserve"> </w:t>
      </w:r>
      <w:r w:rsidRPr="00D2758E">
        <w:rPr>
          <w:szCs w:val="18"/>
        </w:rPr>
        <w:t xml:space="preserve">and </w:t>
      </w:r>
      <w:hyperlink r:id="rId30" w:history="1">
        <w:r w:rsidR="00616D44" w:rsidRPr="00D2758E">
          <w:rPr>
            <w:rStyle w:val="Hyperlink"/>
            <w:szCs w:val="18"/>
          </w:rPr>
          <w:t>CBD/SBI/7/INF/4</w:t>
        </w:r>
      </w:hyperlink>
      <w:r w:rsidR="00BD0C54" w:rsidRPr="00D2758E">
        <w:rPr>
          <w:szCs w:val="18"/>
        </w:rPr>
        <w:t>.</w:t>
      </w:r>
    </w:p>
  </w:footnote>
  <w:footnote w:id="33">
    <w:p w14:paraId="67C9BC7C" w14:textId="4D4818A1" w:rsidR="00920866" w:rsidRPr="00D2758E" w:rsidRDefault="00920866" w:rsidP="00920866">
      <w:pPr>
        <w:pStyle w:val="FootnoteText"/>
        <w:rPr>
          <w:szCs w:val="18"/>
        </w:rPr>
      </w:pPr>
      <w:r w:rsidRPr="00D2758E">
        <w:rPr>
          <w:rStyle w:val="FootnoteReference"/>
          <w:szCs w:val="18"/>
        </w:rPr>
        <w:footnoteRef/>
      </w:r>
      <w:r w:rsidRPr="00D2758E">
        <w:rPr>
          <w:szCs w:val="18"/>
        </w:rPr>
        <w:t xml:space="preserve"> Analysis of the information contained in the communiqu</w:t>
      </w:r>
      <w:r w:rsidR="00AB3D9D">
        <w:rPr>
          <w:szCs w:val="18"/>
        </w:rPr>
        <w:t>é</w:t>
      </w:r>
      <w:r w:rsidRPr="00D2758E">
        <w:rPr>
          <w:szCs w:val="18"/>
        </w:rPr>
        <w:t>s indicated that 31</w:t>
      </w:r>
      <w:r w:rsidR="00AB3D9D">
        <w:rPr>
          <w:szCs w:val="18"/>
        </w:rPr>
        <w:t xml:space="preserve"> per cent</w:t>
      </w:r>
      <w:r w:rsidRPr="00D2758E">
        <w:rPr>
          <w:szCs w:val="18"/>
        </w:rPr>
        <w:t xml:space="preserve"> reference</w:t>
      </w:r>
      <w:r w:rsidR="00AB3D9D">
        <w:rPr>
          <w:szCs w:val="18"/>
        </w:rPr>
        <w:t>d</w:t>
      </w:r>
      <w:r w:rsidRPr="00D2758E">
        <w:rPr>
          <w:szCs w:val="18"/>
        </w:rPr>
        <w:t xml:space="preserve"> a specific certificate and another 55</w:t>
      </w:r>
      <w:r w:rsidR="00AB3D9D">
        <w:rPr>
          <w:szCs w:val="18"/>
        </w:rPr>
        <w:t xml:space="preserve"> per cent</w:t>
      </w:r>
      <w:r w:rsidRPr="00D2758E">
        <w:rPr>
          <w:szCs w:val="18"/>
        </w:rPr>
        <w:t>% provide</w:t>
      </w:r>
      <w:r w:rsidR="00AB3D9D">
        <w:rPr>
          <w:szCs w:val="18"/>
        </w:rPr>
        <w:t>d</w:t>
      </w:r>
      <w:r w:rsidRPr="00D2758E">
        <w:rPr>
          <w:szCs w:val="18"/>
        </w:rPr>
        <w:t xml:space="preserve"> some evidence of prior informed consent or an </w:t>
      </w:r>
      <w:r w:rsidR="00AB3D9D" w:rsidRPr="00AB3D9D">
        <w:rPr>
          <w:szCs w:val="18"/>
        </w:rPr>
        <w:t xml:space="preserve">access and benefit-sharing </w:t>
      </w:r>
      <w:r w:rsidRPr="00D2758E">
        <w:rPr>
          <w:szCs w:val="18"/>
        </w:rPr>
        <w:t>permit. About 14</w:t>
      </w:r>
      <w:r w:rsidR="00AB3D9D">
        <w:rPr>
          <w:szCs w:val="18"/>
        </w:rPr>
        <w:t xml:space="preserve"> per cent</w:t>
      </w:r>
      <w:r w:rsidRPr="00D2758E">
        <w:rPr>
          <w:szCs w:val="18"/>
        </w:rPr>
        <w:t xml:space="preserve"> of communiqu</w:t>
      </w:r>
      <w:r w:rsidR="00AB3D9D">
        <w:rPr>
          <w:szCs w:val="18"/>
        </w:rPr>
        <w:t>é</w:t>
      </w:r>
      <w:r w:rsidRPr="00D2758E">
        <w:rPr>
          <w:szCs w:val="18"/>
        </w:rPr>
        <w:t xml:space="preserve"> records do not refer to any evidence of </w:t>
      </w:r>
      <w:r w:rsidR="00043B6F" w:rsidRPr="00D2758E">
        <w:rPr>
          <w:szCs w:val="18"/>
        </w:rPr>
        <w:t>prior informed consent</w:t>
      </w:r>
      <w:r w:rsidRPr="00D2758E">
        <w:rPr>
          <w:szCs w:val="18"/>
        </w:rPr>
        <w:t xml:space="preserve">. For </w:t>
      </w:r>
      <w:r w:rsidR="00AB3D9D">
        <w:rPr>
          <w:szCs w:val="18"/>
        </w:rPr>
        <w:t>further</w:t>
      </w:r>
      <w:r w:rsidRPr="00D2758E">
        <w:rPr>
          <w:szCs w:val="18"/>
        </w:rPr>
        <w:t xml:space="preserve"> information and </w:t>
      </w:r>
      <w:r w:rsidR="00AB3D9D">
        <w:rPr>
          <w:szCs w:val="18"/>
        </w:rPr>
        <w:t>further</w:t>
      </w:r>
      <w:r w:rsidRPr="00D2758E">
        <w:rPr>
          <w:szCs w:val="18"/>
        </w:rPr>
        <w:t xml:space="preserve"> analysis of the content of the checkpoint communiqués published </w:t>
      </w:r>
      <w:r w:rsidR="00AB3D9D">
        <w:rPr>
          <w:szCs w:val="18"/>
        </w:rPr>
        <w:t>o</w:t>
      </w:r>
      <w:r w:rsidRPr="00D2758E">
        <w:rPr>
          <w:szCs w:val="18"/>
        </w:rPr>
        <w:t xml:space="preserve">n the </w:t>
      </w:r>
      <w:proofErr w:type="gramStart"/>
      <w:r w:rsidRPr="00D2758E">
        <w:rPr>
          <w:szCs w:val="18"/>
        </w:rPr>
        <w:t>Clearing-House</w:t>
      </w:r>
      <w:proofErr w:type="gramEnd"/>
      <w:r w:rsidR="00AB3D9D">
        <w:rPr>
          <w:szCs w:val="18"/>
        </w:rPr>
        <w:t>, s</w:t>
      </w:r>
      <w:r w:rsidR="009508EB" w:rsidRPr="00D2758E">
        <w:rPr>
          <w:szCs w:val="18"/>
        </w:rPr>
        <w:t xml:space="preserve">ee </w:t>
      </w:r>
      <w:r w:rsidR="00AB3D9D">
        <w:rPr>
          <w:szCs w:val="18"/>
        </w:rPr>
        <w:t xml:space="preserve">document </w:t>
      </w:r>
      <w:hyperlink r:id="rId31" w:history="1">
        <w:r w:rsidR="00BD0C54" w:rsidRPr="00D2758E">
          <w:rPr>
            <w:rStyle w:val="Hyperlink"/>
            <w:szCs w:val="18"/>
          </w:rPr>
          <w:t>CBD/SBI/7/INF/4</w:t>
        </w:r>
      </w:hyperlink>
      <w:r w:rsidR="00BD0C54" w:rsidRPr="00D2758E">
        <w:rPr>
          <w:szCs w:val="18"/>
        </w:rPr>
        <w:t>, s</w:t>
      </w:r>
      <w:r w:rsidRPr="00D2758E">
        <w:rPr>
          <w:szCs w:val="18"/>
        </w:rPr>
        <w:t>ect</w:t>
      </w:r>
      <w:r w:rsidR="00BD0C54" w:rsidRPr="00D2758E">
        <w:rPr>
          <w:szCs w:val="18"/>
        </w:rPr>
        <w:t>.</w:t>
      </w:r>
      <w:r w:rsidRPr="00D2758E">
        <w:rPr>
          <w:szCs w:val="18"/>
        </w:rPr>
        <w:t xml:space="preserve"> II.A.9.</w:t>
      </w:r>
    </w:p>
  </w:footnote>
  <w:footnote w:id="34">
    <w:p w14:paraId="71C44E1E" w14:textId="219A93AD" w:rsidR="009A737A" w:rsidRPr="00D2758E" w:rsidRDefault="009A737A">
      <w:pPr>
        <w:pStyle w:val="FootnoteText"/>
        <w:rPr>
          <w:szCs w:val="18"/>
        </w:rPr>
      </w:pPr>
      <w:r w:rsidRPr="00D2758E">
        <w:rPr>
          <w:rStyle w:val="FootnoteReference"/>
          <w:szCs w:val="18"/>
        </w:rPr>
        <w:footnoteRef/>
      </w:r>
      <w:r w:rsidRPr="00D2758E">
        <w:rPr>
          <w:szCs w:val="18"/>
        </w:rPr>
        <w:t xml:space="preserve"> </w:t>
      </w:r>
      <w:r w:rsidR="00A503F2" w:rsidRPr="00D2758E">
        <w:rPr>
          <w:szCs w:val="18"/>
        </w:rPr>
        <w:t xml:space="preserve">See </w:t>
      </w:r>
      <w:r w:rsidR="007059BD">
        <w:rPr>
          <w:szCs w:val="18"/>
        </w:rPr>
        <w:t xml:space="preserve">documents </w:t>
      </w:r>
      <w:hyperlink r:id="rId32" w:history="1">
        <w:r w:rsidR="009508EB" w:rsidRPr="00D2758E">
          <w:rPr>
            <w:rStyle w:val="Hyperlink"/>
            <w:szCs w:val="18"/>
          </w:rPr>
          <w:t>CBD/SBI/7/INF/2</w:t>
        </w:r>
      </w:hyperlink>
      <w:r w:rsidR="009508EB" w:rsidRPr="00D2758E">
        <w:rPr>
          <w:szCs w:val="18"/>
        </w:rPr>
        <w:t xml:space="preserve">, </w:t>
      </w:r>
      <w:r w:rsidR="001161D5" w:rsidRPr="00D2758E">
        <w:rPr>
          <w:szCs w:val="18"/>
        </w:rPr>
        <w:t xml:space="preserve">sect. </w:t>
      </w:r>
      <w:r w:rsidR="00A503F2" w:rsidRPr="00D2758E">
        <w:rPr>
          <w:szCs w:val="18"/>
        </w:rPr>
        <w:t>III.A.5</w:t>
      </w:r>
      <w:r w:rsidR="007059BD">
        <w:rPr>
          <w:szCs w:val="18"/>
        </w:rPr>
        <w:t>,</w:t>
      </w:r>
      <w:r w:rsidR="0039770F" w:rsidRPr="00D2758E">
        <w:rPr>
          <w:szCs w:val="18"/>
        </w:rPr>
        <w:t xml:space="preserve"> </w:t>
      </w:r>
      <w:r w:rsidR="00A503F2" w:rsidRPr="00D2758E">
        <w:rPr>
          <w:szCs w:val="18"/>
        </w:rPr>
        <w:t xml:space="preserve">and </w:t>
      </w:r>
      <w:hyperlink r:id="rId33" w:history="1">
        <w:r w:rsidR="001161D5" w:rsidRPr="00D2758E">
          <w:rPr>
            <w:rStyle w:val="Hyperlink"/>
            <w:szCs w:val="18"/>
          </w:rPr>
          <w:t>CBD/SBI/7/INF/3</w:t>
        </w:r>
      </w:hyperlink>
      <w:r w:rsidR="001161D5" w:rsidRPr="00D2758E">
        <w:rPr>
          <w:szCs w:val="18"/>
        </w:rPr>
        <w:t xml:space="preserve">, </w:t>
      </w:r>
      <w:r w:rsidR="00281CFA" w:rsidRPr="00D2758E">
        <w:rPr>
          <w:szCs w:val="18"/>
        </w:rPr>
        <w:t>sect</w:t>
      </w:r>
      <w:r w:rsidR="001161D5" w:rsidRPr="00D2758E">
        <w:rPr>
          <w:szCs w:val="18"/>
        </w:rPr>
        <w:t>.</w:t>
      </w:r>
      <w:r w:rsidR="00281CFA" w:rsidRPr="00D2758E">
        <w:rPr>
          <w:szCs w:val="18"/>
        </w:rPr>
        <w:t xml:space="preserve"> 2.1.2</w:t>
      </w:r>
      <w:r w:rsidR="007059BD">
        <w:rPr>
          <w:szCs w:val="18"/>
        </w:rPr>
        <w:t>,</w:t>
      </w:r>
      <w:r w:rsidR="00281CFA" w:rsidRPr="00D2758E">
        <w:rPr>
          <w:szCs w:val="18"/>
        </w:rPr>
        <w:t xml:space="preserve"> </w:t>
      </w:r>
      <w:r w:rsidR="0039770F" w:rsidRPr="00D2758E">
        <w:rPr>
          <w:szCs w:val="18"/>
        </w:rPr>
        <w:t>for more information on approaches taken by Parties.</w:t>
      </w:r>
    </w:p>
  </w:footnote>
  <w:footnote w:id="35">
    <w:p w14:paraId="12AEDF46" w14:textId="7F4FB1DD" w:rsidR="00251497" w:rsidRPr="00D2758E" w:rsidRDefault="00251497">
      <w:pPr>
        <w:pStyle w:val="FootnoteText"/>
      </w:pPr>
      <w:r w:rsidRPr="00D2758E">
        <w:rPr>
          <w:rStyle w:val="FootnoteReference"/>
          <w:szCs w:val="18"/>
        </w:rPr>
        <w:footnoteRef/>
      </w:r>
      <w:r w:rsidRPr="00D2758E">
        <w:rPr>
          <w:szCs w:val="18"/>
        </w:rPr>
        <w:t xml:space="preserve"> These are further developed under element F </w:t>
      </w:r>
      <w:r w:rsidR="00DF639B" w:rsidRPr="00D2758E">
        <w:rPr>
          <w:szCs w:val="18"/>
        </w:rPr>
        <w:t>below</w:t>
      </w:r>
      <w:r w:rsidRPr="00D2758E">
        <w:rPr>
          <w:szCs w:val="18"/>
        </w:rPr>
        <w:t xml:space="preserve"> as relate</w:t>
      </w:r>
      <w:r w:rsidR="007059BD">
        <w:rPr>
          <w:szCs w:val="18"/>
        </w:rPr>
        <w:t>d</w:t>
      </w:r>
      <w:r w:rsidRPr="00D2758E">
        <w:rPr>
          <w:szCs w:val="18"/>
        </w:rPr>
        <w:t xml:space="preserve"> to Article</w:t>
      </w:r>
      <w:r w:rsidR="007059BD">
        <w:rPr>
          <w:szCs w:val="18"/>
        </w:rPr>
        <w:t>s</w:t>
      </w:r>
      <w:r w:rsidRPr="00D2758E">
        <w:rPr>
          <w:szCs w:val="18"/>
        </w:rPr>
        <w:t xml:space="preserve"> 19 and 20 of the Protocol.</w:t>
      </w:r>
    </w:p>
  </w:footnote>
  <w:footnote w:id="36">
    <w:p w14:paraId="1A14CC2A" w14:textId="2F4298C2" w:rsidR="00B566AA" w:rsidRPr="00D2758E" w:rsidRDefault="00B566AA">
      <w:pPr>
        <w:pStyle w:val="FootnoteText"/>
        <w:rPr>
          <w:szCs w:val="18"/>
        </w:rPr>
      </w:pPr>
      <w:r w:rsidRPr="00D2758E">
        <w:rPr>
          <w:rStyle w:val="FootnoteReference"/>
          <w:szCs w:val="18"/>
        </w:rPr>
        <w:footnoteRef/>
      </w:r>
      <w:r w:rsidRPr="00D2758E">
        <w:rPr>
          <w:szCs w:val="18"/>
        </w:rPr>
        <w:t xml:space="preserve"> </w:t>
      </w:r>
      <w:r w:rsidR="00054AF4" w:rsidRPr="00D2758E">
        <w:rPr>
          <w:szCs w:val="18"/>
        </w:rPr>
        <w:t xml:space="preserve">For </w:t>
      </w:r>
      <w:r w:rsidR="00BB3E3C">
        <w:rPr>
          <w:szCs w:val="18"/>
        </w:rPr>
        <w:t>further</w:t>
      </w:r>
      <w:r w:rsidRPr="00D2758E">
        <w:rPr>
          <w:szCs w:val="18"/>
        </w:rPr>
        <w:t xml:space="preserve"> information</w:t>
      </w:r>
      <w:r w:rsidR="00BB3E3C">
        <w:rPr>
          <w:szCs w:val="18"/>
        </w:rPr>
        <w:t>,</w:t>
      </w:r>
      <w:r w:rsidRPr="00D2758E">
        <w:rPr>
          <w:szCs w:val="18"/>
        </w:rPr>
        <w:t xml:space="preserve"> see </w:t>
      </w:r>
      <w:r w:rsidR="00BB3E3C">
        <w:rPr>
          <w:szCs w:val="18"/>
        </w:rPr>
        <w:t xml:space="preserve">document </w:t>
      </w:r>
      <w:hyperlink r:id="rId34" w:history="1">
        <w:r w:rsidR="008D118F" w:rsidRPr="00D2758E">
          <w:rPr>
            <w:rStyle w:val="Hyperlink"/>
            <w:szCs w:val="18"/>
          </w:rPr>
          <w:t>CBD/SBI/7/INF/3</w:t>
        </w:r>
      </w:hyperlink>
      <w:r w:rsidR="00DF639B" w:rsidRPr="00D2758E">
        <w:rPr>
          <w:szCs w:val="18"/>
        </w:rPr>
        <w:t xml:space="preserve">, sect. </w:t>
      </w:r>
      <w:r w:rsidR="007A17F4" w:rsidRPr="00D2758E">
        <w:rPr>
          <w:szCs w:val="18"/>
        </w:rPr>
        <w:t>2.1.2</w:t>
      </w:r>
      <w:r w:rsidR="00DF639B" w:rsidRPr="00D2758E">
        <w:rPr>
          <w:szCs w:val="18"/>
        </w:rPr>
        <w:t>.</w:t>
      </w:r>
    </w:p>
  </w:footnote>
  <w:footnote w:id="37">
    <w:p w14:paraId="1804C2DB" w14:textId="2EC1F187" w:rsidR="002507E0" w:rsidRPr="00D2758E" w:rsidRDefault="002507E0">
      <w:pPr>
        <w:pStyle w:val="FootnoteText"/>
        <w:rPr>
          <w:szCs w:val="18"/>
        </w:rPr>
      </w:pPr>
      <w:r w:rsidRPr="00D2758E">
        <w:rPr>
          <w:rStyle w:val="FootnoteReference"/>
          <w:szCs w:val="18"/>
        </w:rPr>
        <w:footnoteRef/>
      </w:r>
      <w:r w:rsidRPr="00D2758E">
        <w:rPr>
          <w:szCs w:val="18"/>
        </w:rPr>
        <w:t xml:space="preserve"> </w:t>
      </w:r>
      <w:r w:rsidR="00054AF4" w:rsidRPr="00D2758E">
        <w:rPr>
          <w:szCs w:val="18"/>
        </w:rPr>
        <w:t xml:space="preserve">For </w:t>
      </w:r>
      <w:r w:rsidR="00716F43">
        <w:rPr>
          <w:szCs w:val="18"/>
        </w:rPr>
        <w:t>further</w:t>
      </w:r>
      <w:r w:rsidRPr="00D2758E">
        <w:rPr>
          <w:szCs w:val="18"/>
        </w:rPr>
        <w:t xml:space="preserve"> information</w:t>
      </w:r>
      <w:r w:rsidR="00BB3E3C">
        <w:rPr>
          <w:szCs w:val="18"/>
        </w:rPr>
        <w:t>,</w:t>
      </w:r>
      <w:r w:rsidRPr="00D2758E">
        <w:rPr>
          <w:szCs w:val="18"/>
        </w:rPr>
        <w:t xml:space="preserve"> see </w:t>
      </w:r>
      <w:r w:rsidR="00C50850">
        <w:rPr>
          <w:szCs w:val="18"/>
        </w:rPr>
        <w:t xml:space="preserve">document </w:t>
      </w:r>
      <w:hyperlink r:id="rId35" w:history="1">
        <w:r w:rsidR="00DF639B" w:rsidRPr="00D2758E">
          <w:rPr>
            <w:rStyle w:val="Hyperlink"/>
            <w:szCs w:val="18"/>
          </w:rPr>
          <w:t>CBD/SBI/7/INF/2</w:t>
        </w:r>
      </w:hyperlink>
      <w:r w:rsidR="00DF639B" w:rsidRPr="00D2758E">
        <w:rPr>
          <w:szCs w:val="18"/>
        </w:rPr>
        <w:t>, sect.</w:t>
      </w:r>
      <w:r w:rsidR="00630FF8" w:rsidRPr="00D2758E">
        <w:rPr>
          <w:szCs w:val="18"/>
        </w:rPr>
        <w:t xml:space="preserve"> III.A.5</w:t>
      </w:r>
      <w:r w:rsidR="00C50850">
        <w:rPr>
          <w:szCs w:val="18"/>
        </w:rPr>
        <w:t>;</w:t>
      </w:r>
      <w:r w:rsidR="00C67D70" w:rsidRPr="00D2758E">
        <w:rPr>
          <w:szCs w:val="18"/>
        </w:rPr>
        <w:t xml:space="preserve"> and </w:t>
      </w:r>
      <w:hyperlink r:id="rId36" w:history="1">
        <w:r w:rsidR="004A78E9" w:rsidRPr="00D2758E">
          <w:rPr>
            <w:rStyle w:val="Hyperlink"/>
            <w:szCs w:val="18"/>
          </w:rPr>
          <w:t>CBD/SBI/7/INF/3</w:t>
        </w:r>
      </w:hyperlink>
      <w:r w:rsidR="00D52354" w:rsidRPr="00D2758E">
        <w:rPr>
          <w:szCs w:val="18"/>
        </w:rPr>
        <w:t xml:space="preserve">, </w:t>
      </w:r>
      <w:r w:rsidR="00630FF8" w:rsidRPr="00D2758E">
        <w:rPr>
          <w:szCs w:val="18"/>
        </w:rPr>
        <w:t>sect</w:t>
      </w:r>
      <w:r w:rsidR="00D52354" w:rsidRPr="00D2758E">
        <w:rPr>
          <w:szCs w:val="18"/>
        </w:rPr>
        <w:t>.</w:t>
      </w:r>
      <w:r w:rsidR="00630FF8" w:rsidRPr="00D2758E">
        <w:rPr>
          <w:szCs w:val="18"/>
        </w:rPr>
        <w:t xml:space="preserve"> 2.1.1</w:t>
      </w:r>
      <w:r w:rsidR="004B1D8B" w:rsidRPr="00D2758E">
        <w:rPr>
          <w:szCs w:val="18"/>
        </w:rPr>
        <w:t xml:space="preserve">. Special considerations are also addressed </w:t>
      </w:r>
      <w:r w:rsidR="002007C8" w:rsidRPr="00D2758E">
        <w:rPr>
          <w:szCs w:val="18"/>
        </w:rPr>
        <w:t>below</w:t>
      </w:r>
      <w:r w:rsidR="002007C8">
        <w:rPr>
          <w:szCs w:val="18"/>
        </w:rPr>
        <w:t xml:space="preserve"> </w:t>
      </w:r>
      <w:r w:rsidR="00676A26">
        <w:rPr>
          <w:szCs w:val="18"/>
        </w:rPr>
        <w:t>unde</w:t>
      </w:r>
      <w:r w:rsidR="002007C8">
        <w:rPr>
          <w:szCs w:val="18"/>
        </w:rPr>
        <w:t>r</w:t>
      </w:r>
      <w:r w:rsidR="00676A26">
        <w:rPr>
          <w:szCs w:val="18"/>
        </w:rPr>
        <w:t xml:space="preserve"> </w:t>
      </w:r>
      <w:r w:rsidR="004B1D8B" w:rsidRPr="00D2758E">
        <w:rPr>
          <w:szCs w:val="18"/>
        </w:rPr>
        <w:t>element B on effectiveness</w:t>
      </w:r>
      <w:r w:rsidR="009F6BD8" w:rsidRPr="00D2758E">
        <w:rPr>
          <w:szCs w:val="18"/>
        </w:rPr>
        <w:t xml:space="preserve">. </w:t>
      </w:r>
    </w:p>
  </w:footnote>
  <w:footnote w:id="38">
    <w:p w14:paraId="35E1B40C" w14:textId="615BA447" w:rsidR="002D3D35" w:rsidRPr="00D2758E" w:rsidRDefault="002D3D35" w:rsidP="002D3D35">
      <w:pPr>
        <w:pStyle w:val="FootnoteText"/>
        <w:rPr>
          <w:szCs w:val="18"/>
        </w:rPr>
      </w:pPr>
      <w:r w:rsidRPr="00D2758E">
        <w:rPr>
          <w:rStyle w:val="FootnoteReference"/>
          <w:szCs w:val="18"/>
        </w:rPr>
        <w:footnoteRef/>
      </w:r>
      <w:r w:rsidRPr="00D2758E">
        <w:rPr>
          <w:szCs w:val="18"/>
        </w:rPr>
        <w:t xml:space="preserve"> Examples of th</w:t>
      </w:r>
      <w:r w:rsidR="003D6671">
        <w:rPr>
          <w:szCs w:val="18"/>
        </w:rPr>
        <w:t>o</w:t>
      </w:r>
      <w:r w:rsidRPr="00D2758E">
        <w:rPr>
          <w:szCs w:val="18"/>
        </w:rPr>
        <w:t xml:space="preserve">se approaches can be found in </w:t>
      </w:r>
      <w:r w:rsidR="003D6671">
        <w:rPr>
          <w:szCs w:val="18"/>
        </w:rPr>
        <w:t xml:space="preserve">document </w:t>
      </w:r>
      <w:hyperlink r:id="rId37" w:history="1">
        <w:r w:rsidR="002E54B6" w:rsidRPr="00D2758E">
          <w:rPr>
            <w:rStyle w:val="Hyperlink"/>
            <w:szCs w:val="18"/>
          </w:rPr>
          <w:t>CBD/SBI/7/INF/2</w:t>
        </w:r>
      </w:hyperlink>
      <w:r w:rsidR="002E54B6" w:rsidRPr="00D2758E">
        <w:rPr>
          <w:szCs w:val="18"/>
        </w:rPr>
        <w:t xml:space="preserve">, </w:t>
      </w:r>
      <w:r w:rsidRPr="00D2758E">
        <w:rPr>
          <w:szCs w:val="18"/>
        </w:rPr>
        <w:t>sect</w:t>
      </w:r>
      <w:r w:rsidR="002E54B6" w:rsidRPr="00D2758E">
        <w:rPr>
          <w:szCs w:val="18"/>
        </w:rPr>
        <w:t>.</w:t>
      </w:r>
      <w:r w:rsidRPr="00D2758E">
        <w:rPr>
          <w:szCs w:val="18"/>
        </w:rPr>
        <w:t xml:space="preserve"> III.A.5.</w:t>
      </w:r>
    </w:p>
  </w:footnote>
  <w:footnote w:id="39">
    <w:p w14:paraId="0D41DC4C" w14:textId="67B5BDD1" w:rsidR="009F6BD8" w:rsidRPr="00D2758E" w:rsidRDefault="009F6BD8">
      <w:pPr>
        <w:pStyle w:val="FootnoteText"/>
        <w:rPr>
          <w:szCs w:val="18"/>
        </w:rPr>
      </w:pPr>
      <w:r w:rsidRPr="00D2758E">
        <w:rPr>
          <w:rStyle w:val="FootnoteReference"/>
          <w:szCs w:val="18"/>
        </w:rPr>
        <w:footnoteRef/>
      </w:r>
      <w:r w:rsidRPr="00D2758E">
        <w:rPr>
          <w:szCs w:val="18"/>
        </w:rPr>
        <w:t xml:space="preserve"> Th</w:t>
      </w:r>
      <w:r w:rsidR="009E1532">
        <w:rPr>
          <w:szCs w:val="18"/>
        </w:rPr>
        <w:t>at</w:t>
      </w:r>
      <w:r w:rsidRPr="00D2758E">
        <w:rPr>
          <w:szCs w:val="18"/>
        </w:rPr>
        <w:t xml:space="preserve"> issue is addressed </w:t>
      </w:r>
      <w:r w:rsidR="009E1532" w:rsidRPr="00D2758E">
        <w:rPr>
          <w:szCs w:val="18"/>
        </w:rPr>
        <w:t xml:space="preserve">below </w:t>
      </w:r>
      <w:r w:rsidRPr="00D2758E">
        <w:rPr>
          <w:szCs w:val="18"/>
        </w:rPr>
        <w:t>under section III.A.10 on Article 4 of the Protocol.</w:t>
      </w:r>
    </w:p>
  </w:footnote>
  <w:footnote w:id="40">
    <w:p w14:paraId="51D0748A" w14:textId="423FFB81" w:rsidR="00372BD8" w:rsidRPr="00D2758E" w:rsidRDefault="00372BD8" w:rsidP="00372BD8">
      <w:pPr>
        <w:pStyle w:val="FootnoteText"/>
        <w:rPr>
          <w:szCs w:val="18"/>
        </w:rPr>
      </w:pPr>
      <w:r w:rsidRPr="00D2758E">
        <w:rPr>
          <w:rStyle w:val="FootnoteReference"/>
          <w:szCs w:val="18"/>
        </w:rPr>
        <w:footnoteRef/>
      </w:r>
      <w:r w:rsidR="00380C7D" w:rsidRPr="00D2758E">
        <w:rPr>
          <w:szCs w:val="18"/>
        </w:rPr>
        <w:t xml:space="preserve"> </w:t>
      </w:r>
      <w:r w:rsidRPr="00D2758E">
        <w:rPr>
          <w:szCs w:val="18"/>
        </w:rPr>
        <w:t xml:space="preserve">For </w:t>
      </w:r>
      <w:r w:rsidR="009F55AA">
        <w:rPr>
          <w:szCs w:val="18"/>
        </w:rPr>
        <w:t>further</w:t>
      </w:r>
      <w:r w:rsidRPr="00D2758E">
        <w:rPr>
          <w:szCs w:val="18"/>
        </w:rPr>
        <w:t xml:space="preserve"> information</w:t>
      </w:r>
      <w:r w:rsidR="00B1152B">
        <w:rPr>
          <w:szCs w:val="18"/>
        </w:rPr>
        <w:t>,</w:t>
      </w:r>
      <w:r w:rsidRPr="00D2758E">
        <w:rPr>
          <w:szCs w:val="18"/>
        </w:rPr>
        <w:t xml:space="preserve"> see </w:t>
      </w:r>
      <w:r w:rsidR="009F55AA">
        <w:rPr>
          <w:szCs w:val="18"/>
        </w:rPr>
        <w:t xml:space="preserve">document </w:t>
      </w:r>
      <w:hyperlink r:id="rId38" w:history="1">
        <w:r w:rsidR="006D544C" w:rsidRPr="00D2758E">
          <w:rPr>
            <w:rStyle w:val="Hyperlink"/>
            <w:szCs w:val="18"/>
          </w:rPr>
          <w:t>CBD/SBI/7/INF/3</w:t>
        </w:r>
      </w:hyperlink>
      <w:r w:rsidR="006D544C" w:rsidRPr="00D2758E">
        <w:rPr>
          <w:szCs w:val="18"/>
        </w:rPr>
        <w:t xml:space="preserve">, </w:t>
      </w:r>
      <w:r w:rsidRPr="00D2758E">
        <w:rPr>
          <w:szCs w:val="18"/>
        </w:rPr>
        <w:t>sect</w:t>
      </w:r>
      <w:r w:rsidR="006D544C" w:rsidRPr="00D2758E">
        <w:rPr>
          <w:szCs w:val="18"/>
        </w:rPr>
        <w:t>.</w:t>
      </w:r>
      <w:r w:rsidRPr="00D2758E">
        <w:rPr>
          <w:szCs w:val="18"/>
        </w:rPr>
        <w:t xml:space="preserve"> 2.1.1.</w:t>
      </w:r>
    </w:p>
  </w:footnote>
  <w:footnote w:id="41">
    <w:p w14:paraId="1E4D0CB5" w14:textId="2BA05204" w:rsidR="00D212D6" w:rsidRPr="00D2758E" w:rsidRDefault="00D212D6">
      <w:pPr>
        <w:pStyle w:val="FootnoteText"/>
        <w:rPr>
          <w:szCs w:val="18"/>
        </w:rPr>
      </w:pPr>
      <w:r w:rsidRPr="00D2758E">
        <w:rPr>
          <w:rStyle w:val="FootnoteReference"/>
          <w:szCs w:val="18"/>
        </w:rPr>
        <w:footnoteRef/>
      </w:r>
      <w:r w:rsidRPr="00D2758E">
        <w:rPr>
          <w:szCs w:val="18"/>
        </w:rPr>
        <w:t xml:space="preserve"> </w:t>
      </w:r>
      <w:r w:rsidR="00D646C5" w:rsidRPr="00D2758E">
        <w:rPr>
          <w:szCs w:val="18"/>
        </w:rPr>
        <w:t xml:space="preserve">For </w:t>
      </w:r>
      <w:r w:rsidR="009F55AA">
        <w:rPr>
          <w:szCs w:val="18"/>
        </w:rPr>
        <w:t>further</w:t>
      </w:r>
      <w:r w:rsidR="00D646C5" w:rsidRPr="00D2758E">
        <w:rPr>
          <w:szCs w:val="18"/>
        </w:rPr>
        <w:t xml:space="preserve"> information</w:t>
      </w:r>
      <w:r w:rsidR="00B1152B">
        <w:rPr>
          <w:szCs w:val="18"/>
        </w:rPr>
        <w:t>,</w:t>
      </w:r>
      <w:r w:rsidR="00D646C5" w:rsidRPr="00D2758E">
        <w:rPr>
          <w:szCs w:val="18"/>
        </w:rPr>
        <w:t xml:space="preserve"> see</w:t>
      </w:r>
      <w:r w:rsidR="00850D8A" w:rsidRPr="00D2758E">
        <w:rPr>
          <w:szCs w:val="18"/>
        </w:rPr>
        <w:t xml:space="preserve"> </w:t>
      </w:r>
      <w:r w:rsidR="009F55AA">
        <w:rPr>
          <w:szCs w:val="18"/>
        </w:rPr>
        <w:t xml:space="preserve">documents </w:t>
      </w:r>
      <w:hyperlink r:id="rId39" w:history="1">
        <w:r w:rsidR="00850D8A" w:rsidRPr="00D2758E">
          <w:rPr>
            <w:rStyle w:val="Hyperlink"/>
            <w:szCs w:val="18"/>
          </w:rPr>
          <w:t>CBD/SBI/7/INF/2</w:t>
        </w:r>
      </w:hyperlink>
      <w:r w:rsidR="00850D8A" w:rsidRPr="00D2758E">
        <w:rPr>
          <w:szCs w:val="18"/>
        </w:rPr>
        <w:t>,</w:t>
      </w:r>
      <w:r w:rsidR="00DE600F" w:rsidRPr="00D2758E">
        <w:rPr>
          <w:szCs w:val="18"/>
        </w:rPr>
        <w:t xml:space="preserve"> </w:t>
      </w:r>
      <w:r w:rsidR="00D646C5" w:rsidRPr="00D2758E">
        <w:rPr>
          <w:szCs w:val="18"/>
        </w:rPr>
        <w:t>sect</w:t>
      </w:r>
      <w:r w:rsidR="00DE600F" w:rsidRPr="00D2758E">
        <w:rPr>
          <w:szCs w:val="18"/>
        </w:rPr>
        <w:t>.</w:t>
      </w:r>
      <w:r w:rsidR="00D646C5" w:rsidRPr="00D2758E">
        <w:rPr>
          <w:szCs w:val="18"/>
        </w:rPr>
        <w:t xml:space="preserve"> </w:t>
      </w:r>
      <w:r w:rsidR="00D25F39" w:rsidRPr="00D2758E">
        <w:rPr>
          <w:szCs w:val="18"/>
        </w:rPr>
        <w:t>III.A.7</w:t>
      </w:r>
      <w:r w:rsidR="009F55AA">
        <w:rPr>
          <w:szCs w:val="18"/>
        </w:rPr>
        <w:t>;</w:t>
      </w:r>
      <w:r w:rsidR="00DE600F" w:rsidRPr="00D2758E">
        <w:rPr>
          <w:szCs w:val="18"/>
        </w:rPr>
        <w:t xml:space="preserve"> and </w:t>
      </w:r>
      <w:hyperlink r:id="rId40" w:history="1">
        <w:r w:rsidR="00DE600F" w:rsidRPr="00D2758E">
          <w:rPr>
            <w:rStyle w:val="Hyperlink"/>
            <w:szCs w:val="18"/>
          </w:rPr>
          <w:t>CBD/SBI/7/INF/3</w:t>
        </w:r>
      </w:hyperlink>
      <w:r w:rsidR="00DE600F" w:rsidRPr="00D2758E">
        <w:rPr>
          <w:szCs w:val="18"/>
        </w:rPr>
        <w:t>, sect.</w:t>
      </w:r>
      <w:r w:rsidR="007F0484" w:rsidRPr="00D2758E">
        <w:rPr>
          <w:szCs w:val="18"/>
        </w:rPr>
        <w:t xml:space="preserve"> 2.4</w:t>
      </w:r>
      <w:r w:rsidR="00850D8A" w:rsidRPr="00D2758E">
        <w:rPr>
          <w:szCs w:val="18"/>
        </w:rPr>
        <w:t>.</w:t>
      </w:r>
    </w:p>
  </w:footnote>
  <w:footnote w:id="42">
    <w:p w14:paraId="5CBBC855" w14:textId="4077283D" w:rsidR="006C38D3" w:rsidRPr="00D2758E" w:rsidRDefault="006C38D3" w:rsidP="006C38D3">
      <w:pPr>
        <w:pStyle w:val="FootnoteText"/>
        <w:rPr>
          <w:szCs w:val="18"/>
        </w:rPr>
      </w:pPr>
      <w:r w:rsidRPr="00D2758E">
        <w:rPr>
          <w:rStyle w:val="FootnoteReference"/>
          <w:szCs w:val="18"/>
        </w:rPr>
        <w:footnoteRef/>
      </w:r>
      <w:r w:rsidRPr="00D2758E">
        <w:rPr>
          <w:szCs w:val="18"/>
        </w:rPr>
        <w:t xml:space="preserve"> Examples of th</w:t>
      </w:r>
      <w:r w:rsidR="009F55AA">
        <w:rPr>
          <w:szCs w:val="18"/>
        </w:rPr>
        <w:t>o</w:t>
      </w:r>
      <w:r w:rsidRPr="00D2758E">
        <w:rPr>
          <w:szCs w:val="18"/>
        </w:rPr>
        <w:t xml:space="preserve">se approaches can be found in </w:t>
      </w:r>
      <w:r w:rsidR="009F55AA">
        <w:rPr>
          <w:szCs w:val="18"/>
        </w:rPr>
        <w:t xml:space="preserve">document </w:t>
      </w:r>
      <w:hyperlink r:id="rId41" w:history="1">
        <w:r w:rsidR="00850D8A" w:rsidRPr="00D2758E">
          <w:rPr>
            <w:rStyle w:val="Hyperlink"/>
            <w:szCs w:val="18"/>
          </w:rPr>
          <w:t>CBD/SBI/7/INF/2</w:t>
        </w:r>
      </w:hyperlink>
      <w:r w:rsidR="00850D8A" w:rsidRPr="00D2758E">
        <w:rPr>
          <w:szCs w:val="18"/>
        </w:rPr>
        <w:t xml:space="preserve">, sect. </w:t>
      </w:r>
      <w:r w:rsidRPr="00D2758E">
        <w:rPr>
          <w:szCs w:val="18"/>
        </w:rPr>
        <w:t>III.A.7</w:t>
      </w:r>
      <w:r w:rsidR="00850D8A" w:rsidRPr="00D2758E">
        <w:rPr>
          <w:szCs w:val="18"/>
        </w:rPr>
        <w:t>.</w:t>
      </w:r>
    </w:p>
  </w:footnote>
  <w:footnote w:id="43">
    <w:p w14:paraId="6C8E4118" w14:textId="587D56BA" w:rsidR="001E0D55" w:rsidRPr="00D2758E" w:rsidRDefault="001E0D55">
      <w:pPr>
        <w:pStyle w:val="FootnoteText"/>
      </w:pPr>
      <w:r w:rsidRPr="00D2758E">
        <w:rPr>
          <w:rStyle w:val="FootnoteReference"/>
        </w:rPr>
        <w:footnoteRef/>
      </w:r>
      <w:r w:rsidRPr="00D2758E">
        <w:t xml:space="preserve"> </w:t>
      </w:r>
      <w:r w:rsidR="00FF369D" w:rsidRPr="00D2758E">
        <w:rPr>
          <w:szCs w:val="18"/>
        </w:rPr>
        <w:t>Ten</w:t>
      </w:r>
      <w:r w:rsidR="00995FAA" w:rsidRPr="00D2758E">
        <w:rPr>
          <w:szCs w:val="18"/>
        </w:rPr>
        <w:t xml:space="preserve"> Parties</w:t>
      </w:r>
      <w:r w:rsidR="00492DF1" w:rsidRPr="00D2758E">
        <w:rPr>
          <w:szCs w:val="18"/>
        </w:rPr>
        <w:t>, representing 14</w:t>
      </w:r>
      <w:r w:rsidR="00125258">
        <w:rPr>
          <w:szCs w:val="18"/>
        </w:rPr>
        <w:t xml:space="preserve"> per cent</w:t>
      </w:r>
      <w:r w:rsidR="00492DF1" w:rsidRPr="00D2758E">
        <w:rPr>
          <w:szCs w:val="18"/>
        </w:rPr>
        <w:t xml:space="preserve"> of </w:t>
      </w:r>
      <w:r w:rsidRPr="00D2758E">
        <w:rPr>
          <w:szCs w:val="18"/>
        </w:rPr>
        <w:t xml:space="preserve">Parties with indigenous peoples and local communities in their country </w:t>
      </w:r>
      <w:r w:rsidR="00492DF1" w:rsidRPr="00D2758E">
        <w:rPr>
          <w:szCs w:val="18"/>
        </w:rPr>
        <w:t xml:space="preserve">reported that they </w:t>
      </w:r>
      <w:r w:rsidR="00710BB7">
        <w:rPr>
          <w:szCs w:val="18"/>
        </w:rPr>
        <w:t xml:space="preserve">had </w:t>
      </w:r>
      <w:r w:rsidRPr="00D2758E">
        <w:rPr>
          <w:szCs w:val="18"/>
        </w:rPr>
        <w:t xml:space="preserve">received monetary benefits from granting access to traditional knowledge associated with genetic resources since </w:t>
      </w:r>
      <w:r w:rsidR="00710BB7">
        <w:rPr>
          <w:szCs w:val="18"/>
        </w:rPr>
        <w:t xml:space="preserve">the </w:t>
      </w:r>
      <w:r w:rsidRPr="00D2758E">
        <w:rPr>
          <w:szCs w:val="18"/>
        </w:rPr>
        <w:t>entry into force of the Protocol</w:t>
      </w:r>
      <w:r w:rsidR="00710BB7">
        <w:rPr>
          <w:szCs w:val="18"/>
        </w:rPr>
        <w:t xml:space="preserve">. </w:t>
      </w:r>
      <w:r w:rsidR="001A0B4C">
        <w:rPr>
          <w:szCs w:val="18"/>
        </w:rPr>
        <w:t xml:space="preserve">Twenty-seven </w:t>
      </w:r>
      <w:r w:rsidR="00492DF1" w:rsidRPr="00D2758E">
        <w:rPr>
          <w:szCs w:val="18"/>
        </w:rPr>
        <w:t xml:space="preserve">Parties </w:t>
      </w:r>
      <w:r w:rsidR="00CB5CB1" w:rsidRPr="00D2758E">
        <w:rPr>
          <w:szCs w:val="18"/>
        </w:rPr>
        <w:t>(</w:t>
      </w:r>
      <w:r w:rsidR="00656A3D" w:rsidRPr="00D2758E">
        <w:rPr>
          <w:szCs w:val="18"/>
        </w:rPr>
        <w:t>39</w:t>
      </w:r>
      <w:r w:rsidR="001A0B4C">
        <w:rPr>
          <w:szCs w:val="18"/>
        </w:rPr>
        <w:t xml:space="preserve"> per cent</w:t>
      </w:r>
      <w:r w:rsidR="004B1D8B" w:rsidRPr="00D2758E">
        <w:rPr>
          <w:szCs w:val="18"/>
        </w:rPr>
        <w:t>) reported</w:t>
      </w:r>
      <w:r w:rsidR="002D7039" w:rsidRPr="00D2758E">
        <w:rPr>
          <w:szCs w:val="18"/>
        </w:rPr>
        <w:t xml:space="preserve"> </w:t>
      </w:r>
      <w:r w:rsidRPr="00D2758E">
        <w:rPr>
          <w:szCs w:val="18"/>
        </w:rPr>
        <w:t>receiv</w:t>
      </w:r>
      <w:r w:rsidR="002D7039" w:rsidRPr="00D2758E">
        <w:rPr>
          <w:szCs w:val="18"/>
        </w:rPr>
        <w:t xml:space="preserve">ing </w:t>
      </w:r>
      <w:r w:rsidRPr="00D2758E">
        <w:rPr>
          <w:szCs w:val="18"/>
        </w:rPr>
        <w:t>non-monetary benefits from granting access to traditional knowledge associated with genetic resource</w:t>
      </w:r>
      <w:r w:rsidR="002D7039" w:rsidRPr="00D2758E">
        <w:rPr>
          <w:szCs w:val="18"/>
        </w:rPr>
        <w:t>s.</w:t>
      </w:r>
    </w:p>
  </w:footnote>
  <w:footnote w:id="44">
    <w:p w14:paraId="5BB397B9" w14:textId="33ED8A2B" w:rsidR="00EA337B" w:rsidRPr="00D2758E" w:rsidRDefault="00EA337B" w:rsidP="00EA337B">
      <w:pPr>
        <w:pStyle w:val="FootnoteText"/>
        <w:rPr>
          <w:szCs w:val="18"/>
        </w:rPr>
      </w:pPr>
      <w:r w:rsidRPr="00D2758E">
        <w:rPr>
          <w:rStyle w:val="FootnoteReference"/>
          <w:szCs w:val="18"/>
        </w:rPr>
        <w:footnoteRef/>
      </w:r>
      <w:r w:rsidRPr="00D2758E">
        <w:rPr>
          <w:szCs w:val="18"/>
        </w:rPr>
        <w:t xml:space="preserve"> Community protocols and procedures of indigenous peoples and local communities are addressed </w:t>
      </w:r>
      <w:r w:rsidR="0061585D" w:rsidRPr="00D2758E">
        <w:rPr>
          <w:szCs w:val="18"/>
        </w:rPr>
        <w:t>below</w:t>
      </w:r>
      <w:r w:rsidRPr="00D2758E">
        <w:rPr>
          <w:szCs w:val="18"/>
        </w:rPr>
        <w:t xml:space="preserve"> in section III.F.1</w:t>
      </w:r>
      <w:r w:rsidR="000146D4" w:rsidRPr="000146D4">
        <w:rPr>
          <w:szCs w:val="18"/>
        </w:rPr>
        <w:t xml:space="preserve"> </w:t>
      </w:r>
      <w:r w:rsidR="000146D4" w:rsidRPr="00D2758E">
        <w:rPr>
          <w:szCs w:val="18"/>
        </w:rPr>
        <w:t>under element F</w:t>
      </w:r>
      <w:r w:rsidRPr="00D2758E">
        <w:rPr>
          <w:szCs w:val="18"/>
        </w:rPr>
        <w:t>.</w:t>
      </w:r>
    </w:p>
  </w:footnote>
  <w:footnote w:id="45">
    <w:p w14:paraId="2F7CFC8E" w14:textId="3ADA5B67" w:rsidR="000C2A03" w:rsidRPr="00D2758E" w:rsidRDefault="000C2A03">
      <w:pPr>
        <w:pStyle w:val="FootnoteText"/>
        <w:rPr>
          <w:szCs w:val="18"/>
        </w:rPr>
      </w:pPr>
      <w:r w:rsidRPr="00D2758E">
        <w:rPr>
          <w:rStyle w:val="FootnoteReference"/>
          <w:szCs w:val="18"/>
        </w:rPr>
        <w:footnoteRef/>
      </w:r>
      <w:r w:rsidRPr="00D2758E">
        <w:rPr>
          <w:szCs w:val="18"/>
        </w:rPr>
        <w:t xml:space="preserve"> For </w:t>
      </w:r>
      <w:r w:rsidR="00C70F03">
        <w:rPr>
          <w:szCs w:val="18"/>
        </w:rPr>
        <w:t>further</w:t>
      </w:r>
      <w:r w:rsidRPr="00D2758E">
        <w:rPr>
          <w:szCs w:val="18"/>
        </w:rPr>
        <w:t xml:space="preserve"> information</w:t>
      </w:r>
      <w:r w:rsidR="00BD2223">
        <w:rPr>
          <w:szCs w:val="18"/>
        </w:rPr>
        <w:t>,</w:t>
      </w:r>
      <w:r w:rsidRPr="00D2758E">
        <w:rPr>
          <w:szCs w:val="18"/>
        </w:rPr>
        <w:t xml:space="preserve"> see </w:t>
      </w:r>
      <w:r w:rsidR="00C70F03">
        <w:rPr>
          <w:szCs w:val="18"/>
        </w:rPr>
        <w:t xml:space="preserve">document </w:t>
      </w:r>
      <w:hyperlink r:id="rId42" w:history="1">
        <w:r w:rsidR="00850D8A" w:rsidRPr="00D2758E">
          <w:rPr>
            <w:rStyle w:val="Hyperlink"/>
            <w:szCs w:val="18"/>
          </w:rPr>
          <w:t>CBD/SBI/7/INF/2</w:t>
        </w:r>
      </w:hyperlink>
      <w:r w:rsidR="00850D8A" w:rsidRPr="00D2758E">
        <w:rPr>
          <w:szCs w:val="18"/>
        </w:rPr>
        <w:t xml:space="preserve">, </w:t>
      </w:r>
      <w:r w:rsidRPr="00D2758E">
        <w:rPr>
          <w:szCs w:val="18"/>
        </w:rPr>
        <w:t>section III.A.8.</w:t>
      </w:r>
    </w:p>
  </w:footnote>
  <w:footnote w:id="46">
    <w:p w14:paraId="1FA97D25" w14:textId="65F158B4" w:rsidR="000C2A03" w:rsidRPr="00D2758E" w:rsidRDefault="000C2A03">
      <w:pPr>
        <w:pStyle w:val="FootnoteText"/>
        <w:rPr>
          <w:szCs w:val="18"/>
        </w:rPr>
      </w:pPr>
      <w:r w:rsidRPr="00D2758E">
        <w:rPr>
          <w:rStyle w:val="FootnoteReference"/>
          <w:szCs w:val="18"/>
        </w:rPr>
        <w:footnoteRef/>
      </w:r>
      <w:r w:rsidRPr="00D2758E">
        <w:rPr>
          <w:szCs w:val="18"/>
        </w:rPr>
        <w:t xml:space="preserve"> For </w:t>
      </w:r>
      <w:r w:rsidR="00C70F03">
        <w:rPr>
          <w:szCs w:val="18"/>
        </w:rPr>
        <w:t>further</w:t>
      </w:r>
      <w:r w:rsidRPr="00D2758E">
        <w:rPr>
          <w:szCs w:val="18"/>
        </w:rPr>
        <w:t xml:space="preserve"> information</w:t>
      </w:r>
      <w:r w:rsidR="00BD2223">
        <w:rPr>
          <w:szCs w:val="18"/>
        </w:rPr>
        <w:t>,</w:t>
      </w:r>
      <w:r w:rsidRPr="00D2758E">
        <w:rPr>
          <w:szCs w:val="18"/>
        </w:rPr>
        <w:t xml:space="preserve"> see </w:t>
      </w:r>
      <w:r w:rsidR="00711218">
        <w:rPr>
          <w:szCs w:val="18"/>
        </w:rPr>
        <w:t xml:space="preserve">documents </w:t>
      </w:r>
      <w:hyperlink r:id="rId43" w:history="1">
        <w:r w:rsidR="00850D8A" w:rsidRPr="00D2758E">
          <w:rPr>
            <w:rStyle w:val="Hyperlink"/>
            <w:szCs w:val="18"/>
          </w:rPr>
          <w:t>CBD/SBI/7/INF/2</w:t>
        </w:r>
      </w:hyperlink>
      <w:r w:rsidR="00850D8A" w:rsidRPr="00D2758E">
        <w:rPr>
          <w:szCs w:val="18"/>
        </w:rPr>
        <w:t xml:space="preserve">, </w:t>
      </w:r>
      <w:r w:rsidRPr="00D2758E">
        <w:rPr>
          <w:szCs w:val="18"/>
        </w:rPr>
        <w:t>sect</w:t>
      </w:r>
      <w:r w:rsidR="00850D8A" w:rsidRPr="00D2758E">
        <w:rPr>
          <w:szCs w:val="18"/>
        </w:rPr>
        <w:t>.</w:t>
      </w:r>
      <w:r w:rsidRPr="00D2758E">
        <w:rPr>
          <w:szCs w:val="18"/>
        </w:rPr>
        <w:t xml:space="preserve"> III.A.9</w:t>
      </w:r>
      <w:r w:rsidR="00711218">
        <w:rPr>
          <w:szCs w:val="18"/>
        </w:rPr>
        <w:t>;</w:t>
      </w:r>
      <w:r w:rsidRPr="00D2758E">
        <w:rPr>
          <w:szCs w:val="18"/>
        </w:rPr>
        <w:t xml:space="preserve"> and </w:t>
      </w:r>
      <w:hyperlink r:id="rId44" w:history="1">
        <w:r w:rsidR="006E3486" w:rsidRPr="00D2758E">
          <w:rPr>
            <w:rStyle w:val="Hyperlink"/>
            <w:szCs w:val="18"/>
          </w:rPr>
          <w:t>CBD/SBI/7/INF/3</w:t>
        </w:r>
      </w:hyperlink>
      <w:r w:rsidR="00856268" w:rsidRPr="00D2758E">
        <w:rPr>
          <w:szCs w:val="18"/>
        </w:rPr>
        <w:t>.</w:t>
      </w:r>
    </w:p>
  </w:footnote>
  <w:footnote w:id="47">
    <w:p w14:paraId="13BEDECF" w14:textId="76E4ECDF" w:rsidR="003B40FC" w:rsidRPr="00D2758E" w:rsidRDefault="003B40FC">
      <w:pPr>
        <w:pStyle w:val="FootnoteText"/>
      </w:pPr>
      <w:r w:rsidRPr="00D2758E">
        <w:rPr>
          <w:rStyle w:val="FootnoteReference"/>
          <w:szCs w:val="18"/>
        </w:rPr>
        <w:footnoteRef/>
      </w:r>
      <w:r w:rsidRPr="00D2758E">
        <w:rPr>
          <w:szCs w:val="18"/>
        </w:rPr>
        <w:t xml:space="preserve"> Examples of activities carried </w:t>
      </w:r>
      <w:proofErr w:type="gramStart"/>
      <w:r w:rsidR="0050726D" w:rsidRPr="00D2758E">
        <w:rPr>
          <w:szCs w:val="18"/>
        </w:rPr>
        <w:t>out</w:t>
      </w:r>
      <w:proofErr w:type="gramEnd"/>
      <w:r w:rsidRPr="00D2758E">
        <w:rPr>
          <w:szCs w:val="18"/>
        </w:rPr>
        <w:t xml:space="preserve"> and approaches taken by Parties to awareness-raising can be found in </w:t>
      </w:r>
      <w:r w:rsidR="00B14288">
        <w:rPr>
          <w:szCs w:val="18"/>
        </w:rPr>
        <w:t xml:space="preserve">document </w:t>
      </w:r>
      <w:hyperlink r:id="rId45" w:history="1">
        <w:r w:rsidR="00850D8A" w:rsidRPr="00D2758E">
          <w:rPr>
            <w:rStyle w:val="Hyperlink"/>
            <w:szCs w:val="18"/>
          </w:rPr>
          <w:t>CBD/SBI/7/INF/2</w:t>
        </w:r>
      </w:hyperlink>
      <w:r w:rsidR="00850D8A" w:rsidRPr="00D2758E">
        <w:rPr>
          <w:szCs w:val="18"/>
        </w:rPr>
        <w:t>, sect.</w:t>
      </w:r>
      <w:r w:rsidRPr="00D2758E">
        <w:rPr>
          <w:szCs w:val="18"/>
        </w:rPr>
        <w:t xml:space="preserve"> III.A.9.</w:t>
      </w:r>
    </w:p>
  </w:footnote>
  <w:footnote w:id="48">
    <w:p w14:paraId="50777940" w14:textId="4B07662E" w:rsidR="00A549B7" w:rsidRPr="00D2758E" w:rsidRDefault="00A549B7">
      <w:pPr>
        <w:pStyle w:val="FootnoteText"/>
        <w:rPr>
          <w:szCs w:val="18"/>
        </w:rPr>
      </w:pPr>
      <w:r w:rsidRPr="00D2758E">
        <w:rPr>
          <w:rStyle w:val="FootnoteReference"/>
          <w:szCs w:val="18"/>
        </w:rPr>
        <w:footnoteRef/>
      </w:r>
      <w:r w:rsidRPr="00D2758E">
        <w:rPr>
          <w:szCs w:val="18"/>
        </w:rPr>
        <w:t xml:space="preserve"> For </w:t>
      </w:r>
      <w:r w:rsidR="00B14288">
        <w:rPr>
          <w:szCs w:val="18"/>
        </w:rPr>
        <w:t>further</w:t>
      </w:r>
      <w:r w:rsidRPr="00D2758E">
        <w:rPr>
          <w:szCs w:val="18"/>
        </w:rPr>
        <w:t xml:space="preserve"> information</w:t>
      </w:r>
      <w:r w:rsidR="007C0A9B">
        <w:rPr>
          <w:szCs w:val="18"/>
        </w:rPr>
        <w:t>,</w:t>
      </w:r>
      <w:r w:rsidRPr="00D2758E">
        <w:rPr>
          <w:szCs w:val="18"/>
        </w:rPr>
        <w:t xml:space="preserve"> see</w:t>
      </w:r>
      <w:r w:rsidR="005E10C6" w:rsidRPr="00D2758E">
        <w:rPr>
          <w:szCs w:val="18"/>
        </w:rPr>
        <w:t xml:space="preserve"> </w:t>
      </w:r>
      <w:r w:rsidR="00B14288">
        <w:rPr>
          <w:szCs w:val="18"/>
        </w:rPr>
        <w:t xml:space="preserve">document </w:t>
      </w:r>
      <w:hyperlink r:id="rId46" w:history="1">
        <w:r w:rsidR="003D4EC8" w:rsidRPr="00D2758E">
          <w:rPr>
            <w:rStyle w:val="Hyperlink"/>
            <w:szCs w:val="18"/>
          </w:rPr>
          <w:t>CBD/SBI/7/INF/3</w:t>
        </w:r>
      </w:hyperlink>
      <w:r w:rsidR="000971B3" w:rsidRPr="00D2758E">
        <w:rPr>
          <w:szCs w:val="18"/>
        </w:rPr>
        <w:t xml:space="preserve">, </w:t>
      </w:r>
      <w:r w:rsidR="005E10C6" w:rsidRPr="00D2758E">
        <w:rPr>
          <w:szCs w:val="18"/>
        </w:rPr>
        <w:t>sect</w:t>
      </w:r>
      <w:r w:rsidR="000971B3" w:rsidRPr="00D2758E">
        <w:rPr>
          <w:szCs w:val="18"/>
        </w:rPr>
        <w:t>.</w:t>
      </w:r>
      <w:r w:rsidR="005E10C6" w:rsidRPr="00D2758E">
        <w:rPr>
          <w:szCs w:val="18"/>
        </w:rPr>
        <w:t xml:space="preserve"> 4.2</w:t>
      </w:r>
      <w:r w:rsidR="000971B3" w:rsidRPr="00D2758E">
        <w:rPr>
          <w:szCs w:val="18"/>
        </w:rPr>
        <w:t>.</w:t>
      </w:r>
    </w:p>
  </w:footnote>
  <w:footnote w:id="49">
    <w:p w14:paraId="7A52AC56" w14:textId="473DEB7F" w:rsidR="007805C8" w:rsidRPr="00D2758E" w:rsidRDefault="007805C8">
      <w:pPr>
        <w:pStyle w:val="FootnoteText"/>
        <w:rPr>
          <w:szCs w:val="18"/>
        </w:rPr>
      </w:pPr>
      <w:r w:rsidRPr="00D2758E">
        <w:rPr>
          <w:rStyle w:val="FootnoteReference"/>
          <w:szCs w:val="18"/>
        </w:rPr>
        <w:footnoteRef/>
      </w:r>
      <w:r w:rsidRPr="00D2758E">
        <w:rPr>
          <w:szCs w:val="18"/>
        </w:rPr>
        <w:t xml:space="preserve"> </w:t>
      </w:r>
      <w:r w:rsidR="00795706" w:rsidRPr="00D2758E">
        <w:rPr>
          <w:szCs w:val="18"/>
        </w:rPr>
        <w:t xml:space="preserve">The </w:t>
      </w:r>
      <w:r w:rsidR="00710A04" w:rsidRPr="00710A04">
        <w:rPr>
          <w:szCs w:val="18"/>
        </w:rPr>
        <w:t xml:space="preserve">communication, education and public awareness </w:t>
      </w:r>
      <w:r w:rsidR="00795706" w:rsidRPr="00D2758E">
        <w:rPr>
          <w:szCs w:val="18"/>
        </w:rPr>
        <w:t>tool</w:t>
      </w:r>
      <w:r w:rsidR="00B14288">
        <w:rPr>
          <w:szCs w:val="18"/>
        </w:rPr>
        <w:t xml:space="preserve"> </w:t>
      </w:r>
      <w:r w:rsidR="00795706" w:rsidRPr="00D2758E">
        <w:rPr>
          <w:szCs w:val="18"/>
        </w:rPr>
        <w:t xml:space="preserve">kit, including </w:t>
      </w:r>
      <w:r w:rsidR="00832C0E" w:rsidRPr="00D2758E">
        <w:rPr>
          <w:szCs w:val="18"/>
        </w:rPr>
        <w:t>considerations</w:t>
      </w:r>
      <w:r w:rsidR="00832C0E">
        <w:rPr>
          <w:szCs w:val="18"/>
        </w:rPr>
        <w:t xml:space="preserve"> for </w:t>
      </w:r>
      <w:r w:rsidR="002E1777">
        <w:rPr>
          <w:szCs w:val="18"/>
        </w:rPr>
        <w:t>access and benefit</w:t>
      </w:r>
      <w:r w:rsidR="004504F3">
        <w:rPr>
          <w:szCs w:val="18"/>
        </w:rPr>
        <w:t>-</w:t>
      </w:r>
      <w:r w:rsidR="002E1777">
        <w:rPr>
          <w:szCs w:val="18"/>
        </w:rPr>
        <w:t xml:space="preserve"> sharing</w:t>
      </w:r>
      <w:r w:rsidR="00A83A71">
        <w:rPr>
          <w:szCs w:val="18"/>
        </w:rPr>
        <w:t xml:space="preserve"> (</w:t>
      </w:r>
      <w:r w:rsidR="004504F3">
        <w:rPr>
          <w:szCs w:val="18"/>
        </w:rPr>
        <w:t xml:space="preserve">Montreal, Canada, </w:t>
      </w:r>
      <w:r w:rsidR="00A83A71">
        <w:rPr>
          <w:szCs w:val="18"/>
        </w:rPr>
        <w:t xml:space="preserve">Secretariat of the Convention on Biological Diversity, </w:t>
      </w:r>
      <w:r w:rsidR="004504F3">
        <w:rPr>
          <w:szCs w:val="18"/>
        </w:rPr>
        <w:t>2018)</w:t>
      </w:r>
      <w:r w:rsidR="00710A04">
        <w:rPr>
          <w:szCs w:val="18"/>
        </w:rPr>
        <w:t>,</w:t>
      </w:r>
      <w:r w:rsidR="005B5D3E">
        <w:rPr>
          <w:szCs w:val="18"/>
        </w:rPr>
        <w:t xml:space="preserve"> is available at </w:t>
      </w:r>
      <w:r w:rsidR="008121EC" w:rsidRPr="008121EC">
        <w:rPr>
          <w:szCs w:val="18"/>
        </w:rPr>
        <w:t>www.cbd.int/abs/doc/cepa-toolkit-en.pdf</w:t>
      </w:r>
      <w:r w:rsidR="005B5D3E">
        <w:rPr>
          <w:szCs w:val="18"/>
        </w:rPr>
        <w:t>.</w:t>
      </w:r>
    </w:p>
  </w:footnote>
  <w:footnote w:id="50">
    <w:p w14:paraId="25A88FD9" w14:textId="2E886EA1" w:rsidR="00632E75" w:rsidRPr="00D2758E" w:rsidRDefault="00632E75">
      <w:pPr>
        <w:pStyle w:val="FootnoteText"/>
        <w:rPr>
          <w:szCs w:val="18"/>
        </w:rPr>
      </w:pPr>
      <w:r w:rsidRPr="00D2758E">
        <w:rPr>
          <w:rStyle w:val="FootnoteReference"/>
          <w:szCs w:val="18"/>
        </w:rPr>
        <w:footnoteRef/>
      </w:r>
      <w:r w:rsidRPr="00D2758E">
        <w:rPr>
          <w:szCs w:val="18"/>
        </w:rPr>
        <w:t xml:space="preserve"> For </w:t>
      </w:r>
      <w:r w:rsidR="00D0535F">
        <w:rPr>
          <w:szCs w:val="18"/>
        </w:rPr>
        <w:t>further</w:t>
      </w:r>
      <w:r w:rsidRPr="00D2758E">
        <w:rPr>
          <w:szCs w:val="18"/>
        </w:rPr>
        <w:t xml:space="preserve"> information</w:t>
      </w:r>
      <w:r w:rsidR="00D0535F">
        <w:rPr>
          <w:szCs w:val="18"/>
        </w:rPr>
        <w:t xml:space="preserve">. </w:t>
      </w:r>
      <w:r w:rsidRPr="00D2758E">
        <w:rPr>
          <w:szCs w:val="18"/>
        </w:rPr>
        <w:t xml:space="preserve">see </w:t>
      </w:r>
      <w:r w:rsidR="00F30DD8">
        <w:rPr>
          <w:szCs w:val="18"/>
        </w:rPr>
        <w:t xml:space="preserve">document </w:t>
      </w:r>
      <w:hyperlink r:id="rId47" w:history="1">
        <w:r w:rsidR="000971B3" w:rsidRPr="00D2758E">
          <w:rPr>
            <w:rStyle w:val="Hyperlink"/>
            <w:szCs w:val="18"/>
          </w:rPr>
          <w:t>CBD/SBI/7/INF/2</w:t>
        </w:r>
      </w:hyperlink>
      <w:r w:rsidR="000971B3" w:rsidRPr="00D2758E">
        <w:rPr>
          <w:szCs w:val="18"/>
        </w:rPr>
        <w:t xml:space="preserve">, sect. </w:t>
      </w:r>
      <w:r w:rsidRPr="00D2758E">
        <w:rPr>
          <w:szCs w:val="18"/>
        </w:rPr>
        <w:t>III.A.10.</w:t>
      </w:r>
    </w:p>
  </w:footnote>
  <w:footnote w:id="51">
    <w:p w14:paraId="4BE98DAD" w14:textId="461E7909" w:rsidR="000A4C3D" w:rsidRPr="00D2758E" w:rsidRDefault="000A4C3D" w:rsidP="000A4C3D">
      <w:pPr>
        <w:pStyle w:val="FootnoteText"/>
        <w:rPr>
          <w:szCs w:val="18"/>
        </w:rPr>
      </w:pPr>
      <w:r w:rsidRPr="00D2758E">
        <w:rPr>
          <w:rStyle w:val="FootnoteReference"/>
        </w:rPr>
        <w:footnoteRef/>
      </w:r>
      <w:r w:rsidRPr="00D2758E">
        <w:t xml:space="preserve"> </w:t>
      </w:r>
      <w:r w:rsidRPr="00D2758E">
        <w:rPr>
          <w:szCs w:val="18"/>
        </w:rPr>
        <w:t xml:space="preserve">For </w:t>
      </w:r>
      <w:r w:rsidR="00B7149F">
        <w:rPr>
          <w:szCs w:val="18"/>
        </w:rPr>
        <w:t>further</w:t>
      </w:r>
      <w:r w:rsidRPr="00D2758E">
        <w:rPr>
          <w:szCs w:val="18"/>
        </w:rPr>
        <w:t xml:space="preserve"> information</w:t>
      </w:r>
      <w:r w:rsidR="007C0A9B">
        <w:rPr>
          <w:szCs w:val="18"/>
        </w:rPr>
        <w:t>,</w:t>
      </w:r>
      <w:r w:rsidRPr="00D2758E">
        <w:rPr>
          <w:szCs w:val="18"/>
        </w:rPr>
        <w:t xml:space="preserve"> see </w:t>
      </w:r>
      <w:r w:rsidR="008E34D9">
        <w:rPr>
          <w:szCs w:val="18"/>
        </w:rPr>
        <w:t xml:space="preserve">documents </w:t>
      </w:r>
      <w:hyperlink r:id="rId48" w:history="1">
        <w:r w:rsidR="00B21B82" w:rsidRPr="00D2758E">
          <w:rPr>
            <w:rStyle w:val="Hyperlink"/>
            <w:szCs w:val="18"/>
          </w:rPr>
          <w:t>CBD/SBI/7/INF/2</w:t>
        </w:r>
      </w:hyperlink>
      <w:r w:rsidR="00B21B82" w:rsidRPr="00D2758E">
        <w:rPr>
          <w:szCs w:val="18"/>
        </w:rPr>
        <w:t xml:space="preserve">, </w:t>
      </w:r>
      <w:r w:rsidR="000A7ABA" w:rsidRPr="00D2758E">
        <w:rPr>
          <w:szCs w:val="18"/>
        </w:rPr>
        <w:t>sect</w:t>
      </w:r>
      <w:r w:rsidR="00B21B82" w:rsidRPr="00D2758E">
        <w:rPr>
          <w:szCs w:val="18"/>
        </w:rPr>
        <w:t>.</w:t>
      </w:r>
      <w:r w:rsidR="000A7ABA" w:rsidRPr="00D2758E">
        <w:rPr>
          <w:szCs w:val="18"/>
        </w:rPr>
        <w:t xml:space="preserve"> III.B</w:t>
      </w:r>
      <w:r w:rsidR="008E34D9">
        <w:rPr>
          <w:szCs w:val="18"/>
        </w:rPr>
        <w:t>;</w:t>
      </w:r>
      <w:r w:rsidR="001D77FD" w:rsidRPr="00D2758E">
        <w:rPr>
          <w:szCs w:val="18"/>
        </w:rPr>
        <w:t xml:space="preserve"> and </w:t>
      </w:r>
      <w:hyperlink r:id="rId49" w:history="1">
        <w:r w:rsidR="003D4EC8" w:rsidRPr="00D2758E">
          <w:rPr>
            <w:rStyle w:val="Hyperlink"/>
            <w:szCs w:val="18"/>
          </w:rPr>
          <w:t>CBD/SBI/7/INF/3</w:t>
        </w:r>
      </w:hyperlink>
      <w:r w:rsidR="0018680D" w:rsidRPr="00D2758E">
        <w:rPr>
          <w:szCs w:val="18"/>
        </w:rPr>
        <w:t xml:space="preserve">, in particular </w:t>
      </w:r>
      <w:r w:rsidR="00961E6A" w:rsidRPr="00D2758E">
        <w:rPr>
          <w:szCs w:val="18"/>
        </w:rPr>
        <w:t>sect</w:t>
      </w:r>
      <w:r w:rsidR="008E34D9">
        <w:rPr>
          <w:szCs w:val="18"/>
        </w:rPr>
        <w:t>s</w:t>
      </w:r>
      <w:r w:rsidR="00961E6A" w:rsidRPr="00D2758E">
        <w:rPr>
          <w:szCs w:val="18"/>
        </w:rPr>
        <w:t xml:space="preserve">. </w:t>
      </w:r>
      <w:r w:rsidR="00A826BA" w:rsidRPr="00D2758E">
        <w:rPr>
          <w:szCs w:val="18"/>
        </w:rPr>
        <w:t>3 and 4</w:t>
      </w:r>
      <w:r w:rsidR="00961E6A" w:rsidRPr="00D2758E">
        <w:rPr>
          <w:szCs w:val="18"/>
        </w:rPr>
        <w:t>.</w:t>
      </w:r>
    </w:p>
  </w:footnote>
  <w:footnote w:id="52">
    <w:p w14:paraId="17878370" w14:textId="609FF9BD" w:rsidR="0089747E" w:rsidRPr="00D2758E" w:rsidRDefault="0089747E">
      <w:pPr>
        <w:pStyle w:val="FootnoteText"/>
        <w:rPr>
          <w:szCs w:val="18"/>
          <w:lang w:eastAsia="zh-CN"/>
        </w:rPr>
      </w:pPr>
      <w:r w:rsidRPr="00D2758E">
        <w:rPr>
          <w:rStyle w:val="FootnoteReference"/>
        </w:rPr>
        <w:footnoteRef/>
      </w:r>
      <w:r w:rsidRPr="00D2758E">
        <w:t xml:space="preserve"> </w:t>
      </w:r>
      <w:r w:rsidRPr="00D2758E">
        <w:rPr>
          <w:szCs w:val="18"/>
          <w:lang w:eastAsia="zh-CN"/>
        </w:rPr>
        <w:t>Five Parties account</w:t>
      </w:r>
      <w:r w:rsidR="00B61010">
        <w:rPr>
          <w:szCs w:val="18"/>
          <w:lang w:eastAsia="zh-CN"/>
        </w:rPr>
        <w:t>ed</w:t>
      </w:r>
      <w:r w:rsidRPr="00D2758E">
        <w:rPr>
          <w:szCs w:val="18"/>
          <w:lang w:eastAsia="zh-CN"/>
        </w:rPr>
        <w:t xml:space="preserve"> for 8</w:t>
      </w:r>
      <w:r w:rsidR="00B61010">
        <w:rPr>
          <w:szCs w:val="18"/>
          <w:lang w:eastAsia="zh-CN"/>
        </w:rPr>
        <w:t xml:space="preserve"> per cent</w:t>
      </w:r>
      <w:r w:rsidRPr="00D2758E">
        <w:rPr>
          <w:szCs w:val="18"/>
          <w:lang w:eastAsia="zh-CN"/>
        </w:rPr>
        <w:t xml:space="preserve"> of all certificates published</w:t>
      </w:r>
      <w:r w:rsidR="00B61010">
        <w:rPr>
          <w:szCs w:val="18"/>
          <w:lang w:eastAsia="zh-CN"/>
        </w:rPr>
        <w:t>,</w:t>
      </w:r>
      <w:r w:rsidRPr="00D2758E">
        <w:rPr>
          <w:szCs w:val="18"/>
          <w:lang w:eastAsia="zh-CN"/>
        </w:rPr>
        <w:t xml:space="preserve"> with one Party alone accounting for 57</w:t>
      </w:r>
      <w:r w:rsidR="00B61010">
        <w:rPr>
          <w:szCs w:val="18"/>
          <w:lang w:eastAsia="zh-CN"/>
        </w:rPr>
        <w:t xml:space="preserve"> per cent</w:t>
      </w:r>
      <w:r w:rsidRPr="00D2758E">
        <w:rPr>
          <w:szCs w:val="18"/>
          <w:lang w:eastAsia="zh-CN"/>
        </w:rPr>
        <w:t xml:space="preserve"> of the total.</w:t>
      </w:r>
    </w:p>
  </w:footnote>
  <w:footnote w:id="53">
    <w:p w14:paraId="2240F0A8" w14:textId="54C1C089" w:rsidR="00116177" w:rsidRPr="00D2758E" w:rsidRDefault="00116177" w:rsidP="00116177">
      <w:pPr>
        <w:pStyle w:val="FootnoteText"/>
      </w:pPr>
      <w:r w:rsidRPr="00D2758E">
        <w:rPr>
          <w:rStyle w:val="FootnoteReference"/>
        </w:rPr>
        <w:footnoteRef/>
      </w:r>
      <w:r w:rsidRPr="00D2758E">
        <w:t xml:space="preserve"> </w:t>
      </w:r>
      <w:r w:rsidRPr="00D2758E">
        <w:rPr>
          <w:szCs w:val="18"/>
          <w:lang w:eastAsia="zh-CN"/>
        </w:rPr>
        <w:t>Twenty-three Parties provided numerical information on benefits generated from access to genetic resources and associated traditional knowledge</w:t>
      </w:r>
      <w:r w:rsidR="00B61010">
        <w:rPr>
          <w:szCs w:val="18"/>
          <w:lang w:eastAsia="zh-CN"/>
        </w:rPr>
        <w:t xml:space="preserve"> and</w:t>
      </w:r>
      <w:r w:rsidRPr="00D2758E">
        <w:rPr>
          <w:szCs w:val="18"/>
          <w:lang w:eastAsia="zh-CN"/>
        </w:rPr>
        <w:t xml:space="preserve"> often present</w:t>
      </w:r>
      <w:r w:rsidR="00FA17F8">
        <w:rPr>
          <w:szCs w:val="18"/>
          <w:lang w:eastAsia="zh-CN"/>
        </w:rPr>
        <w:t>ed</w:t>
      </w:r>
      <w:r w:rsidRPr="00D2758E">
        <w:rPr>
          <w:szCs w:val="18"/>
          <w:lang w:eastAsia="zh-CN"/>
        </w:rPr>
        <w:t xml:space="preserve"> aggregated figures covering both categories</w:t>
      </w:r>
      <w:r w:rsidRPr="00D2758E">
        <w:t>.</w:t>
      </w:r>
    </w:p>
  </w:footnote>
  <w:footnote w:id="54">
    <w:p w14:paraId="305D184D" w14:textId="6AB4ACEF" w:rsidR="00116177" w:rsidRPr="00D2758E" w:rsidRDefault="00116177" w:rsidP="00116177">
      <w:pPr>
        <w:pStyle w:val="FootnoteText"/>
      </w:pPr>
      <w:r w:rsidRPr="00D2758E">
        <w:rPr>
          <w:rStyle w:val="FootnoteReference"/>
        </w:rPr>
        <w:footnoteRef/>
      </w:r>
      <w:r w:rsidRPr="00D2758E">
        <w:t xml:space="preserve"> </w:t>
      </w:r>
      <w:r w:rsidRPr="00D2758E">
        <w:rPr>
          <w:szCs w:val="18"/>
          <w:lang w:eastAsia="zh-CN"/>
        </w:rPr>
        <w:t xml:space="preserve">For example, </w:t>
      </w:r>
      <w:proofErr w:type="gramStart"/>
      <w:r w:rsidRPr="00D2758E">
        <w:rPr>
          <w:szCs w:val="18"/>
          <w:lang w:eastAsia="zh-CN"/>
        </w:rPr>
        <w:t>taking into account</w:t>
      </w:r>
      <w:proofErr w:type="gramEnd"/>
      <w:r w:rsidRPr="00D2758E">
        <w:rPr>
          <w:szCs w:val="18"/>
          <w:lang w:eastAsia="zh-CN"/>
        </w:rPr>
        <w:t xml:space="preserve"> the </w:t>
      </w:r>
      <w:r w:rsidR="00397845" w:rsidRPr="00D2758E">
        <w:rPr>
          <w:szCs w:val="18"/>
          <w:lang w:eastAsia="zh-CN"/>
        </w:rPr>
        <w:t xml:space="preserve">certificates </w:t>
      </w:r>
      <w:r w:rsidRPr="00D2758E">
        <w:rPr>
          <w:szCs w:val="18"/>
          <w:lang w:eastAsia="zh-CN"/>
        </w:rPr>
        <w:t>issued show</w:t>
      </w:r>
      <w:r w:rsidR="004E18C9">
        <w:rPr>
          <w:szCs w:val="18"/>
          <w:lang w:eastAsia="zh-CN"/>
        </w:rPr>
        <w:t>ed</w:t>
      </w:r>
      <w:r w:rsidRPr="00D2758E">
        <w:rPr>
          <w:szCs w:val="18"/>
          <w:lang w:eastAsia="zh-CN"/>
        </w:rPr>
        <w:t xml:space="preserve"> that only 13 out of 6</w:t>
      </w:r>
      <w:r w:rsidR="00FA17F8">
        <w:rPr>
          <w:szCs w:val="18"/>
          <w:lang w:eastAsia="zh-CN"/>
        </w:rPr>
        <w:t>,</w:t>
      </w:r>
      <w:r w:rsidRPr="00D2758E">
        <w:rPr>
          <w:szCs w:val="18"/>
          <w:lang w:eastAsia="zh-CN"/>
        </w:rPr>
        <w:t>269</w:t>
      </w:r>
      <w:r w:rsidRPr="00D2758E" w:rsidDel="00D45E65">
        <w:rPr>
          <w:szCs w:val="18"/>
          <w:lang w:eastAsia="zh-CN"/>
        </w:rPr>
        <w:t xml:space="preserve"> </w:t>
      </w:r>
      <w:r w:rsidRPr="00D2758E">
        <w:rPr>
          <w:szCs w:val="18"/>
          <w:lang w:eastAsia="zh-CN"/>
        </w:rPr>
        <w:t>certificates (0,2</w:t>
      </w:r>
      <w:r w:rsidR="00FA17F8">
        <w:rPr>
          <w:szCs w:val="18"/>
          <w:lang w:eastAsia="zh-CN"/>
        </w:rPr>
        <w:t xml:space="preserve"> per cent</w:t>
      </w:r>
      <w:r w:rsidRPr="00D2758E">
        <w:rPr>
          <w:szCs w:val="18"/>
          <w:lang w:eastAsia="zh-CN"/>
        </w:rPr>
        <w:t>) ha</w:t>
      </w:r>
      <w:r w:rsidR="00825755">
        <w:rPr>
          <w:szCs w:val="18"/>
          <w:lang w:eastAsia="zh-CN"/>
        </w:rPr>
        <w:t>d</w:t>
      </w:r>
      <w:r w:rsidRPr="00D2758E">
        <w:rPr>
          <w:szCs w:val="18"/>
          <w:lang w:eastAsia="zh-CN"/>
        </w:rPr>
        <w:t xml:space="preserve"> been granted for access to associated traditional knowledge.</w:t>
      </w:r>
    </w:p>
  </w:footnote>
  <w:footnote w:id="55">
    <w:p w14:paraId="38F87F2E" w14:textId="39285CE8" w:rsidR="006910AD" w:rsidRPr="00D2758E" w:rsidRDefault="006910AD">
      <w:pPr>
        <w:pStyle w:val="FootnoteText"/>
      </w:pPr>
      <w:r w:rsidRPr="00D2758E">
        <w:rPr>
          <w:rStyle w:val="FootnoteReference"/>
        </w:rPr>
        <w:footnoteRef/>
      </w:r>
      <w:r w:rsidRPr="00D2758E">
        <w:t xml:space="preserve"> </w:t>
      </w:r>
      <w:r w:rsidRPr="00D2758E">
        <w:rPr>
          <w:szCs w:val="18"/>
          <w:lang w:eastAsia="zh-CN"/>
        </w:rPr>
        <w:t>One Party account</w:t>
      </w:r>
      <w:r w:rsidR="00560338" w:rsidRPr="00D2758E">
        <w:rPr>
          <w:szCs w:val="18"/>
          <w:lang w:eastAsia="zh-CN"/>
        </w:rPr>
        <w:t>ed</w:t>
      </w:r>
      <w:r w:rsidRPr="00D2758E">
        <w:rPr>
          <w:szCs w:val="18"/>
          <w:lang w:eastAsia="zh-CN"/>
        </w:rPr>
        <w:t xml:space="preserve"> for 85</w:t>
      </w:r>
      <w:r w:rsidR="00FA17F8">
        <w:rPr>
          <w:szCs w:val="18"/>
          <w:lang w:eastAsia="zh-CN"/>
        </w:rPr>
        <w:t xml:space="preserve"> per cent</w:t>
      </w:r>
      <w:r w:rsidRPr="00D2758E">
        <w:rPr>
          <w:szCs w:val="18"/>
          <w:lang w:eastAsia="zh-CN"/>
        </w:rPr>
        <w:t xml:space="preserve"> of the commercial certificates and four other Parties account</w:t>
      </w:r>
      <w:r w:rsidR="00560338" w:rsidRPr="00D2758E">
        <w:rPr>
          <w:szCs w:val="18"/>
          <w:lang w:eastAsia="zh-CN"/>
        </w:rPr>
        <w:t>ed</w:t>
      </w:r>
      <w:r w:rsidRPr="00D2758E">
        <w:rPr>
          <w:szCs w:val="18"/>
          <w:lang w:eastAsia="zh-CN"/>
        </w:rPr>
        <w:t xml:space="preserve"> for a combined 6</w:t>
      </w:r>
      <w:r w:rsidR="00FA17F8">
        <w:rPr>
          <w:szCs w:val="18"/>
          <w:lang w:eastAsia="zh-CN"/>
        </w:rPr>
        <w:t xml:space="preserve"> per cent</w:t>
      </w:r>
      <w:r w:rsidRPr="00D2758E">
        <w:rPr>
          <w:szCs w:val="18"/>
          <w:lang w:eastAsia="zh-CN"/>
        </w:rPr>
        <w:t xml:space="preserve"> of the commercial certificates</w:t>
      </w:r>
      <w:r w:rsidR="00931CD8" w:rsidRPr="00D2758E">
        <w:rPr>
          <w:szCs w:val="18"/>
          <w:lang w:eastAsia="zh-CN"/>
        </w:rPr>
        <w:t>.</w:t>
      </w:r>
    </w:p>
  </w:footnote>
  <w:footnote w:id="56">
    <w:p w14:paraId="11ED590D" w14:textId="7EE3C537" w:rsidR="00B46A31" w:rsidRPr="00D2758E" w:rsidRDefault="00B46A31">
      <w:pPr>
        <w:pStyle w:val="FootnoteText"/>
        <w:rPr>
          <w:szCs w:val="18"/>
        </w:rPr>
      </w:pPr>
      <w:r w:rsidRPr="00D2758E">
        <w:rPr>
          <w:rStyle w:val="FootnoteReference"/>
        </w:rPr>
        <w:footnoteRef/>
      </w:r>
      <w:r w:rsidRPr="00D2758E">
        <w:t xml:space="preserve"> </w:t>
      </w:r>
      <w:r w:rsidR="006A6EB9" w:rsidRPr="00D2758E">
        <w:rPr>
          <w:szCs w:val="18"/>
        </w:rPr>
        <w:t>Th</w:t>
      </w:r>
      <w:r w:rsidR="009B7052">
        <w:rPr>
          <w:szCs w:val="18"/>
        </w:rPr>
        <w:t>e</w:t>
      </w:r>
      <w:r w:rsidR="00C854DA">
        <w:rPr>
          <w:szCs w:val="18"/>
        </w:rPr>
        <w:t xml:space="preserve"> following</w:t>
      </w:r>
      <w:r w:rsidR="006A6EB9" w:rsidRPr="00D2758E">
        <w:rPr>
          <w:szCs w:val="18"/>
        </w:rPr>
        <w:t xml:space="preserve"> </w:t>
      </w:r>
      <w:r w:rsidR="00D85CD2">
        <w:rPr>
          <w:szCs w:val="18"/>
        </w:rPr>
        <w:t xml:space="preserve">information </w:t>
      </w:r>
      <w:r w:rsidR="00FA2A09">
        <w:rPr>
          <w:szCs w:val="18"/>
        </w:rPr>
        <w:t>wa</w:t>
      </w:r>
      <w:r w:rsidR="00A7346A">
        <w:rPr>
          <w:szCs w:val="18"/>
        </w:rPr>
        <w:t>s</w:t>
      </w:r>
      <w:r w:rsidR="006A6EB9" w:rsidRPr="00D2758E">
        <w:rPr>
          <w:szCs w:val="18"/>
        </w:rPr>
        <w:t xml:space="preserve"> based on the contact details </w:t>
      </w:r>
      <w:r w:rsidR="0079499F">
        <w:rPr>
          <w:szCs w:val="18"/>
        </w:rPr>
        <w:t>for</w:t>
      </w:r>
      <w:r w:rsidR="00C854DA">
        <w:rPr>
          <w:szCs w:val="18"/>
        </w:rPr>
        <w:t xml:space="preserve"> </w:t>
      </w:r>
      <w:proofErr w:type="gramStart"/>
      <w:r w:rsidR="00C854DA">
        <w:rPr>
          <w:szCs w:val="18"/>
        </w:rPr>
        <w:t>the</w:t>
      </w:r>
      <w:r w:rsidR="006A6EB9" w:rsidRPr="00D2758E">
        <w:rPr>
          <w:szCs w:val="18"/>
        </w:rPr>
        <w:t xml:space="preserve">  entity</w:t>
      </w:r>
      <w:proofErr w:type="gramEnd"/>
      <w:r w:rsidR="00F6051E">
        <w:rPr>
          <w:szCs w:val="18"/>
        </w:rPr>
        <w:t xml:space="preserve"> or entities </w:t>
      </w:r>
      <w:r w:rsidR="006A6EB9" w:rsidRPr="00D2758E">
        <w:rPr>
          <w:szCs w:val="18"/>
        </w:rPr>
        <w:t xml:space="preserve">granted </w:t>
      </w:r>
      <w:r w:rsidR="00057FDC">
        <w:rPr>
          <w:szCs w:val="18"/>
        </w:rPr>
        <w:t>prior informed consent</w:t>
      </w:r>
      <w:r w:rsidR="006A6EB9" w:rsidRPr="00D2758E">
        <w:rPr>
          <w:szCs w:val="18"/>
        </w:rPr>
        <w:t xml:space="preserve"> on the certificates when not confidential</w:t>
      </w:r>
      <w:r w:rsidR="0003042B">
        <w:rPr>
          <w:szCs w:val="18"/>
        </w:rPr>
        <w:t>:</w:t>
      </w:r>
      <w:r w:rsidR="00E26CE8">
        <w:rPr>
          <w:szCs w:val="18"/>
        </w:rPr>
        <w:t xml:space="preserve"> </w:t>
      </w:r>
      <w:r w:rsidR="0003042B">
        <w:rPr>
          <w:szCs w:val="18"/>
        </w:rPr>
        <w:t>f</w:t>
      </w:r>
      <w:r w:rsidR="00E26CE8">
        <w:rPr>
          <w:szCs w:val="18"/>
        </w:rPr>
        <w:t xml:space="preserve">ifteen </w:t>
      </w:r>
      <w:r w:rsidR="00956C75">
        <w:rPr>
          <w:szCs w:val="18"/>
        </w:rPr>
        <w:t>per cent</w:t>
      </w:r>
      <w:r w:rsidRPr="00D2758E">
        <w:rPr>
          <w:szCs w:val="18"/>
        </w:rPr>
        <w:t xml:space="preserve"> </w:t>
      </w:r>
      <w:r w:rsidR="00E26CE8">
        <w:rPr>
          <w:szCs w:val="18"/>
        </w:rPr>
        <w:t xml:space="preserve">of users </w:t>
      </w:r>
      <w:r w:rsidRPr="00D2758E">
        <w:rPr>
          <w:szCs w:val="18"/>
        </w:rPr>
        <w:t>c</w:t>
      </w:r>
      <w:r w:rsidR="009A3461">
        <w:rPr>
          <w:szCs w:val="18"/>
        </w:rPr>
        <w:t>a</w:t>
      </w:r>
      <w:r w:rsidRPr="00D2758E">
        <w:rPr>
          <w:szCs w:val="18"/>
        </w:rPr>
        <w:t>me from Asia-Pacific States, 4</w:t>
      </w:r>
      <w:r w:rsidR="00956C75">
        <w:rPr>
          <w:szCs w:val="18"/>
        </w:rPr>
        <w:t xml:space="preserve"> per cent</w:t>
      </w:r>
      <w:r w:rsidRPr="00D2758E">
        <w:rPr>
          <w:szCs w:val="18"/>
        </w:rPr>
        <w:t xml:space="preserve"> c</w:t>
      </w:r>
      <w:r w:rsidR="009A3461">
        <w:rPr>
          <w:szCs w:val="18"/>
        </w:rPr>
        <w:t>a</w:t>
      </w:r>
      <w:r w:rsidRPr="00D2758E">
        <w:rPr>
          <w:szCs w:val="18"/>
        </w:rPr>
        <w:t>me from Eastern European States, 4</w:t>
      </w:r>
      <w:r w:rsidR="00956C75">
        <w:rPr>
          <w:szCs w:val="18"/>
        </w:rPr>
        <w:t xml:space="preserve"> per cent</w:t>
      </w:r>
      <w:r w:rsidRPr="00D2758E">
        <w:rPr>
          <w:szCs w:val="18"/>
        </w:rPr>
        <w:t xml:space="preserve"> c</w:t>
      </w:r>
      <w:r w:rsidR="009A3461">
        <w:rPr>
          <w:szCs w:val="18"/>
        </w:rPr>
        <w:t>a</w:t>
      </w:r>
      <w:r w:rsidRPr="00D2758E">
        <w:rPr>
          <w:szCs w:val="18"/>
        </w:rPr>
        <w:t>me from Latin America</w:t>
      </w:r>
      <w:r w:rsidR="00E82506">
        <w:rPr>
          <w:szCs w:val="18"/>
        </w:rPr>
        <w:t>n</w:t>
      </w:r>
      <w:r w:rsidRPr="00D2758E">
        <w:rPr>
          <w:szCs w:val="18"/>
        </w:rPr>
        <w:t xml:space="preserve"> and Caribbean States and 2</w:t>
      </w:r>
      <w:r w:rsidR="00956C75">
        <w:rPr>
          <w:szCs w:val="18"/>
        </w:rPr>
        <w:t xml:space="preserve"> per cent</w:t>
      </w:r>
      <w:r w:rsidRPr="00D2758E">
        <w:rPr>
          <w:szCs w:val="18"/>
        </w:rPr>
        <w:t xml:space="preserve"> c</w:t>
      </w:r>
      <w:r w:rsidR="009A3461">
        <w:rPr>
          <w:szCs w:val="18"/>
        </w:rPr>
        <w:t>a</w:t>
      </w:r>
      <w:r w:rsidRPr="00D2758E">
        <w:rPr>
          <w:szCs w:val="18"/>
        </w:rPr>
        <w:t xml:space="preserve">me from African States. </w:t>
      </w:r>
      <w:r w:rsidR="00956C75">
        <w:rPr>
          <w:szCs w:val="18"/>
        </w:rPr>
        <w:t>Further</w:t>
      </w:r>
      <w:r w:rsidRPr="00D2758E">
        <w:rPr>
          <w:szCs w:val="18"/>
        </w:rPr>
        <w:t xml:space="preserve"> information </w:t>
      </w:r>
      <w:r w:rsidR="00956C75">
        <w:rPr>
          <w:szCs w:val="18"/>
        </w:rPr>
        <w:t xml:space="preserve">in that regard </w:t>
      </w:r>
      <w:r w:rsidRPr="00D2758E">
        <w:rPr>
          <w:szCs w:val="18"/>
        </w:rPr>
        <w:t xml:space="preserve">can be found in </w:t>
      </w:r>
      <w:r w:rsidR="00FA17F8">
        <w:rPr>
          <w:szCs w:val="18"/>
        </w:rPr>
        <w:t xml:space="preserve">document </w:t>
      </w:r>
      <w:hyperlink r:id="rId50" w:history="1">
        <w:r w:rsidR="00961E6A" w:rsidRPr="00D2758E">
          <w:rPr>
            <w:rStyle w:val="Hyperlink"/>
            <w:szCs w:val="18"/>
          </w:rPr>
          <w:t>CBD/SBI/7/INF/4</w:t>
        </w:r>
      </w:hyperlink>
      <w:r w:rsidR="00961E6A" w:rsidRPr="00D2758E">
        <w:rPr>
          <w:szCs w:val="18"/>
        </w:rPr>
        <w:t xml:space="preserve">. </w:t>
      </w:r>
    </w:p>
  </w:footnote>
  <w:footnote w:id="57">
    <w:p w14:paraId="7B9A9C3B" w14:textId="6E72E7D0" w:rsidR="006E1208" w:rsidRPr="00D2758E" w:rsidRDefault="006E1208" w:rsidP="006E1208">
      <w:pPr>
        <w:pStyle w:val="FootnoteText"/>
        <w:rPr>
          <w:szCs w:val="18"/>
        </w:rPr>
      </w:pPr>
      <w:r w:rsidRPr="00D2758E">
        <w:rPr>
          <w:rStyle w:val="FootnoteReference"/>
          <w:szCs w:val="18"/>
        </w:rPr>
        <w:footnoteRef/>
      </w:r>
      <w:r w:rsidRPr="00D2758E">
        <w:rPr>
          <w:szCs w:val="18"/>
        </w:rPr>
        <w:t xml:space="preserve"> </w:t>
      </w:r>
      <w:r w:rsidR="00C35C06">
        <w:rPr>
          <w:szCs w:val="18"/>
        </w:rPr>
        <w:t>Eighty per cent</w:t>
      </w:r>
      <w:r w:rsidRPr="00D2758E">
        <w:rPr>
          <w:szCs w:val="18"/>
        </w:rPr>
        <w:t xml:space="preserve"> of Parties </w:t>
      </w:r>
      <w:r w:rsidR="009E3165" w:rsidRPr="00D2758E">
        <w:rPr>
          <w:szCs w:val="18"/>
        </w:rPr>
        <w:t xml:space="preserve">(59) </w:t>
      </w:r>
      <w:r w:rsidRPr="00D2758E">
        <w:rPr>
          <w:szCs w:val="18"/>
        </w:rPr>
        <w:t>requiring prior informed consent for access to genetic resources reported having received non-monetary benefits arising from the granting of access to genetic resources for their utilization</w:t>
      </w:r>
      <w:r w:rsidR="009E3165">
        <w:rPr>
          <w:szCs w:val="18"/>
        </w:rPr>
        <w:t>.</w:t>
      </w:r>
      <w:r w:rsidRPr="00D2758E">
        <w:rPr>
          <w:szCs w:val="18"/>
        </w:rPr>
        <w:t xml:space="preserve"> In addition, 39</w:t>
      </w:r>
      <w:r w:rsidR="0043546A">
        <w:rPr>
          <w:szCs w:val="18"/>
        </w:rPr>
        <w:t xml:space="preserve"> per cent</w:t>
      </w:r>
      <w:r w:rsidRPr="00D2758E">
        <w:rPr>
          <w:szCs w:val="18"/>
        </w:rPr>
        <w:t xml:space="preserve"> of Parties </w:t>
      </w:r>
      <w:r w:rsidR="0043546A" w:rsidRPr="00D2758E">
        <w:rPr>
          <w:szCs w:val="18"/>
        </w:rPr>
        <w:t>(27)</w:t>
      </w:r>
      <w:r w:rsidR="0043546A">
        <w:rPr>
          <w:szCs w:val="18"/>
        </w:rPr>
        <w:t xml:space="preserve"> </w:t>
      </w:r>
      <w:r w:rsidRPr="00D2758E">
        <w:rPr>
          <w:szCs w:val="18"/>
        </w:rPr>
        <w:t>with indigenous peoples and local communities in their territory reported having received non-monetary benefits from granting access to traditional knowledge associated with genetic resources.</w:t>
      </w:r>
    </w:p>
  </w:footnote>
  <w:footnote w:id="58">
    <w:p w14:paraId="6BD684C5" w14:textId="6A2CDF0F" w:rsidR="00CF0B36" w:rsidRPr="00D2758E" w:rsidRDefault="00CF0B36">
      <w:pPr>
        <w:pStyle w:val="FootnoteText"/>
      </w:pPr>
      <w:r w:rsidRPr="00D2758E">
        <w:rPr>
          <w:rStyle w:val="FootnoteReference"/>
        </w:rPr>
        <w:footnoteRef/>
      </w:r>
      <w:r w:rsidRPr="00D2758E">
        <w:t xml:space="preserve"> </w:t>
      </w:r>
      <w:r w:rsidR="00712F57" w:rsidRPr="00D2758E">
        <w:rPr>
          <w:szCs w:val="18"/>
        </w:rPr>
        <w:t>Th</w:t>
      </w:r>
      <w:r w:rsidR="00214104">
        <w:rPr>
          <w:szCs w:val="18"/>
        </w:rPr>
        <w:t>o</w:t>
      </w:r>
      <w:r w:rsidR="00712F57" w:rsidRPr="00D2758E">
        <w:rPr>
          <w:szCs w:val="18"/>
        </w:rPr>
        <w:t xml:space="preserve">se </w:t>
      </w:r>
      <w:r w:rsidR="00923D54" w:rsidRPr="00D2758E">
        <w:rPr>
          <w:szCs w:val="18"/>
        </w:rPr>
        <w:t>ha</w:t>
      </w:r>
      <w:r w:rsidR="00214104">
        <w:rPr>
          <w:szCs w:val="18"/>
        </w:rPr>
        <w:t>d</w:t>
      </w:r>
      <w:r w:rsidR="00923D54" w:rsidRPr="00D2758E">
        <w:rPr>
          <w:szCs w:val="18"/>
        </w:rPr>
        <w:t xml:space="preserve"> been published by</w:t>
      </w:r>
      <w:r w:rsidR="00214104">
        <w:rPr>
          <w:szCs w:val="18"/>
        </w:rPr>
        <w:t xml:space="preserve"> the</w:t>
      </w:r>
      <w:r w:rsidR="00923D54" w:rsidRPr="00D2758E">
        <w:rPr>
          <w:szCs w:val="18"/>
        </w:rPr>
        <w:t xml:space="preserve"> two Parties</w:t>
      </w:r>
      <w:r w:rsidR="00214104">
        <w:rPr>
          <w:szCs w:val="18"/>
        </w:rPr>
        <w:t>.</w:t>
      </w:r>
    </w:p>
  </w:footnote>
  <w:footnote w:id="59">
    <w:p w14:paraId="3682ECA7" w14:textId="1C8A0065" w:rsidR="0001324F" w:rsidRPr="00D2758E" w:rsidRDefault="0001324F">
      <w:pPr>
        <w:pStyle w:val="FootnoteText"/>
        <w:rPr>
          <w:szCs w:val="18"/>
        </w:rPr>
      </w:pPr>
      <w:r w:rsidRPr="00D2758E">
        <w:rPr>
          <w:rStyle w:val="FootnoteReference"/>
        </w:rPr>
        <w:footnoteRef/>
      </w:r>
      <w:r w:rsidRPr="00D2758E">
        <w:t xml:space="preserve"> </w:t>
      </w:r>
      <w:r w:rsidR="00CD10A4" w:rsidRPr="00D2758E">
        <w:rPr>
          <w:szCs w:val="18"/>
        </w:rPr>
        <w:t>In the remaining 14</w:t>
      </w:r>
      <w:r w:rsidR="001F3D0F">
        <w:rPr>
          <w:szCs w:val="18"/>
        </w:rPr>
        <w:t xml:space="preserve"> per cent</w:t>
      </w:r>
      <w:r w:rsidR="00CD10A4" w:rsidRPr="00D2758E">
        <w:rPr>
          <w:szCs w:val="18"/>
        </w:rPr>
        <w:t xml:space="preserve"> of cases, the identity of the entity granted </w:t>
      </w:r>
      <w:r w:rsidR="00441B02">
        <w:rPr>
          <w:szCs w:val="18"/>
        </w:rPr>
        <w:t>prior informed consent</w:t>
      </w:r>
      <w:r w:rsidR="00CD10A4" w:rsidRPr="00D2758E">
        <w:rPr>
          <w:szCs w:val="18"/>
        </w:rPr>
        <w:t xml:space="preserve"> </w:t>
      </w:r>
      <w:r w:rsidR="00441B02">
        <w:rPr>
          <w:szCs w:val="18"/>
        </w:rPr>
        <w:t>was</w:t>
      </w:r>
      <w:r w:rsidR="00CD10A4" w:rsidRPr="00D2758E">
        <w:rPr>
          <w:szCs w:val="18"/>
        </w:rPr>
        <w:t xml:space="preserve"> kept confidential and therefore c</w:t>
      </w:r>
      <w:r w:rsidR="00985F0E">
        <w:rPr>
          <w:szCs w:val="18"/>
        </w:rPr>
        <w:t xml:space="preserve">ould </w:t>
      </w:r>
      <w:r w:rsidR="00CD10A4" w:rsidRPr="00D2758E">
        <w:rPr>
          <w:szCs w:val="18"/>
        </w:rPr>
        <w:t xml:space="preserve">not be classified as either internal or external. </w:t>
      </w:r>
      <w:r w:rsidR="00985F0E">
        <w:rPr>
          <w:szCs w:val="18"/>
        </w:rPr>
        <w:t>Further</w:t>
      </w:r>
      <w:r w:rsidR="00CD10A4" w:rsidRPr="00D2758E">
        <w:rPr>
          <w:szCs w:val="18"/>
        </w:rPr>
        <w:t xml:space="preserve"> information on the results of the analysis of the certificates can be found in </w:t>
      </w:r>
      <w:r w:rsidR="00985F0E">
        <w:rPr>
          <w:szCs w:val="18"/>
        </w:rPr>
        <w:t xml:space="preserve">document </w:t>
      </w:r>
      <w:hyperlink r:id="rId51" w:history="1">
        <w:r w:rsidR="00961E6A" w:rsidRPr="00D2758E">
          <w:rPr>
            <w:rStyle w:val="Hyperlink"/>
            <w:szCs w:val="18"/>
          </w:rPr>
          <w:t>CBD/SBI/7/INF/4</w:t>
        </w:r>
      </w:hyperlink>
      <w:r w:rsidR="00961E6A" w:rsidRPr="00D2758E">
        <w:rPr>
          <w:szCs w:val="18"/>
        </w:rPr>
        <w:t>.</w:t>
      </w:r>
    </w:p>
  </w:footnote>
  <w:footnote w:id="60">
    <w:p w14:paraId="300A5073" w14:textId="2CFE586B" w:rsidR="00AB35BC" w:rsidRPr="00D2758E" w:rsidRDefault="00AB35BC" w:rsidP="00A15BDE">
      <w:pPr>
        <w:pStyle w:val="FootnoteText"/>
        <w:rPr>
          <w:szCs w:val="18"/>
        </w:rPr>
      </w:pPr>
      <w:r w:rsidRPr="00D2758E">
        <w:rPr>
          <w:rStyle w:val="FootnoteReference"/>
          <w:szCs w:val="18"/>
        </w:rPr>
        <w:footnoteRef/>
      </w:r>
      <w:r w:rsidRPr="00D2758E">
        <w:rPr>
          <w:szCs w:val="18"/>
        </w:rPr>
        <w:t xml:space="preserve"> </w:t>
      </w:r>
      <w:r w:rsidR="00186698" w:rsidRPr="00D2758E">
        <w:rPr>
          <w:szCs w:val="18"/>
        </w:rPr>
        <w:t xml:space="preserve">See </w:t>
      </w:r>
      <w:r w:rsidR="00A15BDE" w:rsidRPr="00D2758E">
        <w:rPr>
          <w:szCs w:val="18"/>
        </w:rPr>
        <w:t>element</w:t>
      </w:r>
      <w:r w:rsidR="00186698" w:rsidRPr="00D2758E">
        <w:rPr>
          <w:szCs w:val="18"/>
        </w:rPr>
        <w:t xml:space="preserve"> C</w:t>
      </w:r>
      <w:r w:rsidR="00A15BDE" w:rsidRPr="00D2758E">
        <w:rPr>
          <w:szCs w:val="18"/>
        </w:rPr>
        <w:t xml:space="preserve"> </w:t>
      </w:r>
      <w:r w:rsidR="003C0E74" w:rsidRPr="00D2758E">
        <w:rPr>
          <w:szCs w:val="18"/>
        </w:rPr>
        <w:t xml:space="preserve">below </w:t>
      </w:r>
      <w:r w:rsidR="00A15BDE" w:rsidRPr="00D2758E">
        <w:rPr>
          <w:szCs w:val="18"/>
        </w:rPr>
        <w:t>on</w:t>
      </w:r>
      <w:r w:rsidR="00186698" w:rsidRPr="00D2758E">
        <w:rPr>
          <w:szCs w:val="18"/>
        </w:rPr>
        <w:t xml:space="preserve"> </w:t>
      </w:r>
      <w:r w:rsidR="00A15BDE" w:rsidRPr="00D2758E">
        <w:rPr>
          <w:szCs w:val="18"/>
        </w:rPr>
        <w:t>assessment of support available for implementation</w:t>
      </w:r>
      <w:r w:rsidR="0089059C">
        <w:rPr>
          <w:szCs w:val="18"/>
        </w:rPr>
        <w:t>.</w:t>
      </w:r>
    </w:p>
  </w:footnote>
  <w:footnote w:id="61">
    <w:p w14:paraId="7C964BB7" w14:textId="16AD337F" w:rsidR="00452379" w:rsidRPr="00D2758E" w:rsidRDefault="00452379" w:rsidP="00452379">
      <w:pPr>
        <w:pStyle w:val="FootnoteText"/>
        <w:rPr>
          <w:szCs w:val="18"/>
        </w:rPr>
      </w:pPr>
      <w:r w:rsidRPr="00D2758E">
        <w:rPr>
          <w:rStyle w:val="FootnoteReference"/>
          <w:szCs w:val="18"/>
        </w:rPr>
        <w:footnoteRef/>
      </w:r>
      <w:r w:rsidRPr="00D2758E">
        <w:rPr>
          <w:szCs w:val="18"/>
        </w:rPr>
        <w:t xml:space="preserve"> </w:t>
      </w:r>
      <w:r w:rsidR="000D41CC" w:rsidRPr="00D2758E">
        <w:rPr>
          <w:szCs w:val="18"/>
        </w:rPr>
        <w:t xml:space="preserve">See section III.A.5 </w:t>
      </w:r>
      <w:r w:rsidR="00864CA3" w:rsidRPr="00D2758E">
        <w:rPr>
          <w:szCs w:val="18"/>
        </w:rPr>
        <w:t>above</w:t>
      </w:r>
      <w:r w:rsidR="000D41CC" w:rsidRPr="00D2758E">
        <w:rPr>
          <w:szCs w:val="18"/>
        </w:rPr>
        <w:t xml:space="preserve"> for more information on progress, challenges and</w:t>
      </w:r>
      <w:r w:rsidR="0097549F" w:rsidRPr="00D2758E">
        <w:rPr>
          <w:szCs w:val="18"/>
        </w:rPr>
        <w:t xml:space="preserve"> possibles ways to support implementation of Article</w:t>
      </w:r>
      <w:r w:rsidR="004947BD" w:rsidRPr="00D2758E">
        <w:rPr>
          <w:szCs w:val="18"/>
        </w:rPr>
        <w:t>s</w:t>
      </w:r>
      <w:r w:rsidR="0097549F" w:rsidRPr="00D2758E">
        <w:rPr>
          <w:szCs w:val="18"/>
        </w:rPr>
        <w:t xml:space="preserve"> 15 and 17 of the Protocol.</w:t>
      </w:r>
    </w:p>
  </w:footnote>
  <w:footnote w:id="62">
    <w:p w14:paraId="2CE3AAEF" w14:textId="753DF58F" w:rsidR="00452379" w:rsidRPr="00D2758E" w:rsidRDefault="00452379" w:rsidP="00452379">
      <w:pPr>
        <w:pStyle w:val="FootnoteText"/>
        <w:rPr>
          <w:szCs w:val="18"/>
        </w:rPr>
      </w:pPr>
      <w:r w:rsidRPr="00D2758E">
        <w:rPr>
          <w:rStyle w:val="FootnoteReference"/>
        </w:rPr>
        <w:footnoteRef/>
      </w:r>
      <w:r w:rsidRPr="00D2758E">
        <w:t xml:space="preserve"> </w:t>
      </w:r>
      <w:r w:rsidRPr="00D2758E">
        <w:rPr>
          <w:szCs w:val="18"/>
        </w:rPr>
        <w:t xml:space="preserve">For </w:t>
      </w:r>
      <w:r w:rsidR="003A64F9">
        <w:rPr>
          <w:szCs w:val="18"/>
        </w:rPr>
        <w:t>further</w:t>
      </w:r>
      <w:r w:rsidRPr="00D2758E">
        <w:rPr>
          <w:szCs w:val="18"/>
        </w:rPr>
        <w:t xml:space="preserve"> information</w:t>
      </w:r>
      <w:r w:rsidR="00F05808">
        <w:rPr>
          <w:szCs w:val="18"/>
        </w:rPr>
        <w:t>,</w:t>
      </w:r>
      <w:r w:rsidRPr="00D2758E">
        <w:rPr>
          <w:szCs w:val="18"/>
        </w:rPr>
        <w:t xml:space="preserve"> see</w:t>
      </w:r>
      <w:r w:rsidR="00A73C50" w:rsidRPr="00D2758E">
        <w:rPr>
          <w:szCs w:val="18"/>
        </w:rPr>
        <w:t xml:space="preserve"> </w:t>
      </w:r>
      <w:hyperlink r:id="rId52" w:history="1">
        <w:r w:rsidR="00F45EE4" w:rsidRPr="00D2758E">
          <w:rPr>
            <w:rStyle w:val="Hyperlink"/>
            <w:szCs w:val="18"/>
          </w:rPr>
          <w:t>CBD/SBI/7/INF/3</w:t>
        </w:r>
      </w:hyperlink>
      <w:r w:rsidR="00864CA3" w:rsidRPr="00D2758E">
        <w:rPr>
          <w:szCs w:val="18"/>
        </w:rPr>
        <w:t xml:space="preserve">, </w:t>
      </w:r>
      <w:r w:rsidR="00F72ACA" w:rsidRPr="00D2758E">
        <w:rPr>
          <w:szCs w:val="18"/>
        </w:rPr>
        <w:t>sect</w:t>
      </w:r>
      <w:r w:rsidR="00864CA3" w:rsidRPr="00D2758E">
        <w:rPr>
          <w:szCs w:val="18"/>
        </w:rPr>
        <w:t>.</w:t>
      </w:r>
      <w:r w:rsidR="00F72ACA" w:rsidRPr="00D2758E">
        <w:rPr>
          <w:szCs w:val="18"/>
        </w:rPr>
        <w:t xml:space="preserve"> 3</w:t>
      </w:r>
      <w:r w:rsidR="00864CA3" w:rsidRPr="00D2758E">
        <w:rPr>
          <w:szCs w:val="18"/>
        </w:rPr>
        <w:t>.</w:t>
      </w:r>
    </w:p>
  </w:footnote>
  <w:footnote w:id="63">
    <w:p w14:paraId="7076D874" w14:textId="65026B1A" w:rsidR="00FF7BD1" w:rsidRPr="00D2758E" w:rsidRDefault="00FF7BD1">
      <w:pPr>
        <w:pStyle w:val="FootnoteText"/>
      </w:pPr>
      <w:r w:rsidRPr="00D2758E">
        <w:rPr>
          <w:rStyle w:val="FootnoteReference"/>
        </w:rPr>
        <w:footnoteRef/>
      </w:r>
      <w:r w:rsidRPr="00D2758E">
        <w:t xml:space="preserve"> </w:t>
      </w:r>
      <w:r w:rsidRPr="00D2758E">
        <w:rPr>
          <w:szCs w:val="18"/>
        </w:rPr>
        <w:t xml:space="preserve">For </w:t>
      </w:r>
      <w:r w:rsidR="00642752">
        <w:rPr>
          <w:szCs w:val="18"/>
        </w:rPr>
        <w:t>further</w:t>
      </w:r>
      <w:r w:rsidRPr="00D2758E">
        <w:rPr>
          <w:szCs w:val="18"/>
        </w:rPr>
        <w:t xml:space="preserve"> information</w:t>
      </w:r>
      <w:r w:rsidR="00F05808">
        <w:rPr>
          <w:szCs w:val="18"/>
        </w:rPr>
        <w:t>,</w:t>
      </w:r>
      <w:r w:rsidRPr="00D2758E">
        <w:rPr>
          <w:szCs w:val="18"/>
        </w:rPr>
        <w:t xml:space="preserve"> see </w:t>
      </w:r>
      <w:hyperlink r:id="rId53" w:history="1">
        <w:r w:rsidR="00E132C8" w:rsidRPr="00D2758E">
          <w:rPr>
            <w:rStyle w:val="Hyperlink"/>
            <w:szCs w:val="18"/>
          </w:rPr>
          <w:t>CBD/SBI/7/INF/3</w:t>
        </w:r>
      </w:hyperlink>
      <w:r w:rsidR="00E132C8" w:rsidRPr="00D2758E">
        <w:rPr>
          <w:szCs w:val="18"/>
        </w:rPr>
        <w:t xml:space="preserve">, </w:t>
      </w:r>
      <w:r w:rsidRPr="00D2758E">
        <w:rPr>
          <w:szCs w:val="18"/>
        </w:rPr>
        <w:t>sect</w:t>
      </w:r>
      <w:r w:rsidR="00E132C8" w:rsidRPr="00D2758E">
        <w:rPr>
          <w:szCs w:val="18"/>
        </w:rPr>
        <w:t>.</w:t>
      </w:r>
      <w:r w:rsidRPr="00D2758E">
        <w:rPr>
          <w:szCs w:val="18"/>
        </w:rPr>
        <w:t xml:space="preserve"> 4.</w:t>
      </w:r>
    </w:p>
  </w:footnote>
  <w:footnote w:id="64">
    <w:p w14:paraId="41595518" w14:textId="363811A6" w:rsidR="003E36ED" w:rsidRPr="00D2758E" w:rsidRDefault="003E36ED">
      <w:pPr>
        <w:pStyle w:val="FootnoteText"/>
        <w:rPr>
          <w:szCs w:val="18"/>
        </w:rPr>
      </w:pPr>
      <w:r w:rsidRPr="00D2758E">
        <w:rPr>
          <w:rStyle w:val="FootnoteReference"/>
          <w:szCs w:val="18"/>
        </w:rPr>
        <w:footnoteRef/>
      </w:r>
      <w:r w:rsidRPr="00D2758E">
        <w:rPr>
          <w:szCs w:val="18"/>
        </w:rPr>
        <w:t xml:space="preserve"> This is further addressed </w:t>
      </w:r>
      <w:r w:rsidR="00B5460E" w:rsidRPr="00D2758E">
        <w:rPr>
          <w:szCs w:val="18"/>
        </w:rPr>
        <w:t xml:space="preserve">below </w:t>
      </w:r>
      <w:r w:rsidRPr="00D2758E">
        <w:rPr>
          <w:szCs w:val="18"/>
        </w:rPr>
        <w:t xml:space="preserve">under element G </w:t>
      </w:r>
      <w:r w:rsidR="004D4559" w:rsidRPr="00D2758E">
        <w:rPr>
          <w:szCs w:val="18"/>
        </w:rPr>
        <w:t xml:space="preserve">on the review </w:t>
      </w:r>
      <w:r w:rsidR="00F83F73" w:rsidRPr="00D2758E">
        <w:rPr>
          <w:szCs w:val="18"/>
        </w:rPr>
        <w:t xml:space="preserve">of implementation and </w:t>
      </w:r>
      <w:r w:rsidR="004D4559" w:rsidRPr="00D2758E">
        <w:rPr>
          <w:szCs w:val="18"/>
        </w:rPr>
        <w:t xml:space="preserve">operation of the </w:t>
      </w:r>
      <w:proofErr w:type="gramStart"/>
      <w:r w:rsidR="004D4559" w:rsidRPr="00D2758E">
        <w:rPr>
          <w:szCs w:val="18"/>
        </w:rPr>
        <w:t>Clearing-House</w:t>
      </w:r>
      <w:proofErr w:type="gramEnd"/>
      <w:r w:rsidR="00C36335">
        <w:rPr>
          <w:szCs w:val="18"/>
        </w:rPr>
        <w:t>,</w:t>
      </w:r>
      <w:r w:rsidR="006859DB">
        <w:rPr>
          <w:szCs w:val="18"/>
        </w:rPr>
        <w:t xml:space="preserve"> </w:t>
      </w:r>
      <w:r w:rsidR="00F83F73" w:rsidRPr="00D2758E">
        <w:rPr>
          <w:szCs w:val="18"/>
        </w:rPr>
        <w:t>sect</w:t>
      </w:r>
      <w:r w:rsidR="006859DB">
        <w:rPr>
          <w:szCs w:val="18"/>
        </w:rPr>
        <w:t>.</w:t>
      </w:r>
      <w:r w:rsidR="00C36335">
        <w:rPr>
          <w:szCs w:val="18"/>
        </w:rPr>
        <w:t> </w:t>
      </w:r>
      <w:r w:rsidR="00F83F73" w:rsidRPr="00D2758E">
        <w:rPr>
          <w:szCs w:val="18"/>
        </w:rPr>
        <w:t>III.G.</w:t>
      </w:r>
    </w:p>
  </w:footnote>
  <w:footnote w:id="65">
    <w:p w14:paraId="69FAE926" w14:textId="0761C7CC" w:rsidR="00D545F7" w:rsidRPr="00D2758E" w:rsidRDefault="00D545F7">
      <w:pPr>
        <w:pStyle w:val="FootnoteText"/>
        <w:rPr>
          <w:szCs w:val="18"/>
        </w:rPr>
      </w:pPr>
      <w:r w:rsidRPr="00D2758E">
        <w:rPr>
          <w:rStyle w:val="FootnoteReference"/>
          <w:szCs w:val="18"/>
        </w:rPr>
        <w:footnoteRef/>
      </w:r>
      <w:r w:rsidRPr="00D2758E">
        <w:rPr>
          <w:szCs w:val="18"/>
        </w:rPr>
        <w:t xml:space="preserve"> Capacity </w:t>
      </w:r>
      <w:r w:rsidR="001E20E1" w:rsidRPr="00D2758E">
        <w:rPr>
          <w:szCs w:val="18"/>
        </w:rPr>
        <w:t>(Article 22)</w:t>
      </w:r>
      <w:r w:rsidR="00512EB2">
        <w:rPr>
          <w:szCs w:val="18"/>
        </w:rPr>
        <w:t>,</w:t>
      </w:r>
      <w:r w:rsidRPr="00D2758E">
        <w:rPr>
          <w:szCs w:val="18"/>
        </w:rPr>
        <w:t xml:space="preserve"> </w:t>
      </w:r>
      <w:r w:rsidR="001E20E1" w:rsidRPr="00D2758E">
        <w:rPr>
          <w:szCs w:val="18"/>
        </w:rPr>
        <w:t xml:space="preserve">financial resources (Article 25) and resource mobilization </w:t>
      </w:r>
      <w:r w:rsidR="00512EB2">
        <w:rPr>
          <w:szCs w:val="18"/>
        </w:rPr>
        <w:t>are</w:t>
      </w:r>
      <w:r w:rsidR="001E20E1" w:rsidRPr="00D2758E">
        <w:rPr>
          <w:szCs w:val="18"/>
        </w:rPr>
        <w:t xml:space="preserve"> addressed under sect</w:t>
      </w:r>
      <w:r w:rsidR="00512EB2">
        <w:rPr>
          <w:szCs w:val="18"/>
        </w:rPr>
        <w:t>.</w:t>
      </w:r>
      <w:r w:rsidR="001E20E1" w:rsidRPr="00D2758E">
        <w:rPr>
          <w:szCs w:val="18"/>
        </w:rPr>
        <w:t xml:space="preserve"> III.C below.</w:t>
      </w:r>
    </w:p>
  </w:footnote>
  <w:footnote w:id="66">
    <w:p w14:paraId="35216B9D" w14:textId="5953ECFA" w:rsidR="00452379" w:rsidRPr="00D2758E" w:rsidRDefault="00452379" w:rsidP="00452379">
      <w:pPr>
        <w:pStyle w:val="FootnoteText"/>
        <w:rPr>
          <w:szCs w:val="18"/>
        </w:rPr>
      </w:pPr>
      <w:r w:rsidRPr="00D2758E">
        <w:rPr>
          <w:rStyle w:val="FootnoteReference"/>
          <w:szCs w:val="18"/>
        </w:rPr>
        <w:footnoteRef/>
      </w:r>
      <w:r w:rsidRPr="00D2758E">
        <w:rPr>
          <w:szCs w:val="18"/>
        </w:rPr>
        <w:t xml:space="preserve"> </w:t>
      </w:r>
      <w:r w:rsidR="00D262DD">
        <w:rPr>
          <w:szCs w:val="18"/>
        </w:rPr>
        <w:t>Further</w:t>
      </w:r>
      <w:r w:rsidRPr="00D2758E">
        <w:rPr>
          <w:szCs w:val="18"/>
        </w:rPr>
        <w:t xml:space="preserve"> information on measuring monetary </w:t>
      </w:r>
      <w:r w:rsidR="00D262DD" w:rsidRPr="00D2758E">
        <w:rPr>
          <w:szCs w:val="18"/>
        </w:rPr>
        <w:t xml:space="preserve">and non-monetary </w:t>
      </w:r>
      <w:r w:rsidRPr="00D2758E">
        <w:rPr>
          <w:szCs w:val="18"/>
        </w:rPr>
        <w:t>benefits received can be found in the metadata sheets for indicator</w:t>
      </w:r>
      <w:r w:rsidR="00D262DD">
        <w:rPr>
          <w:szCs w:val="18"/>
        </w:rPr>
        <w:t>s</w:t>
      </w:r>
      <w:r w:rsidRPr="00D2758E">
        <w:rPr>
          <w:szCs w:val="18"/>
        </w:rPr>
        <w:t xml:space="preserve"> </w:t>
      </w:r>
      <w:hyperlink r:id="rId54" w:history="1">
        <w:r w:rsidRPr="00D2758E">
          <w:rPr>
            <w:rStyle w:val="Hyperlink"/>
            <w:szCs w:val="18"/>
          </w:rPr>
          <w:t>C.1</w:t>
        </w:r>
      </w:hyperlink>
      <w:r w:rsidRPr="00D2758E">
        <w:rPr>
          <w:szCs w:val="18"/>
        </w:rPr>
        <w:t xml:space="preserve"> and </w:t>
      </w:r>
      <w:hyperlink r:id="rId55" w:history="1">
        <w:r w:rsidRPr="00D2758E">
          <w:rPr>
            <w:rStyle w:val="Hyperlink"/>
            <w:szCs w:val="18"/>
          </w:rPr>
          <w:t>C.2</w:t>
        </w:r>
      </w:hyperlink>
      <w:r w:rsidRPr="00D2758E">
        <w:rPr>
          <w:szCs w:val="18"/>
        </w:rPr>
        <w:t>, respectively.</w:t>
      </w:r>
    </w:p>
  </w:footnote>
  <w:footnote w:id="67">
    <w:p w14:paraId="1EC39220" w14:textId="4D635530" w:rsidR="008C4EA6" w:rsidRPr="00D2758E" w:rsidRDefault="008C4EA6" w:rsidP="0023434D">
      <w:pPr>
        <w:pStyle w:val="FootnoteText"/>
        <w:rPr>
          <w:szCs w:val="18"/>
        </w:rPr>
      </w:pPr>
      <w:r w:rsidRPr="00D2758E">
        <w:rPr>
          <w:rStyle w:val="FootnoteReference"/>
          <w:szCs w:val="18"/>
        </w:rPr>
        <w:footnoteRef/>
      </w:r>
      <w:r w:rsidRPr="00D2758E">
        <w:rPr>
          <w:szCs w:val="18"/>
        </w:rPr>
        <w:t xml:space="preserve"> For </w:t>
      </w:r>
      <w:r w:rsidR="00DD71F5">
        <w:rPr>
          <w:szCs w:val="18"/>
        </w:rPr>
        <w:t xml:space="preserve">further </w:t>
      </w:r>
      <w:r w:rsidRPr="00D2758E">
        <w:rPr>
          <w:szCs w:val="18"/>
        </w:rPr>
        <w:t>information</w:t>
      </w:r>
      <w:r w:rsidR="00DD71F5">
        <w:rPr>
          <w:szCs w:val="18"/>
        </w:rPr>
        <w:t>,</w:t>
      </w:r>
      <w:r w:rsidRPr="00D2758E">
        <w:rPr>
          <w:szCs w:val="18"/>
        </w:rPr>
        <w:t xml:space="preserve"> see </w:t>
      </w:r>
      <w:r w:rsidR="00DD71F5">
        <w:rPr>
          <w:szCs w:val="18"/>
        </w:rPr>
        <w:t xml:space="preserve">documents </w:t>
      </w:r>
      <w:hyperlink r:id="rId56" w:history="1">
        <w:r w:rsidR="003068E5" w:rsidRPr="00D2758E">
          <w:rPr>
            <w:rStyle w:val="Hyperlink"/>
            <w:szCs w:val="18"/>
          </w:rPr>
          <w:t>CBD/SBI/7/INF/2</w:t>
        </w:r>
      </w:hyperlink>
      <w:r w:rsidR="003068E5" w:rsidRPr="00D2758E">
        <w:rPr>
          <w:szCs w:val="18"/>
        </w:rPr>
        <w:t>,</w:t>
      </w:r>
      <w:r w:rsidRPr="00D2758E">
        <w:rPr>
          <w:szCs w:val="18"/>
        </w:rPr>
        <w:t xml:space="preserve"> </w:t>
      </w:r>
      <w:r w:rsidR="003068E5" w:rsidRPr="00D2758E">
        <w:rPr>
          <w:szCs w:val="18"/>
        </w:rPr>
        <w:t>sect.</w:t>
      </w:r>
      <w:r w:rsidRPr="00D2758E">
        <w:rPr>
          <w:szCs w:val="18"/>
        </w:rPr>
        <w:t xml:space="preserve"> III.C.1</w:t>
      </w:r>
      <w:r w:rsidR="0010273A">
        <w:rPr>
          <w:szCs w:val="18"/>
        </w:rPr>
        <w:t>;</w:t>
      </w:r>
      <w:r w:rsidRPr="00D2758E">
        <w:rPr>
          <w:szCs w:val="18"/>
        </w:rPr>
        <w:t xml:space="preserve"> </w:t>
      </w:r>
      <w:hyperlink r:id="rId57" w:history="1">
        <w:r w:rsidR="00677786" w:rsidRPr="00D2758E">
          <w:rPr>
            <w:rStyle w:val="Hyperlink"/>
            <w:szCs w:val="18"/>
          </w:rPr>
          <w:t>CBD/SBI/7/INF/5</w:t>
        </w:r>
      </w:hyperlink>
      <w:r w:rsidR="0010273A">
        <w:rPr>
          <w:szCs w:val="18"/>
        </w:rPr>
        <w:t>;</w:t>
      </w:r>
      <w:r w:rsidR="00512877" w:rsidRPr="00D2758E">
        <w:rPr>
          <w:szCs w:val="18"/>
        </w:rPr>
        <w:t xml:space="preserve"> </w:t>
      </w:r>
      <w:r w:rsidRPr="00D2758E">
        <w:rPr>
          <w:szCs w:val="18"/>
        </w:rPr>
        <w:t xml:space="preserve">and </w:t>
      </w:r>
      <w:hyperlink r:id="rId58" w:history="1">
        <w:r w:rsidR="00F45EE4" w:rsidRPr="00D2758E">
          <w:rPr>
            <w:rStyle w:val="Hyperlink"/>
            <w:szCs w:val="18"/>
          </w:rPr>
          <w:t>CBD/SBI/7/INF/3</w:t>
        </w:r>
      </w:hyperlink>
      <w:r w:rsidR="0010273A">
        <w:t>,</w:t>
      </w:r>
      <w:r w:rsidR="00512877" w:rsidRPr="00D2758E">
        <w:rPr>
          <w:szCs w:val="18"/>
        </w:rPr>
        <w:t xml:space="preserve"> sect. </w:t>
      </w:r>
      <w:r w:rsidR="00D760F3" w:rsidRPr="00D2758E">
        <w:rPr>
          <w:szCs w:val="18"/>
        </w:rPr>
        <w:t>2.6</w:t>
      </w:r>
      <w:r w:rsidR="00512877" w:rsidRPr="00D2758E">
        <w:rPr>
          <w:szCs w:val="18"/>
        </w:rPr>
        <w:t>.</w:t>
      </w:r>
    </w:p>
  </w:footnote>
  <w:footnote w:id="68">
    <w:p w14:paraId="3D9B99B5" w14:textId="76C7FE08" w:rsidR="00AB2828" w:rsidRPr="00D2758E" w:rsidRDefault="00AB2828">
      <w:pPr>
        <w:pStyle w:val="FootnoteText"/>
        <w:rPr>
          <w:szCs w:val="18"/>
        </w:rPr>
      </w:pPr>
      <w:r w:rsidRPr="00D2758E">
        <w:rPr>
          <w:rStyle w:val="FootnoteReference"/>
          <w:szCs w:val="18"/>
        </w:rPr>
        <w:footnoteRef/>
      </w:r>
      <w:r w:rsidRPr="00D2758E">
        <w:rPr>
          <w:szCs w:val="18"/>
        </w:rPr>
        <w:t xml:space="preserve"> </w:t>
      </w:r>
      <w:r w:rsidR="00CF2F19" w:rsidRPr="00D2758E">
        <w:rPr>
          <w:szCs w:val="18"/>
        </w:rPr>
        <w:t xml:space="preserve">For </w:t>
      </w:r>
      <w:r w:rsidR="0010273A">
        <w:rPr>
          <w:szCs w:val="18"/>
        </w:rPr>
        <w:t>further</w:t>
      </w:r>
      <w:r w:rsidR="00CF2F19" w:rsidRPr="00D2758E">
        <w:rPr>
          <w:szCs w:val="18"/>
        </w:rPr>
        <w:t xml:space="preserve"> details</w:t>
      </w:r>
      <w:r w:rsidR="00F05808">
        <w:rPr>
          <w:szCs w:val="18"/>
        </w:rPr>
        <w:t>,</w:t>
      </w:r>
      <w:r w:rsidR="00CF2F19" w:rsidRPr="00D2758E">
        <w:rPr>
          <w:szCs w:val="18"/>
        </w:rPr>
        <w:t xml:space="preserve"> see</w:t>
      </w:r>
      <w:r w:rsidR="005915A8" w:rsidRPr="00D2758E">
        <w:rPr>
          <w:szCs w:val="18"/>
        </w:rPr>
        <w:t xml:space="preserve"> </w:t>
      </w:r>
      <w:r w:rsidR="00433C1B" w:rsidRPr="00D2758E">
        <w:rPr>
          <w:szCs w:val="18"/>
        </w:rPr>
        <w:t xml:space="preserve">the analysis of information on capacity-building initiatives published in </w:t>
      </w:r>
      <w:r w:rsidR="0010273A">
        <w:rPr>
          <w:szCs w:val="18"/>
        </w:rPr>
        <w:t xml:space="preserve">document </w:t>
      </w:r>
      <w:hyperlink r:id="rId59" w:history="1">
        <w:r w:rsidR="00512877" w:rsidRPr="00D2758E">
          <w:rPr>
            <w:rStyle w:val="Hyperlink"/>
            <w:szCs w:val="18"/>
          </w:rPr>
          <w:t>CBD/SBI/7/INF/5</w:t>
        </w:r>
      </w:hyperlink>
      <w:r w:rsidR="00512877" w:rsidRPr="00D2758E">
        <w:rPr>
          <w:szCs w:val="18"/>
        </w:rPr>
        <w:t xml:space="preserve">, </w:t>
      </w:r>
      <w:r w:rsidR="005915A8" w:rsidRPr="00D2758E">
        <w:rPr>
          <w:szCs w:val="18"/>
        </w:rPr>
        <w:t>sect</w:t>
      </w:r>
      <w:r w:rsidR="00582F89" w:rsidRPr="00D2758E">
        <w:rPr>
          <w:szCs w:val="18"/>
        </w:rPr>
        <w:t>.</w:t>
      </w:r>
      <w:r w:rsidR="005915A8" w:rsidRPr="00D2758E">
        <w:rPr>
          <w:szCs w:val="18"/>
        </w:rPr>
        <w:t xml:space="preserve"> </w:t>
      </w:r>
      <w:r w:rsidR="006E4F7C" w:rsidRPr="00D2758E">
        <w:rPr>
          <w:szCs w:val="18"/>
        </w:rPr>
        <w:t>II.</w:t>
      </w:r>
      <w:r w:rsidR="005915A8" w:rsidRPr="00D2758E">
        <w:rPr>
          <w:szCs w:val="18"/>
        </w:rPr>
        <w:t>D</w:t>
      </w:r>
      <w:r w:rsidR="00E832F0" w:rsidRPr="00D2758E">
        <w:rPr>
          <w:szCs w:val="18"/>
        </w:rPr>
        <w:t>.</w:t>
      </w:r>
    </w:p>
  </w:footnote>
  <w:footnote w:id="69">
    <w:p w14:paraId="71E8A1BC" w14:textId="5222077C" w:rsidR="001067BA" w:rsidRPr="00D2758E" w:rsidRDefault="001067BA">
      <w:pPr>
        <w:pStyle w:val="FootnoteText"/>
        <w:rPr>
          <w:szCs w:val="18"/>
        </w:rPr>
      </w:pPr>
      <w:r w:rsidRPr="00D2758E">
        <w:rPr>
          <w:rStyle w:val="FootnoteReference"/>
          <w:szCs w:val="18"/>
        </w:rPr>
        <w:footnoteRef/>
      </w:r>
      <w:r w:rsidRPr="00D2758E">
        <w:rPr>
          <w:szCs w:val="18"/>
        </w:rPr>
        <w:t xml:space="preserve"> </w:t>
      </w:r>
      <w:r w:rsidR="00920B89" w:rsidRPr="00D2758E">
        <w:rPr>
          <w:szCs w:val="18"/>
        </w:rPr>
        <w:t>For the analysis of information provided by Parties on capacity-building and development</w:t>
      </w:r>
      <w:r w:rsidR="00AA276B" w:rsidRPr="00D2758E">
        <w:rPr>
          <w:szCs w:val="18"/>
        </w:rPr>
        <w:t xml:space="preserve"> in the first national reports</w:t>
      </w:r>
      <w:r w:rsidR="00F05808">
        <w:rPr>
          <w:szCs w:val="18"/>
        </w:rPr>
        <w:t>,</w:t>
      </w:r>
      <w:r w:rsidR="00AA276B" w:rsidRPr="00D2758E">
        <w:rPr>
          <w:szCs w:val="18"/>
        </w:rPr>
        <w:t xml:space="preserve"> see</w:t>
      </w:r>
      <w:r w:rsidR="008111A4" w:rsidRPr="00D2758E">
        <w:rPr>
          <w:szCs w:val="18"/>
        </w:rPr>
        <w:t xml:space="preserve"> </w:t>
      </w:r>
      <w:r w:rsidR="0010273A">
        <w:rPr>
          <w:szCs w:val="18"/>
        </w:rPr>
        <w:t xml:space="preserve">document </w:t>
      </w:r>
      <w:hyperlink r:id="rId60" w:history="1">
        <w:r w:rsidR="00E832F0" w:rsidRPr="00D2758E">
          <w:rPr>
            <w:rStyle w:val="Hyperlink"/>
            <w:szCs w:val="18"/>
          </w:rPr>
          <w:t>CBD/SBI/7/INF/2</w:t>
        </w:r>
      </w:hyperlink>
      <w:r w:rsidR="00E832F0" w:rsidRPr="00D2758E">
        <w:rPr>
          <w:szCs w:val="18"/>
        </w:rPr>
        <w:t xml:space="preserve">, </w:t>
      </w:r>
      <w:r w:rsidR="008111A4" w:rsidRPr="00D2758E">
        <w:rPr>
          <w:szCs w:val="18"/>
        </w:rPr>
        <w:t>sect</w:t>
      </w:r>
      <w:r w:rsidR="00E832F0" w:rsidRPr="00D2758E">
        <w:rPr>
          <w:szCs w:val="18"/>
        </w:rPr>
        <w:t>.</w:t>
      </w:r>
      <w:r w:rsidR="008111A4" w:rsidRPr="00D2758E">
        <w:rPr>
          <w:szCs w:val="18"/>
        </w:rPr>
        <w:t xml:space="preserve"> III.C.1.</w:t>
      </w:r>
    </w:p>
  </w:footnote>
  <w:footnote w:id="70">
    <w:p w14:paraId="25860E10" w14:textId="78DA70FC" w:rsidR="00C537CF" w:rsidRPr="00D2758E" w:rsidRDefault="00C537CF">
      <w:pPr>
        <w:pStyle w:val="FootnoteText"/>
        <w:rPr>
          <w:szCs w:val="18"/>
        </w:rPr>
      </w:pPr>
      <w:r w:rsidRPr="00D2758E">
        <w:rPr>
          <w:rStyle w:val="FootnoteReference"/>
        </w:rPr>
        <w:footnoteRef/>
      </w:r>
      <w:r w:rsidRPr="00D2758E">
        <w:t xml:space="preserve"> </w:t>
      </w:r>
      <w:r w:rsidR="008C1D21" w:rsidRPr="00D2758E">
        <w:rPr>
          <w:szCs w:val="18"/>
        </w:rPr>
        <w:t xml:space="preserve">See </w:t>
      </w:r>
      <w:r w:rsidR="00B151B4">
        <w:rPr>
          <w:szCs w:val="18"/>
        </w:rPr>
        <w:t xml:space="preserve">document </w:t>
      </w:r>
      <w:hyperlink r:id="rId61" w:history="1">
        <w:r w:rsidR="00E959F7" w:rsidRPr="00D2758E">
          <w:rPr>
            <w:rStyle w:val="Hyperlink"/>
            <w:szCs w:val="18"/>
          </w:rPr>
          <w:t>CBD/NP</w:t>
        </w:r>
        <w:r w:rsidR="00F9144D" w:rsidRPr="00D2758E">
          <w:rPr>
            <w:rStyle w:val="Hyperlink"/>
            <w:szCs w:val="18"/>
          </w:rPr>
          <w:t>/MP/DEC/5/3</w:t>
        </w:r>
      </w:hyperlink>
      <w:r w:rsidR="00F01682" w:rsidRPr="00D2758E">
        <w:rPr>
          <w:szCs w:val="18"/>
        </w:rPr>
        <w:t xml:space="preserve">, </w:t>
      </w:r>
      <w:r w:rsidR="004D090A">
        <w:rPr>
          <w:szCs w:val="18"/>
        </w:rPr>
        <w:t>a</w:t>
      </w:r>
      <w:r w:rsidR="008C1D21" w:rsidRPr="00D2758E">
        <w:rPr>
          <w:szCs w:val="18"/>
        </w:rPr>
        <w:t>nnex</w:t>
      </w:r>
      <w:r w:rsidR="00F01682" w:rsidRPr="00D2758E">
        <w:rPr>
          <w:szCs w:val="18"/>
        </w:rPr>
        <w:t>.</w:t>
      </w:r>
    </w:p>
  </w:footnote>
  <w:footnote w:id="71">
    <w:p w14:paraId="621BFC55" w14:textId="6F2D71F3" w:rsidR="001D6A00" w:rsidRPr="00D2758E" w:rsidRDefault="001D6A00">
      <w:pPr>
        <w:pStyle w:val="FootnoteText"/>
      </w:pPr>
      <w:r w:rsidRPr="00D2758E">
        <w:rPr>
          <w:rStyle w:val="FootnoteReference"/>
          <w:szCs w:val="18"/>
        </w:rPr>
        <w:footnoteRef/>
      </w:r>
      <w:r w:rsidR="00670257" w:rsidRPr="00D2758E">
        <w:rPr>
          <w:szCs w:val="18"/>
        </w:rPr>
        <w:t xml:space="preserve"> See </w:t>
      </w:r>
      <w:r w:rsidR="00B151B4">
        <w:rPr>
          <w:szCs w:val="18"/>
        </w:rPr>
        <w:t xml:space="preserve">document </w:t>
      </w:r>
      <w:hyperlink r:id="rId62" w:history="1">
        <w:r w:rsidR="003D342D" w:rsidRPr="00D2758E">
          <w:rPr>
            <w:rStyle w:val="Hyperlink"/>
            <w:szCs w:val="18"/>
          </w:rPr>
          <w:t>CBD/</w:t>
        </w:r>
        <w:r w:rsidR="00834E21" w:rsidRPr="00D2758E">
          <w:rPr>
            <w:rStyle w:val="Hyperlink"/>
            <w:szCs w:val="18"/>
          </w:rPr>
          <w:t>COP/DEC/15/8</w:t>
        </w:r>
      </w:hyperlink>
      <w:r w:rsidR="00F01682" w:rsidRPr="00D2758E">
        <w:rPr>
          <w:szCs w:val="18"/>
        </w:rPr>
        <w:t xml:space="preserve">, </w:t>
      </w:r>
      <w:r w:rsidR="004D090A">
        <w:rPr>
          <w:szCs w:val="18"/>
        </w:rPr>
        <w:t>a</w:t>
      </w:r>
      <w:r w:rsidR="00F01682" w:rsidRPr="00D2758E">
        <w:rPr>
          <w:szCs w:val="18"/>
        </w:rPr>
        <w:t>nnex I.</w:t>
      </w:r>
    </w:p>
  </w:footnote>
  <w:footnote w:id="72">
    <w:p w14:paraId="57F6BC7F" w14:textId="3D79619A" w:rsidR="008A695F" w:rsidRPr="00D2758E" w:rsidRDefault="008A695F" w:rsidP="00505DD8">
      <w:pPr>
        <w:pStyle w:val="FootnoteText"/>
        <w:rPr>
          <w:szCs w:val="18"/>
        </w:rPr>
      </w:pPr>
      <w:r w:rsidRPr="00D2758E">
        <w:rPr>
          <w:rStyle w:val="FootnoteReference"/>
          <w:szCs w:val="18"/>
        </w:rPr>
        <w:footnoteRef/>
      </w:r>
      <w:r w:rsidRPr="00D2758E">
        <w:rPr>
          <w:szCs w:val="18"/>
        </w:rPr>
        <w:t xml:space="preserve"> See</w:t>
      </w:r>
      <w:r w:rsidR="00505DD8" w:rsidRPr="00D2758E">
        <w:rPr>
          <w:szCs w:val="18"/>
        </w:rPr>
        <w:t xml:space="preserve"> </w:t>
      </w:r>
      <w:r w:rsidR="00B151B4">
        <w:rPr>
          <w:szCs w:val="18"/>
        </w:rPr>
        <w:t xml:space="preserve">document </w:t>
      </w:r>
      <w:hyperlink r:id="rId63" w:history="1">
        <w:r w:rsidR="00CE1C2B" w:rsidRPr="00D2758E">
          <w:rPr>
            <w:rStyle w:val="Hyperlink"/>
            <w:szCs w:val="18"/>
          </w:rPr>
          <w:t>CBD/COP/DEC/15/8</w:t>
        </w:r>
      </w:hyperlink>
      <w:r w:rsidR="007769D4" w:rsidRPr="00D2758E">
        <w:t xml:space="preserve">, </w:t>
      </w:r>
      <w:r w:rsidR="00590A7F">
        <w:rPr>
          <w:szCs w:val="18"/>
        </w:rPr>
        <w:t>a</w:t>
      </w:r>
      <w:r w:rsidR="00505DD8" w:rsidRPr="00D2758E">
        <w:rPr>
          <w:szCs w:val="18"/>
        </w:rPr>
        <w:t>nnex II</w:t>
      </w:r>
      <w:r w:rsidR="007769D4" w:rsidRPr="00D2758E">
        <w:rPr>
          <w:szCs w:val="18"/>
        </w:rPr>
        <w:t>.</w:t>
      </w:r>
    </w:p>
  </w:footnote>
  <w:footnote w:id="73">
    <w:p w14:paraId="744EB5B8" w14:textId="0AE04340" w:rsidR="00176952" w:rsidRPr="00D2758E" w:rsidRDefault="00176952">
      <w:pPr>
        <w:pStyle w:val="FootnoteText"/>
      </w:pPr>
      <w:r w:rsidRPr="00D2758E">
        <w:rPr>
          <w:rStyle w:val="FootnoteReference"/>
        </w:rPr>
        <w:footnoteRef/>
      </w:r>
      <w:r w:rsidRPr="00D2758E">
        <w:t xml:space="preserve"> </w:t>
      </w:r>
      <w:r w:rsidRPr="00D2758E">
        <w:rPr>
          <w:szCs w:val="18"/>
        </w:rPr>
        <w:t xml:space="preserve">See </w:t>
      </w:r>
      <w:r w:rsidR="00E442AD">
        <w:rPr>
          <w:szCs w:val="18"/>
        </w:rPr>
        <w:t xml:space="preserve">documents </w:t>
      </w:r>
      <w:hyperlink r:id="rId64" w:history="1">
        <w:r w:rsidR="007769D4" w:rsidRPr="00D2758E">
          <w:rPr>
            <w:rStyle w:val="Hyperlink"/>
            <w:szCs w:val="18"/>
          </w:rPr>
          <w:t>CBD/SBI/7/INF/2</w:t>
        </w:r>
      </w:hyperlink>
      <w:r w:rsidR="007769D4" w:rsidRPr="00D2758E">
        <w:rPr>
          <w:szCs w:val="18"/>
        </w:rPr>
        <w:t xml:space="preserve">, </w:t>
      </w:r>
      <w:r w:rsidRPr="00D2758E">
        <w:rPr>
          <w:szCs w:val="18"/>
        </w:rPr>
        <w:t>sect</w:t>
      </w:r>
      <w:r w:rsidR="007769D4" w:rsidRPr="00D2758E">
        <w:rPr>
          <w:szCs w:val="18"/>
        </w:rPr>
        <w:t>.</w:t>
      </w:r>
      <w:r w:rsidRPr="00D2758E">
        <w:rPr>
          <w:szCs w:val="18"/>
        </w:rPr>
        <w:t xml:space="preserve"> III.C.2</w:t>
      </w:r>
      <w:r w:rsidR="00E442AD">
        <w:rPr>
          <w:szCs w:val="18"/>
        </w:rPr>
        <w:t>;</w:t>
      </w:r>
      <w:r w:rsidR="000C2118" w:rsidRPr="00D2758E">
        <w:rPr>
          <w:szCs w:val="18"/>
        </w:rPr>
        <w:t xml:space="preserve"> </w:t>
      </w:r>
      <w:hyperlink r:id="rId65" w:history="1">
        <w:r w:rsidR="007769D4" w:rsidRPr="00D2758E">
          <w:rPr>
            <w:rStyle w:val="Hyperlink"/>
            <w:szCs w:val="18"/>
          </w:rPr>
          <w:t>CBD/SBI/7/INF/3</w:t>
        </w:r>
      </w:hyperlink>
      <w:r w:rsidR="007769D4" w:rsidRPr="00D2758E">
        <w:rPr>
          <w:szCs w:val="18"/>
        </w:rPr>
        <w:t xml:space="preserve">, </w:t>
      </w:r>
      <w:r w:rsidR="009100B0" w:rsidRPr="00D2758E">
        <w:rPr>
          <w:szCs w:val="18"/>
        </w:rPr>
        <w:t>sect</w:t>
      </w:r>
      <w:r w:rsidR="007769D4" w:rsidRPr="00D2758E">
        <w:rPr>
          <w:szCs w:val="18"/>
        </w:rPr>
        <w:t>.</w:t>
      </w:r>
      <w:r w:rsidR="009100B0" w:rsidRPr="00D2758E">
        <w:rPr>
          <w:szCs w:val="18"/>
        </w:rPr>
        <w:t xml:space="preserve"> 2.6</w:t>
      </w:r>
      <w:r w:rsidR="00E442AD">
        <w:rPr>
          <w:szCs w:val="18"/>
        </w:rPr>
        <w:t>;</w:t>
      </w:r>
      <w:r w:rsidR="009100B0" w:rsidRPr="00D2758E">
        <w:rPr>
          <w:szCs w:val="18"/>
        </w:rPr>
        <w:t xml:space="preserve"> and </w:t>
      </w:r>
      <w:hyperlink r:id="rId66" w:history="1">
        <w:r w:rsidR="00190DDE" w:rsidRPr="00D2758E">
          <w:rPr>
            <w:rStyle w:val="Hyperlink"/>
            <w:szCs w:val="18"/>
          </w:rPr>
          <w:t>CBD/SBI/7/INF/7</w:t>
        </w:r>
      </w:hyperlink>
      <w:r w:rsidR="00190DDE" w:rsidRPr="00D2758E">
        <w:rPr>
          <w:szCs w:val="18"/>
        </w:rPr>
        <w:t>.</w:t>
      </w:r>
    </w:p>
  </w:footnote>
  <w:footnote w:id="74">
    <w:p w14:paraId="67436283" w14:textId="588097D6" w:rsidR="00362A1F" w:rsidRPr="00D2758E" w:rsidRDefault="00362A1F" w:rsidP="00362A1F">
      <w:pPr>
        <w:pStyle w:val="Footnote"/>
      </w:pPr>
      <w:r w:rsidRPr="00D2758E">
        <w:rPr>
          <w:rStyle w:val="FootnoteReference"/>
        </w:rPr>
        <w:footnoteRef/>
      </w:r>
      <w:r w:rsidRPr="00D2758E">
        <w:t xml:space="preserve"> </w:t>
      </w:r>
      <w:r w:rsidR="000C7449" w:rsidRPr="00D2758E">
        <w:t xml:space="preserve">For </w:t>
      </w:r>
      <w:proofErr w:type="gramStart"/>
      <w:r w:rsidR="003823AA">
        <w:t xml:space="preserve">further </w:t>
      </w:r>
      <w:r w:rsidR="000C7449" w:rsidRPr="00D2758E">
        <w:t xml:space="preserve"> information</w:t>
      </w:r>
      <w:proofErr w:type="gramEnd"/>
      <w:r w:rsidR="00674966">
        <w:t>,</w:t>
      </w:r>
      <w:r w:rsidR="000C7449" w:rsidRPr="00D2758E">
        <w:t xml:space="preserve"> see </w:t>
      </w:r>
      <w:r w:rsidR="003823AA">
        <w:t xml:space="preserve">document </w:t>
      </w:r>
      <w:hyperlink r:id="rId67" w:history="1">
        <w:r w:rsidR="00EF7A84" w:rsidRPr="00D2758E">
          <w:rPr>
            <w:rStyle w:val="Hyperlink"/>
          </w:rPr>
          <w:t>CBD/SBI/7/INF/2</w:t>
        </w:r>
      </w:hyperlink>
      <w:r w:rsidR="00EF7A84" w:rsidRPr="00D2758E">
        <w:t xml:space="preserve">, sect. </w:t>
      </w:r>
      <w:r w:rsidR="000C7449" w:rsidRPr="00D2758E">
        <w:t>III.D.</w:t>
      </w:r>
    </w:p>
  </w:footnote>
  <w:footnote w:id="75">
    <w:p w14:paraId="7AE8BAB3" w14:textId="5FFE5977" w:rsidR="00096DFC" w:rsidRPr="00D2758E" w:rsidRDefault="00096DFC">
      <w:pPr>
        <w:pStyle w:val="FootnoteText"/>
        <w:rPr>
          <w:szCs w:val="18"/>
        </w:rPr>
      </w:pPr>
      <w:r w:rsidRPr="00D2758E">
        <w:rPr>
          <w:rStyle w:val="FootnoteReference"/>
        </w:rPr>
        <w:footnoteRef/>
      </w:r>
      <w:r w:rsidRPr="00D2758E">
        <w:t xml:space="preserve"> </w:t>
      </w:r>
      <w:r w:rsidR="003F637D" w:rsidRPr="00D2758E">
        <w:rPr>
          <w:szCs w:val="18"/>
        </w:rPr>
        <w:t xml:space="preserve">For </w:t>
      </w:r>
      <w:r w:rsidR="003823AA">
        <w:rPr>
          <w:szCs w:val="18"/>
        </w:rPr>
        <w:t>further</w:t>
      </w:r>
      <w:r w:rsidR="003F637D" w:rsidRPr="00D2758E">
        <w:rPr>
          <w:szCs w:val="18"/>
        </w:rPr>
        <w:t xml:space="preserve"> information</w:t>
      </w:r>
      <w:r w:rsidR="00674966">
        <w:rPr>
          <w:szCs w:val="18"/>
        </w:rPr>
        <w:t>,</w:t>
      </w:r>
      <w:r w:rsidR="003F637D" w:rsidRPr="00D2758E">
        <w:rPr>
          <w:szCs w:val="18"/>
        </w:rPr>
        <w:t xml:space="preserve"> s</w:t>
      </w:r>
      <w:r w:rsidRPr="00D2758E">
        <w:rPr>
          <w:szCs w:val="18"/>
        </w:rPr>
        <w:t xml:space="preserve">ee decision </w:t>
      </w:r>
      <w:hyperlink r:id="rId68" w:history="1">
        <w:r w:rsidRPr="00D2758E">
          <w:rPr>
            <w:rStyle w:val="Hyperlink"/>
            <w:szCs w:val="18"/>
          </w:rPr>
          <w:t>NP-3/</w:t>
        </w:r>
        <w:r w:rsidR="00991E56" w:rsidRPr="00D2758E">
          <w:rPr>
            <w:rStyle w:val="Hyperlink"/>
            <w:szCs w:val="18"/>
          </w:rPr>
          <w:t>1</w:t>
        </w:r>
      </w:hyperlink>
      <w:r w:rsidRPr="00D2758E">
        <w:rPr>
          <w:szCs w:val="18"/>
        </w:rPr>
        <w:t xml:space="preserve">, </w:t>
      </w:r>
      <w:r w:rsidR="00F91AE7">
        <w:rPr>
          <w:szCs w:val="18"/>
        </w:rPr>
        <w:t>a</w:t>
      </w:r>
      <w:r w:rsidRPr="00D2758E">
        <w:rPr>
          <w:szCs w:val="18"/>
        </w:rPr>
        <w:t>nnex</w:t>
      </w:r>
      <w:r w:rsidR="003F637D" w:rsidRPr="00D2758E">
        <w:rPr>
          <w:szCs w:val="18"/>
        </w:rPr>
        <w:t xml:space="preserve">, </w:t>
      </w:r>
      <w:r w:rsidR="003823AA">
        <w:rPr>
          <w:szCs w:val="18"/>
        </w:rPr>
        <w:t>e</w:t>
      </w:r>
      <w:r w:rsidR="003F637D" w:rsidRPr="00D2758E">
        <w:rPr>
          <w:szCs w:val="18"/>
        </w:rPr>
        <w:t>lement (d): Assessment of effectiveness of Article 18 (extent of implementation)</w:t>
      </w:r>
      <w:r w:rsidR="00991E56" w:rsidRPr="00D2758E">
        <w:rPr>
          <w:szCs w:val="18"/>
        </w:rPr>
        <w:t>.</w:t>
      </w:r>
    </w:p>
  </w:footnote>
  <w:footnote w:id="76">
    <w:p w14:paraId="53903C36" w14:textId="2F3FCA36" w:rsidR="00796A74" w:rsidRPr="00D2758E" w:rsidRDefault="00796A74">
      <w:pPr>
        <w:pStyle w:val="FootnoteText"/>
        <w:rPr>
          <w:szCs w:val="18"/>
        </w:rPr>
      </w:pPr>
      <w:r w:rsidRPr="00D2758E">
        <w:rPr>
          <w:rStyle w:val="FootnoteReference"/>
        </w:rPr>
        <w:footnoteRef/>
      </w:r>
      <w:r w:rsidRPr="00D2758E">
        <w:t xml:space="preserve"> </w:t>
      </w:r>
      <w:r w:rsidRPr="00D2758E">
        <w:rPr>
          <w:szCs w:val="18"/>
        </w:rPr>
        <w:t xml:space="preserve">Examples of measures taken, approaches and </w:t>
      </w:r>
      <w:r w:rsidR="000C7449" w:rsidRPr="00D2758E">
        <w:rPr>
          <w:szCs w:val="18"/>
        </w:rPr>
        <w:t xml:space="preserve">experience </w:t>
      </w:r>
      <w:r w:rsidRPr="00D2758E">
        <w:rPr>
          <w:szCs w:val="18"/>
        </w:rPr>
        <w:t>provided</w:t>
      </w:r>
      <w:r w:rsidR="000C7449" w:rsidRPr="00D2758E">
        <w:rPr>
          <w:szCs w:val="18"/>
        </w:rPr>
        <w:t xml:space="preserve"> by Parties</w:t>
      </w:r>
      <w:r w:rsidRPr="00D2758E">
        <w:rPr>
          <w:szCs w:val="18"/>
        </w:rPr>
        <w:t xml:space="preserve"> can be </w:t>
      </w:r>
      <w:r w:rsidR="00D446F5" w:rsidRPr="00D2758E">
        <w:rPr>
          <w:szCs w:val="18"/>
        </w:rPr>
        <w:t xml:space="preserve">found in </w:t>
      </w:r>
      <w:r w:rsidR="00CA0407">
        <w:rPr>
          <w:szCs w:val="18"/>
        </w:rPr>
        <w:t xml:space="preserve">document </w:t>
      </w:r>
      <w:hyperlink r:id="rId69" w:history="1">
        <w:r w:rsidR="00EA38A0" w:rsidRPr="00D2758E">
          <w:rPr>
            <w:rStyle w:val="Hyperlink"/>
            <w:szCs w:val="18"/>
          </w:rPr>
          <w:t>CBD/SBI/7/INF/2</w:t>
        </w:r>
      </w:hyperlink>
      <w:r w:rsidR="00EA38A0" w:rsidRPr="00D2758E">
        <w:rPr>
          <w:szCs w:val="18"/>
        </w:rPr>
        <w:t xml:space="preserve">, </w:t>
      </w:r>
      <w:r w:rsidR="00D446F5" w:rsidRPr="00D2758E">
        <w:rPr>
          <w:szCs w:val="18"/>
        </w:rPr>
        <w:t>sect</w:t>
      </w:r>
      <w:r w:rsidR="00EA38A0" w:rsidRPr="00D2758E">
        <w:rPr>
          <w:szCs w:val="18"/>
        </w:rPr>
        <w:t>.</w:t>
      </w:r>
      <w:r w:rsidR="00D446F5" w:rsidRPr="00D2758E">
        <w:rPr>
          <w:szCs w:val="18"/>
        </w:rPr>
        <w:t xml:space="preserve"> III.</w:t>
      </w:r>
      <w:r w:rsidR="000C7449" w:rsidRPr="00D2758E">
        <w:rPr>
          <w:szCs w:val="18"/>
        </w:rPr>
        <w:t>D.</w:t>
      </w:r>
    </w:p>
  </w:footnote>
  <w:footnote w:id="77">
    <w:p w14:paraId="7B7BDB47" w14:textId="3BBB20D8" w:rsidR="005A6CEC" w:rsidRPr="00D2758E" w:rsidRDefault="005A6CEC">
      <w:pPr>
        <w:pStyle w:val="FootnoteText"/>
      </w:pPr>
      <w:r w:rsidRPr="00D2758E">
        <w:rPr>
          <w:rStyle w:val="FootnoteReference"/>
          <w:szCs w:val="18"/>
        </w:rPr>
        <w:footnoteRef/>
      </w:r>
      <w:r w:rsidRPr="00D2758E">
        <w:rPr>
          <w:szCs w:val="18"/>
        </w:rPr>
        <w:t xml:space="preserve"> For </w:t>
      </w:r>
      <w:r w:rsidR="004851C6">
        <w:rPr>
          <w:szCs w:val="18"/>
        </w:rPr>
        <w:t xml:space="preserve">further </w:t>
      </w:r>
      <w:r w:rsidRPr="00D2758E">
        <w:rPr>
          <w:szCs w:val="18"/>
        </w:rPr>
        <w:t>information</w:t>
      </w:r>
      <w:r w:rsidR="001404A0">
        <w:rPr>
          <w:szCs w:val="18"/>
        </w:rPr>
        <w:t>,</w:t>
      </w:r>
      <w:r w:rsidRPr="00D2758E">
        <w:rPr>
          <w:szCs w:val="18"/>
        </w:rPr>
        <w:t xml:space="preserve"> see </w:t>
      </w:r>
      <w:r w:rsidR="004851C6">
        <w:rPr>
          <w:szCs w:val="18"/>
        </w:rPr>
        <w:t xml:space="preserve">document </w:t>
      </w:r>
      <w:hyperlink r:id="rId70" w:history="1">
        <w:r w:rsidR="002D0433" w:rsidRPr="00D2758E">
          <w:rPr>
            <w:rStyle w:val="Hyperlink"/>
            <w:szCs w:val="18"/>
          </w:rPr>
          <w:t>CBD/SBI/7/INF/2</w:t>
        </w:r>
      </w:hyperlink>
      <w:r w:rsidR="002D0433" w:rsidRPr="00D2758E">
        <w:rPr>
          <w:szCs w:val="18"/>
        </w:rPr>
        <w:t xml:space="preserve">, sect. </w:t>
      </w:r>
      <w:r w:rsidR="007167AF" w:rsidRPr="00D2758E">
        <w:rPr>
          <w:szCs w:val="18"/>
        </w:rPr>
        <w:t>III.E</w:t>
      </w:r>
      <w:r w:rsidR="007167AF" w:rsidRPr="00D2758E">
        <w:t>.</w:t>
      </w:r>
    </w:p>
  </w:footnote>
  <w:footnote w:id="78">
    <w:p w14:paraId="32DFCFCA" w14:textId="43BA5D9F" w:rsidR="00232C85" w:rsidRPr="00D2758E" w:rsidRDefault="00232C85">
      <w:pPr>
        <w:pStyle w:val="FootnoteText"/>
        <w:rPr>
          <w:szCs w:val="18"/>
        </w:rPr>
      </w:pPr>
      <w:r w:rsidRPr="00D2758E">
        <w:rPr>
          <w:rStyle w:val="FootnoteReference"/>
        </w:rPr>
        <w:footnoteRef/>
      </w:r>
      <w:r w:rsidRPr="00D2758E">
        <w:t xml:space="preserve"> </w:t>
      </w:r>
      <w:r w:rsidR="0063113C" w:rsidRPr="00D2758E">
        <w:rPr>
          <w:szCs w:val="18"/>
        </w:rPr>
        <w:t xml:space="preserve">Developments under the World Intellectual Property Organization Intergovernmental Committee on Intellectual Property and Genetic Resources, Traditional Knowledge and Folklore are presented in </w:t>
      </w:r>
      <w:r w:rsidR="004851C6">
        <w:rPr>
          <w:szCs w:val="18"/>
        </w:rPr>
        <w:t xml:space="preserve">document </w:t>
      </w:r>
      <w:hyperlink r:id="rId71" w:history="1">
        <w:r w:rsidR="002D0433" w:rsidRPr="00D2758E">
          <w:rPr>
            <w:rStyle w:val="Hyperlink"/>
            <w:szCs w:val="18"/>
          </w:rPr>
          <w:t>CBD/SBI/7/INF/2</w:t>
        </w:r>
      </w:hyperlink>
      <w:r w:rsidR="002D0433" w:rsidRPr="00D2758E">
        <w:rPr>
          <w:szCs w:val="18"/>
        </w:rPr>
        <w:t xml:space="preserve">, </w:t>
      </w:r>
      <w:r w:rsidR="0063113C" w:rsidRPr="00D2758E">
        <w:rPr>
          <w:szCs w:val="18"/>
        </w:rPr>
        <w:t>sect</w:t>
      </w:r>
      <w:r w:rsidR="002D0433" w:rsidRPr="00D2758E">
        <w:rPr>
          <w:szCs w:val="18"/>
        </w:rPr>
        <w:t>.</w:t>
      </w:r>
      <w:r w:rsidR="0063113C" w:rsidRPr="00D2758E">
        <w:rPr>
          <w:szCs w:val="18"/>
        </w:rPr>
        <w:t xml:space="preserve"> III.E</w:t>
      </w:r>
      <w:r w:rsidR="00EE0A97" w:rsidRPr="00D2758E">
        <w:rPr>
          <w:szCs w:val="18"/>
        </w:rPr>
        <w:t>.</w:t>
      </w:r>
    </w:p>
  </w:footnote>
  <w:footnote w:id="79">
    <w:p w14:paraId="5EDCD667" w14:textId="14E7C68D" w:rsidR="004E203F" w:rsidRPr="00D2758E" w:rsidRDefault="004E203F">
      <w:pPr>
        <w:pStyle w:val="FootnoteText"/>
      </w:pPr>
      <w:r w:rsidRPr="00D2758E">
        <w:rPr>
          <w:rStyle w:val="FootnoteReference"/>
          <w:szCs w:val="18"/>
        </w:rPr>
        <w:footnoteRef/>
      </w:r>
      <w:r w:rsidRPr="00D2758E">
        <w:rPr>
          <w:szCs w:val="18"/>
        </w:rPr>
        <w:t xml:space="preserve"> For </w:t>
      </w:r>
      <w:r w:rsidR="00E856C7">
        <w:rPr>
          <w:szCs w:val="18"/>
        </w:rPr>
        <w:t>further</w:t>
      </w:r>
      <w:r w:rsidRPr="00D2758E">
        <w:rPr>
          <w:szCs w:val="18"/>
        </w:rPr>
        <w:t xml:space="preserve"> information</w:t>
      </w:r>
      <w:r w:rsidR="00AF4C40">
        <w:rPr>
          <w:szCs w:val="18"/>
        </w:rPr>
        <w:t>,</w:t>
      </w:r>
      <w:r w:rsidRPr="00D2758E">
        <w:rPr>
          <w:szCs w:val="18"/>
        </w:rPr>
        <w:t xml:space="preserve"> see </w:t>
      </w:r>
      <w:r w:rsidR="00E856C7">
        <w:rPr>
          <w:szCs w:val="18"/>
        </w:rPr>
        <w:t xml:space="preserve">documents </w:t>
      </w:r>
      <w:hyperlink r:id="rId72" w:history="1">
        <w:r w:rsidR="000F2DC0" w:rsidRPr="00D2758E">
          <w:rPr>
            <w:rStyle w:val="Hyperlink"/>
            <w:szCs w:val="18"/>
          </w:rPr>
          <w:t>CBD/SBI/7/INF/2</w:t>
        </w:r>
      </w:hyperlink>
      <w:r w:rsidR="000F2DC0" w:rsidRPr="00D2758E">
        <w:rPr>
          <w:szCs w:val="18"/>
        </w:rPr>
        <w:t xml:space="preserve">, </w:t>
      </w:r>
      <w:r w:rsidRPr="00D2758E">
        <w:rPr>
          <w:szCs w:val="18"/>
        </w:rPr>
        <w:t>sect</w:t>
      </w:r>
      <w:r w:rsidR="000F2DC0" w:rsidRPr="00D2758E">
        <w:rPr>
          <w:szCs w:val="18"/>
        </w:rPr>
        <w:t xml:space="preserve">. </w:t>
      </w:r>
      <w:r w:rsidR="00B37369" w:rsidRPr="00D2758E">
        <w:rPr>
          <w:szCs w:val="18"/>
        </w:rPr>
        <w:t>III.F</w:t>
      </w:r>
      <w:r w:rsidR="00E856C7">
        <w:rPr>
          <w:szCs w:val="18"/>
        </w:rPr>
        <w:t>;</w:t>
      </w:r>
      <w:r w:rsidR="001E2E13" w:rsidRPr="00D2758E">
        <w:rPr>
          <w:szCs w:val="18"/>
        </w:rPr>
        <w:t xml:space="preserve"> </w:t>
      </w:r>
      <w:r w:rsidR="00941605" w:rsidRPr="00D2758E">
        <w:rPr>
          <w:szCs w:val="18"/>
        </w:rPr>
        <w:t xml:space="preserve">and </w:t>
      </w:r>
      <w:hyperlink r:id="rId73" w:history="1">
        <w:r w:rsidR="000978B9" w:rsidRPr="00D2758E">
          <w:rPr>
            <w:rStyle w:val="Hyperlink"/>
            <w:szCs w:val="18"/>
          </w:rPr>
          <w:t>CBD/SBI/7/INF/3</w:t>
        </w:r>
      </w:hyperlink>
      <w:r w:rsidR="000978B9" w:rsidRPr="00D2758E">
        <w:rPr>
          <w:szCs w:val="18"/>
        </w:rPr>
        <w:t xml:space="preserve">, </w:t>
      </w:r>
      <w:r w:rsidR="00941605" w:rsidRPr="00D2758E">
        <w:rPr>
          <w:szCs w:val="18"/>
        </w:rPr>
        <w:t>sect</w:t>
      </w:r>
      <w:r w:rsidR="000978B9" w:rsidRPr="00D2758E">
        <w:rPr>
          <w:szCs w:val="18"/>
        </w:rPr>
        <w:t>.</w:t>
      </w:r>
      <w:r w:rsidR="00B55420" w:rsidRPr="00D2758E">
        <w:rPr>
          <w:szCs w:val="18"/>
        </w:rPr>
        <w:t xml:space="preserve"> 2.4</w:t>
      </w:r>
      <w:r w:rsidR="001E2E13" w:rsidRPr="00D2758E">
        <w:t>.</w:t>
      </w:r>
    </w:p>
  </w:footnote>
  <w:footnote w:id="80">
    <w:p w14:paraId="7619F350" w14:textId="4150ADD0" w:rsidR="00FD7D0D" w:rsidRPr="00D2758E" w:rsidRDefault="00FD7D0D">
      <w:pPr>
        <w:pStyle w:val="FootnoteText"/>
        <w:rPr>
          <w:szCs w:val="18"/>
        </w:rPr>
      </w:pPr>
      <w:r w:rsidRPr="00D2758E">
        <w:rPr>
          <w:rStyle w:val="FootnoteReference"/>
        </w:rPr>
        <w:footnoteRef/>
      </w:r>
      <w:r w:rsidRPr="00D2758E">
        <w:t xml:space="preserve"> </w:t>
      </w:r>
      <w:r w:rsidR="00624E83" w:rsidRPr="00D2758E">
        <w:rPr>
          <w:szCs w:val="18"/>
        </w:rPr>
        <w:t xml:space="preserve">Examples and approaches </w:t>
      </w:r>
      <w:r w:rsidR="00416D0D" w:rsidRPr="00D2758E">
        <w:rPr>
          <w:szCs w:val="18"/>
        </w:rPr>
        <w:t xml:space="preserve">taken to develop community protocols can be found in </w:t>
      </w:r>
      <w:r w:rsidR="00E856C7">
        <w:rPr>
          <w:szCs w:val="18"/>
        </w:rPr>
        <w:t xml:space="preserve">document </w:t>
      </w:r>
      <w:hyperlink r:id="rId74" w:history="1">
        <w:r w:rsidR="00856854" w:rsidRPr="00D2758E">
          <w:rPr>
            <w:rStyle w:val="Hyperlink"/>
            <w:szCs w:val="18"/>
          </w:rPr>
          <w:t>CBD/SBI/7/INF/2</w:t>
        </w:r>
      </w:hyperlink>
      <w:r w:rsidR="00856854" w:rsidRPr="00D2758E">
        <w:rPr>
          <w:szCs w:val="18"/>
        </w:rPr>
        <w:t xml:space="preserve">, </w:t>
      </w:r>
      <w:r w:rsidR="00416D0D" w:rsidRPr="00D2758E">
        <w:rPr>
          <w:szCs w:val="18"/>
        </w:rPr>
        <w:t>sect</w:t>
      </w:r>
      <w:r w:rsidR="00856854" w:rsidRPr="00D2758E">
        <w:rPr>
          <w:szCs w:val="18"/>
        </w:rPr>
        <w:t>.</w:t>
      </w:r>
      <w:r w:rsidR="00416D0D" w:rsidRPr="00D2758E">
        <w:rPr>
          <w:szCs w:val="18"/>
        </w:rPr>
        <w:t xml:space="preserve"> III.F.</w:t>
      </w:r>
      <w:r w:rsidR="0092608A" w:rsidRPr="00D2758E">
        <w:rPr>
          <w:szCs w:val="18"/>
        </w:rPr>
        <w:t>1</w:t>
      </w:r>
      <w:r w:rsidR="00E856C7">
        <w:rPr>
          <w:szCs w:val="18"/>
        </w:rPr>
        <w:t>,</w:t>
      </w:r>
      <w:r w:rsidR="000D312C" w:rsidRPr="00D2758E">
        <w:rPr>
          <w:szCs w:val="18"/>
        </w:rPr>
        <w:t xml:space="preserve"> and </w:t>
      </w:r>
      <w:r w:rsidR="00E856C7">
        <w:rPr>
          <w:szCs w:val="18"/>
        </w:rPr>
        <w:t>o</w:t>
      </w:r>
      <w:r w:rsidR="000D312C" w:rsidRPr="00D2758E">
        <w:rPr>
          <w:szCs w:val="18"/>
        </w:rPr>
        <w:t xml:space="preserve">n the </w:t>
      </w:r>
      <w:proofErr w:type="gramStart"/>
      <w:r w:rsidR="000D312C" w:rsidRPr="00D2758E">
        <w:rPr>
          <w:szCs w:val="18"/>
        </w:rPr>
        <w:t>Clearing-House</w:t>
      </w:r>
      <w:proofErr w:type="gramEnd"/>
      <w:r w:rsidR="000D312C" w:rsidRPr="00D2758E">
        <w:rPr>
          <w:szCs w:val="18"/>
        </w:rPr>
        <w:t>.</w:t>
      </w:r>
    </w:p>
  </w:footnote>
  <w:footnote w:id="81">
    <w:p w14:paraId="2A6D95F4" w14:textId="701C4DBD" w:rsidR="006C633B" w:rsidRPr="00D2758E" w:rsidRDefault="006C633B">
      <w:pPr>
        <w:pStyle w:val="FootnoteText"/>
        <w:rPr>
          <w:szCs w:val="18"/>
        </w:rPr>
      </w:pPr>
      <w:r w:rsidRPr="00D2758E">
        <w:rPr>
          <w:rStyle w:val="FootnoteReference"/>
        </w:rPr>
        <w:footnoteRef/>
      </w:r>
      <w:r w:rsidRPr="00D2758E">
        <w:t xml:space="preserve"> </w:t>
      </w:r>
      <w:r w:rsidRPr="00D2758E">
        <w:rPr>
          <w:szCs w:val="18"/>
        </w:rPr>
        <w:t xml:space="preserve">For </w:t>
      </w:r>
      <w:r w:rsidR="00FC52A4">
        <w:rPr>
          <w:szCs w:val="18"/>
        </w:rPr>
        <w:t>further</w:t>
      </w:r>
      <w:r w:rsidRPr="00D2758E">
        <w:rPr>
          <w:szCs w:val="18"/>
        </w:rPr>
        <w:t xml:space="preserve"> information</w:t>
      </w:r>
      <w:r w:rsidR="00AF4C40">
        <w:rPr>
          <w:szCs w:val="18"/>
        </w:rPr>
        <w:t>,</w:t>
      </w:r>
      <w:r w:rsidRPr="00D2758E">
        <w:rPr>
          <w:szCs w:val="18"/>
        </w:rPr>
        <w:t xml:space="preserve"> see</w:t>
      </w:r>
      <w:r w:rsidR="0004403A" w:rsidRPr="00D2758E">
        <w:rPr>
          <w:szCs w:val="18"/>
        </w:rPr>
        <w:t xml:space="preserve"> </w:t>
      </w:r>
      <w:r w:rsidR="00FC52A4">
        <w:rPr>
          <w:szCs w:val="18"/>
        </w:rPr>
        <w:t xml:space="preserve">documents </w:t>
      </w:r>
      <w:hyperlink r:id="rId75" w:history="1">
        <w:r w:rsidR="008109ED" w:rsidRPr="00D2758E">
          <w:rPr>
            <w:rStyle w:val="Hyperlink"/>
            <w:szCs w:val="18"/>
          </w:rPr>
          <w:t>CBD/SBI/7/INF/2</w:t>
        </w:r>
      </w:hyperlink>
      <w:r w:rsidR="008109ED" w:rsidRPr="00D2758E">
        <w:rPr>
          <w:szCs w:val="18"/>
        </w:rPr>
        <w:t xml:space="preserve">, </w:t>
      </w:r>
      <w:r w:rsidR="0004403A" w:rsidRPr="00D2758E">
        <w:rPr>
          <w:szCs w:val="18"/>
        </w:rPr>
        <w:t>sect</w:t>
      </w:r>
      <w:r w:rsidR="008109ED" w:rsidRPr="00D2758E">
        <w:rPr>
          <w:szCs w:val="18"/>
        </w:rPr>
        <w:t>.</w:t>
      </w:r>
      <w:r w:rsidR="0004403A" w:rsidRPr="00D2758E">
        <w:rPr>
          <w:szCs w:val="18"/>
        </w:rPr>
        <w:t xml:space="preserve"> III.F.2</w:t>
      </w:r>
      <w:r w:rsidR="00FC52A4">
        <w:rPr>
          <w:szCs w:val="18"/>
        </w:rPr>
        <w:t>;</w:t>
      </w:r>
      <w:r w:rsidR="00672F77" w:rsidRPr="00D2758E">
        <w:rPr>
          <w:szCs w:val="18"/>
        </w:rPr>
        <w:t xml:space="preserve"> and</w:t>
      </w:r>
      <w:r w:rsidR="0015027F" w:rsidRPr="00D2758E">
        <w:rPr>
          <w:szCs w:val="18"/>
        </w:rPr>
        <w:t xml:space="preserve"> </w:t>
      </w:r>
      <w:hyperlink r:id="rId76" w:history="1">
        <w:r w:rsidR="008109ED" w:rsidRPr="00D2758E">
          <w:rPr>
            <w:rStyle w:val="Hyperlink"/>
            <w:szCs w:val="18"/>
          </w:rPr>
          <w:t>CBD/SBI/7/INF/3</w:t>
        </w:r>
      </w:hyperlink>
      <w:r w:rsidR="008109ED" w:rsidRPr="00D2758E">
        <w:rPr>
          <w:szCs w:val="18"/>
        </w:rPr>
        <w:t xml:space="preserve">, sect. </w:t>
      </w:r>
      <w:r w:rsidR="0015027F" w:rsidRPr="00D2758E">
        <w:rPr>
          <w:szCs w:val="18"/>
        </w:rPr>
        <w:t>2.1.2</w:t>
      </w:r>
      <w:r w:rsidR="008109ED" w:rsidRPr="00D2758E">
        <w:rPr>
          <w:szCs w:val="18"/>
        </w:rPr>
        <w:t>.</w:t>
      </w:r>
    </w:p>
  </w:footnote>
  <w:footnote w:id="82">
    <w:p w14:paraId="66737C79" w14:textId="571921E9" w:rsidR="000D312C" w:rsidRPr="00D2758E" w:rsidRDefault="000D312C">
      <w:pPr>
        <w:pStyle w:val="FootnoteText"/>
        <w:rPr>
          <w:szCs w:val="18"/>
        </w:rPr>
      </w:pPr>
      <w:r w:rsidRPr="00D2758E">
        <w:rPr>
          <w:rStyle w:val="FootnoteReference"/>
        </w:rPr>
        <w:footnoteRef/>
      </w:r>
      <w:r w:rsidRPr="00D2758E">
        <w:t xml:space="preserve"> </w:t>
      </w:r>
      <w:r w:rsidRPr="00D2758E">
        <w:rPr>
          <w:szCs w:val="18"/>
        </w:rPr>
        <w:t xml:space="preserve">Examples and approaches </w:t>
      </w:r>
      <w:r w:rsidR="00B60C9A">
        <w:rPr>
          <w:szCs w:val="18"/>
        </w:rPr>
        <w:t>for</w:t>
      </w:r>
      <w:r w:rsidR="00435F66" w:rsidRPr="00D2758E">
        <w:rPr>
          <w:szCs w:val="18"/>
        </w:rPr>
        <w:t xml:space="preserve"> </w:t>
      </w:r>
      <w:r w:rsidR="00B60C9A" w:rsidRPr="00D2758E">
        <w:rPr>
          <w:szCs w:val="18"/>
        </w:rPr>
        <w:t xml:space="preserve">tools </w:t>
      </w:r>
      <w:r w:rsidR="007A45F9">
        <w:rPr>
          <w:szCs w:val="18"/>
        </w:rPr>
        <w:t xml:space="preserve">reported under </w:t>
      </w:r>
      <w:r w:rsidR="00435F66" w:rsidRPr="00D2758E">
        <w:rPr>
          <w:szCs w:val="18"/>
        </w:rPr>
        <w:t xml:space="preserve">Articles 19 and 20 </w:t>
      </w:r>
      <w:r w:rsidRPr="00D2758E">
        <w:rPr>
          <w:szCs w:val="18"/>
        </w:rPr>
        <w:t xml:space="preserve">can be found in </w:t>
      </w:r>
      <w:r w:rsidR="007A45F9" w:rsidRPr="007A45F9">
        <w:rPr>
          <w:szCs w:val="18"/>
        </w:rPr>
        <w:t xml:space="preserve">document </w:t>
      </w:r>
      <w:hyperlink r:id="rId77" w:history="1">
        <w:r w:rsidR="007A45F9" w:rsidRPr="007A45F9">
          <w:rPr>
            <w:rStyle w:val="Hyperlink"/>
            <w:szCs w:val="18"/>
          </w:rPr>
          <w:t>CBD/SBI/7/INF/2</w:t>
        </w:r>
      </w:hyperlink>
      <w:r w:rsidR="007A45F9">
        <w:rPr>
          <w:szCs w:val="18"/>
        </w:rPr>
        <w:t xml:space="preserve">, </w:t>
      </w:r>
      <w:r w:rsidRPr="00D2758E">
        <w:rPr>
          <w:szCs w:val="18"/>
        </w:rPr>
        <w:t>section III.F.</w:t>
      </w:r>
      <w:r w:rsidR="00435F66" w:rsidRPr="00D2758E">
        <w:rPr>
          <w:szCs w:val="18"/>
        </w:rPr>
        <w:t>2</w:t>
      </w:r>
      <w:r w:rsidR="00977BA2">
        <w:rPr>
          <w:szCs w:val="18"/>
        </w:rPr>
        <w:t>,</w:t>
      </w:r>
      <w:r w:rsidRPr="00D2758E">
        <w:rPr>
          <w:szCs w:val="18"/>
        </w:rPr>
        <w:t xml:space="preserve"> and </w:t>
      </w:r>
      <w:r w:rsidR="00B60C9A">
        <w:rPr>
          <w:szCs w:val="18"/>
        </w:rPr>
        <w:t>o</w:t>
      </w:r>
      <w:r w:rsidRPr="00D2758E">
        <w:rPr>
          <w:szCs w:val="18"/>
        </w:rPr>
        <w:t xml:space="preserve">n the </w:t>
      </w:r>
      <w:proofErr w:type="gramStart"/>
      <w:r w:rsidRPr="00D2758E">
        <w:rPr>
          <w:szCs w:val="18"/>
        </w:rPr>
        <w:t>Clearing-House</w:t>
      </w:r>
      <w:proofErr w:type="gramEnd"/>
      <w:r w:rsidRPr="00D2758E">
        <w:rPr>
          <w:szCs w:val="18"/>
        </w:rPr>
        <w:t>.</w:t>
      </w:r>
    </w:p>
  </w:footnote>
  <w:footnote w:id="83">
    <w:p w14:paraId="38E9BA84" w14:textId="1048447C" w:rsidR="006C1DF9" w:rsidRPr="00D2758E" w:rsidRDefault="006C1DF9" w:rsidP="006C1DF9">
      <w:pPr>
        <w:pStyle w:val="Footnote"/>
      </w:pPr>
      <w:r w:rsidRPr="00D2758E">
        <w:rPr>
          <w:rStyle w:val="FootnoteReference"/>
        </w:rPr>
        <w:footnoteRef/>
      </w:r>
      <w:r w:rsidRPr="00D2758E">
        <w:t xml:space="preserve"> The previous stocktaking exercise </w:t>
      </w:r>
      <w:r w:rsidR="006C195E">
        <w:t>for</w:t>
      </w:r>
      <w:r w:rsidRPr="00D2758E">
        <w:t xml:space="preserve"> tools developed under Article</w:t>
      </w:r>
      <w:r w:rsidR="006C195E">
        <w:t>s</w:t>
      </w:r>
      <w:r w:rsidRPr="00D2758E">
        <w:t xml:space="preserve"> 19 and 20 conducted </w:t>
      </w:r>
      <w:r w:rsidR="006C195E">
        <w:t xml:space="preserve">in the context of </w:t>
      </w:r>
      <w:r w:rsidRPr="00D2758E">
        <w:t xml:space="preserve">the first assessment and review process </w:t>
      </w:r>
      <w:r w:rsidR="00921E17">
        <w:t>for</w:t>
      </w:r>
      <w:r w:rsidRPr="00D2758E">
        <w:t xml:space="preserve"> the Protocol included</w:t>
      </w:r>
      <w:r w:rsidR="00570617">
        <w:t>,</w:t>
      </w:r>
      <w:r w:rsidRPr="00D2758E">
        <w:t xml:space="preserve"> as part of </w:t>
      </w:r>
      <w:r w:rsidR="00A140B0">
        <w:t>the exercise on tools</w:t>
      </w:r>
      <w:r w:rsidR="00570617">
        <w:t>,</w:t>
      </w:r>
      <w:r w:rsidR="00A140B0">
        <w:t xml:space="preserve"> </w:t>
      </w:r>
      <w:r w:rsidRPr="00D2758E">
        <w:t xml:space="preserve">information on national model clauses and national guidelines that </w:t>
      </w:r>
      <w:r w:rsidR="00570617">
        <w:t>we</w:t>
      </w:r>
      <w:r w:rsidRPr="00D2758E">
        <w:t xml:space="preserve">re part of the national or regional framework and  tools and resources developed by countries to support compliance with their own systems or with the </w:t>
      </w:r>
      <w:r w:rsidR="00084C4B">
        <w:t xml:space="preserve">access and benefit-sharing </w:t>
      </w:r>
      <w:r w:rsidRPr="00D2758E">
        <w:t>domestic requirements of other countries</w:t>
      </w:r>
      <w:r w:rsidR="00EE7202">
        <w:t>,</w:t>
      </w:r>
      <w:r w:rsidRPr="00D2758E">
        <w:t xml:space="preserve"> as required </w:t>
      </w:r>
      <w:r w:rsidR="00EE7202">
        <w:t>under</w:t>
      </w:r>
      <w:r w:rsidRPr="00D2758E">
        <w:t xml:space="preserve"> Article</w:t>
      </w:r>
      <w:r w:rsidR="00EE7202">
        <w:t>s</w:t>
      </w:r>
      <w:r w:rsidRPr="00D2758E">
        <w:t xml:space="preserve"> 15 and 16 of the Protocol. t</w:t>
      </w:r>
      <w:r w:rsidR="004F4FF2">
        <w:t>\T</w:t>
      </w:r>
      <w:r w:rsidRPr="00D2758E">
        <w:t>his information</w:t>
      </w:r>
      <w:r w:rsidR="004F4FF2">
        <w:t>, h</w:t>
      </w:r>
      <w:r w:rsidR="004F4FF2" w:rsidRPr="00D2758E">
        <w:t xml:space="preserve">owever, </w:t>
      </w:r>
      <w:r w:rsidRPr="00D2758E">
        <w:t>is now analysed separately</w:t>
      </w:r>
      <w:r w:rsidR="00570617">
        <w:t>,</w:t>
      </w:r>
      <w:r w:rsidRPr="00D2758E">
        <w:t xml:space="preserve"> as the goals </w:t>
      </w:r>
      <w:r w:rsidR="004F4FF2">
        <w:t xml:space="preserve">in using </w:t>
      </w:r>
      <w:r w:rsidRPr="00D2758E">
        <w:t>those tools are very different. This allows for the assessment of the tools developed by users and relevant organizations independently from those developed by countries. The tools developed by countries as part of their national framework are now analysed and accounted for only in the context of element (a) addressing establishing institutional structures and access and benefit-sharing measures to implement the Protocol.</w:t>
      </w:r>
    </w:p>
  </w:footnote>
  <w:footnote w:id="84">
    <w:p w14:paraId="679AF2F8" w14:textId="1D9EB922" w:rsidR="008241C5" w:rsidRPr="00D2758E" w:rsidRDefault="008241C5" w:rsidP="008241C5">
      <w:pPr>
        <w:pStyle w:val="FootnoteText"/>
        <w:rPr>
          <w:szCs w:val="18"/>
        </w:rPr>
      </w:pPr>
      <w:r w:rsidRPr="00D2758E">
        <w:rPr>
          <w:rStyle w:val="FootnoteReference"/>
          <w:szCs w:val="18"/>
        </w:rPr>
        <w:footnoteRef/>
      </w:r>
      <w:r w:rsidRPr="00D2758E">
        <w:rPr>
          <w:szCs w:val="18"/>
        </w:rPr>
        <w:t xml:space="preserve"> Examples and approaches of </w:t>
      </w:r>
      <w:r w:rsidR="00C81010" w:rsidRPr="00D2758E">
        <w:rPr>
          <w:szCs w:val="18"/>
        </w:rPr>
        <w:t>these types of initiatives</w:t>
      </w:r>
      <w:r w:rsidRPr="00D2758E">
        <w:rPr>
          <w:szCs w:val="18"/>
        </w:rPr>
        <w:t xml:space="preserve"> can be found in </w:t>
      </w:r>
      <w:r w:rsidR="00B5536D">
        <w:rPr>
          <w:szCs w:val="18"/>
        </w:rPr>
        <w:t xml:space="preserve">documents </w:t>
      </w:r>
      <w:hyperlink r:id="rId78" w:history="1">
        <w:r w:rsidR="00B44DE9" w:rsidRPr="00D2758E">
          <w:rPr>
            <w:rStyle w:val="Hyperlink"/>
            <w:szCs w:val="18"/>
          </w:rPr>
          <w:t>CBD/SBI/7/INF/2</w:t>
        </w:r>
      </w:hyperlink>
      <w:r w:rsidR="00B44DE9" w:rsidRPr="00D2758E">
        <w:rPr>
          <w:szCs w:val="18"/>
        </w:rPr>
        <w:t>, s</w:t>
      </w:r>
      <w:r w:rsidRPr="00D2758E">
        <w:rPr>
          <w:szCs w:val="18"/>
        </w:rPr>
        <w:t>ect</w:t>
      </w:r>
      <w:r w:rsidR="00B44DE9" w:rsidRPr="00D2758E">
        <w:rPr>
          <w:szCs w:val="18"/>
        </w:rPr>
        <w:t>.</w:t>
      </w:r>
      <w:r w:rsidRPr="00D2758E">
        <w:rPr>
          <w:szCs w:val="18"/>
        </w:rPr>
        <w:t xml:space="preserve"> III.F.2</w:t>
      </w:r>
      <w:r w:rsidR="00B5536D">
        <w:rPr>
          <w:szCs w:val="18"/>
        </w:rPr>
        <w:t>;</w:t>
      </w:r>
      <w:r w:rsidRPr="00D2758E">
        <w:rPr>
          <w:szCs w:val="18"/>
        </w:rPr>
        <w:t xml:space="preserve"> and </w:t>
      </w:r>
      <w:hyperlink r:id="rId79" w:history="1">
        <w:r w:rsidR="00B44DE9" w:rsidRPr="00D2758E">
          <w:rPr>
            <w:rStyle w:val="Hyperlink"/>
            <w:szCs w:val="18"/>
          </w:rPr>
          <w:t>CBD/SBI/7/INF/3</w:t>
        </w:r>
      </w:hyperlink>
      <w:r w:rsidR="00B44DE9" w:rsidRPr="00D2758E">
        <w:rPr>
          <w:szCs w:val="18"/>
        </w:rPr>
        <w:t xml:space="preserve">, </w:t>
      </w:r>
      <w:r w:rsidRPr="00D2758E">
        <w:rPr>
          <w:szCs w:val="18"/>
        </w:rPr>
        <w:t>sect</w:t>
      </w:r>
      <w:r w:rsidR="00B44DE9" w:rsidRPr="00D2758E">
        <w:rPr>
          <w:szCs w:val="18"/>
        </w:rPr>
        <w:t xml:space="preserve">. </w:t>
      </w:r>
      <w:r w:rsidRPr="00D2758E">
        <w:rPr>
          <w:szCs w:val="18"/>
        </w:rPr>
        <w:t>2.1.2</w:t>
      </w:r>
      <w:r w:rsidR="00B44DE9" w:rsidRPr="00D2758E">
        <w:rPr>
          <w:szCs w:val="18"/>
        </w:rPr>
        <w:t>.</w:t>
      </w:r>
    </w:p>
  </w:footnote>
  <w:footnote w:id="85">
    <w:p w14:paraId="3159C60A" w14:textId="2429A8F3" w:rsidR="00E23C65" w:rsidRPr="00D2758E" w:rsidRDefault="00E23C65">
      <w:pPr>
        <w:pStyle w:val="FootnoteText"/>
        <w:rPr>
          <w:szCs w:val="18"/>
        </w:rPr>
      </w:pPr>
      <w:r w:rsidRPr="00D2758E">
        <w:rPr>
          <w:rStyle w:val="FootnoteReference"/>
          <w:szCs w:val="18"/>
        </w:rPr>
        <w:footnoteRef/>
      </w:r>
      <w:r w:rsidRPr="00D2758E">
        <w:rPr>
          <w:szCs w:val="18"/>
        </w:rPr>
        <w:t xml:space="preserve"> For </w:t>
      </w:r>
      <w:r w:rsidR="00AA4C9C">
        <w:rPr>
          <w:szCs w:val="18"/>
        </w:rPr>
        <w:t>further</w:t>
      </w:r>
      <w:r w:rsidRPr="00D2758E">
        <w:rPr>
          <w:szCs w:val="18"/>
        </w:rPr>
        <w:t xml:space="preserve"> information</w:t>
      </w:r>
      <w:r w:rsidR="001E7AA2">
        <w:rPr>
          <w:szCs w:val="18"/>
        </w:rPr>
        <w:t>,</w:t>
      </w:r>
      <w:r w:rsidRPr="00D2758E">
        <w:rPr>
          <w:szCs w:val="18"/>
        </w:rPr>
        <w:t xml:space="preserve"> see </w:t>
      </w:r>
      <w:r w:rsidR="00AA4C9C">
        <w:rPr>
          <w:szCs w:val="18"/>
        </w:rPr>
        <w:t xml:space="preserve">documents </w:t>
      </w:r>
      <w:hyperlink r:id="rId80" w:history="1">
        <w:r w:rsidR="003C7453" w:rsidRPr="00D2758E">
          <w:rPr>
            <w:rStyle w:val="Hyperlink"/>
            <w:szCs w:val="18"/>
          </w:rPr>
          <w:t>CBD/SBI/7/INF/2</w:t>
        </w:r>
      </w:hyperlink>
      <w:r w:rsidR="003C7453" w:rsidRPr="00D2758E">
        <w:rPr>
          <w:szCs w:val="18"/>
        </w:rPr>
        <w:t xml:space="preserve">, </w:t>
      </w:r>
      <w:r w:rsidRPr="00D2758E">
        <w:rPr>
          <w:szCs w:val="18"/>
        </w:rPr>
        <w:t>sect</w:t>
      </w:r>
      <w:r w:rsidR="003C7453" w:rsidRPr="00D2758E">
        <w:rPr>
          <w:szCs w:val="18"/>
        </w:rPr>
        <w:t>.</w:t>
      </w:r>
      <w:r w:rsidRPr="00D2758E">
        <w:rPr>
          <w:szCs w:val="18"/>
        </w:rPr>
        <w:t xml:space="preserve"> </w:t>
      </w:r>
      <w:r w:rsidR="00A17F89" w:rsidRPr="00D2758E">
        <w:rPr>
          <w:szCs w:val="18"/>
        </w:rPr>
        <w:t>III.</w:t>
      </w:r>
      <w:r w:rsidR="00227938" w:rsidRPr="00D2758E">
        <w:rPr>
          <w:szCs w:val="18"/>
        </w:rPr>
        <w:t>G</w:t>
      </w:r>
      <w:r w:rsidR="00AA4C9C">
        <w:rPr>
          <w:szCs w:val="18"/>
        </w:rPr>
        <w:t>;</w:t>
      </w:r>
      <w:r w:rsidR="00523334" w:rsidRPr="00D2758E">
        <w:rPr>
          <w:szCs w:val="18"/>
        </w:rPr>
        <w:t xml:space="preserve"> </w:t>
      </w:r>
      <w:hyperlink r:id="rId81" w:history="1">
        <w:r w:rsidR="00804756" w:rsidRPr="00D2758E">
          <w:rPr>
            <w:rStyle w:val="Hyperlink"/>
            <w:szCs w:val="18"/>
          </w:rPr>
          <w:t>CBD/SBI/7/INF/5</w:t>
        </w:r>
      </w:hyperlink>
      <w:r w:rsidR="00AA4C9C">
        <w:rPr>
          <w:szCs w:val="18"/>
        </w:rPr>
        <w:t>;</w:t>
      </w:r>
      <w:r w:rsidR="00473EF3" w:rsidRPr="00D2758E">
        <w:rPr>
          <w:szCs w:val="18"/>
        </w:rPr>
        <w:t xml:space="preserve"> </w:t>
      </w:r>
      <w:hyperlink r:id="rId82" w:history="1">
        <w:r w:rsidR="00EC2079" w:rsidRPr="00D2758E">
          <w:rPr>
            <w:rStyle w:val="Hyperlink"/>
            <w:szCs w:val="18"/>
          </w:rPr>
          <w:t>CBD/SBI/7/INF/3</w:t>
        </w:r>
      </w:hyperlink>
      <w:r w:rsidR="00EC2079" w:rsidRPr="00D2758E">
        <w:rPr>
          <w:szCs w:val="18"/>
        </w:rPr>
        <w:t xml:space="preserve">, </w:t>
      </w:r>
      <w:r w:rsidR="0020275F" w:rsidRPr="00D2758E">
        <w:rPr>
          <w:szCs w:val="18"/>
        </w:rPr>
        <w:t>sect</w:t>
      </w:r>
      <w:r w:rsidR="00EC2079" w:rsidRPr="00D2758E">
        <w:rPr>
          <w:szCs w:val="18"/>
        </w:rPr>
        <w:t>.</w:t>
      </w:r>
      <w:r w:rsidR="0020275F" w:rsidRPr="00D2758E">
        <w:rPr>
          <w:szCs w:val="18"/>
        </w:rPr>
        <w:t xml:space="preserve"> 2.5</w:t>
      </w:r>
      <w:r w:rsidR="00AA4C9C">
        <w:rPr>
          <w:szCs w:val="18"/>
        </w:rPr>
        <w:t>;</w:t>
      </w:r>
      <w:r w:rsidR="0020275F" w:rsidRPr="00D2758E">
        <w:rPr>
          <w:szCs w:val="18"/>
        </w:rPr>
        <w:t xml:space="preserve"> </w:t>
      </w:r>
      <w:r w:rsidR="00F11FFC" w:rsidRPr="00D2758E">
        <w:rPr>
          <w:szCs w:val="18"/>
        </w:rPr>
        <w:t xml:space="preserve">and </w:t>
      </w:r>
      <w:hyperlink r:id="rId83" w:history="1">
        <w:r w:rsidR="00797E91" w:rsidRPr="00D2758E">
          <w:rPr>
            <w:rStyle w:val="Hyperlink"/>
            <w:szCs w:val="18"/>
          </w:rPr>
          <w:t>CBD/SBI/7/INF/4</w:t>
        </w:r>
      </w:hyperlink>
      <w:r w:rsidR="00FA62D5" w:rsidRPr="00D2758E">
        <w:rPr>
          <w:szCs w:val="18"/>
        </w:rPr>
        <w:t>.</w:t>
      </w:r>
    </w:p>
  </w:footnote>
  <w:footnote w:id="86">
    <w:p w14:paraId="63E2B27B" w14:textId="7E5CF0BA" w:rsidR="00801D47" w:rsidRPr="00D2758E" w:rsidRDefault="00801D47">
      <w:pPr>
        <w:pStyle w:val="FootnoteText"/>
      </w:pPr>
      <w:r w:rsidRPr="00D2758E">
        <w:rPr>
          <w:rStyle w:val="FootnoteReference"/>
        </w:rPr>
        <w:footnoteRef/>
      </w:r>
      <w:r w:rsidRPr="00D2758E">
        <w:t xml:space="preserve"> </w:t>
      </w:r>
      <w:r w:rsidR="00AB30DC" w:rsidRPr="00D2758E">
        <w:rPr>
          <w:szCs w:val="18"/>
        </w:rPr>
        <w:t>Records</w:t>
      </w:r>
      <w:r w:rsidR="007A7C27" w:rsidRPr="00D2758E">
        <w:rPr>
          <w:szCs w:val="18"/>
        </w:rPr>
        <w:t xml:space="preserve"> on </w:t>
      </w:r>
      <w:r w:rsidR="00870AA3">
        <w:rPr>
          <w:szCs w:val="18"/>
        </w:rPr>
        <w:t xml:space="preserve">access and benefit-sharing </w:t>
      </w:r>
      <w:r w:rsidR="007A7C27" w:rsidRPr="00D2758E">
        <w:rPr>
          <w:szCs w:val="18"/>
        </w:rPr>
        <w:t xml:space="preserve">national focal points </w:t>
      </w:r>
      <w:r w:rsidR="00D319E0" w:rsidRPr="00D2758E">
        <w:rPr>
          <w:szCs w:val="18"/>
        </w:rPr>
        <w:t>are</w:t>
      </w:r>
      <w:r w:rsidR="00DE474D" w:rsidRPr="00D2758E">
        <w:rPr>
          <w:szCs w:val="18"/>
        </w:rPr>
        <w:t xml:space="preserve"> </w:t>
      </w:r>
      <w:r w:rsidR="007A7C27" w:rsidRPr="00D2758E">
        <w:rPr>
          <w:szCs w:val="18"/>
        </w:rPr>
        <w:t xml:space="preserve">not </w:t>
      </w:r>
      <w:r w:rsidR="00AB30DC" w:rsidRPr="00D2758E">
        <w:rPr>
          <w:szCs w:val="18"/>
        </w:rPr>
        <w:t>included</w:t>
      </w:r>
      <w:r w:rsidR="00D319E0" w:rsidRPr="00D2758E">
        <w:rPr>
          <w:szCs w:val="18"/>
        </w:rPr>
        <w:t xml:space="preserve"> in the national records</w:t>
      </w:r>
      <w:r w:rsidR="00DE474D" w:rsidRPr="00D2758E">
        <w:rPr>
          <w:szCs w:val="18"/>
        </w:rPr>
        <w:t>.</w:t>
      </w:r>
      <w:r w:rsidR="007A7C27" w:rsidRPr="00D2758E">
        <w:rPr>
          <w:szCs w:val="18"/>
        </w:rPr>
        <w:t xml:space="preserve"> </w:t>
      </w:r>
      <w:r w:rsidR="00DE474D" w:rsidRPr="00D2758E">
        <w:rPr>
          <w:szCs w:val="18"/>
        </w:rPr>
        <w:t>N</w:t>
      </w:r>
      <w:r w:rsidR="00A76F1C">
        <w:rPr>
          <w:szCs w:val="18"/>
        </w:rPr>
        <w:t xml:space="preserve">ational focal point </w:t>
      </w:r>
      <w:r w:rsidR="003A699D" w:rsidRPr="00D2758E">
        <w:rPr>
          <w:szCs w:val="18"/>
        </w:rPr>
        <w:t>designation</w:t>
      </w:r>
      <w:r w:rsidR="00D319E0" w:rsidRPr="00D2758E">
        <w:rPr>
          <w:szCs w:val="18"/>
        </w:rPr>
        <w:t>s</w:t>
      </w:r>
      <w:r w:rsidR="003A699D" w:rsidRPr="00D2758E">
        <w:rPr>
          <w:szCs w:val="18"/>
        </w:rPr>
        <w:t xml:space="preserve"> are </w:t>
      </w:r>
      <w:r w:rsidR="00D319E0" w:rsidRPr="00D2758E">
        <w:rPr>
          <w:szCs w:val="18"/>
        </w:rPr>
        <w:t xml:space="preserve">made through </w:t>
      </w:r>
      <w:r w:rsidR="007A7C27" w:rsidRPr="00D2758E">
        <w:rPr>
          <w:szCs w:val="18"/>
        </w:rPr>
        <w:t>official letters to the Secretariat</w:t>
      </w:r>
      <w:r w:rsidR="00D319E0" w:rsidRPr="00D2758E">
        <w:rPr>
          <w:szCs w:val="18"/>
        </w:rPr>
        <w:t xml:space="preserve"> and </w:t>
      </w:r>
      <w:r w:rsidR="007B56F6">
        <w:rPr>
          <w:szCs w:val="18"/>
        </w:rPr>
        <w:t xml:space="preserve">are </w:t>
      </w:r>
      <w:r w:rsidR="00D319E0" w:rsidRPr="00D2758E">
        <w:rPr>
          <w:szCs w:val="18"/>
        </w:rPr>
        <w:t xml:space="preserve">not published through the </w:t>
      </w:r>
      <w:proofErr w:type="gramStart"/>
      <w:r w:rsidR="00D319E0" w:rsidRPr="00D2758E">
        <w:rPr>
          <w:szCs w:val="18"/>
        </w:rPr>
        <w:t>Clearing-House</w:t>
      </w:r>
      <w:proofErr w:type="gramEnd"/>
      <w:r w:rsidR="00D319E0" w:rsidRPr="00D2758E">
        <w:rPr>
          <w:szCs w:val="18"/>
        </w:rPr>
        <w:t xml:space="preserve"> directly</w:t>
      </w:r>
      <w:r w:rsidR="00DE474D" w:rsidRPr="00D2758E">
        <w:rPr>
          <w:szCs w:val="18"/>
        </w:rPr>
        <w:t>.</w:t>
      </w:r>
    </w:p>
  </w:footnote>
  <w:footnote w:id="87">
    <w:p w14:paraId="3F15133C" w14:textId="7C596B49" w:rsidR="00D15024" w:rsidRPr="00D2758E" w:rsidRDefault="00D15024">
      <w:pPr>
        <w:pStyle w:val="FootnoteText"/>
        <w:rPr>
          <w:szCs w:val="18"/>
        </w:rPr>
      </w:pPr>
      <w:r w:rsidRPr="00D2758E">
        <w:rPr>
          <w:rStyle w:val="FootnoteReference"/>
        </w:rPr>
        <w:footnoteRef/>
      </w:r>
      <w:r w:rsidRPr="00D2758E">
        <w:t xml:space="preserve"> </w:t>
      </w:r>
      <w:r w:rsidRPr="00D2758E">
        <w:rPr>
          <w:szCs w:val="18"/>
        </w:rPr>
        <w:t xml:space="preserve">More information on </w:t>
      </w:r>
      <w:r w:rsidR="00D776C9" w:rsidRPr="00D2758E">
        <w:rPr>
          <w:szCs w:val="18"/>
        </w:rPr>
        <w:t xml:space="preserve">progress made </w:t>
      </w:r>
      <w:r w:rsidR="0063217A">
        <w:rPr>
          <w:szCs w:val="18"/>
        </w:rPr>
        <w:t>with respect to</w:t>
      </w:r>
      <w:r w:rsidR="00D776C9" w:rsidRPr="00D2758E">
        <w:rPr>
          <w:szCs w:val="18"/>
        </w:rPr>
        <w:t xml:space="preserve"> the obligation to publish national information </w:t>
      </w:r>
      <w:r w:rsidR="0063217A">
        <w:rPr>
          <w:szCs w:val="18"/>
        </w:rPr>
        <w:t>o</w:t>
      </w:r>
      <w:r w:rsidR="00D776C9" w:rsidRPr="00D2758E">
        <w:rPr>
          <w:szCs w:val="18"/>
        </w:rPr>
        <w:t xml:space="preserve">n the </w:t>
      </w:r>
      <w:proofErr w:type="gramStart"/>
      <w:r w:rsidR="00D776C9" w:rsidRPr="00D2758E">
        <w:rPr>
          <w:szCs w:val="18"/>
        </w:rPr>
        <w:t>Clearing-House</w:t>
      </w:r>
      <w:proofErr w:type="gramEnd"/>
      <w:r w:rsidR="00D776C9" w:rsidRPr="00D2758E">
        <w:rPr>
          <w:szCs w:val="18"/>
        </w:rPr>
        <w:t xml:space="preserve"> by region and by type of record can be found in </w:t>
      </w:r>
      <w:r w:rsidR="00006777">
        <w:rPr>
          <w:szCs w:val="18"/>
        </w:rPr>
        <w:t xml:space="preserve">document </w:t>
      </w:r>
      <w:hyperlink r:id="rId84" w:history="1">
        <w:r w:rsidR="00FA62D5" w:rsidRPr="00D2758E">
          <w:rPr>
            <w:rStyle w:val="Hyperlink"/>
            <w:szCs w:val="18"/>
          </w:rPr>
          <w:t>CBD/SBI/7/INF/2</w:t>
        </w:r>
      </w:hyperlink>
      <w:r w:rsidR="00FA62D5" w:rsidRPr="00D2758E">
        <w:rPr>
          <w:szCs w:val="18"/>
        </w:rPr>
        <w:t>,</w:t>
      </w:r>
      <w:r w:rsidR="00D776C9" w:rsidRPr="00D2758E">
        <w:rPr>
          <w:szCs w:val="18"/>
        </w:rPr>
        <w:t xml:space="preserve"> </w:t>
      </w:r>
      <w:r w:rsidR="0049083F" w:rsidRPr="00D2758E">
        <w:rPr>
          <w:szCs w:val="18"/>
        </w:rPr>
        <w:t>sect</w:t>
      </w:r>
      <w:r w:rsidR="00FA62D5" w:rsidRPr="00D2758E">
        <w:rPr>
          <w:szCs w:val="18"/>
        </w:rPr>
        <w:t>.</w:t>
      </w:r>
      <w:r w:rsidR="0049083F" w:rsidRPr="00D2758E">
        <w:rPr>
          <w:szCs w:val="18"/>
        </w:rPr>
        <w:t xml:space="preserve"> III.G.</w:t>
      </w:r>
    </w:p>
  </w:footnote>
  <w:footnote w:id="88">
    <w:p w14:paraId="062AC447" w14:textId="0D75D21F" w:rsidR="001E64CA" w:rsidRPr="00D2758E" w:rsidRDefault="001E64CA">
      <w:pPr>
        <w:pStyle w:val="FootnoteText"/>
        <w:rPr>
          <w:szCs w:val="18"/>
        </w:rPr>
      </w:pPr>
      <w:r w:rsidRPr="00D2758E">
        <w:rPr>
          <w:rStyle w:val="FootnoteReference"/>
        </w:rPr>
        <w:footnoteRef/>
      </w:r>
      <w:r w:rsidRPr="00D2758E">
        <w:t xml:space="preserve"> </w:t>
      </w:r>
      <w:r w:rsidR="00DB1683" w:rsidRPr="00D2758E">
        <w:rPr>
          <w:szCs w:val="18"/>
        </w:rPr>
        <w:t xml:space="preserve">See </w:t>
      </w:r>
      <w:r w:rsidR="00A330FC">
        <w:rPr>
          <w:szCs w:val="18"/>
        </w:rPr>
        <w:t xml:space="preserve">document </w:t>
      </w:r>
      <w:hyperlink r:id="rId85" w:history="1">
        <w:r w:rsidR="00EB5F6A" w:rsidRPr="00D2758E">
          <w:rPr>
            <w:rStyle w:val="Hyperlink"/>
            <w:szCs w:val="18"/>
          </w:rPr>
          <w:t>CBD/SBI/7/INF/5</w:t>
        </w:r>
      </w:hyperlink>
      <w:r w:rsidR="00EB5F6A" w:rsidRPr="00D2758E">
        <w:rPr>
          <w:szCs w:val="18"/>
        </w:rPr>
        <w:t xml:space="preserve">, </w:t>
      </w:r>
      <w:r w:rsidR="00DB1683" w:rsidRPr="00D2758E">
        <w:rPr>
          <w:szCs w:val="18"/>
        </w:rPr>
        <w:t>sect</w:t>
      </w:r>
      <w:r w:rsidR="00EB5F6A" w:rsidRPr="00D2758E">
        <w:rPr>
          <w:szCs w:val="18"/>
        </w:rPr>
        <w:t>.</w:t>
      </w:r>
      <w:r w:rsidR="00DB1683" w:rsidRPr="00D2758E">
        <w:rPr>
          <w:szCs w:val="18"/>
        </w:rPr>
        <w:t xml:space="preserve"> II.G</w:t>
      </w:r>
      <w:r w:rsidR="00A330FC">
        <w:rPr>
          <w:szCs w:val="18"/>
        </w:rPr>
        <w:t>,</w:t>
      </w:r>
      <w:r w:rsidR="00DB1683" w:rsidRPr="00D2758E">
        <w:rPr>
          <w:szCs w:val="18"/>
        </w:rPr>
        <w:t xml:space="preserve"> </w:t>
      </w:r>
      <w:r w:rsidR="00626A33" w:rsidRPr="00D2758E">
        <w:rPr>
          <w:szCs w:val="18"/>
        </w:rPr>
        <w:t xml:space="preserve">for examples and testimonials from users of the </w:t>
      </w:r>
      <w:proofErr w:type="gramStart"/>
      <w:r w:rsidR="00626A33" w:rsidRPr="00D2758E">
        <w:rPr>
          <w:szCs w:val="18"/>
        </w:rPr>
        <w:t>Clearing-House</w:t>
      </w:r>
      <w:proofErr w:type="gramEnd"/>
      <w:r w:rsidR="00626A33" w:rsidRPr="00D2758E">
        <w:rPr>
          <w:szCs w:val="18"/>
        </w:rPr>
        <w:t>.</w:t>
      </w:r>
    </w:p>
  </w:footnote>
  <w:footnote w:id="89">
    <w:p w14:paraId="1FDFD968" w14:textId="07234F7D" w:rsidR="00D23953" w:rsidRPr="00D2758E" w:rsidRDefault="00D23953">
      <w:pPr>
        <w:pStyle w:val="FootnoteText"/>
        <w:rPr>
          <w:szCs w:val="18"/>
        </w:rPr>
      </w:pPr>
      <w:r w:rsidRPr="00D2758E">
        <w:rPr>
          <w:rStyle w:val="FootnoteReference"/>
        </w:rPr>
        <w:footnoteRef/>
      </w:r>
      <w:r w:rsidRPr="00D2758E">
        <w:t xml:space="preserve"> </w:t>
      </w:r>
      <w:r w:rsidRPr="00D2758E">
        <w:rPr>
          <w:szCs w:val="18"/>
        </w:rPr>
        <w:t>For example, using an automated link checking program</w:t>
      </w:r>
      <w:r w:rsidR="002D6AA6">
        <w:rPr>
          <w:szCs w:val="18"/>
        </w:rPr>
        <w:t>me</w:t>
      </w:r>
      <w:r w:rsidRPr="00D2758E">
        <w:rPr>
          <w:szCs w:val="18"/>
        </w:rPr>
        <w:t>, it was found that about 42</w:t>
      </w:r>
      <w:r w:rsidR="002D6AA6">
        <w:rPr>
          <w:szCs w:val="18"/>
        </w:rPr>
        <w:t xml:space="preserve"> per cent </w:t>
      </w:r>
      <w:r w:rsidRPr="00D2758E">
        <w:rPr>
          <w:szCs w:val="18"/>
        </w:rPr>
        <w:t>of national website and database records contained inaccessible broken links.</w:t>
      </w:r>
    </w:p>
  </w:footnote>
  <w:footnote w:id="90">
    <w:p w14:paraId="51E34A93" w14:textId="70AD276E" w:rsidR="00346B85" w:rsidRPr="00D2758E" w:rsidRDefault="00346B85" w:rsidP="00346B85">
      <w:pPr>
        <w:pStyle w:val="FootnoteText"/>
      </w:pPr>
      <w:r w:rsidRPr="00D2758E">
        <w:rPr>
          <w:rStyle w:val="FootnoteReference"/>
        </w:rPr>
        <w:footnoteRef/>
      </w:r>
      <w:r w:rsidRPr="00D2758E">
        <w:t xml:space="preserve"> </w:t>
      </w:r>
      <w:r w:rsidR="00782064">
        <w:t>Further</w:t>
      </w:r>
      <w:r w:rsidRPr="00D2758E">
        <w:rPr>
          <w:szCs w:val="18"/>
        </w:rPr>
        <w:t xml:space="preserve"> information on challenges in implementing Article 17 can be found in section III.A.5 above.</w:t>
      </w:r>
    </w:p>
  </w:footnote>
  <w:footnote w:id="91">
    <w:p w14:paraId="3F360138" w14:textId="720C27DF" w:rsidR="00023F77" w:rsidRPr="00D2758E" w:rsidRDefault="00023F77">
      <w:pPr>
        <w:pStyle w:val="FootnoteText"/>
      </w:pPr>
      <w:r w:rsidRPr="00D2758E">
        <w:rPr>
          <w:rStyle w:val="FootnoteReference"/>
        </w:rPr>
        <w:footnoteRef/>
      </w:r>
      <w:r w:rsidRPr="00D2758E">
        <w:t xml:space="preserve"> See </w:t>
      </w:r>
      <w:hyperlink r:id="rId86" w:history="1">
        <w:r w:rsidR="001B08FB" w:rsidRPr="00D2758E">
          <w:rPr>
            <w:rStyle w:val="Hyperlink"/>
          </w:rPr>
          <w:t>https://absch.cbd.int/en/kb</w:t>
        </w:r>
      </w:hyperlink>
      <w:r w:rsidRPr="00D2758E">
        <w:t>.</w:t>
      </w:r>
    </w:p>
  </w:footnote>
  <w:footnote w:id="92">
    <w:p w14:paraId="3B8799D1" w14:textId="5077A21A" w:rsidR="00F57AC4" w:rsidRPr="00D2758E" w:rsidRDefault="00F57AC4" w:rsidP="00F57AC4">
      <w:pPr>
        <w:pStyle w:val="FootnoteText"/>
        <w:rPr>
          <w:szCs w:val="18"/>
        </w:rPr>
      </w:pPr>
      <w:r w:rsidRPr="00D2758E">
        <w:rPr>
          <w:rStyle w:val="FootnoteReference"/>
        </w:rPr>
        <w:footnoteRef/>
      </w:r>
      <w:r w:rsidRPr="00D2758E">
        <w:t xml:space="preserve"> </w:t>
      </w:r>
      <w:r w:rsidRPr="00D2758E">
        <w:rPr>
          <w:szCs w:val="18"/>
        </w:rPr>
        <w:t xml:space="preserve">Most visitors had </w:t>
      </w:r>
      <w:r w:rsidR="00F04AAF">
        <w:rPr>
          <w:szCs w:val="18"/>
        </w:rPr>
        <w:t>Internet Protocol</w:t>
      </w:r>
      <w:r w:rsidRPr="00D2758E">
        <w:rPr>
          <w:szCs w:val="18"/>
        </w:rPr>
        <w:t xml:space="preserve"> addresses originating from one of the following </w:t>
      </w:r>
      <w:r w:rsidR="00C30688">
        <w:rPr>
          <w:szCs w:val="18"/>
        </w:rPr>
        <w:t>10</w:t>
      </w:r>
      <w:r w:rsidRPr="00D2758E">
        <w:rPr>
          <w:szCs w:val="18"/>
        </w:rPr>
        <w:t xml:space="preserve"> countries</w:t>
      </w:r>
      <w:r w:rsidR="002B7BD4">
        <w:rPr>
          <w:szCs w:val="18"/>
        </w:rPr>
        <w:t xml:space="preserve"> (listed</w:t>
      </w:r>
      <w:r w:rsidRPr="00D2758E">
        <w:rPr>
          <w:szCs w:val="18"/>
        </w:rPr>
        <w:t xml:space="preserve"> in </w:t>
      </w:r>
      <w:r w:rsidR="002A5DBD" w:rsidRPr="00D2758E">
        <w:rPr>
          <w:szCs w:val="18"/>
        </w:rPr>
        <w:t>order</w:t>
      </w:r>
      <w:r w:rsidR="002A5DBD">
        <w:rPr>
          <w:szCs w:val="18"/>
        </w:rPr>
        <w:t xml:space="preserve"> of </w:t>
      </w:r>
      <w:r w:rsidRPr="00D2758E">
        <w:rPr>
          <w:szCs w:val="18"/>
        </w:rPr>
        <w:t xml:space="preserve">decreasing </w:t>
      </w:r>
      <w:r w:rsidR="005C59DC">
        <w:rPr>
          <w:szCs w:val="18"/>
        </w:rPr>
        <w:t>number of visitors)</w:t>
      </w:r>
      <w:r w:rsidRPr="00D2758E">
        <w:rPr>
          <w:szCs w:val="18"/>
        </w:rPr>
        <w:t xml:space="preserve">: China, Singapore, United States of America, Germany, France, United Kingdom of Great Britain and Northern Ireland, Japan, India, </w:t>
      </w:r>
      <w:r w:rsidR="00F619E8">
        <w:rPr>
          <w:szCs w:val="18"/>
        </w:rPr>
        <w:t xml:space="preserve">Kingdom of the </w:t>
      </w:r>
      <w:r w:rsidRPr="00D2758E">
        <w:rPr>
          <w:szCs w:val="18"/>
        </w:rPr>
        <w:t xml:space="preserve">Netherlands and Brazil. For </w:t>
      </w:r>
      <w:r w:rsidR="00C30688">
        <w:rPr>
          <w:szCs w:val="18"/>
        </w:rPr>
        <w:t>further</w:t>
      </w:r>
      <w:r w:rsidRPr="00D2758E">
        <w:rPr>
          <w:szCs w:val="18"/>
        </w:rPr>
        <w:t xml:space="preserve"> information on website traffic</w:t>
      </w:r>
      <w:r w:rsidR="00C30688">
        <w:rPr>
          <w:szCs w:val="18"/>
        </w:rPr>
        <w:t>,</w:t>
      </w:r>
      <w:r w:rsidRPr="00D2758E">
        <w:rPr>
          <w:szCs w:val="18"/>
        </w:rPr>
        <w:t xml:space="preserve"> see sect</w:t>
      </w:r>
      <w:r w:rsidR="001250AD">
        <w:rPr>
          <w:szCs w:val="18"/>
        </w:rPr>
        <w:t>.</w:t>
      </w:r>
      <w:r w:rsidRPr="00D2758E">
        <w:rPr>
          <w:szCs w:val="18"/>
        </w:rPr>
        <w:t xml:space="preserve"> II.C of </w:t>
      </w:r>
      <w:r w:rsidR="0014250B">
        <w:rPr>
          <w:szCs w:val="18"/>
        </w:rPr>
        <w:t xml:space="preserve">document </w:t>
      </w:r>
      <w:hyperlink r:id="rId87" w:history="1">
        <w:r w:rsidR="0014250B" w:rsidRPr="00D2758E">
          <w:rPr>
            <w:rStyle w:val="Hyperlink"/>
            <w:szCs w:val="18"/>
          </w:rPr>
          <w:t>CBD/SBI/7/INF/4</w:t>
        </w:r>
      </w:hyperlink>
      <w:r w:rsidR="005C6779">
        <w:t xml:space="preserve"> </w:t>
      </w:r>
      <w:r w:rsidR="00FF15F4">
        <w:t>(</w:t>
      </w:r>
      <w:r w:rsidR="001250AD">
        <w:rPr>
          <w:szCs w:val="18"/>
        </w:rPr>
        <w:t>a</w:t>
      </w:r>
      <w:r w:rsidRPr="00D2758E">
        <w:rPr>
          <w:szCs w:val="18"/>
        </w:rPr>
        <w:t xml:space="preserve">nalysis of </w:t>
      </w:r>
      <w:r w:rsidR="0014250B">
        <w:rPr>
          <w:szCs w:val="18"/>
        </w:rPr>
        <w:t xml:space="preserve">the </w:t>
      </w:r>
      <w:r w:rsidRPr="00D2758E">
        <w:rPr>
          <w:szCs w:val="18"/>
        </w:rPr>
        <w:t xml:space="preserve">information published </w:t>
      </w:r>
      <w:r w:rsidR="001250AD">
        <w:rPr>
          <w:szCs w:val="18"/>
        </w:rPr>
        <w:t>o</w:t>
      </w:r>
      <w:r w:rsidRPr="00D2758E">
        <w:rPr>
          <w:szCs w:val="18"/>
        </w:rPr>
        <w:t xml:space="preserve">n the </w:t>
      </w:r>
      <w:proofErr w:type="gramStart"/>
      <w:r w:rsidRPr="00D2758E">
        <w:rPr>
          <w:szCs w:val="18"/>
        </w:rPr>
        <w:t>Clearing-House</w:t>
      </w:r>
      <w:proofErr w:type="gramEnd"/>
      <w:r w:rsidRPr="00D2758E">
        <w:rPr>
          <w:szCs w:val="18"/>
        </w:rPr>
        <w:t>).</w:t>
      </w:r>
    </w:p>
  </w:footnote>
  <w:footnote w:id="93">
    <w:p w14:paraId="336F797E" w14:textId="75415F09" w:rsidR="008F65DD" w:rsidRPr="00D2758E" w:rsidRDefault="008F65DD" w:rsidP="008F65DD">
      <w:pPr>
        <w:pStyle w:val="FootnoteText"/>
        <w:rPr>
          <w:szCs w:val="18"/>
        </w:rPr>
      </w:pPr>
      <w:r w:rsidRPr="00D2758E">
        <w:rPr>
          <w:rStyle w:val="FootnoteReference"/>
        </w:rPr>
        <w:footnoteRef/>
      </w:r>
      <w:r w:rsidRPr="00D2758E">
        <w:t xml:space="preserve"> </w:t>
      </w:r>
      <w:r w:rsidRPr="00D2758E">
        <w:rPr>
          <w:szCs w:val="18"/>
        </w:rPr>
        <w:t xml:space="preserve">For </w:t>
      </w:r>
      <w:r w:rsidR="000E0707">
        <w:rPr>
          <w:szCs w:val="18"/>
        </w:rPr>
        <w:t>further</w:t>
      </w:r>
      <w:r w:rsidRPr="00D2758E">
        <w:rPr>
          <w:szCs w:val="18"/>
        </w:rPr>
        <w:t xml:space="preserve"> information</w:t>
      </w:r>
      <w:r w:rsidR="000E0707">
        <w:rPr>
          <w:szCs w:val="18"/>
        </w:rPr>
        <w:t>,</w:t>
      </w:r>
      <w:r w:rsidRPr="00D2758E">
        <w:rPr>
          <w:szCs w:val="18"/>
        </w:rPr>
        <w:t xml:space="preserve"> see </w:t>
      </w:r>
      <w:hyperlink r:id="rId88" w:history="1">
        <w:r w:rsidR="00BD779C" w:rsidRPr="00D2758E">
          <w:rPr>
            <w:rStyle w:val="Hyperlink"/>
            <w:szCs w:val="18"/>
          </w:rPr>
          <w:t>CBD/SBI/7/INF/5</w:t>
        </w:r>
      </w:hyperlink>
      <w:r w:rsidR="003E4037" w:rsidRPr="00D2758E">
        <w:rPr>
          <w:szCs w:val="18"/>
        </w:rPr>
        <w:t>.</w:t>
      </w:r>
    </w:p>
  </w:footnote>
  <w:footnote w:id="94">
    <w:p w14:paraId="14E4947C" w14:textId="67E7DF8B" w:rsidR="005706DA" w:rsidRPr="00D2758E" w:rsidRDefault="005706DA">
      <w:pPr>
        <w:pStyle w:val="FootnoteText"/>
      </w:pPr>
      <w:r w:rsidRPr="00D2758E">
        <w:rPr>
          <w:rStyle w:val="FootnoteReference"/>
        </w:rPr>
        <w:footnoteRef/>
      </w:r>
      <w:r w:rsidRPr="00D2758E">
        <w:t xml:space="preserve"> </w:t>
      </w:r>
      <w:r w:rsidRPr="00D2758E">
        <w:rPr>
          <w:szCs w:val="18"/>
        </w:rPr>
        <w:t xml:space="preserve">For </w:t>
      </w:r>
      <w:r w:rsidR="000E0707">
        <w:rPr>
          <w:szCs w:val="18"/>
        </w:rPr>
        <w:t>further</w:t>
      </w:r>
      <w:r w:rsidRPr="00D2758E">
        <w:rPr>
          <w:szCs w:val="18"/>
        </w:rPr>
        <w:t xml:space="preserve"> information</w:t>
      </w:r>
      <w:r w:rsidR="00932374">
        <w:rPr>
          <w:szCs w:val="18"/>
        </w:rPr>
        <w:t>,</w:t>
      </w:r>
      <w:r w:rsidRPr="00D2758E">
        <w:rPr>
          <w:szCs w:val="18"/>
        </w:rPr>
        <w:t xml:space="preserve"> see </w:t>
      </w:r>
      <w:hyperlink r:id="rId89" w:history="1">
        <w:r w:rsidR="00797E91" w:rsidRPr="00D2758E">
          <w:rPr>
            <w:rStyle w:val="Hyperlink"/>
            <w:szCs w:val="18"/>
          </w:rPr>
          <w:t>CBD/SBI/7/INF/4</w:t>
        </w:r>
      </w:hyperlink>
      <w:r w:rsidR="003E4037" w:rsidRPr="00D2758E">
        <w:rPr>
          <w:szCs w:val="18"/>
        </w:rPr>
        <w:t xml:space="preserve">, </w:t>
      </w:r>
      <w:r w:rsidR="00604DCD" w:rsidRPr="00D2758E">
        <w:rPr>
          <w:szCs w:val="18"/>
        </w:rPr>
        <w:t>sect</w:t>
      </w:r>
      <w:r w:rsidR="003E4037" w:rsidRPr="00D2758E">
        <w:rPr>
          <w:szCs w:val="18"/>
        </w:rPr>
        <w:t>.</w:t>
      </w:r>
      <w:r w:rsidR="00604DCD" w:rsidRPr="00D2758E">
        <w:rPr>
          <w:szCs w:val="18"/>
        </w:rPr>
        <w:t xml:space="preserve"> </w:t>
      </w:r>
      <w:r w:rsidR="00130E0B" w:rsidRPr="00D2758E">
        <w:rPr>
          <w:szCs w:val="18"/>
        </w:rPr>
        <w:t>II.B</w:t>
      </w:r>
      <w:r w:rsidR="003E4037" w:rsidRPr="00D2758E">
        <w:rPr>
          <w:szCs w:val="18"/>
        </w:rPr>
        <w:t>.</w:t>
      </w:r>
    </w:p>
  </w:footnote>
  <w:footnote w:id="95">
    <w:p w14:paraId="4F7B200D" w14:textId="4577BA54" w:rsidR="004C73EE" w:rsidRPr="00D2758E" w:rsidRDefault="004C73EE" w:rsidP="004C73EE">
      <w:pPr>
        <w:pStyle w:val="Footnote"/>
      </w:pPr>
      <w:r w:rsidRPr="00D2758E">
        <w:rPr>
          <w:rStyle w:val="FootnoteReference"/>
        </w:rPr>
        <w:footnoteRef/>
      </w:r>
      <w:r w:rsidRPr="00D2758E">
        <w:t xml:space="preserve"> Article 10 provides that “Parties shall consider the need for and modalities of a global multilateral benefit-sharing mechanism to address the fair and equitable sharing of benefits derived from the utilization of genetic resources and traditional knowledge associated with genetic resources that occur in transboundary situations or for which it is not possible to grant or obtain prior informed consent. The benefits shared by users of genetic resources and traditional knowledge associated with genetic resources through this mechanism shall be used to support the conservation of biological diversity and the sustainable use of its components globally</w:t>
      </w:r>
      <w:r w:rsidR="00942E0B" w:rsidRPr="00D2758E">
        <w:t>”</w:t>
      </w:r>
      <w:r w:rsidRPr="00D2758E">
        <w:t>.</w:t>
      </w:r>
    </w:p>
  </w:footnote>
  <w:footnote w:id="96">
    <w:p w14:paraId="41897135" w14:textId="6CE6EA46" w:rsidR="004C73EE" w:rsidRPr="00D2758E" w:rsidRDefault="004C73EE" w:rsidP="004C73EE">
      <w:pPr>
        <w:pStyle w:val="Footnote"/>
      </w:pPr>
      <w:r w:rsidRPr="00D2758E">
        <w:rPr>
          <w:rStyle w:val="FootnoteReference"/>
        </w:rPr>
        <w:footnoteRef/>
      </w:r>
      <w:r w:rsidRPr="00D2758E">
        <w:t xml:space="preserve"> See </w:t>
      </w:r>
      <w:hyperlink r:id="rId90" w:history="1">
        <w:r w:rsidRPr="00D2758E">
          <w:rPr>
            <w:rStyle w:val="Hyperlink"/>
          </w:rPr>
          <w:t>www.cbd.int/abs/art10.shtml</w:t>
        </w:r>
      </w:hyperlink>
      <w:r w:rsidRPr="00D2758E">
        <w:t xml:space="preserve"> for a summary of work </w:t>
      </w:r>
      <w:r w:rsidR="00377850">
        <w:t xml:space="preserve">carried out </w:t>
      </w:r>
      <w:r w:rsidRPr="00D2758E">
        <w:t>on th</w:t>
      </w:r>
      <w:r w:rsidR="00377850">
        <w:t>is</w:t>
      </w:r>
      <w:r w:rsidRPr="00D2758E">
        <w:t xml:space="preserve"> matter since the adoption of the Protocol.</w:t>
      </w:r>
    </w:p>
  </w:footnote>
  <w:footnote w:id="97">
    <w:p w14:paraId="099B343B" w14:textId="7640C4BA" w:rsidR="00BD08FA" w:rsidRPr="00D2758E" w:rsidRDefault="00BD08FA">
      <w:pPr>
        <w:pStyle w:val="FootnoteText"/>
      </w:pPr>
      <w:r w:rsidRPr="00D2758E">
        <w:rPr>
          <w:rStyle w:val="FootnoteReference"/>
        </w:rPr>
        <w:footnoteRef/>
      </w:r>
      <w:r w:rsidRPr="00D2758E">
        <w:t xml:space="preserve"> </w:t>
      </w:r>
      <w:hyperlink r:id="rId91" w:history="1">
        <w:r w:rsidRPr="00D2758E">
          <w:rPr>
            <w:rStyle w:val="Hyperlink"/>
          </w:rPr>
          <w:t>CBD/NP/MOP/5/10</w:t>
        </w:r>
      </w:hyperlink>
      <w:r w:rsidRPr="00D2758E">
        <w:t>.</w:t>
      </w:r>
    </w:p>
  </w:footnote>
  <w:footnote w:id="98">
    <w:p w14:paraId="1C807464" w14:textId="71B67A9C" w:rsidR="00B37C88" w:rsidRPr="00D2758E" w:rsidRDefault="00B37C88">
      <w:pPr>
        <w:pStyle w:val="FootnoteText"/>
        <w:rPr>
          <w:szCs w:val="18"/>
        </w:rPr>
      </w:pPr>
      <w:r w:rsidRPr="00D2758E">
        <w:rPr>
          <w:rStyle w:val="FootnoteReference"/>
        </w:rPr>
        <w:footnoteRef/>
      </w:r>
      <w:r w:rsidRPr="00D2758E">
        <w:t xml:space="preserve"> </w:t>
      </w:r>
      <w:r w:rsidR="0025681A" w:rsidRPr="00D2758E">
        <w:rPr>
          <w:szCs w:val="18"/>
        </w:rPr>
        <w:t xml:space="preserve">For </w:t>
      </w:r>
      <w:r w:rsidR="00164E11">
        <w:rPr>
          <w:szCs w:val="18"/>
        </w:rPr>
        <w:t>further</w:t>
      </w:r>
      <w:r w:rsidR="0025681A" w:rsidRPr="00D2758E">
        <w:rPr>
          <w:szCs w:val="18"/>
        </w:rPr>
        <w:t xml:space="preserve"> information</w:t>
      </w:r>
      <w:r w:rsidR="008A4599">
        <w:rPr>
          <w:szCs w:val="18"/>
        </w:rPr>
        <w:t>,</w:t>
      </w:r>
      <w:r w:rsidR="0025681A" w:rsidRPr="00D2758E">
        <w:rPr>
          <w:szCs w:val="18"/>
        </w:rPr>
        <w:t xml:space="preserve"> see </w:t>
      </w:r>
      <w:hyperlink r:id="rId92" w:history="1">
        <w:r w:rsidR="001E7518" w:rsidRPr="00D2758E">
          <w:rPr>
            <w:rStyle w:val="Hyperlink"/>
            <w:szCs w:val="18"/>
          </w:rPr>
          <w:t>CBD/SBI/7/INF/2</w:t>
        </w:r>
      </w:hyperlink>
      <w:r w:rsidR="001E7518" w:rsidRPr="00D2758E">
        <w:rPr>
          <w:szCs w:val="18"/>
        </w:rPr>
        <w:t>, s</w:t>
      </w:r>
      <w:r w:rsidR="0025681A" w:rsidRPr="00D2758E">
        <w:rPr>
          <w:szCs w:val="18"/>
        </w:rPr>
        <w:t>ect</w:t>
      </w:r>
      <w:r w:rsidR="001E7518" w:rsidRPr="00D2758E">
        <w:rPr>
          <w:szCs w:val="18"/>
        </w:rPr>
        <w:t>.</w:t>
      </w:r>
      <w:r w:rsidR="0025681A" w:rsidRPr="00D2758E">
        <w:rPr>
          <w:szCs w:val="18"/>
        </w:rPr>
        <w:t xml:space="preserve"> III.I</w:t>
      </w:r>
      <w:r w:rsidR="00C432A0" w:rsidRPr="00D2758E">
        <w:rPr>
          <w:szCs w:val="18"/>
        </w:rPr>
        <w:t>.</w:t>
      </w:r>
    </w:p>
  </w:footnote>
  <w:footnote w:id="99">
    <w:p w14:paraId="346A5AC3" w14:textId="4D53FD11" w:rsidR="00685EEF" w:rsidRPr="00D2758E" w:rsidRDefault="00685EEF">
      <w:pPr>
        <w:pStyle w:val="FootnoteText"/>
        <w:rPr>
          <w:szCs w:val="18"/>
        </w:rPr>
      </w:pPr>
      <w:r w:rsidRPr="00D2758E">
        <w:rPr>
          <w:rStyle w:val="FootnoteReference"/>
        </w:rPr>
        <w:footnoteRef/>
      </w:r>
      <w:r w:rsidRPr="00D2758E">
        <w:t xml:space="preserve"> </w:t>
      </w:r>
      <w:r w:rsidR="00A95349">
        <w:t>Those modalities included</w:t>
      </w:r>
      <w:r w:rsidRPr="00D2758E">
        <w:rPr>
          <w:szCs w:val="18"/>
        </w:rPr>
        <w:t xml:space="preserve"> laboratory upgrades and establishment of conservation/gene bank facilities, provision of equipment, joint research projects, scientific exchanges, knowledge and skills transfer, co-authored publications, technology</w:t>
      </w:r>
      <w:r w:rsidR="005E41E9">
        <w:rPr>
          <w:szCs w:val="18"/>
        </w:rPr>
        <w:t xml:space="preserve"> </w:t>
      </w:r>
      <w:r w:rsidRPr="00D2758E">
        <w:rPr>
          <w:szCs w:val="18"/>
        </w:rPr>
        <w:t xml:space="preserve">transfer through </w:t>
      </w:r>
      <w:r w:rsidR="00D5137B" w:rsidRPr="00D2758E">
        <w:rPr>
          <w:szCs w:val="18"/>
        </w:rPr>
        <w:t xml:space="preserve">mutually agreed </w:t>
      </w:r>
      <w:r w:rsidR="001B08FB" w:rsidRPr="00D2758E">
        <w:rPr>
          <w:szCs w:val="18"/>
        </w:rPr>
        <w:t>terms</w:t>
      </w:r>
      <w:r w:rsidR="00D5137B" w:rsidRPr="00D2758E">
        <w:rPr>
          <w:szCs w:val="18"/>
        </w:rPr>
        <w:t xml:space="preserve"> </w:t>
      </w:r>
      <w:r w:rsidRPr="00D2758E">
        <w:rPr>
          <w:szCs w:val="18"/>
        </w:rPr>
        <w:t>or permits and structured partnerships and digital biodiversity platforms</w:t>
      </w:r>
      <w:r w:rsidR="00C61ED1" w:rsidRPr="00D2758E">
        <w:rPr>
          <w:szCs w:val="18"/>
        </w:rPr>
        <w:t xml:space="preserve">. </w:t>
      </w:r>
      <w:r w:rsidR="00164E11">
        <w:rPr>
          <w:szCs w:val="18"/>
        </w:rPr>
        <w:t>Further</w:t>
      </w:r>
      <w:r w:rsidR="00C61ED1" w:rsidRPr="00D2758E">
        <w:rPr>
          <w:szCs w:val="18"/>
        </w:rPr>
        <w:t xml:space="preserve"> information </w:t>
      </w:r>
      <w:r w:rsidR="000633D5">
        <w:rPr>
          <w:szCs w:val="18"/>
        </w:rPr>
        <w:t xml:space="preserve">in that regard </w:t>
      </w:r>
      <w:r w:rsidR="00C61ED1" w:rsidRPr="00D2758E">
        <w:rPr>
          <w:szCs w:val="18"/>
        </w:rPr>
        <w:t xml:space="preserve">can be found in </w:t>
      </w:r>
      <w:r w:rsidR="00164E11">
        <w:rPr>
          <w:szCs w:val="18"/>
        </w:rPr>
        <w:t xml:space="preserve">document </w:t>
      </w:r>
      <w:hyperlink r:id="rId93" w:history="1">
        <w:r w:rsidR="001E7518" w:rsidRPr="00D2758E">
          <w:rPr>
            <w:rStyle w:val="Hyperlink"/>
            <w:szCs w:val="18"/>
          </w:rPr>
          <w:t>CBD/SBI/7/INF/2</w:t>
        </w:r>
      </w:hyperlink>
      <w:r w:rsidR="001E7518" w:rsidRPr="00D2758E">
        <w:rPr>
          <w:szCs w:val="18"/>
        </w:rPr>
        <w:t xml:space="preserve">, </w:t>
      </w:r>
      <w:r w:rsidR="00C61ED1" w:rsidRPr="00D2758E">
        <w:rPr>
          <w:szCs w:val="18"/>
        </w:rPr>
        <w:t>sect</w:t>
      </w:r>
      <w:r w:rsidR="001E7518" w:rsidRPr="00D2758E">
        <w:rPr>
          <w:szCs w:val="18"/>
        </w:rPr>
        <w:t>.</w:t>
      </w:r>
      <w:r w:rsidR="00C61ED1" w:rsidRPr="00D2758E">
        <w:rPr>
          <w:szCs w:val="18"/>
        </w:rPr>
        <w:t xml:space="preserve"> III.I.</w:t>
      </w:r>
    </w:p>
  </w:footnote>
  <w:footnote w:id="100">
    <w:p w14:paraId="64342881" w14:textId="2DCAF55C" w:rsidR="005C19B5" w:rsidRPr="00D2758E" w:rsidRDefault="005C19B5" w:rsidP="00344D20">
      <w:pPr>
        <w:pStyle w:val="FootnoteText"/>
        <w:rPr>
          <w:szCs w:val="18"/>
        </w:rPr>
      </w:pPr>
      <w:r w:rsidRPr="00D2758E">
        <w:rPr>
          <w:rStyle w:val="FootnoteReference"/>
        </w:rPr>
        <w:footnoteRef/>
      </w:r>
      <w:r w:rsidRPr="00D2758E">
        <w:t xml:space="preserve"> </w:t>
      </w:r>
      <w:r w:rsidR="00EE0B97">
        <w:t xml:space="preserve">As considered under </w:t>
      </w:r>
      <w:r w:rsidR="00EE0B97">
        <w:rPr>
          <w:szCs w:val="18"/>
        </w:rPr>
        <w:t>o</w:t>
      </w:r>
      <w:r w:rsidRPr="00D2758E">
        <w:rPr>
          <w:szCs w:val="18"/>
        </w:rPr>
        <w:t>utcome area 5</w:t>
      </w:r>
      <w:r w:rsidR="00344D20" w:rsidRPr="00D2758E">
        <w:rPr>
          <w:szCs w:val="18"/>
        </w:rPr>
        <w:t xml:space="preserve"> of the Capacity-building and Development Action Plan for the Nagoya Protocol on Access to</w:t>
      </w:r>
      <w:r w:rsidR="003A413B" w:rsidRPr="00D2758E">
        <w:rPr>
          <w:szCs w:val="18"/>
        </w:rPr>
        <w:t xml:space="preserve"> </w:t>
      </w:r>
      <w:r w:rsidR="00344D20" w:rsidRPr="00D2758E">
        <w:rPr>
          <w:szCs w:val="18"/>
        </w:rPr>
        <w:t xml:space="preserve">Genetic Resources and the Fair and Equitable Sharing of Benefits Arising from Their Utilization adopted in decision </w:t>
      </w:r>
      <w:hyperlink r:id="rId94" w:history="1">
        <w:r w:rsidR="00344D20" w:rsidRPr="00D2758E">
          <w:rPr>
            <w:rStyle w:val="Hyperlink"/>
            <w:szCs w:val="18"/>
          </w:rPr>
          <w:t>NP-5/3</w:t>
        </w:r>
      </w:hyperlink>
      <w:r w:rsidR="00344D20" w:rsidRPr="00D2758E">
        <w:rPr>
          <w:szCs w:val="18"/>
        </w:rPr>
        <w: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okmarkStart w:id="1" w:name="_Hlk137802784"/>
  <w:bookmarkStart w:id="2" w:name="_Hlk137802785"/>
  <w:p w14:paraId="011518C9" w14:textId="5CC1C24C" w:rsidR="00692FFD" w:rsidRPr="00D2758E" w:rsidRDefault="00000000" w:rsidP="006B066D">
    <w:pPr>
      <w:pStyle w:val="CBDHeader"/>
      <w:spacing w:after="240"/>
    </w:pPr>
    <w:sdt>
      <w:sdtPr>
        <w:alias w:val="Subject"/>
        <w:tag w:val=""/>
        <w:id w:val="967328729"/>
        <w:dataBinding w:prefixMappings="xmlns:ns0='http://purl.org/dc/elements/1.1/' xmlns:ns1='http://schemas.openxmlformats.org/package/2006/metadata/core-properties' " w:xpath="/ns1:coreProperties[1]/ns0:subject[1]" w:storeItemID="{6C3C8BC8-F283-45AE-878A-BAB7291924A1}"/>
        <w:text/>
      </w:sdtPr>
      <w:sdtContent>
        <w:r w:rsidR="00845FB9" w:rsidRPr="00D2758E">
          <w:t>CBD/NP/CC/5/</w:t>
        </w:r>
        <w:r w:rsidR="00845FB9">
          <w:t>4/Add.1</w:t>
        </w:r>
        <w:r w:rsidR="00845FB9" w:rsidRPr="00D2758E">
          <w:t>-CBD/NP/CB-IAC/2026/1/3-CBD/SBI/7/7/Add.1</w:t>
        </w:r>
      </w:sdtContent>
    </w:sdt>
    <w:bookmarkEnd w:id="1"/>
    <w:bookmarkEnd w:id="2"/>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23322C4" w14:textId="1047D5CC" w:rsidR="002B559C" w:rsidRPr="00D2758E" w:rsidRDefault="00000000" w:rsidP="002B559C">
    <w:pPr>
      <w:pStyle w:val="Header"/>
      <w:spacing w:after="240"/>
      <w:jc w:val="right"/>
      <w:rPr>
        <w:szCs w:val="20"/>
      </w:rPr>
    </w:pPr>
    <w:sdt>
      <w:sdtPr>
        <w:rPr>
          <w:szCs w:val="20"/>
        </w:rPr>
        <w:alias w:val="Subject"/>
        <w:tag w:val=""/>
        <w:id w:val="-1885015078"/>
        <w:dataBinding w:prefixMappings="xmlns:ns0='http://purl.org/dc/elements/1.1/' xmlns:ns1='http://schemas.openxmlformats.org/package/2006/metadata/core-properties' " w:xpath="/ns1:coreProperties[1]/ns0:subject[1]" w:storeItemID="{6C3C8BC8-F283-45AE-878A-BAB7291924A1}"/>
        <w:text/>
      </w:sdtPr>
      <w:sdtContent>
        <w:r w:rsidR="00845FB9">
          <w:rPr>
            <w:szCs w:val="20"/>
          </w:rPr>
          <w:t>CBD/NP/CC/5/4/Add.1-CBD/NP/CB-IAC/2026/1/3-CBD/SBI/7/7/Add.1</w:t>
        </w:r>
      </w:sdtContent>
    </w:sdt>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FA40C50" w14:textId="77777777" w:rsidR="00515215" w:rsidRPr="00D2758E" w:rsidRDefault="00515215" w:rsidP="00515215">
    <w:pPr>
      <w:pStyle w:val="Header"/>
      <w:pBdr>
        <w:bottom w:val="none" w:sz="0" w:space="0" w:color="auto"/>
      </w:pBd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8C64AFF"/>
    <w:multiLevelType w:val="hybridMultilevel"/>
    <w:tmpl w:val="7AE2B466"/>
    <w:lvl w:ilvl="0" w:tplc="00620BBC">
      <w:start w:val="73"/>
      <w:numFmt w:val="decimal"/>
      <w:lvlText w:val="%1"/>
      <w:lvlJc w:val="left"/>
      <w:pPr>
        <w:ind w:left="314" w:hanging="360"/>
      </w:pPr>
      <w:rPr>
        <w:rFonts w:hint="default"/>
      </w:rPr>
    </w:lvl>
    <w:lvl w:ilvl="1" w:tplc="10090019" w:tentative="1">
      <w:start w:val="1"/>
      <w:numFmt w:val="lowerLetter"/>
      <w:lvlText w:val="%2."/>
      <w:lvlJc w:val="left"/>
      <w:pPr>
        <w:ind w:left="1034" w:hanging="360"/>
      </w:pPr>
    </w:lvl>
    <w:lvl w:ilvl="2" w:tplc="1009001B" w:tentative="1">
      <w:start w:val="1"/>
      <w:numFmt w:val="lowerRoman"/>
      <w:lvlText w:val="%3."/>
      <w:lvlJc w:val="right"/>
      <w:pPr>
        <w:ind w:left="1754" w:hanging="180"/>
      </w:pPr>
    </w:lvl>
    <w:lvl w:ilvl="3" w:tplc="1009000F" w:tentative="1">
      <w:start w:val="1"/>
      <w:numFmt w:val="decimal"/>
      <w:lvlText w:val="%4."/>
      <w:lvlJc w:val="left"/>
      <w:pPr>
        <w:ind w:left="2474" w:hanging="360"/>
      </w:pPr>
    </w:lvl>
    <w:lvl w:ilvl="4" w:tplc="10090019" w:tentative="1">
      <w:start w:val="1"/>
      <w:numFmt w:val="lowerLetter"/>
      <w:lvlText w:val="%5."/>
      <w:lvlJc w:val="left"/>
      <w:pPr>
        <w:ind w:left="3194" w:hanging="360"/>
      </w:pPr>
    </w:lvl>
    <w:lvl w:ilvl="5" w:tplc="1009001B" w:tentative="1">
      <w:start w:val="1"/>
      <w:numFmt w:val="lowerRoman"/>
      <w:lvlText w:val="%6."/>
      <w:lvlJc w:val="right"/>
      <w:pPr>
        <w:ind w:left="3914" w:hanging="180"/>
      </w:pPr>
    </w:lvl>
    <w:lvl w:ilvl="6" w:tplc="1009000F" w:tentative="1">
      <w:start w:val="1"/>
      <w:numFmt w:val="decimal"/>
      <w:lvlText w:val="%7."/>
      <w:lvlJc w:val="left"/>
      <w:pPr>
        <w:ind w:left="4634" w:hanging="360"/>
      </w:pPr>
    </w:lvl>
    <w:lvl w:ilvl="7" w:tplc="10090019" w:tentative="1">
      <w:start w:val="1"/>
      <w:numFmt w:val="lowerLetter"/>
      <w:lvlText w:val="%8."/>
      <w:lvlJc w:val="left"/>
      <w:pPr>
        <w:ind w:left="5354" w:hanging="360"/>
      </w:pPr>
    </w:lvl>
    <w:lvl w:ilvl="8" w:tplc="1009001B" w:tentative="1">
      <w:start w:val="1"/>
      <w:numFmt w:val="lowerRoman"/>
      <w:lvlText w:val="%9."/>
      <w:lvlJc w:val="right"/>
      <w:pPr>
        <w:ind w:left="6074" w:hanging="180"/>
      </w:pPr>
    </w:lvl>
  </w:abstractNum>
  <w:abstractNum w:abstractNumId="1" w15:restartNumberingAfterBreak="0">
    <w:nsid w:val="499D5F66"/>
    <w:multiLevelType w:val="multilevel"/>
    <w:tmpl w:val="222A08B4"/>
    <w:styleLink w:val="ListCBD"/>
    <w:lvl w:ilvl="0">
      <w:start w:val="1"/>
      <w:numFmt w:val="decimal"/>
      <w:pStyle w:val="CBDNormalNumber"/>
      <w:lvlText w:val="%1."/>
      <w:lvlJc w:val="left"/>
      <w:pPr>
        <w:ind w:left="567" w:firstLine="0"/>
      </w:pPr>
      <w:rPr>
        <w:rFonts w:ascii="Times New Roman" w:hAnsi="Times New Roman" w:cs="Times New Roman" w:hint="default"/>
        <w:b w:val="0"/>
        <w:bCs w:val="0"/>
        <w:i w:val="0"/>
        <w:iCs w:val="0"/>
        <w:color w:val="auto"/>
        <w:sz w:val="22"/>
      </w:rPr>
    </w:lvl>
    <w:lvl w:ilvl="1">
      <w:start w:val="1"/>
      <w:numFmt w:val="lowerLetter"/>
      <w:lvlText w:val="(%2)"/>
      <w:lvlJc w:val="left"/>
      <w:pPr>
        <w:ind w:left="567" w:firstLine="567"/>
      </w:pPr>
      <w:rPr>
        <w:rFonts w:ascii="Times New Roman" w:hAnsi="Times New Roman" w:hint="default"/>
        <w:b w:val="0"/>
        <w:i w:val="0"/>
        <w:sz w:val="22"/>
      </w:rPr>
    </w:lvl>
    <w:lvl w:ilvl="2">
      <w:start w:val="1"/>
      <w:numFmt w:val="lowerRoman"/>
      <w:lvlText w:val="(%3)"/>
      <w:lvlJc w:val="left"/>
      <w:pPr>
        <w:ind w:left="2268" w:hanging="567"/>
      </w:pPr>
      <w:rPr>
        <w:rFonts w:ascii="Times New Roman" w:hAnsi="Times New Roman" w:hint="default"/>
        <w:sz w:val="22"/>
      </w:rPr>
    </w:lvl>
    <w:lvl w:ilvl="3">
      <w:start w:val="1"/>
      <w:numFmt w:val="decimal"/>
      <w:lvlText w:val="(%4)"/>
      <w:lvlJc w:val="left"/>
      <w:pPr>
        <w:ind w:left="2835" w:hanging="567"/>
      </w:pPr>
      <w:rPr>
        <w:rFonts w:ascii="Times New Roman" w:hAnsi="Times New Roman" w:hint="default"/>
        <w:sz w:val="22"/>
      </w:rPr>
    </w:lvl>
    <w:lvl w:ilvl="4">
      <w:start w:val="1"/>
      <w:numFmt w:val="lowerLetter"/>
      <w:lvlText w:val="(%5)"/>
      <w:lvlJc w:val="left"/>
      <w:pPr>
        <w:ind w:left="3402" w:hanging="567"/>
      </w:pPr>
      <w:rPr>
        <w:rFonts w:hint="default"/>
      </w:rPr>
    </w:lvl>
    <w:lvl w:ilvl="5">
      <w:start w:val="1"/>
      <w:numFmt w:val="lowerRoman"/>
      <w:lvlText w:val="(%6)"/>
      <w:lvlJc w:val="left"/>
      <w:pPr>
        <w:ind w:left="2826" w:hanging="360"/>
      </w:pPr>
      <w:rPr>
        <w:rFonts w:hint="default"/>
      </w:rPr>
    </w:lvl>
    <w:lvl w:ilvl="6">
      <w:start w:val="1"/>
      <w:numFmt w:val="decimal"/>
      <w:lvlText w:val="%7."/>
      <w:lvlJc w:val="left"/>
      <w:pPr>
        <w:ind w:left="3186" w:hanging="360"/>
      </w:pPr>
      <w:rPr>
        <w:rFonts w:hint="default"/>
      </w:rPr>
    </w:lvl>
    <w:lvl w:ilvl="7">
      <w:start w:val="1"/>
      <w:numFmt w:val="lowerLetter"/>
      <w:lvlText w:val="%8."/>
      <w:lvlJc w:val="left"/>
      <w:pPr>
        <w:ind w:left="3546" w:hanging="360"/>
      </w:pPr>
      <w:rPr>
        <w:rFonts w:hint="default"/>
      </w:rPr>
    </w:lvl>
    <w:lvl w:ilvl="8">
      <w:start w:val="1"/>
      <w:numFmt w:val="lowerRoman"/>
      <w:lvlText w:val="%9."/>
      <w:lvlJc w:val="left"/>
      <w:pPr>
        <w:ind w:left="3906" w:hanging="360"/>
      </w:pPr>
      <w:rPr>
        <w:rFonts w:hint="default"/>
      </w:rPr>
    </w:lvl>
  </w:abstractNum>
  <w:abstractNum w:abstractNumId="2" w15:restartNumberingAfterBreak="0">
    <w:nsid w:val="4E0442B4"/>
    <w:multiLevelType w:val="multilevel"/>
    <w:tmpl w:val="763A0CC8"/>
    <w:lvl w:ilvl="0">
      <w:start w:val="1"/>
      <w:numFmt w:val="decimal"/>
      <w:pStyle w:val="Para1"/>
      <w:lvlText w:val="%1."/>
      <w:lvlJc w:val="left"/>
      <w:pPr>
        <w:tabs>
          <w:tab w:val="num" w:pos="360"/>
        </w:tabs>
        <w:ind w:left="0" w:firstLine="0"/>
      </w:pPr>
      <w:rPr>
        <w:rFonts w:ascii="Times New Roman" w:hAnsi="Times New Roman" w:hint="default"/>
        <w:b w:val="0"/>
        <w:i w:val="0"/>
        <w:sz w:val="22"/>
      </w:rPr>
    </w:lvl>
    <w:lvl w:ilvl="1">
      <w:start w:val="1"/>
      <w:numFmt w:val="lowerLetter"/>
      <w:lvlText w:val="(%2)"/>
      <w:lvlJc w:val="left"/>
      <w:pPr>
        <w:tabs>
          <w:tab w:val="num" w:pos="2171"/>
        </w:tabs>
        <w:ind w:left="731" w:firstLine="720"/>
      </w:pPr>
      <w:rPr>
        <w:rFonts w:hint="default"/>
        <w:b w:val="0"/>
        <w:i w:val="0"/>
      </w:rPr>
    </w:lvl>
    <w:lvl w:ilvl="2">
      <w:start w:val="1"/>
      <w:numFmt w:val="lowerRoman"/>
      <w:lvlText w:val="(%3)"/>
      <w:lvlJc w:val="right"/>
      <w:pPr>
        <w:tabs>
          <w:tab w:val="num" w:pos="2171"/>
        </w:tabs>
        <w:ind w:left="2171" w:hanging="360"/>
      </w:pPr>
      <w:rPr>
        <w:rFonts w:hint="default"/>
      </w:rPr>
    </w:lvl>
    <w:lvl w:ilvl="3">
      <w:start w:val="1"/>
      <w:numFmt w:val="bullet"/>
      <w:lvlText w:val=""/>
      <w:lvlJc w:val="left"/>
      <w:pPr>
        <w:tabs>
          <w:tab w:val="num" w:pos="2891"/>
        </w:tabs>
        <w:ind w:left="2891" w:hanging="720"/>
      </w:pPr>
      <w:rPr>
        <w:rFonts w:ascii="Symbol" w:hAnsi="Symbol" w:hint="default"/>
        <w:color w:val="auto"/>
        <w:sz w:val="28"/>
      </w:rPr>
    </w:lvl>
    <w:lvl w:ilvl="4">
      <w:start w:val="1"/>
      <w:numFmt w:val="lowerLetter"/>
      <w:lvlText w:val="(%5)"/>
      <w:lvlJc w:val="left"/>
      <w:pPr>
        <w:tabs>
          <w:tab w:val="num" w:pos="2531"/>
        </w:tabs>
        <w:ind w:left="2531" w:hanging="360"/>
      </w:pPr>
      <w:rPr>
        <w:rFonts w:hint="default"/>
      </w:rPr>
    </w:lvl>
    <w:lvl w:ilvl="5">
      <w:start w:val="1"/>
      <w:numFmt w:val="lowerRoman"/>
      <w:lvlText w:val="(%6)"/>
      <w:lvlJc w:val="left"/>
      <w:pPr>
        <w:tabs>
          <w:tab w:val="num" w:pos="2891"/>
        </w:tabs>
        <w:ind w:left="2891" w:hanging="360"/>
      </w:pPr>
      <w:rPr>
        <w:rFonts w:hint="default"/>
      </w:rPr>
    </w:lvl>
    <w:lvl w:ilvl="6">
      <w:start w:val="1"/>
      <w:numFmt w:val="decimal"/>
      <w:lvlText w:val="%7."/>
      <w:lvlJc w:val="left"/>
      <w:pPr>
        <w:tabs>
          <w:tab w:val="num" w:pos="3251"/>
        </w:tabs>
        <w:ind w:left="3251" w:hanging="360"/>
      </w:pPr>
      <w:rPr>
        <w:rFonts w:hint="default"/>
      </w:rPr>
    </w:lvl>
    <w:lvl w:ilvl="7">
      <w:start w:val="1"/>
      <w:numFmt w:val="lowerLetter"/>
      <w:lvlText w:val="%8."/>
      <w:lvlJc w:val="left"/>
      <w:pPr>
        <w:tabs>
          <w:tab w:val="num" w:pos="3611"/>
        </w:tabs>
        <w:ind w:left="3611" w:hanging="360"/>
      </w:pPr>
      <w:rPr>
        <w:rFonts w:hint="default"/>
      </w:rPr>
    </w:lvl>
    <w:lvl w:ilvl="8">
      <w:start w:val="1"/>
      <w:numFmt w:val="lowerRoman"/>
      <w:lvlText w:val="%9."/>
      <w:lvlJc w:val="left"/>
      <w:pPr>
        <w:tabs>
          <w:tab w:val="num" w:pos="3971"/>
        </w:tabs>
        <w:ind w:left="3971" w:hanging="360"/>
      </w:pPr>
      <w:rPr>
        <w:rFonts w:hint="default"/>
      </w:rPr>
    </w:lvl>
  </w:abstractNum>
  <w:abstractNum w:abstractNumId="3" w15:restartNumberingAfterBreak="0">
    <w:nsid w:val="5D943BEE"/>
    <w:multiLevelType w:val="multilevel"/>
    <w:tmpl w:val="222A08B4"/>
    <w:numStyleLink w:val="ListCBD"/>
  </w:abstractNum>
  <w:abstractNum w:abstractNumId="4" w15:restartNumberingAfterBreak="0">
    <w:nsid w:val="5E180578"/>
    <w:multiLevelType w:val="hybridMultilevel"/>
    <w:tmpl w:val="251AB796"/>
    <w:lvl w:ilvl="0" w:tplc="8862B882">
      <w:start w:val="1"/>
      <w:numFmt w:val="lowerLetter"/>
      <w:pStyle w:val="Para2"/>
      <w:lvlText w:val="(%1)"/>
      <w:lvlJc w:val="left"/>
      <w:pPr>
        <w:ind w:left="927" w:hanging="360"/>
      </w:pPr>
      <w:rPr>
        <w:rFonts w:ascii="Times New Roman" w:hAnsi="Times New Roman" w:hint="default"/>
        <w:b w:val="0"/>
        <w:i w:val="0"/>
        <w:caps w:val="0"/>
        <w:strike w:val="0"/>
        <w:dstrike w:val="0"/>
        <w:vanish w:val="0"/>
        <w:color w:val="auto"/>
        <w:spacing w:val="0"/>
        <w:kern w:val="22"/>
        <w:position w:val="0"/>
        <w:sz w:val="22"/>
        <w:vertAlign w:val="baseline"/>
      </w:rPr>
    </w:lvl>
    <w:lvl w:ilvl="1" w:tplc="10090019" w:tentative="1">
      <w:start w:val="1"/>
      <w:numFmt w:val="lowerLetter"/>
      <w:lvlText w:val="%2."/>
      <w:lvlJc w:val="left"/>
      <w:pPr>
        <w:ind w:left="2466" w:hanging="360"/>
      </w:pPr>
    </w:lvl>
    <w:lvl w:ilvl="2" w:tplc="1009001B" w:tentative="1">
      <w:start w:val="1"/>
      <w:numFmt w:val="lowerRoman"/>
      <w:lvlText w:val="%3."/>
      <w:lvlJc w:val="right"/>
      <w:pPr>
        <w:ind w:left="3186" w:hanging="180"/>
      </w:pPr>
    </w:lvl>
    <w:lvl w:ilvl="3" w:tplc="1009000F" w:tentative="1">
      <w:start w:val="1"/>
      <w:numFmt w:val="decimal"/>
      <w:lvlText w:val="%4."/>
      <w:lvlJc w:val="left"/>
      <w:pPr>
        <w:ind w:left="3906" w:hanging="360"/>
      </w:pPr>
    </w:lvl>
    <w:lvl w:ilvl="4" w:tplc="10090019" w:tentative="1">
      <w:start w:val="1"/>
      <w:numFmt w:val="lowerLetter"/>
      <w:lvlText w:val="%5."/>
      <w:lvlJc w:val="left"/>
      <w:pPr>
        <w:ind w:left="4626" w:hanging="360"/>
      </w:pPr>
    </w:lvl>
    <w:lvl w:ilvl="5" w:tplc="1009001B" w:tentative="1">
      <w:start w:val="1"/>
      <w:numFmt w:val="lowerRoman"/>
      <w:lvlText w:val="%6."/>
      <w:lvlJc w:val="right"/>
      <w:pPr>
        <w:ind w:left="5346" w:hanging="180"/>
      </w:pPr>
    </w:lvl>
    <w:lvl w:ilvl="6" w:tplc="1009000F" w:tentative="1">
      <w:start w:val="1"/>
      <w:numFmt w:val="decimal"/>
      <w:lvlText w:val="%7."/>
      <w:lvlJc w:val="left"/>
      <w:pPr>
        <w:ind w:left="6066" w:hanging="360"/>
      </w:pPr>
    </w:lvl>
    <w:lvl w:ilvl="7" w:tplc="10090019" w:tentative="1">
      <w:start w:val="1"/>
      <w:numFmt w:val="lowerLetter"/>
      <w:lvlText w:val="%8."/>
      <w:lvlJc w:val="left"/>
      <w:pPr>
        <w:ind w:left="6786" w:hanging="360"/>
      </w:pPr>
    </w:lvl>
    <w:lvl w:ilvl="8" w:tplc="1009001B" w:tentative="1">
      <w:start w:val="1"/>
      <w:numFmt w:val="lowerRoman"/>
      <w:lvlText w:val="%9."/>
      <w:lvlJc w:val="right"/>
      <w:pPr>
        <w:ind w:left="7506" w:hanging="180"/>
      </w:pPr>
    </w:lvl>
  </w:abstractNum>
  <w:abstractNum w:abstractNumId="5" w15:restartNumberingAfterBreak="0">
    <w:nsid w:val="6D191DF4"/>
    <w:multiLevelType w:val="multilevel"/>
    <w:tmpl w:val="07D269C8"/>
    <w:styleLink w:val="CBDHeadings"/>
    <w:lvl w:ilvl="0">
      <w:start w:val="1"/>
      <w:numFmt w:val="upperRoman"/>
      <w:pStyle w:val="Heading1"/>
      <w:lvlText w:val="%1."/>
      <w:lvlJc w:val="left"/>
      <w:pPr>
        <w:tabs>
          <w:tab w:val="num" w:pos="567"/>
        </w:tabs>
        <w:ind w:left="567" w:hanging="567"/>
      </w:pPr>
      <w:rPr>
        <w:rFonts w:ascii="Times New Roman" w:hAnsi="Times New Roman" w:hint="default"/>
        <w:sz w:val="28"/>
      </w:rPr>
    </w:lvl>
    <w:lvl w:ilvl="1">
      <w:start w:val="1"/>
      <w:numFmt w:val="upperLetter"/>
      <w:pStyle w:val="Heading2"/>
      <w:lvlText w:val="%2."/>
      <w:lvlJc w:val="left"/>
      <w:pPr>
        <w:tabs>
          <w:tab w:val="num" w:pos="567"/>
        </w:tabs>
        <w:ind w:left="567" w:hanging="567"/>
      </w:pPr>
      <w:rPr>
        <w:rFonts w:ascii="Times New Roman Bold" w:hAnsi="Times New Roman Bold" w:hint="default"/>
        <w:b/>
        <w:bCs/>
        <w:i w:val="0"/>
        <w:iCs w:val="0"/>
        <w:sz w:val="24"/>
        <w:szCs w:val="24"/>
      </w:rPr>
    </w:lvl>
    <w:lvl w:ilvl="2">
      <w:start w:val="1"/>
      <w:numFmt w:val="decimal"/>
      <w:pStyle w:val="Heading3"/>
      <w:lvlText w:val="%3."/>
      <w:lvlJc w:val="left"/>
      <w:pPr>
        <w:tabs>
          <w:tab w:val="num" w:pos="567"/>
        </w:tabs>
        <w:ind w:left="567" w:hanging="567"/>
      </w:pPr>
      <w:rPr>
        <w:rFonts w:ascii="Times New Roman Bold" w:hAnsi="Times New Roman Bold" w:hint="default"/>
        <w:b/>
        <w:i w:val="0"/>
        <w:sz w:val="22"/>
      </w:rPr>
    </w:lvl>
    <w:lvl w:ilvl="3">
      <w:start w:val="1"/>
      <w:numFmt w:val="lowerLetter"/>
      <w:pStyle w:val="Heading4"/>
      <w:lvlText w:val="(%4)"/>
      <w:lvlJc w:val="left"/>
      <w:pPr>
        <w:tabs>
          <w:tab w:val="num" w:pos="567"/>
        </w:tabs>
        <w:ind w:left="567" w:hanging="567"/>
      </w:pPr>
      <w:rPr>
        <w:rFonts w:ascii="Times New Roman Bold" w:hAnsi="Times New Roman Bold" w:hint="default"/>
        <w:b/>
        <w:i w:val="0"/>
        <w:sz w:val="22"/>
      </w:rPr>
    </w:lvl>
    <w:lvl w:ilvl="4">
      <w:start w:val="1"/>
      <w:numFmt w:val="lowerRoman"/>
      <w:pStyle w:val="Heading5"/>
      <w:lvlText w:val="(%5)"/>
      <w:lvlJc w:val="left"/>
      <w:pPr>
        <w:tabs>
          <w:tab w:val="num" w:pos="567"/>
        </w:tabs>
        <w:ind w:left="567" w:hanging="567"/>
      </w:pPr>
      <w:rPr>
        <w:rFonts w:ascii="Times New Roman" w:hAnsi="Times New Roman" w:hint="default"/>
        <w:b w:val="0"/>
        <w:i/>
        <w:sz w:val="22"/>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6" w15:restartNumberingAfterBreak="0">
    <w:nsid w:val="6FF7321D"/>
    <w:multiLevelType w:val="multilevel"/>
    <w:tmpl w:val="035AFA5E"/>
    <w:lvl w:ilvl="0">
      <w:start w:val="1"/>
      <w:numFmt w:val="upperRoman"/>
      <w:lvlText w:val="%1."/>
      <w:lvlJc w:val="right"/>
      <w:pPr>
        <w:tabs>
          <w:tab w:val="num" w:pos="1247"/>
        </w:tabs>
        <w:ind w:left="1247" w:hanging="396"/>
      </w:pPr>
      <w:rPr>
        <w:rFonts w:hint="default"/>
      </w:rPr>
    </w:lvl>
    <w:lvl w:ilvl="1">
      <w:start w:val="1"/>
      <w:numFmt w:val="decimalZero"/>
      <w:isLgl/>
      <w:lvlText w:val="Section %1.%2"/>
      <w:lvlJc w:val="left"/>
      <w:pPr>
        <w:ind w:left="0" w:firstLine="0"/>
      </w:pPr>
      <w:rPr>
        <w:rFonts w:hint="default"/>
      </w:rPr>
    </w:lvl>
    <w:lvl w:ilvl="2">
      <w:start w:val="1"/>
      <w:numFmt w:val="lowerLetter"/>
      <w:lvlText w:val="(%3)"/>
      <w:lvlJc w:val="left"/>
      <w:pPr>
        <w:ind w:left="720" w:hanging="432"/>
      </w:pPr>
      <w:rPr>
        <w:rFonts w:hint="default"/>
      </w:rPr>
    </w:lvl>
    <w:lvl w:ilvl="3">
      <w:start w:val="1"/>
      <w:numFmt w:val="lowerLetter"/>
      <w:lvlText w:val="(%4)"/>
      <w:lvlJc w:val="right"/>
      <w:pPr>
        <w:tabs>
          <w:tab w:val="num" w:pos="1247"/>
        </w:tabs>
        <w:ind w:left="1247" w:hanging="396"/>
      </w:pPr>
      <w:rPr>
        <w:rFonts w:hint="default"/>
      </w:rPr>
    </w:lvl>
    <w:lvl w:ilvl="4">
      <w:start w:val="1"/>
      <w:numFmt w:val="decimal"/>
      <w:lvlText w:val="%5)"/>
      <w:lvlJc w:val="left"/>
      <w:pPr>
        <w:ind w:left="1008" w:hanging="432"/>
      </w:pPr>
      <w:rPr>
        <w:rFonts w:hint="default"/>
      </w:rPr>
    </w:lvl>
    <w:lvl w:ilvl="5">
      <w:start w:val="1"/>
      <w:numFmt w:val="lowerLetter"/>
      <w:pStyle w:val="Heading6"/>
      <w:lvlText w:val="%6)"/>
      <w:lvlJc w:val="left"/>
      <w:pPr>
        <w:ind w:left="1152" w:hanging="432"/>
      </w:pPr>
      <w:rPr>
        <w:rFonts w:hint="default"/>
      </w:rPr>
    </w:lvl>
    <w:lvl w:ilvl="6">
      <w:start w:val="1"/>
      <w:numFmt w:val="lowerRoman"/>
      <w:pStyle w:val="Heading7"/>
      <w:lvlText w:val="%7)"/>
      <w:lvlJc w:val="right"/>
      <w:pPr>
        <w:ind w:left="1296" w:hanging="288"/>
      </w:pPr>
      <w:rPr>
        <w:rFonts w:hint="default"/>
      </w:rPr>
    </w:lvl>
    <w:lvl w:ilvl="7">
      <w:start w:val="1"/>
      <w:numFmt w:val="lowerLetter"/>
      <w:pStyle w:val="Heading8"/>
      <w:lvlText w:val="%8."/>
      <w:lvlJc w:val="left"/>
      <w:pPr>
        <w:ind w:left="1440" w:hanging="432"/>
      </w:pPr>
      <w:rPr>
        <w:rFonts w:hint="default"/>
      </w:rPr>
    </w:lvl>
    <w:lvl w:ilvl="8">
      <w:start w:val="1"/>
      <w:numFmt w:val="lowerRoman"/>
      <w:pStyle w:val="Heading9"/>
      <w:lvlText w:val="%9."/>
      <w:lvlJc w:val="right"/>
      <w:pPr>
        <w:ind w:left="1584" w:hanging="144"/>
      </w:pPr>
      <w:rPr>
        <w:rFonts w:hint="default"/>
      </w:rPr>
    </w:lvl>
  </w:abstractNum>
  <w:abstractNum w:abstractNumId="7" w15:restartNumberingAfterBreak="0">
    <w:nsid w:val="7BFF494A"/>
    <w:multiLevelType w:val="hybridMultilevel"/>
    <w:tmpl w:val="B8C27F8A"/>
    <w:lvl w:ilvl="0" w:tplc="48DEED9E">
      <w:start w:val="1"/>
      <w:numFmt w:val="lowerRoman"/>
      <w:pStyle w:val="Para3"/>
      <w:lvlText w:val="(%1)"/>
      <w:lvlJc w:val="left"/>
      <w:pPr>
        <w:ind w:left="720" w:hanging="36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num w:numId="1" w16cid:durableId="199586161">
    <w:abstractNumId w:val="4"/>
  </w:num>
  <w:num w:numId="2" w16cid:durableId="1480611021">
    <w:abstractNumId w:val="7"/>
  </w:num>
  <w:num w:numId="3" w16cid:durableId="611476475">
    <w:abstractNumId w:val="2"/>
  </w:num>
  <w:num w:numId="4" w16cid:durableId="2093965935">
    <w:abstractNumId w:val="0"/>
  </w:num>
  <w:num w:numId="5" w16cid:durableId="1072390599">
    <w:abstractNumId w:val="6"/>
  </w:num>
  <w:num w:numId="6" w16cid:durableId="893932166">
    <w:abstractNumId w:val="5"/>
  </w:num>
  <w:num w:numId="7" w16cid:durableId="323945383">
    <w:abstractNumId w:val="3"/>
  </w:num>
  <w:num w:numId="8" w16cid:durableId="1491753960">
    <w:abstractNumId w:val="1"/>
  </w:num>
  <w:numIdMacAtCleanup w:val="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40"/>
  <w:proofState w:spelling="clean" w:grammar="clean"/>
  <w:attachedTemplate r:id="rId1"/>
  <w:defaultTabStop w:val="720"/>
  <w:evenAndOddHeaders/>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55EB6"/>
    <w:rsid w:val="000006C0"/>
    <w:rsid w:val="000006E7"/>
    <w:rsid w:val="00000A05"/>
    <w:rsid w:val="00000F79"/>
    <w:rsid w:val="00000FAA"/>
    <w:rsid w:val="0000107A"/>
    <w:rsid w:val="00001193"/>
    <w:rsid w:val="0000135D"/>
    <w:rsid w:val="000014CC"/>
    <w:rsid w:val="00001BBA"/>
    <w:rsid w:val="00001D52"/>
    <w:rsid w:val="00001E0C"/>
    <w:rsid w:val="00002858"/>
    <w:rsid w:val="00002B6E"/>
    <w:rsid w:val="00002CDB"/>
    <w:rsid w:val="00002D30"/>
    <w:rsid w:val="00002DD4"/>
    <w:rsid w:val="0000314A"/>
    <w:rsid w:val="000034BA"/>
    <w:rsid w:val="000035D8"/>
    <w:rsid w:val="00003A72"/>
    <w:rsid w:val="00003D3B"/>
    <w:rsid w:val="00003EC8"/>
    <w:rsid w:val="000040D7"/>
    <w:rsid w:val="0000436E"/>
    <w:rsid w:val="00004538"/>
    <w:rsid w:val="00004574"/>
    <w:rsid w:val="0000459E"/>
    <w:rsid w:val="000045AD"/>
    <w:rsid w:val="000046EE"/>
    <w:rsid w:val="00004747"/>
    <w:rsid w:val="000047BD"/>
    <w:rsid w:val="000049C5"/>
    <w:rsid w:val="00004E89"/>
    <w:rsid w:val="00004EDD"/>
    <w:rsid w:val="0000522A"/>
    <w:rsid w:val="00005230"/>
    <w:rsid w:val="00005876"/>
    <w:rsid w:val="00005E38"/>
    <w:rsid w:val="00005F8F"/>
    <w:rsid w:val="00005FB0"/>
    <w:rsid w:val="00006042"/>
    <w:rsid w:val="0000622D"/>
    <w:rsid w:val="000062B4"/>
    <w:rsid w:val="00006414"/>
    <w:rsid w:val="0000661C"/>
    <w:rsid w:val="00006777"/>
    <w:rsid w:val="0000686D"/>
    <w:rsid w:val="000068B8"/>
    <w:rsid w:val="00006953"/>
    <w:rsid w:val="00006D22"/>
    <w:rsid w:val="00006EEA"/>
    <w:rsid w:val="00007137"/>
    <w:rsid w:val="0000770B"/>
    <w:rsid w:val="00007913"/>
    <w:rsid w:val="00007C98"/>
    <w:rsid w:val="0001004C"/>
    <w:rsid w:val="000100F0"/>
    <w:rsid w:val="00010173"/>
    <w:rsid w:val="00010313"/>
    <w:rsid w:val="000109E6"/>
    <w:rsid w:val="00010BDC"/>
    <w:rsid w:val="00010C27"/>
    <w:rsid w:val="00010CD7"/>
    <w:rsid w:val="00010CF1"/>
    <w:rsid w:val="00010DE8"/>
    <w:rsid w:val="00010F66"/>
    <w:rsid w:val="00010FCA"/>
    <w:rsid w:val="00011070"/>
    <w:rsid w:val="000110B6"/>
    <w:rsid w:val="0001134E"/>
    <w:rsid w:val="00011386"/>
    <w:rsid w:val="00011414"/>
    <w:rsid w:val="00011B06"/>
    <w:rsid w:val="00011C1F"/>
    <w:rsid w:val="00011DF2"/>
    <w:rsid w:val="0001204D"/>
    <w:rsid w:val="0001215B"/>
    <w:rsid w:val="0001215E"/>
    <w:rsid w:val="0001251F"/>
    <w:rsid w:val="00012553"/>
    <w:rsid w:val="00012702"/>
    <w:rsid w:val="00012835"/>
    <w:rsid w:val="00012CA2"/>
    <w:rsid w:val="00012DC5"/>
    <w:rsid w:val="00012FD3"/>
    <w:rsid w:val="0001324F"/>
    <w:rsid w:val="0001381D"/>
    <w:rsid w:val="000146D4"/>
    <w:rsid w:val="0001481E"/>
    <w:rsid w:val="00014A47"/>
    <w:rsid w:val="00014AE5"/>
    <w:rsid w:val="00014D61"/>
    <w:rsid w:val="00014DEB"/>
    <w:rsid w:val="000150BA"/>
    <w:rsid w:val="00015256"/>
    <w:rsid w:val="00015AF6"/>
    <w:rsid w:val="00015B1D"/>
    <w:rsid w:val="00015C04"/>
    <w:rsid w:val="00015C84"/>
    <w:rsid w:val="00015D8F"/>
    <w:rsid w:val="00015F85"/>
    <w:rsid w:val="00015FA2"/>
    <w:rsid w:val="00015FAA"/>
    <w:rsid w:val="000161F8"/>
    <w:rsid w:val="000164A9"/>
    <w:rsid w:val="00016657"/>
    <w:rsid w:val="00016C86"/>
    <w:rsid w:val="00016DE6"/>
    <w:rsid w:val="00016E56"/>
    <w:rsid w:val="00016F11"/>
    <w:rsid w:val="00017225"/>
    <w:rsid w:val="0001735E"/>
    <w:rsid w:val="000174A2"/>
    <w:rsid w:val="00017627"/>
    <w:rsid w:val="00017B98"/>
    <w:rsid w:val="00017C37"/>
    <w:rsid w:val="00017D5A"/>
    <w:rsid w:val="00017F46"/>
    <w:rsid w:val="000204D6"/>
    <w:rsid w:val="000205E4"/>
    <w:rsid w:val="0002119B"/>
    <w:rsid w:val="00021274"/>
    <w:rsid w:val="00021332"/>
    <w:rsid w:val="0002156F"/>
    <w:rsid w:val="000215D1"/>
    <w:rsid w:val="00021763"/>
    <w:rsid w:val="00021779"/>
    <w:rsid w:val="000219B6"/>
    <w:rsid w:val="00021A75"/>
    <w:rsid w:val="00021CDE"/>
    <w:rsid w:val="00021D9F"/>
    <w:rsid w:val="00021FC9"/>
    <w:rsid w:val="00022130"/>
    <w:rsid w:val="0002240C"/>
    <w:rsid w:val="0002251B"/>
    <w:rsid w:val="0002297C"/>
    <w:rsid w:val="000229F4"/>
    <w:rsid w:val="00022A34"/>
    <w:rsid w:val="00023782"/>
    <w:rsid w:val="00023832"/>
    <w:rsid w:val="0002389F"/>
    <w:rsid w:val="000239B0"/>
    <w:rsid w:val="00023F77"/>
    <w:rsid w:val="00024029"/>
    <w:rsid w:val="00024154"/>
    <w:rsid w:val="0002426D"/>
    <w:rsid w:val="000247BA"/>
    <w:rsid w:val="00024938"/>
    <w:rsid w:val="00024C3E"/>
    <w:rsid w:val="000250D2"/>
    <w:rsid w:val="000251D7"/>
    <w:rsid w:val="000252CD"/>
    <w:rsid w:val="000254DF"/>
    <w:rsid w:val="000255C4"/>
    <w:rsid w:val="00025606"/>
    <w:rsid w:val="00025A88"/>
    <w:rsid w:val="00025B53"/>
    <w:rsid w:val="00025CB1"/>
    <w:rsid w:val="000262DB"/>
    <w:rsid w:val="000268BB"/>
    <w:rsid w:val="00026A91"/>
    <w:rsid w:val="00026B9D"/>
    <w:rsid w:val="00026C2F"/>
    <w:rsid w:val="00026C59"/>
    <w:rsid w:val="00026FEC"/>
    <w:rsid w:val="0002701D"/>
    <w:rsid w:val="00027562"/>
    <w:rsid w:val="0002783E"/>
    <w:rsid w:val="000278DF"/>
    <w:rsid w:val="00027908"/>
    <w:rsid w:val="00027B26"/>
    <w:rsid w:val="00027BC8"/>
    <w:rsid w:val="00027C3D"/>
    <w:rsid w:val="00027EE2"/>
    <w:rsid w:val="00027F7E"/>
    <w:rsid w:val="0003031D"/>
    <w:rsid w:val="0003042B"/>
    <w:rsid w:val="00030585"/>
    <w:rsid w:val="000306FE"/>
    <w:rsid w:val="00030898"/>
    <w:rsid w:val="000309C2"/>
    <w:rsid w:val="00030E52"/>
    <w:rsid w:val="00030F36"/>
    <w:rsid w:val="00031122"/>
    <w:rsid w:val="00031334"/>
    <w:rsid w:val="00031493"/>
    <w:rsid w:val="00031BD5"/>
    <w:rsid w:val="00031BEE"/>
    <w:rsid w:val="00031D2F"/>
    <w:rsid w:val="00031D6E"/>
    <w:rsid w:val="00031FFC"/>
    <w:rsid w:val="0003209C"/>
    <w:rsid w:val="00032573"/>
    <w:rsid w:val="0003266E"/>
    <w:rsid w:val="00032936"/>
    <w:rsid w:val="00032DBC"/>
    <w:rsid w:val="0003306F"/>
    <w:rsid w:val="000330D6"/>
    <w:rsid w:val="000331A5"/>
    <w:rsid w:val="0003320E"/>
    <w:rsid w:val="00033A1C"/>
    <w:rsid w:val="00033BCD"/>
    <w:rsid w:val="00033C7E"/>
    <w:rsid w:val="00033C90"/>
    <w:rsid w:val="00033D23"/>
    <w:rsid w:val="00033EAB"/>
    <w:rsid w:val="0003427B"/>
    <w:rsid w:val="0003433E"/>
    <w:rsid w:val="000343AD"/>
    <w:rsid w:val="00034566"/>
    <w:rsid w:val="0003498D"/>
    <w:rsid w:val="00034EA9"/>
    <w:rsid w:val="0003541E"/>
    <w:rsid w:val="00035604"/>
    <w:rsid w:val="0003574A"/>
    <w:rsid w:val="00035DCF"/>
    <w:rsid w:val="00035E31"/>
    <w:rsid w:val="00035F86"/>
    <w:rsid w:val="0003608D"/>
    <w:rsid w:val="000360B1"/>
    <w:rsid w:val="00036100"/>
    <w:rsid w:val="000362DD"/>
    <w:rsid w:val="00036485"/>
    <w:rsid w:val="0003657C"/>
    <w:rsid w:val="000369B0"/>
    <w:rsid w:val="000369FD"/>
    <w:rsid w:val="00036D6A"/>
    <w:rsid w:val="00036E1C"/>
    <w:rsid w:val="00037087"/>
    <w:rsid w:val="0003765A"/>
    <w:rsid w:val="000376A0"/>
    <w:rsid w:val="000379AA"/>
    <w:rsid w:val="00037DBD"/>
    <w:rsid w:val="00037EE5"/>
    <w:rsid w:val="00037F09"/>
    <w:rsid w:val="00040176"/>
    <w:rsid w:val="00040190"/>
    <w:rsid w:val="00040598"/>
    <w:rsid w:val="000405B3"/>
    <w:rsid w:val="00040795"/>
    <w:rsid w:val="00040832"/>
    <w:rsid w:val="0004088C"/>
    <w:rsid w:val="000408FD"/>
    <w:rsid w:val="00040D33"/>
    <w:rsid w:val="00040E99"/>
    <w:rsid w:val="000410FF"/>
    <w:rsid w:val="0004120E"/>
    <w:rsid w:val="00041213"/>
    <w:rsid w:val="00041248"/>
    <w:rsid w:val="00041491"/>
    <w:rsid w:val="000414ED"/>
    <w:rsid w:val="000415DC"/>
    <w:rsid w:val="0004180D"/>
    <w:rsid w:val="0004198A"/>
    <w:rsid w:val="00041D44"/>
    <w:rsid w:val="00041FEA"/>
    <w:rsid w:val="0004249F"/>
    <w:rsid w:val="00042CF4"/>
    <w:rsid w:val="00042DF7"/>
    <w:rsid w:val="00043087"/>
    <w:rsid w:val="0004351B"/>
    <w:rsid w:val="00043618"/>
    <w:rsid w:val="000438DB"/>
    <w:rsid w:val="00043991"/>
    <w:rsid w:val="00043B6F"/>
    <w:rsid w:val="00043C6B"/>
    <w:rsid w:val="00043D6D"/>
    <w:rsid w:val="00043E23"/>
    <w:rsid w:val="00043E74"/>
    <w:rsid w:val="00043F56"/>
    <w:rsid w:val="00043F6A"/>
    <w:rsid w:val="00043FAE"/>
    <w:rsid w:val="0004403A"/>
    <w:rsid w:val="00044087"/>
    <w:rsid w:val="00044124"/>
    <w:rsid w:val="0004447B"/>
    <w:rsid w:val="00044884"/>
    <w:rsid w:val="00044F47"/>
    <w:rsid w:val="00044F68"/>
    <w:rsid w:val="000450EB"/>
    <w:rsid w:val="000453C0"/>
    <w:rsid w:val="000454D5"/>
    <w:rsid w:val="000454D8"/>
    <w:rsid w:val="00045A9F"/>
    <w:rsid w:val="00045F14"/>
    <w:rsid w:val="00045F3A"/>
    <w:rsid w:val="000460A0"/>
    <w:rsid w:val="00046389"/>
    <w:rsid w:val="000463A1"/>
    <w:rsid w:val="0004661B"/>
    <w:rsid w:val="000466C7"/>
    <w:rsid w:val="000466EE"/>
    <w:rsid w:val="000468CB"/>
    <w:rsid w:val="00046C20"/>
    <w:rsid w:val="00047037"/>
    <w:rsid w:val="000470C4"/>
    <w:rsid w:val="00047186"/>
    <w:rsid w:val="000473CD"/>
    <w:rsid w:val="0004760C"/>
    <w:rsid w:val="00047670"/>
    <w:rsid w:val="000478DF"/>
    <w:rsid w:val="00047B03"/>
    <w:rsid w:val="0005009B"/>
    <w:rsid w:val="000506D3"/>
    <w:rsid w:val="00050C58"/>
    <w:rsid w:val="00050E31"/>
    <w:rsid w:val="00050E35"/>
    <w:rsid w:val="000510A6"/>
    <w:rsid w:val="00051273"/>
    <w:rsid w:val="0005161D"/>
    <w:rsid w:val="00051885"/>
    <w:rsid w:val="000519BE"/>
    <w:rsid w:val="00052088"/>
    <w:rsid w:val="000521AA"/>
    <w:rsid w:val="000522AF"/>
    <w:rsid w:val="0005234D"/>
    <w:rsid w:val="0005270A"/>
    <w:rsid w:val="0005274F"/>
    <w:rsid w:val="00052AB6"/>
    <w:rsid w:val="00052B96"/>
    <w:rsid w:val="000531C6"/>
    <w:rsid w:val="00053403"/>
    <w:rsid w:val="00053478"/>
    <w:rsid w:val="000534CF"/>
    <w:rsid w:val="000536F1"/>
    <w:rsid w:val="000538ED"/>
    <w:rsid w:val="00053B92"/>
    <w:rsid w:val="00053C03"/>
    <w:rsid w:val="00053E34"/>
    <w:rsid w:val="00054367"/>
    <w:rsid w:val="00054434"/>
    <w:rsid w:val="00054493"/>
    <w:rsid w:val="000546C6"/>
    <w:rsid w:val="00054892"/>
    <w:rsid w:val="00054A23"/>
    <w:rsid w:val="00054AF4"/>
    <w:rsid w:val="00054B26"/>
    <w:rsid w:val="00054D31"/>
    <w:rsid w:val="00054F59"/>
    <w:rsid w:val="00055062"/>
    <w:rsid w:val="000551CB"/>
    <w:rsid w:val="0005534D"/>
    <w:rsid w:val="000553CA"/>
    <w:rsid w:val="00055447"/>
    <w:rsid w:val="00055523"/>
    <w:rsid w:val="000555F8"/>
    <w:rsid w:val="0005562A"/>
    <w:rsid w:val="00055989"/>
    <w:rsid w:val="00055F38"/>
    <w:rsid w:val="00055FBD"/>
    <w:rsid w:val="00056014"/>
    <w:rsid w:val="00056163"/>
    <w:rsid w:val="000561E9"/>
    <w:rsid w:val="00056238"/>
    <w:rsid w:val="00056525"/>
    <w:rsid w:val="000565F8"/>
    <w:rsid w:val="000566E2"/>
    <w:rsid w:val="000566FA"/>
    <w:rsid w:val="00056997"/>
    <w:rsid w:val="00056E63"/>
    <w:rsid w:val="00057025"/>
    <w:rsid w:val="000572D6"/>
    <w:rsid w:val="000576F4"/>
    <w:rsid w:val="00057F54"/>
    <w:rsid w:val="00057FDC"/>
    <w:rsid w:val="0006005D"/>
    <w:rsid w:val="00060098"/>
    <w:rsid w:val="00060309"/>
    <w:rsid w:val="0006117D"/>
    <w:rsid w:val="0006175B"/>
    <w:rsid w:val="00061789"/>
    <w:rsid w:val="00061BAC"/>
    <w:rsid w:val="00061C3F"/>
    <w:rsid w:val="00061EFF"/>
    <w:rsid w:val="00062276"/>
    <w:rsid w:val="000624DF"/>
    <w:rsid w:val="00062D74"/>
    <w:rsid w:val="00062DFD"/>
    <w:rsid w:val="000633D5"/>
    <w:rsid w:val="000638BF"/>
    <w:rsid w:val="00063984"/>
    <w:rsid w:val="00063F6D"/>
    <w:rsid w:val="00063FB8"/>
    <w:rsid w:val="00064390"/>
    <w:rsid w:val="00064855"/>
    <w:rsid w:val="00064AAD"/>
    <w:rsid w:val="00064B39"/>
    <w:rsid w:val="00064E02"/>
    <w:rsid w:val="00064E15"/>
    <w:rsid w:val="00064FCE"/>
    <w:rsid w:val="00065108"/>
    <w:rsid w:val="000651E9"/>
    <w:rsid w:val="00065227"/>
    <w:rsid w:val="000652BC"/>
    <w:rsid w:val="000652EB"/>
    <w:rsid w:val="000654FE"/>
    <w:rsid w:val="00065865"/>
    <w:rsid w:val="00065884"/>
    <w:rsid w:val="000659AB"/>
    <w:rsid w:val="00065BFD"/>
    <w:rsid w:val="00065FCF"/>
    <w:rsid w:val="0006604D"/>
    <w:rsid w:val="000662B6"/>
    <w:rsid w:val="00066522"/>
    <w:rsid w:val="000665C5"/>
    <w:rsid w:val="000666C3"/>
    <w:rsid w:val="000667EC"/>
    <w:rsid w:val="00066F48"/>
    <w:rsid w:val="00067047"/>
    <w:rsid w:val="000672D9"/>
    <w:rsid w:val="0006743E"/>
    <w:rsid w:val="0006797A"/>
    <w:rsid w:val="000679F0"/>
    <w:rsid w:val="00067C32"/>
    <w:rsid w:val="00067D12"/>
    <w:rsid w:val="000700DA"/>
    <w:rsid w:val="00070203"/>
    <w:rsid w:val="0007040F"/>
    <w:rsid w:val="0007062E"/>
    <w:rsid w:val="000706F1"/>
    <w:rsid w:val="0007091E"/>
    <w:rsid w:val="00070AE3"/>
    <w:rsid w:val="00070C2B"/>
    <w:rsid w:val="00070EA6"/>
    <w:rsid w:val="0007109F"/>
    <w:rsid w:val="00071185"/>
    <w:rsid w:val="000717D0"/>
    <w:rsid w:val="00071C5C"/>
    <w:rsid w:val="00072216"/>
    <w:rsid w:val="00072293"/>
    <w:rsid w:val="00072552"/>
    <w:rsid w:val="000725D1"/>
    <w:rsid w:val="000728FD"/>
    <w:rsid w:val="00072B2E"/>
    <w:rsid w:val="00072D9B"/>
    <w:rsid w:val="00072E45"/>
    <w:rsid w:val="00072F25"/>
    <w:rsid w:val="00073126"/>
    <w:rsid w:val="000731B6"/>
    <w:rsid w:val="00073204"/>
    <w:rsid w:val="00073248"/>
    <w:rsid w:val="00073268"/>
    <w:rsid w:val="000734F1"/>
    <w:rsid w:val="00073D1C"/>
    <w:rsid w:val="00073DE2"/>
    <w:rsid w:val="0007427A"/>
    <w:rsid w:val="0007450B"/>
    <w:rsid w:val="00074554"/>
    <w:rsid w:val="00074680"/>
    <w:rsid w:val="00074688"/>
    <w:rsid w:val="000747A6"/>
    <w:rsid w:val="00074952"/>
    <w:rsid w:val="000749F7"/>
    <w:rsid w:val="00074A08"/>
    <w:rsid w:val="00074B19"/>
    <w:rsid w:val="00074B5E"/>
    <w:rsid w:val="00074D9F"/>
    <w:rsid w:val="00075684"/>
    <w:rsid w:val="0007570C"/>
    <w:rsid w:val="00075757"/>
    <w:rsid w:val="00075B5F"/>
    <w:rsid w:val="00075C87"/>
    <w:rsid w:val="00075D2C"/>
    <w:rsid w:val="00075D68"/>
    <w:rsid w:val="00076326"/>
    <w:rsid w:val="00076873"/>
    <w:rsid w:val="00076E69"/>
    <w:rsid w:val="000773C6"/>
    <w:rsid w:val="00077A0C"/>
    <w:rsid w:val="00077ADA"/>
    <w:rsid w:val="00077BCE"/>
    <w:rsid w:val="00077D1D"/>
    <w:rsid w:val="00077D59"/>
    <w:rsid w:val="0008003E"/>
    <w:rsid w:val="0008007F"/>
    <w:rsid w:val="000803EE"/>
    <w:rsid w:val="00080946"/>
    <w:rsid w:val="00080A20"/>
    <w:rsid w:val="00080A3C"/>
    <w:rsid w:val="00080C6E"/>
    <w:rsid w:val="00080E2A"/>
    <w:rsid w:val="000810F6"/>
    <w:rsid w:val="00081118"/>
    <w:rsid w:val="00081543"/>
    <w:rsid w:val="000816FF"/>
    <w:rsid w:val="00081896"/>
    <w:rsid w:val="0008199D"/>
    <w:rsid w:val="00081C2A"/>
    <w:rsid w:val="00081C63"/>
    <w:rsid w:val="00081F5A"/>
    <w:rsid w:val="0008221F"/>
    <w:rsid w:val="00082926"/>
    <w:rsid w:val="00083014"/>
    <w:rsid w:val="000830CE"/>
    <w:rsid w:val="000830DE"/>
    <w:rsid w:val="00083265"/>
    <w:rsid w:val="000832C6"/>
    <w:rsid w:val="0008333A"/>
    <w:rsid w:val="0008359F"/>
    <w:rsid w:val="0008387D"/>
    <w:rsid w:val="00083902"/>
    <w:rsid w:val="00083A0C"/>
    <w:rsid w:val="00083B3B"/>
    <w:rsid w:val="00083BA6"/>
    <w:rsid w:val="00083CDB"/>
    <w:rsid w:val="00083FA1"/>
    <w:rsid w:val="00084B9B"/>
    <w:rsid w:val="00084C13"/>
    <w:rsid w:val="00084C4B"/>
    <w:rsid w:val="00084EBA"/>
    <w:rsid w:val="00085332"/>
    <w:rsid w:val="000853C6"/>
    <w:rsid w:val="00085678"/>
    <w:rsid w:val="0008579A"/>
    <w:rsid w:val="000857F5"/>
    <w:rsid w:val="000859C8"/>
    <w:rsid w:val="00085A56"/>
    <w:rsid w:val="00085AB3"/>
    <w:rsid w:val="00085C8C"/>
    <w:rsid w:val="0008600A"/>
    <w:rsid w:val="0008616F"/>
    <w:rsid w:val="00086275"/>
    <w:rsid w:val="000868C3"/>
    <w:rsid w:val="00086903"/>
    <w:rsid w:val="00086947"/>
    <w:rsid w:val="000869AC"/>
    <w:rsid w:val="00086B13"/>
    <w:rsid w:val="00086B80"/>
    <w:rsid w:val="00086C87"/>
    <w:rsid w:val="00087326"/>
    <w:rsid w:val="00087423"/>
    <w:rsid w:val="00087656"/>
    <w:rsid w:val="00087669"/>
    <w:rsid w:val="00087D53"/>
    <w:rsid w:val="00090058"/>
    <w:rsid w:val="00090592"/>
    <w:rsid w:val="00090996"/>
    <w:rsid w:val="00090C40"/>
    <w:rsid w:val="00090F20"/>
    <w:rsid w:val="000912DE"/>
    <w:rsid w:val="00091399"/>
    <w:rsid w:val="00091588"/>
    <w:rsid w:val="0009164E"/>
    <w:rsid w:val="000917A0"/>
    <w:rsid w:val="00091811"/>
    <w:rsid w:val="000919FE"/>
    <w:rsid w:val="00091C1B"/>
    <w:rsid w:val="00091D77"/>
    <w:rsid w:val="00091F70"/>
    <w:rsid w:val="000921A5"/>
    <w:rsid w:val="00092336"/>
    <w:rsid w:val="00092692"/>
    <w:rsid w:val="000926EC"/>
    <w:rsid w:val="00092968"/>
    <w:rsid w:val="00092AA1"/>
    <w:rsid w:val="00092EAD"/>
    <w:rsid w:val="00093115"/>
    <w:rsid w:val="00093173"/>
    <w:rsid w:val="000939E3"/>
    <w:rsid w:val="00093C3D"/>
    <w:rsid w:val="00093F1F"/>
    <w:rsid w:val="00094059"/>
    <w:rsid w:val="00094251"/>
    <w:rsid w:val="000942DC"/>
    <w:rsid w:val="0009448D"/>
    <w:rsid w:val="00094590"/>
    <w:rsid w:val="0009466D"/>
    <w:rsid w:val="0009488C"/>
    <w:rsid w:val="000948C3"/>
    <w:rsid w:val="00094B15"/>
    <w:rsid w:val="00094CBA"/>
    <w:rsid w:val="00094D20"/>
    <w:rsid w:val="00094D39"/>
    <w:rsid w:val="000954D6"/>
    <w:rsid w:val="00095A20"/>
    <w:rsid w:val="000960E6"/>
    <w:rsid w:val="00096663"/>
    <w:rsid w:val="000966BE"/>
    <w:rsid w:val="000968BF"/>
    <w:rsid w:val="00096903"/>
    <w:rsid w:val="00096B23"/>
    <w:rsid w:val="00096BE6"/>
    <w:rsid w:val="00096DFC"/>
    <w:rsid w:val="00096F45"/>
    <w:rsid w:val="000971B3"/>
    <w:rsid w:val="00097580"/>
    <w:rsid w:val="000975B4"/>
    <w:rsid w:val="00097748"/>
    <w:rsid w:val="000978B9"/>
    <w:rsid w:val="000A01DD"/>
    <w:rsid w:val="000A03CB"/>
    <w:rsid w:val="000A0472"/>
    <w:rsid w:val="000A04DF"/>
    <w:rsid w:val="000A0744"/>
    <w:rsid w:val="000A08D3"/>
    <w:rsid w:val="000A0C1A"/>
    <w:rsid w:val="000A0F99"/>
    <w:rsid w:val="000A0FF7"/>
    <w:rsid w:val="000A1243"/>
    <w:rsid w:val="000A12B6"/>
    <w:rsid w:val="000A131C"/>
    <w:rsid w:val="000A138D"/>
    <w:rsid w:val="000A1875"/>
    <w:rsid w:val="000A19BC"/>
    <w:rsid w:val="000A19D2"/>
    <w:rsid w:val="000A19E8"/>
    <w:rsid w:val="000A1A66"/>
    <w:rsid w:val="000A1BD3"/>
    <w:rsid w:val="000A201D"/>
    <w:rsid w:val="000A219C"/>
    <w:rsid w:val="000A222B"/>
    <w:rsid w:val="000A292F"/>
    <w:rsid w:val="000A29E0"/>
    <w:rsid w:val="000A2A7F"/>
    <w:rsid w:val="000A2AC8"/>
    <w:rsid w:val="000A2C61"/>
    <w:rsid w:val="000A2E30"/>
    <w:rsid w:val="000A2E76"/>
    <w:rsid w:val="000A2EB0"/>
    <w:rsid w:val="000A3659"/>
    <w:rsid w:val="000A3AA8"/>
    <w:rsid w:val="000A3D33"/>
    <w:rsid w:val="000A3E0D"/>
    <w:rsid w:val="000A40E8"/>
    <w:rsid w:val="000A43FF"/>
    <w:rsid w:val="000A4582"/>
    <w:rsid w:val="000A483F"/>
    <w:rsid w:val="000A4987"/>
    <w:rsid w:val="000A4AEC"/>
    <w:rsid w:val="000A4C3D"/>
    <w:rsid w:val="000A4CD8"/>
    <w:rsid w:val="000A4DA4"/>
    <w:rsid w:val="000A4E03"/>
    <w:rsid w:val="000A4ECA"/>
    <w:rsid w:val="000A4F16"/>
    <w:rsid w:val="000A5015"/>
    <w:rsid w:val="000A50A4"/>
    <w:rsid w:val="000A57D1"/>
    <w:rsid w:val="000A58D2"/>
    <w:rsid w:val="000A5FD1"/>
    <w:rsid w:val="000A6556"/>
    <w:rsid w:val="000A670E"/>
    <w:rsid w:val="000A67F7"/>
    <w:rsid w:val="000A6825"/>
    <w:rsid w:val="000A687C"/>
    <w:rsid w:val="000A6E88"/>
    <w:rsid w:val="000A6ECC"/>
    <w:rsid w:val="000A6EF1"/>
    <w:rsid w:val="000A6F34"/>
    <w:rsid w:val="000A7361"/>
    <w:rsid w:val="000A77D4"/>
    <w:rsid w:val="000A78A3"/>
    <w:rsid w:val="000A7ABA"/>
    <w:rsid w:val="000A7DAA"/>
    <w:rsid w:val="000B0101"/>
    <w:rsid w:val="000B0128"/>
    <w:rsid w:val="000B022E"/>
    <w:rsid w:val="000B025D"/>
    <w:rsid w:val="000B030B"/>
    <w:rsid w:val="000B045A"/>
    <w:rsid w:val="000B08A7"/>
    <w:rsid w:val="000B0B03"/>
    <w:rsid w:val="000B0F66"/>
    <w:rsid w:val="000B0F91"/>
    <w:rsid w:val="000B1753"/>
    <w:rsid w:val="000B1874"/>
    <w:rsid w:val="000B1918"/>
    <w:rsid w:val="000B1A92"/>
    <w:rsid w:val="000B2304"/>
    <w:rsid w:val="000B2A71"/>
    <w:rsid w:val="000B2BC8"/>
    <w:rsid w:val="000B3393"/>
    <w:rsid w:val="000B33D1"/>
    <w:rsid w:val="000B3548"/>
    <w:rsid w:val="000B3A24"/>
    <w:rsid w:val="000B3AFF"/>
    <w:rsid w:val="000B4114"/>
    <w:rsid w:val="000B4141"/>
    <w:rsid w:val="000B41F2"/>
    <w:rsid w:val="000B429E"/>
    <w:rsid w:val="000B433C"/>
    <w:rsid w:val="000B43B6"/>
    <w:rsid w:val="000B44ED"/>
    <w:rsid w:val="000B45BE"/>
    <w:rsid w:val="000B45C0"/>
    <w:rsid w:val="000B4AE8"/>
    <w:rsid w:val="000B4D24"/>
    <w:rsid w:val="000B4DBF"/>
    <w:rsid w:val="000B5212"/>
    <w:rsid w:val="000B5213"/>
    <w:rsid w:val="000B58C5"/>
    <w:rsid w:val="000B58DA"/>
    <w:rsid w:val="000B5A58"/>
    <w:rsid w:val="000B5B2A"/>
    <w:rsid w:val="000B60AE"/>
    <w:rsid w:val="000B6136"/>
    <w:rsid w:val="000B627A"/>
    <w:rsid w:val="000B628B"/>
    <w:rsid w:val="000B63E6"/>
    <w:rsid w:val="000B67BA"/>
    <w:rsid w:val="000B6E85"/>
    <w:rsid w:val="000B6EA3"/>
    <w:rsid w:val="000B7051"/>
    <w:rsid w:val="000B72BD"/>
    <w:rsid w:val="000B77E5"/>
    <w:rsid w:val="000B77E7"/>
    <w:rsid w:val="000B79E9"/>
    <w:rsid w:val="000B7BDD"/>
    <w:rsid w:val="000B7D0F"/>
    <w:rsid w:val="000B7F1B"/>
    <w:rsid w:val="000C01EB"/>
    <w:rsid w:val="000C0820"/>
    <w:rsid w:val="000C09FC"/>
    <w:rsid w:val="000C0DA6"/>
    <w:rsid w:val="000C0F73"/>
    <w:rsid w:val="000C129C"/>
    <w:rsid w:val="000C18B6"/>
    <w:rsid w:val="000C1B5E"/>
    <w:rsid w:val="000C1DFD"/>
    <w:rsid w:val="000C2118"/>
    <w:rsid w:val="000C2476"/>
    <w:rsid w:val="000C275E"/>
    <w:rsid w:val="000C288F"/>
    <w:rsid w:val="000C2A03"/>
    <w:rsid w:val="000C2B07"/>
    <w:rsid w:val="000C2E58"/>
    <w:rsid w:val="000C2F2A"/>
    <w:rsid w:val="000C361A"/>
    <w:rsid w:val="000C37A4"/>
    <w:rsid w:val="000C3870"/>
    <w:rsid w:val="000C3948"/>
    <w:rsid w:val="000C3972"/>
    <w:rsid w:val="000C3C4B"/>
    <w:rsid w:val="000C4042"/>
    <w:rsid w:val="000C412A"/>
    <w:rsid w:val="000C4748"/>
    <w:rsid w:val="000C4755"/>
    <w:rsid w:val="000C4794"/>
    <w:rsid w:val="000C49C8"/>
    <w:rsid w:val="000C4E5A"/>
    <w:rsid w:val="000C4FBB"/>
    <w:rsid w:val="000C5257"/>
    <w:rsid w:val="000C5364"/>
    <w:rsid w:val="000C54AB"/>
    <w:rsid w:val="000C5705"/>
    <w:rsid w:val="000C59DB"/>
    <w:rsid w:val="000C5A13"/>
    <w:rsid w:val="000C6225"/>
    <w:rsid w:val="000C652D"/>
    <w:rsid w:val="000C661D"/>
    <w:rsid w:val="000C6779"/>
    <w:rsid w:val="000C6816"/>
    <w:rsid w:val="000C692D"/>
    <w:rsid w:val="000C6A6E"/>
    <w:rsid w:val="000C6AD8"/>
    <w:rsid w:val="000C6C61"/>
    <w:rsid w:val="000C6CCC"/>
    <w:rsid w:val="000C6D9A"/>
    <w:rsid w:val="000C6E21"/>
    <w:rsid w:val="000C6F52"/>
    <w:rsid w:val="000C70E0"/>
    <w:rsid w:val="000C7131"/>
    <w:rsid w:val="000C71E1"/>
    <w:rsid w:val="000C7216"/>
    <w:rsid w:val="000C7449"/>
    <w:rsid w:val="000C7961"/>
    <w:rsid w:val="000C7C37"/>
    <w:rsid w:val="000C7D39"/>
    <w:rsid w:val="000C7EC0"/>
    <w:rsid w:val="000D003B"/>
    <w:rsid w:val="000D0069"/>
    <w:rsid w:val="000D006E"/>
    <w:rsid w:val="000D05AF"/>
    <w:rsid w:val="000D087F"/>
    <w:rsid w:val="000D0FF6"/>
    <w:rsid w:val="000D153F"/>
    <w:rsid w:val="000D1801"/>
    <w:rsid w:val="000D1813"/>
    <w:rsid w:val="000D1840"/>
    <w:rsid w:val="000D1931"/>
    <w:rsid w:val="000D19A0"/>
    <w:rsid w:val="000D2226"/>
    <w:rsid w:val="000D23AC"/>
    <w:rsid w:val="000D250A"/>
    <w:rsid w:val="000D2A1A"/>
    <w:rsid w:val="000D2B16"/>
    <w:rsid w:val="000D2F8D"/>
    <w:rsid w:val="000D2FAA"/>
    <w:rsid w:val="000D312C"/>
    <w:rsid w:val="000D33B7"/>
    <w:rsid w:val="000D342F"/>
    <w:rsid w:val="000D358B"/>
    <w:rsid w:val="000D35E5"/>
    <w:rsid w:val="000D365D"/>
    <w:rsid w:val="000D389F"/>
    <w:rsid w:val="000D38CF"/>
    <w:rsid w:val="000D3C07"/>
    <w:rsid w:val="000D3C4E"/>
    <w:rsid w:val="000D3F77"/>
    <w:rsid w:val="000D400E"/>
    <w:rsid w:val="000D410B"/>
    <w:rsid w:val="000D4152"/>
    <w:rsid w:val="000D41CC"/>
    <w:rsid w:val="000D42BB"/>
    <w:rsid w:val="000D42D1"/>
    <w:rsid w:val="000D44C4"/>
    <w:rsid w:val="000D4636"/>
    <w:rsid w:val="000D476A"/>
    <w:rsid w:val="000D4DF9"/>
    <w:rsid w:val="000D4F68"/>
    <w:rsid w:val="000D540E"/>
    <w:rsid w:val="000D56DB"/>
    <w:rsid w:val="000D5832"/>
    <w:rsid w:val="000D5BF7"/>
    <w:rsid w:val="000D5C53"/>
    <w:rsid w:val="000D5DE0"/>
    <w:rsid w:val="000D64DA"/>
    <w:rsid w:val="000D7092"/>
    <w:rsid w:val="000D729C"/>
    <w:rsid w:val="000D779C"/>
    <w:rsid w:val="000D7866"/>
    <w:rsid w:val="000D7AF5"/>
    <w:rsid w:val="000D7BF5"/>
    <w:rsid w:val="000D7CEB"/>
    <w:rsid w:val="000D7D21"/>
    <w:rsid w:val="000E0124"/>
    <w:rsid w:val="000E04B1"/>
    <w:rsid w:val="000E0707"/>
    <w:rsid w:val="000E08E9"/>
    <w:rsid w:val="000E0D28"/>
    <w:rsid w:val="000E0F05"/>
    <w:rsid w:val="000E1073"/>
    <w:rsid w:val="000E1541"/>
    <w:rsid w:val="000E1555"/>
    <w:rsid w:val="000E1A9C"/>
    <w:rsid w:val="000E1DFE"/>
    <w:rsid w:val="000E1F52"/>
    <w:rsid w:val="000E1FC4"/>
    <w:rsid w:val="000E1FF9"/>
    <w:rsid w:val="000E22E0"/>
    <w:rsid w:val="000E26EC"/>
    <w:rsid w:val="000E2822"/>
    <w:rsid w:val="000E2A9A"/>
    <w:rsid w:val="000E2D78"/>
    <w:rsid w:val="000E2E7B"/>
    <w:rsid w:val="000E33AB"/>
    <w:rsid w:val="000E3A71"/>
    <w:rsid w:val="000E3C13"/>
    <w:rsid w:val="000E3D24"/>
    <w:rsid w:val="000E41C8"/>
    <w:rsid w:val="000E4279"/>
    <w:rsid w:val="000E4282"/>
    <w:rsid w:val="000E452F"/>
    <w:rsid w:val="000E4792"/>
    <w:rsid w:val="000E47DA"/>
    <w:rsid w:val="000E47E4"/>
    <w:rsid w:val="000E47EC"/>
    <w:rsid w:val="000E487A"/>
    <w:rsid w:val="000E4988"/>
    <w:rsid w:val="000E499C"/>
    <w:rsid w:val="000E4B72"/>
    <w:rsid w:val="000E4D78"/>
    <w:rsid w:val="000E4E7A"/>
    <w:rsid w:val="000E5168"/>
    <w:rsid w:val="000E52B9"/>
    <w:rsid w:val="000E536D"/>
    <w:rsid w:val="000E5577"/>
    <w:rsid w:val="000E5598"/>
    <w:rsid w:val="000E5718"/>
    <w:rsid w:val="000E5902"/>
    <w:rsid w:val="000E594A"/>
    <w:rsid w:val="000E5A05"/>
    <w:rsid w:val="000E5A51"/>
    <w:rsid w:val="000E5AA5"/>
    <w:rsid w:val="000E5C6D"/>
    <w:rsid w:val="000E60E4"/>
    <w:rsid w:val="000E6519"/>
    <w:rsid w:val="000E6A99"/>
    <w:rsid w:val="000E6EF2"/>
    <w:rsid w:val="000E6F46"/>
    <w:rsid w:val="000E6F4B"/>
    <w:rsid w:val="000E7338"/>
    <w:rsid w:val="000E74BD"/>
    <w:rsid w:val="000E74F8"/>
    <w:rsid w:val="000E75E6"/>
    <w:rsid w:val="000E7C7E"/>
    <w:rsid w:val="000E7DCB"/>
    <w:rsid w:val="000E7F7B"/>
    <w:rsid w:val="000F003D"/>
    <w:rsid w:val="000F01B9"/>
    <w:rsid w:val="000F020D"/>
    <w:rsid w:val="000F033F"/>
    <w:rsid w:val="000F0429"/>
    <w:rsid w:val="000F0733"/>
    <w:rsid w:val="000F0D0B"/>
    <w:rsid w:val="000F0DFB"/>
    <w:rsid w:val="000F0EB2"/>
    <w:rsid w:val="000F1058"/>
    <w:rsid w:val="000F1091"/>
    <w:rsid w:val="000F13E9"/>
    <w:rsid w:val="000F1A86"/>
    <w:rsid w:val="000F1AC8"/>
    <w:rsid w:val="000F1B89"/>
    <w:rsid w:val="000F1DF8"/>
    <w:rsid w:val="000F1E57"/>
    <w:rsid w:val="000F1F65"/>
    <w:rsid w:val="000F224A"/>
    <w:rsid w:val="000F251B"/>
    <w:rsid w:val="000F2739"/>
    <w:rsid w:val="000F285A"/>
    <w:rsid w:val="000F29BD"/>
    <w:rsid w:val="000F2C45"/>
    <w:rsid w:val="000F2C4E"/>
    <w:rsid w:val="000F2CEF"/>
    <w:rsid w:val="000F2DC0"/>
    <w:rsid w:val="000F2ECE"/>
    <w:rsid w:val="000F352B"/>
    <w:rsid w:val="000F3C52"/>
    <w:rsid w:val="000F3F76"/>
    <w:rsid w:val="000F4129"/>
    <w:rsid w:val="000F432A"/>
    <w:rsid w:val="000F459E"/>
    <w:rsid w:val="000F45E7"/>
    <w:rsid w:val="000F471E"/>
    <w:rsid w:val="000F4E6E"/>
    <w:rsid w:val="000F518B"/>
    <w:rsid w:val="000F5313"/>
    <w:rsid w:val="000F55A1"/>
    <w:rsid w:val="000F55CB"/>
    <w:rsid w:val="000F574E"/>
    <w:rsid w:val="000F57E6"/>
    <w:rsid w:val="000F6141"/>
    <w:rsid w:val="000F62A5"/>
    <w:rsid w:val="000F64D3"/>
    <w:rsid w:val="000F6626"/>
    <w:rsid w:val="000F6F51"/>
    <w:rsid w:val="000F73B6"/>
    <w:rsid w:val="000F75AB"/>
    <w:rsid w:val="000F76BE"/>
    <w:rsid w:val="000F78BE"/>
    <w:rsid w:val="000F7A68"/>
    <w:rsid w:val="000F7C6A"/>
    <w:rsid w:val="000F7DBA"/>
    <w:rsid w:val="000F7EB5"/>
    <w:rsid w:val="000F7F46"/>
    <w:rsid w:val="0010008D"/>
    <w:rsid w:val="00100317"/>
    <w:rsid w:val="00100387"/>
    <w:rsid w:val="001005DF"/>
    <w:rsid w:val="001007E8"/>
    <w:rsid w:val="00100998"/>
    <w:rsid w:val="00100A25"/>
    <w:rsid w:val="00100B5B"/>
    <w:rsid w:val="00100C29"/>
    <w:rsid w:val="00100EA7"/>
    <w:rsid w:val="00101055"/>
    <w:rsid w:val="00101253"/>
    <w:rsid w:val="00101396"/>
    <w:rsid w:val="0010140C"/>
    <w:rsid w:val="0010154C"/>
    <w:rsid w:val="00101608"/>
    <w:rsid w:val="001017C5"/>
    <w:rsid w:val="00101816"/>
    <w:rsid w:val="0010190E"/>
    <w:rsid w:val="00101AFF"/>
    <w:rsid w:val="00101B82"/>
    <w:rsid w:val="00101D5A"/>
    <w:rsid w:val="00101D9D"/>
    <w:rsid w:val="00101DB1"/>
    <w:rsid w:val="00101E4E"/>
    <w:rsid w:val="00101E5A"/>
    <w:rsid w:val="0010228C"/>
    <w:rsid w:val="00102485"/>
    <w:rsid w:val="00102516"/>
    <w:rsid w:val="00102533"/>
    <w:rsid w:val="0010273A"/>
    <w:rsid w:val="00102CC1"/>
    <w:rsid w:val="00102D26"/>
    <w:rsid w:val="0010309A"/>
    <w:rsid w:val="00103225"/>
    <w:rsid w:val="00103330"/>
    <w:rsid w:val="0010397B"/>
    <w:rsid w:val="00103EBA"/>
    <w:rsid w:val="00103F26"/>
    <w:rsid w:val="00104168"/>
    <w:rsid w:val="0010420D"/>
    <w:rsid w:val="001044D8"/>
    <w:rsid w:val="00104649"/>
    <w:rsid w:val="00104916"/>
    <w:rsid w:val="00104ABC"/>
    <w:rsid w:val="00104AEC"/>
    <w:rsid w:val="00104DB1"/>
    <w:rsid w:val="00104E4F"/>
    <w:rsid w:val="00105381"/>
    <w:rsid w:val="0010558B"/>
    <w:rsid w:val="0010576A"/>
    <w:rsid w:val="00105A94"/>
    <w:rsid w:val="00105CA8"/>
    <w:rsid w:val="00105DB1"/>
    <w:rsid w:val="00105E65"/>
    <w:rsid w:val="0010609F"/>
    <w:rsid w:val="001060D2"/>
    <w:rsid w:val="00106138"/>
    <w:rsid w:val="00106790"/>
    <w:rsid w:val="001067BA"/>
    <w:rsid w:val="0010683F"/>
    <w:rsid w:val="00106979"/>
    <w:rsid w:val="0010699D"/>
    <w:rsid w:val="00106B03"/>
    <w:rsid w:val="00106B09"/>
    <w:rsid w:val="00106B20"/>
    <w:rsid w:val="00106CD5"/>
    <w:rsid w:val="00106ED9"/>
    <w:rsid w:val="00106FBE"/>
    <w:rsid w:val="0010703D"/>
    <w:rsid w:val="0010706D"/>
    <w:rsid w:val="0010726C"/>
    <w:rsid w:val="001077BB"/>
    <w:rsid w:val="00107B86"/>
    <w:rsid w:val="00107C7D"/>
    <w:rsid w:val="00107CD9"/>
    <w:rsid w:val="00107D00"/>
    <w:rsid w:val="00107ECC"/>
    <w:rsid w:val="00107F15"/>
    <w:rsid w:val="001100DC"/>
    <w:rsid w:val="00110157"/>
    <w:rsid w:val="001101C7"/>
    <w:rsid w:val="00110466"/>
    <w:rsid w:val="00110864"/>
    <w:rsid w:val="001109E9"/>
    <w:rsid w:val="00110A1C"/>
    <w:rsid w:val="00110FF0"/>
    <w:rsid w:val="001111A0"/>
    <w:rsid w:val="001112A2"/>
    <w:rsid w:val="0011154D"/>
    <w:rsid w:val="00111BBC"/>
    <w:rsid w:val="00111C85"/>
    <w:rsid w:val="00111C9E"/>
    <w:rsid w:val="00111D7C"/>
    <w:rsid w:val="00111F43"/>
    <w:rsid w:val="00112452"/>
    <w:rsid w:val="00112519"/>
    <w:rsid w:val="00112653"/>
    <w:rsid w:val="00112761"/>
    <w:rsid w:val="00112B33"/>
    <w:rsid w:val="00112B34"/>
    <w:rsid w:val="00112FE7"/>
    <w:rsid w:val="00113038"/>
    <w:rsid w:val="00113051"/>
    <w:rsid w:val="001131B7"/>
    <w:rsid w:val="00113888"/>
    <w:rsid w:val="001139CA"/>
    <w:rsid w:val="001139E2"/>
    <w:rsid w:val="00113D7C"/>
    <w:rsid w:val="00114223"/>
    <w:rsid w:val="00114446"/>
    <w:rsid w:val="0011449A"/>
    <w:rsid w:val="00114A25"/>
    <w:rsid w:val="00114BAB"/>
    <w:rsid w:val="00114D8F"/>
    <w:rsid w:val="00114F69"/>
    <w:rsid w:val="00114FC4"/>
    <w:rsid w:val="0011505F"/>
    <w:rsid w:val="0011510C"/>
    <w:rsid w:val="001151AF"/>
    <w:rsid w:val="00115569"/>
    <w:rsid w:val="0011578E"/>
    <w:rsid w:val="001157A8"/>
    <w:rsid w:val="001157FB"/>
    <w:rsid w:val="00115967"/>
    <w:rsid w:val="00115D82"/>
    <w:rsid w:val="0011608C"/>
    <w:rsid w:val="00116177"/>
    <w:rsid w:val="001161D5"/>
    <w:rsid w:val="00116322"/>
    <w:rsid w:val="0011679D"/>
    <w:rsid w:val="001167A4"/>
    <w:rsid w:val="001167DE"/>
    <w:rsid w:val="00116983"/>
    <w:rsid w:val="00116CFC"/>
    <w:rsid w:val="00116D86"/>
    <w:rsid w:val="00116DD4"/>
    <w:rsid w:val="00116FB3"/>
    <w:rsid w:val="0011709D"/>
    <w:rsid w:val="0011753E"/>
    <w:rsid w:val="001178AF"/>
    <w:rsid w:val="00117B37"/>
    <w:rsid w:val="0012040A"/>
    <w:rsid w:val="001208F2"/>
    <w:rsid w:val="00120A09"/>
    <w:rsid w:val="00120BF5"/>
    <w:rsid w:val="00121430"/>
    <w:rsid w:val="001214A7"/>
    <w:rsid w:val="001215E4"/>
    <w:rsid w:val="0012191B"/>
    <w:rsid w:val="00121B93"/>
    <w:rsid w:val="00121BF7"/>
    <w:rsid w:val="00121C8A"/>
    <w:rsid w:val="00121CA7"/>
    <w:rsid w:val="00121EF6"/>
    <w:rsid w:val="00121F00"/>
    <w:rsid w:val="001220F7"/>
    <w:rsid w:val="0012259A"/>
    <w:rsid w:val="001226A9"/>
    <w:rsid w:val="00122720"/>
    <w:rsid w:val="00122770"/>
    <w:rsid w:val="0012279D"/>
    <w:rsid w:val="00122924"/>
    <w:rsid w:val="00123022"/>
    <w:rsid w:val="00123128"/>
    <w:rsid w:val="0012324D"/>
    <w:rsid w:val="00123448"/>
    <w:rsid w:val="001237AA"/>
    <w:rsid w:val="00123830"/>
    <w:rsid w:val="00123836"/>
    <w:rsid w:val="00123B4A"/>
    <w:rsid w:val="00123EE9"/>
    <w:rsid w:val="0012439A"/>
    <w:rsid w:val="001244F8"/>
    <w:rsid w:val="0012475A"/>
    <w:rsid w:val="00124D04"/>
    <w:rsid w:val="001250AD"/>
    <w:rsid w:val="001250CA"/>
    <w:rsid w:val="00125258"/>
    <w:rsid w:val="001254C5"/>
    <w:rsid w:val="001255F3"/>
    <w:rsid w:val="0012560E"/>
    <w:rsid w:val="001256D7"/>
    <w:rsid w:val="001257BA"/>
    <w:rsid w:val="001257E3"/>
    <w:rsid w:val="001258E8"/>
    <w:rsid w:val="001264A8"/>
    <w:rsid w:val="00126533"/>
    <w:rsid w:val="0012668A"/>
    <w:rsid w:val="001268FB"/>
    <w:rsid w:val="00126D23"/>
    <w:rsid w:val="00126D9F"/>
    <w:rsid w:val="00127187"/>
    <w:rsid w:val="001277AE"/>
    <w:rsid w:val="00127844"/>
    <w:rsid w:val="001279F3"/>
    <w:rsid w:val="00127A2C"/>
    <w:rsid w:val="00127CD0"/>
    <w:rsid w:val="00127E07"/>
    <w:rsid w:val="00127ED9"/>
    <w:rsid w:val="0013008D"/>
    <w:rsid w:val="001300E5"/>
    <w:rsid w:val="001301E9"/>
    <w:rsid w:val="001305D3"/>
    <w:rsid w:val="0013089C"/>
    <w:rsid w:val="00130B75"/>
    <w:rsid w:val="00130CF9"/>
    <w:rsid w:val="00130E0B"/>
    <w:rsid w:val="001312C2"/>
    <w:rsid w:val="00131334"/>
    <w:rsid w:val="001313D3"/>
    <w:rsid w:val="0013147C"/>
    <w:rsid w:val="001318A4"/>
    <w:rsid w:val="001318C5"/>
    <w:rsid w:val="00131913"/>
    <w:rsid w:val="0013191B"/>
    <w:rsid w:val="00131B60"/>
    <w:rsid w:val="00131F59"/>
    <w:rsid w:val="00131FDC"/>
    <w:rsid w:val="001321C9"/>
    <w:rsid w:val="001323F9"/>
    <w:rsid w:val="00132581"/>
    <w:rsid w:val="001325D3"/>
    <w:rsid w:val="001325DA"/>
    <w:rsid w:val="00132653"/>
    <w:rsid w:val="00132766"/>
    <w:rsid w:val="001328E0"/>
    <w:rsid w:val="00132EE1"/>
    <w:rsid w:val="00132F83"/>
    <w:rsid w:val="00133577"/>
    <w:rsid w:val="0013367C"/>
    <w:rsid w:val="001336FA"/>
    <w:rsid w:val="00133797"/>
    <w:rsid w:val="0013383B"/>
    <w:rsid w:val="00133958"/>
    <w:rsid w:val="001339A1"/>
    <w:rsid w:val="001339B7"/>
    <w:rsid w:val="00133F4E"/>
    <w:rsid w:val="00133F7B"/>
    <w:rsid w:val="001341F2"/>
    <w:rsid w:val="001341F7"/>
    <w:rsid w:val="00134350"/>
    <w:rsid w:val="001345BB"/>
    <w:rsid w:val="00134AA9"/>
    <w:rsid w:val="00134BED"/>
    <w:rsid w:val="001351FA"/>
    <w:rsid w:val="00135306"/>
    <w:rsid w:val="0013538A"/>
    <w:rsid w:val="001356F6"/>
    <w:rsid w:val="001358EA"/>
    <w:rsid w:val="00135B02"/>
    <w:rsid w:val="00135D90"/>
    <w:rsid w:val="00135FE8"/>
    <w:rsid w:val="00136003"/>
    <w:rsid w:val="001361B1"/>
    <w:rsid w:val="001362C4"/>
    <w:rsid w:val="001362D6"/>
    <w:rsid w:val="001367E4"/>
    <w:rsid w:val="00136C9C"/>
    <w:rsid w:val="00136F0A"/>
    <w:rsid w:val="00136FE4"/>
    <w:rsid w:val="00137233"/>
    <w:rsid w:val="001378AC"/>
    <w:rsid w:val="00137D74"/>
    <w:rsid w:val="00140096"/>
    <w:rsid w:val="001402C1"/>
    <w:rsid w:val="001404A0"/>
    <w:rsid w:val="001405EF"/>
    <w:rsid w:val="00140784"/>
    <w:rsid w:val="001407F9"/>
    <w:rsid w:val="001408D9"/>
    <w:rsid w:val="00140BD1"/>
    <w:rsid w:val="00140C5D"/>
    <w:rsid w:val="00140EC1"/>
    <w:rsid w:val="00140F92"/>
    <w:rsid w:val="00141081"/>
    <w:rsid w:val="001416EC"/>
    <w:rsid w:val="0014195A"/>
    <w:rsid w:val="001419ED"/>
    <w:rsid w:val="00141B35"/>
    <w:rsid w:val="00141E05"/>
    <w:rsid w:val="00141E62"/>
    <w:rsid w:val="00141F4D"/>
    <w:rsid w:val="00142260"/>
    <w:rsid w:val="0014246A"/>
    <w:rsid w:val="0014249C"/>
    <w:rsid w:val="0014250B"/>
    <w:rsid w:val="0014250D"/>
    <w:rsid w:val="0014259B"/>
    <w:rsid w:val="001427E5"/>
    <w:rsid w:val="001428B4"/>
    <w:rsid w:val="0014290D"/>
    <w:rsid w:val="00142B2B"/>
    <w:rsid w:val="00142BA9"/>
    <w:rsid w:val="0014335A"/>
    <w:rsid w:val="00143452"/>
    <w:rsid w:val="0014362F"/>
    <w:rsid w:val="00143708"/>
    <w:rsid w:val="00143713"/>
    <w:rsid w:val="00143941"/>
    <w:rsid w:val="00143943"/>
    <w:rsid w:val="00143961"/>
    <w:rsid w:val="001439C0"/>
    <w:rsid w:val="00143B7D"/>
    <w:rsid w:val="00143FD5"/>
    <w:rsid w:val="0014402E"/>
    <w:rsid w:val="0014424D"/>
    <w:rsid w:val="0014435C"/>
    <w:rsid w:val="001445EA"/>
    <w:rsid w:val="0014464E"/>
    <w:rsid w:val="00144703"/>
    <w:rsid w:val="001448BF"/>
    <w:rsid w:val="001449A1"/>
    <w:rsid w:val="00144A1C"/>
    <w:rsid w:val="0014508C"/>
    <w:rsid w:val="00145454"/>
    <w:rsid w:val="0014583B"/>
    <w:rsid w:val="00145EBE"/>
    <w:rsid w:val="00146239"/>
    <w:rsid w:val="00146443"/>
    <w:rsid w:val="001466F9"/>
    <w:rsid w:val="00146727"/>
    <w:rsid w:val="001467DC"/>
    <w:rsid w:val="00146897"/>
    <w:rsid w:val="00146AA9"/>
    <w:rsid w:val="00146AD7"/>
    <w:rsid w:val="00146E73"/>
    <w:rsid w:val="00146F28"/>
    <w:rsid w:val="00146FBE"/>
    <w:rsid w:val="00147205"/>
    <w:rsid w:val="0014722D"/>
    <w:rsid w:val="0014741C"/>
    <w:rsid w:val="0014748A"/>
    <w:rsid w:val="0014749C"/>
    <w:rsid w:val="00147511"/>
    <w:rsid w:val="001475F0"/>
    <w:rsid w:val="00147621"/>
    <w:rsid w:val="00147A39"/>
    <w:rsid w:val="00147D51"/>
    <w:rsid w:val="00150064"/>
    <w:rsid w:val="0015027F"/>
    <w:rsid w:val="00150309"/>
    <w:rsid w:val="001508F5"/>
    <w:rsid w:val="00150C7F"/>
    <w:rsid w:val="00150D4C"/>
    <w:rsid w:val="001510A0"/>
    <w:rsid w:val="0015130B"/>
    <w:rsid w:val="00151411"/>
    <w:rsid w:val="0015147F"/>
    <w:rsid w:val="0015184E"/>
    <w:rsid w:val="00151C90"/>
    <w:rsid w:val="00151E2B"/>
    <w:rsid w:val="00151E3B"/>
    <w:rsid w:val="00151E71"/>
    <w:rsid w:val="00151F75"/>
    <w:rsid w:val="00151F94"/>
    <w:rsid w:val="001520CA"/>
    <w:rsid w:val="00152167"/>
    <w:rsid w:val="0015217D"/>
    <w:rsid w:val="00152322"/>
    <w:rsid w:val="0015238F"/>
    <w:rsid w:val="001523DE"/>
    <w:rsid w:val="00152697"/>
    <w:rsid w:val="00152712"/>
    <w:rsid w:val="001529E8"/>
    <w:rsid w:val="00152A5B"/>
    <w:rsid w:val="00152A70"/>
    <w:rsid w:val="00152A95"/>
    <w:rsid w:val="00153245"/>
    <w:rsid w:val="00153422"/>
    <w:rsid w:val="001534DE"/>
    <w:rsid w:val="001535B8"/>
    <w:rsid w:val="0015369E"/>
    <w:rsid w:val="00153830"/>
    <w:rsid w:val="001540C3"/>
    <w:rsid w:val="001541B7"/>
    <w:rsid w:val="001541C4"/>
    <w:rsid w:val="00154466"/>
    <w:rsid w:val="00154623"/>
    <w:rsid w:val="001548CC"/>
    <w:rsid w:val="00154D8D"/>
    <w:rsid w:val="00154F14"/>
    <w:rsid w:val="00154F58"/>
    <w:rsid w:val="001551E7"/>
    <w:rsid w:val="00155972"/>
    <w:rsid w:val="00155C88"/>
    <w:rsid w:val="00155DC1"/>
    <w:rsid w:val="00155E82"/>
    <w:rsid w:val="00156567"/>
    <w:rsid w:val="00156AD5"/>
    <w:rsid w:val="00156D61"/>
    <w:rsid w:val="00156E59"/>
    <w:rsid w:val="00156E98"/>
    <w:rsid w:val="0015728F"/>
    <w:rsid w:val="0015731C"/>
    <w:rsid w:val="00157537"/>
    <w:rsid w:val="00157600"/>
    <w:rsid w:val="00157732"/>
    <w:rsid w:val="00157A86"/>
    <w:rsid w:val="00160281"/>
    <w:rsid w:val="001602BD"/>
    <w:rsid w:val="0016043B"/>
    <w:rsid w:val="001604F3"/>
    <w:rsid w:val="00160720"/>
    <w:rsid w:val="001607F3"/>
    <w:rsid w:val="001608D9"/>
    <w:rsid w:val="00160900"/>
    <w:rsid w:val="00160F24"/>
    <w:rsid w:val="00160FE2"/>
    <w:rsid w:val="00161582"/>
    <w:rsid w:val="001616CA"/>
    <w:rsid w:val="00161821"/>
    <w:rsid w:val="0016190E"/>
    <w:rsid w:val="00161A67"/>
    <w:rsid w:val="00161BE5"/>
    <w:rsid w:val="00161D68"/>
    <w:rsid w:val="00161EB2"/>
    <w:rsid w:val="00162246"/>
    <w:rsid w:val="00162488"/>
    <w:rsid w:val="00162F10"/>
    <w:rsid w:val="00162FA2"/>
    <w:rsid w:val="00162FC7"/>
    <w:rsid w:val="0016337D"/>
    <w:rsid w:val="0016387F"/>
    <w:rsid w:val="00163928"/>
    <w:rsid w:val="00163A14"/>
    <w:rsid w:val="00163AE9"/>
    <w:rsid w:val="00163C12"/>
    <w:rsid w:val="00164166"/>
    <w:rsid w:val="00164250"/>
    <w:rsid w:val="001642AF"/>
    <w:rsid w:val="001645CC"/>
    <w:rsid w:val="00164637"/>
    <w:rsid w:val="0016464C"/>
    <w:rsid w:val="001647DC"/>
    <w:rsid w:val="00164ABC"/>
    <w:rsid w:val="00164E11"/>
    <w:rsid w:val="00164FBE"/>
    <w:rsid w:val="00165495"/>
    <w:rsid w:val="001659E9"/>
    <w:rsid w:val="00165A38"/>
    <w:rsid w:val="00165BAA"/>
    <w:rsid w:val="00165FCA"/>
    <w:rsid w:val="00166090"/>
    <w:rsid w:val="0016687C"/>
    <w:rsid w:val="001668EE"/>
    <w:rsid w:val="00166B31"/>
    <w:rsid w:val="00166EB6"/>
    <w:rsid w:val="00166EE4"/>
    <w:rsid w:val="0016757C"/>
    <w:rsid w:val="0016778D"/>
    <w:rsid w:val="00167790"/>
    <w:rsid w:val="00167990"/>
    <w:rsid w:val="00167B45"/>
    <w:rsid w:val="00167BE1"/>
    <w:rsid w:val="00167E99"/>
    <w:rsid w:val="001702EE"/>
    <w:rsid w:val="00170773"/>
    <w:rsid w:val="001709EF"/>
    <w:rsid w:val="00170C21"/>
    <w:rsid w:val="00170E58"/>
    <w:rsid w:val="001712BC"/>
    <w:rsid w:val="00171648"/>
    <w:rsid w:val="00171921"/>
    <w:rsid w:val="00171CB3"/>
    <w:rsid w:val="001724A5"/>
    <w:rsid w:val="00172747"/>
    <w:rsid w:val="0017293C"/>
    <w:rsid w:val="00172BBF"/>
    <w:rsid w:val="00172E09"/>
    <w:rsid w:val="00172F28"/>
    <w:rsid w:val="001730DA"/>
    <w:rsid w:val="00173382"/>
    <w:rsid w:val="0017350E"/>
    <w:rsid w:val="00173601"/>
    <w:rsid w:val="00173659"/>
    <w:rsid w:val="001738FE"/>
    <w:rsid w:val="00173936"/>
    <w:rsid w:val="00173EAD"/>
    <w:rsid w:val="00173ED4"/>
    <w:rsid w:val="00173F8A"/>
    <w:rsid w:val="001742DC"/>
    <w:rsid w:val="0017431B"/>
    <w:rsid w:val="00174370"/>
    <w:rsid w:val="00174BEE"/>
    <w:rsid w:val="00174C1F"/>
    <w:rsid w:val="00174C58"/>
    <w:rsid w:val="001750E6"/>
    <w:rsid w:val="0017545D"/>
    <w:rsid w:val="00175486"/>
    <w:rsid w:val="001755A5"/>
    <w:rsid w:val="00175B00"/>
    <w:rsid w:val="00175B58"/>
    <w:rsid w:val="00175F6E"/>
    <w:rsid w:val="00176428"/>
    <w:rsid w:val="001764D7"/>
    <w:rsid w:val="00176952"/>
    <w:rsid w:val="00176C26"/>
    <w:rsid w:val="00176DAB"/>
    <w:rsid w:val="00176F0E"/>
    <w:rsid w:val="00177066"/>
    <w:rsid w:val="0017715C"/>
    <w:rsid w:val="0017723B"/>
    <w:rsid w:val="00177285"/>
    <w:rsid w:val="00177555"/>
    <w:rsid w:val="00177773"/>
    <w:rsid w:val="00177EEE"/>
    <w:rsid w:val="001801C9"/>
    <w:rsid w:val="001805EA"/>
    <w:rsid w:val="00180785"/>
    <w:rsid w:val="00180975"/>
    <w:rsid w:val="001809F8"/>
    <w:rsid w:val="00180BD1"/>
    <w:rsid w:val="00180BFE"/>
    <w:rsid w:val="00181189"/>
    <w:rsid w:val="0018120A"/>
    <w:rsid w:val="00181327"/>
    <w:rsid w:val="001813A7"/>
    <w:rsid w:val="00181690"/>
    <w:rsid w:val="001817F4"/>
    <w:rsid w:val="00181898"/>
    <w:rsid w:val="00181A93"/>
    <w:rsid w:val="00181D63"/>
    <w:rsid w:val="00181E1F"/>
    <w:rsid w:val="00181E76"/>
    <w:rsid w:val="001820A8"/>
    <w:rsid w:val="001825FC"/>
    <w:rsid w:val="00182805"/>
    <w:rsid w:val="0018285B"/>
    <w:rsid w:val="001835BF"/>
    <w:rsid w:val="0018375F"/>
    <w:rsid w:val="00183DE5"/>
    <w:rsid w:val="00184241"/>
    <w:rsid w:val="001843E9"/>
    <w:rsid w:val="00184455"/>
    <w:rsid w:val="001846E2"/>
    <w:rsid w:val="00184909"/>
    <w:rsid w:val="00184C92"/>
    <w:rsid w:val="001851CC"/>
    <w:rsid w:val="001854B7"/>
    <w:rsid w:val="00185B5D"/>
    <w:rsid w:val="00185D46"/>
    <w:rsid w:val="00185DF8"/>
    <w:rsid w:val="00185F93"/>
    <w:rsid w:val="00186121"/>
    <w:rsid w:val="00186161"/>
    <w:rsid w:val="001863CF"/>
    <w:rsid w:val="00186477"/>
    <w:rsid w:val="00186698"/>
    <w:rsid w:val="001866D4"/>
    <w:rsid w:val="00186724"/>
    <w:rsid w:val="0018680D"/>
    <w:rsid w:val="00186B74"/>
    <w:rsid w:val="00186F91"/>
    <w:rsid w:val="001874BF"/>
    <w:rsid w:val="00187535"/>
    <w:rsid w:val="00187C46"/>
    <w:rsid w:val="00187FCE"/>
    <w:rsid w:val="001902D3"/>
    <w:rsid w:val="001905CC"/>
    <w:rsid w:val="00190D07"/>
    <w:rsid w:val="00190D68"/>
    <w:rsid w:val="00190DDE"/>
    <w:rsid w:val="00190FF0"/>
    <w:rsid w:val="0019102A"/>
    <w:rsid w:val="001910B7"/>
    <w:rsid w:val="0019129D"/>
    <w:rsid w:val="0019149A"/>
    <w:rsid w:val="00191965"/>
    <w:rsid w:val="00191980"/>
    <w:rsid w:val="00191CF4"/>
    <w:rsid w:val="00191E2D"/>
    <w:rsid w:val="00191F3A"/>
    <w:rsid w:val="00191FD4"/>
    <w:rsid w:val="00191FEA"/>
    <w:rsid w:val="00192407"/>
    <w:rsid w:val="00192589"/>
    <w:rsid w:val="0019282B"/>
    <w:rsid w:val="001928C7"/>
    <w:rsid w:val="0019296C"/>
    <w:rsid w:val="001929AD"/>
    <w:rsid w:val="001929F4"/>
    <w:rsid w:val="00192A8B"/>
    <w:rsid w:val="00192C06"/>
    <w:rsid w:val="00192CE3"/>
    <w:rsid w:val="00192DC1"/>
    <w:rsid w:val="00192FF7"/>
    <w:rsid w:val="001930BB"/>
    <w:rsid w:val="00193837"/>
    <w:rsid w:val="00193B87"/>
    <w:rsid w:val="00193E7B"/>
    <w:rsid w:val="001941FE"/>
    <w:rsid w:val="001942DA"/>
    <w:rsid w:val="00194329"/>
    <w:rsid w:val="001946F8"/>
    <w:rsid w:val="00194863"/>
    <w:rsid w:val="001949FA"/>
    <w:rsid w:val="00194AB4"/>
    <w:rsid w:val="00194C05"/>
    <w:rsid w:val="00194DF3"/>
    <w:rsid w:val="00195899"/>
    <w:rsid w:val="00195A50"/>
    <w:rsid w:val="00195A8B"/>
    <w:rsid w:val="00195A98"/>
    <w:rsid w:val="0019603F"/>
    <w:rsid w:val="00196255"/>
    <w:rsid w:val="0019636A"/>
    <w:rsid w:val="00196536"/>
    <w:rsid w:val="00196739"/>
    <w:rsid w:val="00196B92"/>
    <w:rsid w:val="001972D6"/>
    <w:rsid w:val="001972F4"/>
    <w:rsid w:val="001974F7"/>
    <w:rsid w:val="00197678"/>
    <w:rsid w:val="001976BD"/>
    <w:rsid w:val="00197851"/>
    <w:rsid w:val="00197A03"/>
    <w:rsid w:val="00197B62"/>
    <w:rsid w:val="00197BD7"/>
    <w:rsid w:val="00197C6C"/>
    <w:rsid w:val="00197CE1"/>
    <w:rsid w:val="00197F9A"/>
    <w:rsid w:val="001A0349"/>
    <w:rsid w:val="001A034A"/>
    <w:rsid w:val="001A0482"/>
    <w:rsid w:val="001A090C"/>
    <w:rsid w:val="001A09A2"/>
    <w:rsid w:val="001A0A78"/>
    <w:rsid w:val="001A0B4C"/>
    <w:rsid w:val="001A0C6A"/>
    <w:rsid w:val="001A0E17"/>
    <w:rsid w:val="001A0F08"/>
    <w:rsid w:val="001A1216"/>
    <w:rsid w:val="001A1883"/>
    <w:rsid w:val="001A18F8"/>
    <w:rsid w:val="001A190E"/>
    <w:rsid w:val="001A1B56"/>
    <w:rsid w:val="001A20A3"/>
    <w:rsid w:val="001A20BA"/>
    <w:rsid w:val="001A214F"/>
    <w:rsid w:val="001A2164"/>
    <w:rsid w:val="001A231B"/>
    <w:rsid w:val="001A23C6"/>
    <w:rsid w:val="001A2788"/>
    <w:rsid w:val="001A27E3"/>
    <w:rsid w:val="001A2911"/>
    <w:rsid w:val="001A293C"/>
    <w:rsid w:val="001A2B29"/>
    <w:rsid w:val="001A2B87"/>
    <w:rsid w:val="001A2FDE"/>
    <w:rsid w:val="001A3062"/>
    <w:rsid w:val="001A31AD"/>
    <w:rsid w:val="001A32CA"/>
    <w:rsid w:val="001A36A8"/>
    <w:rsid w:val="001A38E0"/>
    <w:rsid w:val="001A3D5F"/>
    <w:rsid w:val="001A3D82"/>
    <w:rsid w:val="001A3EAC"/>
    <w:rsid w:val="001A42A6"/>
    <w:rsid w:val="001A480E"/>
    <w:rsid w:val="001A4A6A"/>
    <w:rsid w:val="001A4A6B"/>
    <w:rsid w:val="001A500B"/>
    <w:rsid w:val="001A5166"/>
    <w:rsid w:val="001A5333"/>
    <w:rsid w:val="001A59DB"/>
    <w:rsid w:val="001A5F03"/>
    <w:rsid w:val="001A5FDA"/>
    <w:rsid w:val="001A606F"/>
    <w:rsid w:val="001A6183"/>
    <w:rsid w:val="001A6AC1"/>
    <w:rsid w:val="001A6E30"/>
    <w:rsid w:val="001A7102"/>
    <w:rsid w:val="001A71E8"/>
    <w:rsid w:val="001A739E"/>
    <w:rsid w:val="001A7727"/>
    <w:rsid w:val="001A7AC3"/>
    <w:rsid w:val="001B0030"/>
    <w:rsid w:val="001B03A2"/>
    <w:rsid w:val="001B08FB"/>
    <w:rsid w:val="001B10C0"/>
    <w:rsid w:val="001B10CC"/>
    <w:rsid w:val="001B15C1"/>
    <w:rsid w:val="001B1607"/>
    <w:rsid w:val="001B186D"/>
    <w:rsid w:val="001B191A"/>
    <w:rsid w:val="001B191D"/>
    <w:rsid w:val="001B1EC8"/>
    <w:rsid w:val="001B219E"/>
    <w:rsid w:val="001B24E0"/>
    <w:rsid w:val="001B26E2"/>
    <w:rsid w:val="001B2DF5"/>
    <w:rsid w:val="001B34A1"/>
    <w:rsid w:val="001B35BA"/>
    <w:rsid w:val="001B35DC"/>
    <w:rsid w:val="001B3894"/>
    <w:rsid w:val="001B39C9"/>
    <w:rsid w:val="001B4195"/>
    <w:rsid w:val="001B4301"/>
    <w:rsid w:val="001B459B"/>
    <w:rsid w:val="001B469D"/>
    <w:rsid w:val="001B4972"/>
    <w:rsid w:val="001B534D"/>
    <w:rsid w:val="001B54DC"/>
    <w:rsid w:val="001B54F5"/>
    <w:rsid w:val="001B5520"/>
    <w:rsid w:val="001B58BD"/>
    <w:rsid w:val="001B5990"/>
    <w:rsid w:val="001B5BD8"/>
    <w:rsid w:val="001B5D99"/>
    <w:rsid w:val="001B5FB5"/>
    <w:rsid w:val="001B6131"/>
    <w:rsid w:val="001B62CC"/>
    <w:rsid w:val="001B62EC"/>
    <w:rsid w:val="001B67FD"/>
    <w:rsid w:val="001B681A"/>
    <w:rsid w:val="001B6A0B"/>
    <w:rsid w:val="001B6A5D"/>
    <w:rsid w:val="001B6B90"/>
    <w:rsid w:val="001B7B31"/>
    <w:rsid w:val="001C0013"/>
    <w:rsid w:val="001C0017"/>
    <w:rsid w:val="001C0126"/>
    <w:rsid w:val="001C0328"/>
    <w:rsid w:val="001C12E1"/>
    <w:rsid w:val="001C18A5"/>
    <w:rsid w:val="001C19ED"/>
    <w:rsid w:val="001C1A34"/>
    <w:rsid w:val="001C1F5E"/>
    <w:rsid w:val="001C2432"/>
    <w:rsid w:val="001C26BA"/>
    <w:rsid w:val="001C2900"/>
    <w:rsid w:val="001C2D16"/>
    <w:rsid w:val="001C2D40"/>
    <w:rsid w:val="001C3290"/>
    <w:rsid w:val="001C343A"/>
    <w:rsid w:val="001C363A"/>
    <w:rsid w:val="001C38BC"/>
    <w:rsid w:val="001C3B58"/>
    <w:rsid w:val="001C3BCF"/>
    <w:rsid w:val="001C3D4A"/>
    <w:rsid w:val="001C3E69"/>
    <w:rsid w:val="001C4049"/>
    <w:rsid w:val="001C425D"/>
    <w:rsid w:val="001C43B0"/>
    <w:rsid w:val="001C444D"/>
    <w:rsid w:val="001C44C8"/>
    <w:rsid w:val="001C47FB"/>
    <w:rsid w:val="001C4C59"/>
    <w:rsid w:val="001C52A1"/>
    <w:rsid w:val="001C52D9"/>
    <w:rsid w:val="001C543C"/>
    <w:rsid w:val="001C55A8"/>
    <w:rsid w:val="001C5972"/>
    <w:rsid w:val="001C5987"/>
    <w:rsid w:val="001C59E9"/>
    <w:rsid w:val="001C5A3F"/>
    <w:rsid w:val="001C5E28"/>
    <w:rsid w:val="001C6155"/>
    <w:rsid w:val="001C61C5"/>
    <w:rsid w:val="001C6608"/>
    <w:rsid w:val="001C6613"/>
    <w:rsid w:val="001C6651"/>
    <w:rsid w:val="001C66DF"/>
    <w:rsid w:val="001C6DA1"/>
    <w:rsid w:val="001C6E73"/>
    <w:rsid w:val="001C7600"/>
    <w:rsid w:val="001C760C"/>
    <w:rsid w:val="001C7702"/>
    <w:rsid w:val="001C7ACF"/>
    <w:rsid w:val="001C7E32"/>
    <w:rsid w:val="001D0670"/>
    <w:rsid w:val="001D0926"/>
    <w:rsid w:val="001D0B76"/>
    <w:rsid w:val="001D0C7C"/>
    <w:rsid w:val="001D0C9F"/>
    <w:rsid w:val="001D0CD7"/>
    <w:rsid w:val="001D104C"/>
    <w:rsid w:val="001D1102"/>
    <w:rsid w:val="001D11E0"/>
    <w:rsid w:val="001D11E5"/>
    <w:rsid w:val="001D1350"/>
    <w:rsid w:val="001D1490"/>
    <w:rsid w:val="001D19EE"/>
    <w:rsid w:val="001D1BE0"/>
    <w:rsid w:val="001D20D4"/>
    <w:rsid w:val="001D2138"/>
    <w:rsid w:val="001D233A"/>
    <w:rsid w:val="001D24F9"/>
    <w:rsid w:val="001D253F"/>
    <w:rsid w:val="001D2664"/>
    <w:rsid w:val="001D2670"/>
    <w:rsid w:val="001D26AF"/>
    <w:rsid w:val="001D28F2"/>
    <w:rsid w:val="001D2959"/>
    <w:rsid w:val="001D2E71"/>
    <w:rsid w:val="001D3118"/>
    <w:rsid w:val="001D314A"/>
    <w:rsid w:val="001D31EE"/>
    <w:rsid w:val="001D3391"/>
    <w:rsid w:val="001D3809"/>
    <w:rsid w:val="001D3884"/>
    <w:rsid w:val="001D44DC"/>
    <w:rsid w:val="001D46AD"/>
    <w:rsid w:val="001D4B6C"/>
    <w:rsid w:val="001D4C65"/>
    <w:rsid w:val="001D4C86"/>
    <w:rsid w:val="001D4E57"/>
    <w:rsid w:val="001D4EC8"/>
    <w:rsid w:val="001D4F52"/>
    <w:rsid w:val="001D5063"/>
    <w:rsid w:val="001D51BC"/>
    <w:rsid w:val="001D52E2"/>
    <w:rsid w:val="001D53BA"/>
    <w:rsid w:val="001D549F"/>
    <w:rsid w:val="001D55C3"/>
    <w:rsid w:val="001D56EF"/>
    <w:rsid w:val="001D570E"/>
    <w:rsid w:val="001D58C4"/>
    <w:rsid w:val="001D5FC8"/>
    <w:rsid w:val="001D69F0"/>
    <w:rsid w:val="001D6A00"/>
    <w:rsid w:val="001D6A97"/>
    <w:rsid w:val="001D6C8A"/>
    <w:rsid w:val="001D6D37"/>
    <w:rsid w:val="001D6DA5"/>
    <w:rsid w:val="001D72CE"/>
    <w:rsid w:val="001D740F"/>
    <w:rsid w:val="001D7413"/>
    <w:rsid w:val="001D77FD"/>
    <w:rsid w:val="001D7939"/>
    <w:rsid w:val="001D7C5F"/>
    <w:rsid w:val="001D7DB1"/>
    <w:rsid w:val="001D7ED3"/>
    <w:rsid w:val="001E0130"/>
    <w:rsid w:val="001E038D"/>
    <w:rsid w:val="001E0496"/>
    <w:rsid w:val="001E0A38"/>
    <w:rsid w:val="001E0B3D"/>
    <w:rsid w:val="001E0B4E"/>
    <w:rsid w:val="001E0D55"/>
    <w:rsid w:val="001E0E26"/>
    <w:rsid w:val="001E0FA1"/>
    <w:rsid w:val="001E14E7"/>
    <w:rsid w:val="001E159D"/>
    <w:rsid w:val="001E1622"/>
    <w:rsid w:val="001E1FBA"/>
    <w:rsid w:val="001E2087"/>
    <w:rsid w:val="001E20E1"/>
    <w:rsid w:val="001E2147"/>
    <w:rsid w:val="001E223D"/>
    <w:rsid w:val="001E2275"/>
    <w:rsid w:val="001E250C"/>
    <w:rsid w:val="001E2AB3"/>
    <w:rsid w:val="001E2BE6"/>
    <w:rsid w:val="001E2C0D"/>
    <w:rsid w:val="001E2C57"/>
    <w:rsid w:val="001E2CB5"/>
    <w:rsid w:val="001E2CF1"/>
    <w:rsid w:val="001E2D59"/>
    <w:rsid w:val="001E2D86"/>
    <w:rsid w:val="001E2E13"/>
    <w:rsid w:val="001E3028"/>
    <w:rsid w:val="001E308F"/>
    <w:rsid w:val="001E3149"/>
    <w:rsid w:val="001E3176"/>
    <w:rsid w:val="001E34A0"/>
    <w:rsid w:val="001E3726"/>
    <w:rsid w:val="001E3851"/>
    <w:rsid w:val="001E3869"/>
    <w:rsid w:val="001E38AB"/>
    <w:rsid w:val="001E3A4F"/>
    <w:rsid w:val="001E3ACF"/>
    <w:rsid w:val="001E3DBD"/>
    <w:rsid w:val="001E3E54"/>
    <w:rsid w:val="001E4205"/>
    <w:rsid w:val="001E4395"/>
    <w:rsid w:val="001E46D2"/>
    <w:rsid w:val="001E4EB4"/>
    <w:rsid w:val="001E4EC1"/>
    <w:rsid w:val="001E5052"/>
    <w:rsid w:val="001E51CC"/>
    <w:rsid w:val="001E5306"/>
    <w:rsid w:val="001E55CE"/>
    <w:rsid w:val="001E5764"/>
    <w:rsid w:val="001E6006"/>
    <w:rsid w:val="001E6143"/>
    <w:rsid w:val="001E64CA"/>
    <w:rsid w:val="001E67BE"/>
    <w:rsid w:val="001E6824"/>
    <w:rsid w:val="001E68D7"/>
    <w:rsid w:val="001E6F45"/>
    <w:rsid w:val="001E71E4"/>
    <w:rsid w:val="001E71FC"/>
    <w:rsid w:val="001E7233"/>
    <w:rsid w:val="001E737A"/>
    <w:rsid w:val="001E74A2"/>
    <w:rsid w:val="001E7518"/>
    <w:rsid w:val="001E751A"/>
    <w:rsid w:val="001E76D0"/>
    <w:rsid w:val="001E775C"/>
    <w:rsid w:val="001E79BF"/>
    <w:rsid w:val="001E79DC"/>
    <w:rsid w:val="001E7AA2"/>
    <w:rsid w:val="001E7CF6"/>
    <w:rsid w:val="001F05B9"/>
    <w:rsid w:val="001F079F"/>
    <w:rsid w:val="001F0AB9"/>
    <w:rsid w:val="001F0BEA"/>
    <w:rsid w:val="001F10F5"/>
    <w:rsid w:val="001F125C"/>
    <w:rsid w:val="001F13B3"/>
    <w:rsid w:val="001F15AD"/>
    <w:rsid w:val="001F190F"/>
    <w:rsid w:val="001F1A5F"/>
    <w:rsid w:val="001F1BB0"/>
    <w:rsid w:val="001F1DDF"/>
    <w:rsid w:val="001F1F98"/>
    <w:rsid w:val="001F2037"/>
    <w:rsid w:val="001F2272"/>
    <w:rsid w:val="001F23E6"/>
    <w:rsid w:val="001F26CD"/>
    <w:rsid w:val="001F277D"/>
    <w:rsid w:val="001F2CB8"/>
    <w:rsid w:val="001F2E18"/>
    <w:rsid w:val="001F3058"/>
    <w:rsid w:val="001F317A"/>
    <w:rsid w:val="001F3233"/>
    <w:rsid w:val="001F337E"/>
    <w:rsid w:val="001F35DF"/>
    <w:rsid w:val="001F3A44"/>
    <w:rsid w:val="001F3D0F"/>
    <w:rsid w:val="001F3E06"/>
    <w:rsid w:val="001F4041"/>
    <w:rsid w:val="001F4223"/>
    <w:rsid w:val="001F44E2"/>
    <w:rsid w:val="001F45F8"/>
    <w:rsid w:val="001F468A"/>
    <w:rsid w:val="001F4C2C"/>
    <w:rsid w:val="001F4D1E"/>
    <w:rsid w:val="001F4FF6"/>
    <w:rsid w:val="001F53FB"/>
    <w:rsid w:val="001F543D"/>
    <w:rsid w:val="001F5D69"/>
    <w:rsid w:val="001F5E0C"/>
    <w:rsid w:val="001F5ED0"/>
    <w:rsid w:val="001F6012"/>
    <w:rsid w:val="001F63EC"/>
    <w:rsid w:val="001F6591"/>
    <w:rsid w:val="001F6FD5"/>
    <w:rsid w:val="001F7151"/>
    <w:rsid w:val="001F7215"/>
    <w:rsid w:val="001F7468"/>
    <w:rsid w:val="001F7908"/>
    <w:rsid w:val="001F7A3A"/>
    <w:rsid w:val="001F7D32"/>
    <w:rsid w:val="001F7ED0"/>
    <w:rsid w:val="001F7F7E"/>
    <w:rsid w:val="0020005F"/>
    <w:rsid w:val="00200064"/>
    <w:rsid w:val="0020007C"/>
    <w:rsid w:val="002000F9"/>
    <w:rsid w:val="002000FA"/>
    <w:rsid w:val="00200251"/>
    <w:rsid w:val="002007C8"/>
    <w:rsid w:val="0020089C"/>
    <w:rsid w:val="00200D95"/>
    <w:rsid w:val="00201129"/>
    <w:rsid w:val="002013F7"/>
    <w:rsid w:val="002016BE"/>
    <w:rsid w:val="00201943"/>
    <w:rsid w:val="00201AFE"/>
    <w:rsid w:val="00201B05"/>
    <w:rsid w:val="00201F20"/>
    <w:rsid w:val="00202258"/>
    <w:rsid w:val="00202280"/>
    <w:rsid w:val="0020246A"/>
    <w:rsid w:val="002026B9"/>
    <w:rsid w:val="0020275F"/>
    <w:rsid w:val="0020283B"/>
    <w:rsid w:val="00202891"/>
    <w:rsid w:val="00202D78"/>
    <w:rsid w:val="00202EBA"/>
    <w:rsid w:val="00203013"/>
    <w:rsid w:val="0020329E"/>
    <w:rsid w:val="002036B9"/>
    <w:rsid w:val="0020384D"/>
    <w:rsid w:val="00203A83"/>
    <w:rsid w:val="00203CEB"/>
    <w:rsid w:val="00204130"/>
    <w:rsid w:val="00204402"/>
    <w:rsid w:val="002044E1"/>
    <w:rsid w:val="002047A3"/>
    <w:rsid w:val="00204AA9"/>
    <w:rsid w:val="00204AB9"/>
    <w:rsid w:val="00204C07"/>
    <w:rsid w:val="00204CAD"/>
    <w:rsid w:val="00204CEB"/>
    <w:rsid w:val="00204D40"/>
    <w:rsid w:val="00205042"/>
    <w:rsid w:val="00205170"/>
    <w:rsid w:val="00205537"/>
    <w:rsid w:val="0020586B"/>
    <w:rsid w:val="00205C83"/>
    <w:rsid w:val="00205D9D"/>
    <w:rsid w:val="0020610A"/>
    <w:rsid w:val="002062F4"/>
    <w:rsid w:val="002063E7"/>
    <w:rsid w:val="00207058"/>
    <w:rsid w:val="00207121"/>
    <w:rsid w:val="00207663"/>
    <w:rsid w:val="00207AF0"/>
    <w:rsid w:val="00207E8D"/>
    <w:rsid w:val="0021004D"/>
    <w:rsid w:val="00210065"/>
    <w:rsid w:val="0021029C"/>
    <w:rsid w:val="0021046C"/>
    <w:rsid w:val="002105AF"/>
    <w:rsid w:val="002106EF"/>
    <w:rsid w:val="00210CAA"/>
    <w:rsid w:val="00210CDE"/>
    <w:rsid w:val="00210E01"/>
    <w:rsid w:val="002114A4"/>
    <w:rsid w:val="002119A9"/>
    <w:rsid w:val="00211B71"/>
    <w:rsid w:val="00211EE0"/>
    <w:rsid w:val="00211F6A"/>
    <w:rsid w:val="00211F83"/>
    <w:rsid w:val="0021216C"/>
    <w:rsid w:val="0021228E"/>
    <w:rsid w:val="00212326"/>
    <w:rsid w:val="002127BC"/>
    <w:rsid w:val="002127DC"/>
    <w:rsid w:val="002128A0"/>
    <w:rsid w:val="00212CF7"/>
    <w:rsid w:val="00213197"/>
    <w:rsid w:val="002136A0"/>
    <w:rsid w:val="002136F4"/>
    <w:rsid w:val="00213B0D"/>
    <w:rsid w:val="00213BEF"/>
    <w:rsid w:val="00213D1A"/>
    <w:rsid w:val="00214104"/>
    <w:rsid w:val="0021428E"/>
    <w:rsid w:val="00214607"/>
    <w:rsid w:val="002149D8"/>
    <w:rsid w:val="00214AFA"/>
    <w:rsid w:val="00214DBB"/>
    <w:rsid w:val="00214ECF"/>
    <w:rsid w:val="0021503E"/>
    <w:rsid w:val="00215279"/>
    <w:rsid w:val="002152A2"/>
    <w:rsid w:val="002157CE"/>
    <w:rsid w:val="00215CF4"/>
    <w:rsid w:val="0021646F"/>
    <w:rsid w:val="002169F2"/>
    <w:rsid w:val="00216BF4"/>
    <w:rsid w:val="00216D11"/>
    <w:rsid w:val="00216F65"/>
    <w:rsid w:val="002173C4"/>
    <w:rsid w:val="0021755A"/>
    <w:rsid w:val="002175E0"/>
    <w:rsid w:val="00217709"/>
    <w:rsid w:val="0021797C"/>
    <w:rsid w:val="00217CBA"/>
    <w:rsid w:val="00217DA1"/>
    <w:rsid w:val="00217DEA"/>
    <w:rsid w:val="00220209"/>
    <w:rsid w:val="00220325"/>
    <w:rsid w:val="002204EF"/>
    <w:rsid w:val="002206EA"/>
    <w:rsid w:val="00220B01"/>
    <w:rsid w:val="00220BCC"/>
    <w:rsid w:val="00220CF3"/>
    <w:rsid w:val="00221419"/>
    <w:rsid w:val="002215CD"/>
    <w:rsid w:val="002216A4"/>
    <w:rsid w:val="002217C8"/>
    <w:rsid w:val="002219C2"/>
    <w:rsid w:val="00221A8E"/>
    <w:rsid w:val="00221B7A"/>
    <w:rsid w:val="00222002"/>
    <w:rsid w:val="00222055"/>
    <w:rsid w:val="0022210D"/>
    <w:rsid w:val="0022247E"/>
    <w:rsid w:val="002224CA"/>
    <w:rsid w:val="00222623"/>
    <w:rsid w:val="002229ED"/>
    <w:rsid w:val="00222E62"/>
    <w:rsid w:val="00223172"/>
    <w:rsid w:val="00223282"/>
    <w:rsid w:val="0022353A"/>
    <w:rsid w:val="002235A8"/>
    <w:rsid w:val="002237B7"/>
    <w:rsid w:val="00223CA4"/>
    <w:rsid w:val="00223CC6"/>
    <w:rsid w:val="00224046"/>
    <w:rsid w:val="00224217"/>
    <w:rsid w:val="0022428C"/>
    <w:rsid w:val="00224578"/>
    <w:rsid w:val="002245BB"/>
    <w:rsid w:val="002247C0"/>
    <w:rsid w:val="00224834"/>
    <w:rsid w:val="0022488F"/>
    <w:rsid w:val="00224A4E"/>
    <w:rsid w:val="00224B2D"/>
    <w:rsid w:val="00224C9E"/>
    <w:rsid w:val="00224DA0"/>
    <w:rsid w:val="00224E25"/>
    <w:rsid w:val="0022511E"/>
    <w:rsid w:val="002251F5"/>
    <w:rsid w:val="00225317"/>
    <w:rsid w:val="0022533F"/>
    <w:rsid w:val="0022535E"/>
    <w:rsid w:val="002256D9"/>
    <w:rsid w:val="002257E1"/>
    <w:rsid w:val="00225919"/>
    <w:rsid w:val="00225DD3"/>
    <w:rsid w:val="00225E02"/>
    <w:rsid w:val="00225E30"/>
    <w:rsid w:val="00225F0C"/>
    <w:rsid w:val="00225F4C"/>
    <w:rsid w:val="00226095"/>
    <w:rsid w:val="002260A7"/>
    <w:rsid w:val="002264A0"/>
    <w:rsid w:val="00226546"/>
    <w:rsid w:val="002266E6"/>
    <w:rsid w:val="00226873"/>
    <w:rsid w:val="00226E03"/>
    <w:rsid w:val="00226EA4"/>
    <w:rsid w:val="00227311"/>
    <w:rsid w:val="00227521"/>
    <w:rsid w:val="002275F2"/>
    <w:rsid w:val="00227911"/>
    <w:rsid w:val="00227938"/>
    <w:rsid w:val="00227A37"/>
    <w:rsid w:val="00227B1B"/>
    <w:rsid w:val="00227BE3"/>
    <w:rsid w:val="00227DDC"/>
    <w:rsid w:val="002300C5"/>
    <w:rsid w:val="00230416"/>
    <w:rsid w:val="00230453"/>
    <w:rsid w:val="002307FC"/>
    <w:rsid w:val="00230A4E"/>
    <w:rsid w:val="00230B15"/>
    <w:rsid w:val="00230BF4"/>
    <w:rsid w:val="00230E76"/>
    <w:rsid w:val="00230EC8"/>
    <w:rsid w:val="00230F85"/>
    <w:rsid w:val="00231076"/>
    <w:rsid w:val="00231496"/>
    <w:rsid w:val="002317C7"/>
    <w:rsid w:val="0023190C"/>
    <w:rsid w:val="00231CDE"/>
    <w:rsid w:val="00231D21"/>
    <w:rsid w:val="00231D6B"/>
    <w:rsid w:val="0023206F"/>
    <w:rsid w:val="00232185"/>
    <w:rsid w:val="0023221B"/>
    <w:rsid w:val="0023226F"/>
    <w:rsid w:val="0023247A"/>
    <w:rsid w:val="002326D7"/>
    <w:rsid w:val="002328EF"/>
    <w:rsid w:val="002329F6"/>
    <w:rsid w:val="00232BDF"/>
    <w:rsid w:val="00232C85"/>
    <w:rsid w:val="00232C86"/>
    <w:rsid w:val="00232CEC"/>
    <w:rsid w:val="00232D1C"/>
    <w:rsid w:val="00232EC7"/>
    <w:rsid w:val="00232FED"/>
    <w:rsid w:val="0023311C"/>
    <w:rsid w:val="00233126"/>
    <w:rsid w:val="00233629"/>
    <w:rsid w:val="002337A8"/>
    <w:rsid w:val="002337BC"/>
    <w:rsid w:val="00233B2B"/>
    <w:rsid w:val="002340DF"/>
    <w:rsid w:val="002341CD"/>
    <w:rsid w:val="0023434D"/>
    <w:rsid w:val="002344F8"/>
    <w:rsid w:val="00234B80"/>
    <w:rsid w:val="00234E53"/>
    <w:rsid w:val="00234ED1"/>
    <w:rsid w:val="00235056"/>
    <w:rsid w:val="00235062"/>
    <w:rsid w:val="0023510C"/>
    <w:rsid w:val="00235902"/>
    <w:rsid w:val="00235F3A"/>
    <w:rsid w:val="002360CD"/>
    <w:rsid w:val="00236291"/>
    <w:rsid w:val="0023664F"/>
    <w:rsid w:val="002367D4"/>
    <w:rsid w:val="00236847"/>
    <w:rsid w:val="0023685F"/>
    <w:rsid w:val="0023699A"/>
    <w:rsid w:val="00236D28"/>
    <w:rsid w:val="00236DCE"/>
    <w:rsid w:val="00236E36"/>
    <w:rsid w:val="00236F0F"/>
    <w:rsid w:val="002377F1"/>
    <w:rsid w:val="00237897"/>
    <w:rsid w:val="00237995"/>
    <w:rsid w:val="00237B7C"/>
    <w:rsid w:val="00237EDF"/>
    <w:rsid w:val="00240502"/>
    <w:rsid w:val="002405A9"/>
    <w:rsid w:val="00240746"/>
    <w:rsid w:val="002408B9"/>
    <w:rsid w:val="00240902"/>
    <w:rsid w:val="00240A1F"/>
    <w:rsid w:val="00240F93"/>
    <w:rsid w:val="002411F8"/>
    <w:rsid w:val="002413D0"/>
    <w:rsid w:val="00241591"/>
    <w:rsid w:val="00241AFF"/>
    <w:rsid w:val="00241B8F"/>
    <w:rsid w:val="00241C77"/>
    <w:rsid w:val="00241CF3"/>
    <w:rsid w:val="00241EBA"/>
    <w:rsid w:val="00241EF1"/>
    <w:rsid w:val="00241FD8"/>
    <w:rsid w:val="00242068"/>
    <w:rsid w:val="002421A1"/>
    <w:rsid w:val="002424F1"/>
    <w:rsid w:val="00242565"/>
    <w:rsid w:val="00242880"/>
    <w:rsid w:val="00243151"/>
    <w:rsid w:val="0024366E"/>
    <w:rsid w:val="00243A33"/>
    <w:rsid w:val="00243AA3"/>
    <w:rsid w:val="00243CBB"/>
    <w:rsid w:val="00243CF3"/>
    <w:rsid w:val="00243D24"/>
    <w:rsid w:val="00243D3B"/>
    <w:rsid w:val="00243E2A"/>
    <w:rsid w:val="00243E43"/>
    <w:rsid w:val="002442A7"/>
    <w:rsid w:val="002446DC"/>
    <w:rsid w:val="00244812"/>
    <w:rsid w:val="00244932"/>
    <w:rsid w:val="00244B59"/>
    <w:rsid w:val="00244C24"/>
    <w:rsid w:val="00244E00"/>
    <w:rsid w:val="00244EC2"/>
    <w:rsid w:val="00244F73"/>
    <w:rsid w:val="00245090"/>
    <w:rsid w:val="00245256"/>
    <w:rsid w:val="002453EC"/>
    <w:rsid w:val="00245408"/>
    <w:rsid w:val="002454AC"/>
    <w:rsid w:val="002454BD"/>
    <w:rsid w:val="00245A2B"/>
    <w:rsid w:val="00245E30"/>
    <w:rsid w:val="002460D1"/>
    <w:rsid w:val="00246238"/>
    <w:rsid w:val="00246761"/>
    <w:rsid w:val="0024691F"/>
    <w:rsid w:val="00246CBA"/>
    <w:rsid w:val="00246D90"/>
    <w:rsid w:val="00246E16"/>
    <w:rsid w:val="00246F35"/>
    <w:rsid w:val="002474CF"/>
    <w:rsid w:val="002475BA"/>
    <w:rsid w:val="002477B2"/>
    <w:rsid w:val="00247A60"/>
    <w:rsid w:val="00247E59"/>
    <w:rsid w:val="00250230"/>
    <w:rsid w:val="00250266"/>
    <w:rsid w:val="002503B1"/>
    <w:rsid w:val="0025069F"/>
    <w:rsid w:val="00250756"/>
    <w:rsid w:val="002507E0"/>
    <w:rsid w:val="00250876"/>
    <w:rsid w:val="002508BD"/>
    <w:rsid w:val="00250F6E"/>
    <w:rsid w:val="00251200"/>
    <w:rsid w:val="00251263"/>
    <w:rsid w:val="00251306"/>
    <w:rsid w:val="00251497"/>
    <w:rsid w:val="002514A0"/>
    <w:rsid w:val="002515C7"/>
    <w:rsid w:val="002515E0"/>
    <w:rsid w:val="00251A9A"/>
    <w:rsid w:val="00251A9F"/>
    <w:rsid w:val="00251BAF"/>
    <w:rsid w:val="002530A4"/>
    <w:rsid w:val="0025351C"/>
    <w:rsid w:val="00253915"/>
    <w:rsid w:val="00253B51"/>
    <w:rsid w:val="00253BBF"/>
    <w:rsid w:val="00253CA6"/>
    <w:rsid w:val="0025414B"/>
    <w:rsid w:val="00254186"/>
    <w:rsid w:val="00254207"/>
    <w:rsid w:val="002545FF"/>
    <w:rsid w:val="00255209"/>
    <w:rsid w:val="00255500"/>
    <w:rsid w:val="002557F0"/>
    <w:rsid w:val="0025600C"/>
    <w:rsid w:val="0025634F"/>
    <w:rsid w:val="0025644B"/>
    <w:rsid w:val="002565D2"/>
    <w:rsid w:val="00256791"/>
    <w:rsid w:val="0025681A"/>
    <w:rsid w:val="00256842"/>
    <w:rsid w:val="00256FD7"/>
    <w:rsid w:val="0025709C"/>
    <w:rsid w:val="002573BE"/>
    <w:rsid w:val="0025763B"/>
    <w:rsid w:val="00257799"/>
    <w:rsid w:val="00257BE8"/>
    <w:rsid w:val="00257EBC"/>
    <w:rsid w:val="002601E8"/>
    <w:rsid w:val="002604EE"/>
    <w:rsid w:val="00260610"/>
    <w:rsid w:val="00260B9D"/>
    <w:rsid w:val="00260BBE"/>
    <w:rsid w:val="00260C5C"/>
    <w:rsid w:val="002611C5"/>
    <w:rsid w:val="0026155B"/>
    <w:rsid w:val="00262A07"/>
    <w:rsid w:val="00262B42"/>
    <w:rsid w:val="00262CEE"/>
    <w:rsid w:val="00262D15"/>
    <w:rsid w:val="00262D3B"/>
    <w:rsid w:val="00262E56"/>
    <w:rsid w:val="00262F26"/>
    <w:rsid w:val="00262FC6"/>
    <w:rsid w:val="002630DD"/>
    <w:rsid w:val="0026335B"/>
    <w:rsid w:val="00263605"/>
    <w:rsid w:val="002638B8"/>
    <w:rsid w:val="00263CDA"/>
    <w:rsid w:val="00263D7B"/>
    <w:rsid w:val="00263E84"/>
    <w:rsid w:val="00263ECB"/>
    <w:rsid w:val="002640B7"/>
    <w:rsid w:val="002640EB"/>
    <w:rsid w:val="00264387"/>
    <w:rsid w:val="0026449E"/>
    <w:rsid w:val="002644C5"/>
    <w:rsid w:val="00264ADE"/>
    <w:rsid w:val="00264E93"/>
    <w:rsid w:val="00265014"/>
    <w:rsid w:val="0026514D"/>
    <w:rsid w:val="0026542C"/>
    <w:rsid w:val="00265435"/>
    <w:rsid w:val="00265441"/>
    <w:rsid w:val="002655E0"/>
    <w:rsid w:val="00265684"/>
    <w:rsid w:val="00265785"/>
    <w:rsid w:val="00265BF6"/>
    <w:rsid w:val="00265C1F"/>
    <w:rsid w:val="0026660B"/>
    <w:rsid w:val="002666FF"/>
    <w:rsid w:val="0026682E"/>
    <w:rsid w:val="00266EF2"/>
    <w:rsid w:val="002672B0"/>
    <w:rsid w:val="002677C6"/>
    <w:rsid w:val="002679BF"/>
    <w:rsid w:val="00267B51"/>
    <w:rsid w:val="00270141"/>
    <w:rsid w:val="002704B4"/>
    <w:rsid w:val="00270608"/>
    <w:rsid w:val="00270957"/>
    <w:rsid w:val="00270AC1"/>
    <w:rsid w:val="00270BC0"/>
    <w:rsid w:val="00270D4D"/>
    <w:rsid w:val="00270ECE"/>
    <w:rsid w:val="00271365"/>
    <w:rsid w:val="00271665"/>
    <w:rsid w:val="00271733"/>
    <w:rsid w:val="002719DD"/>
    <w:rsid w:val="00271B34"/>
    <w:rsid w:val="00271BAE"/>
    <w:rsid w:val="002729D1"/>
    <w:rsid w:val="00272BC6"/>
    <w:rsid w:val="00272EBC"/>
    <w:rsid w:val="00272F7E"/>
    <w:rsid w:val="00273062"/>
    <w:rsid w:val="002732F5"/>
    <w:rsid w:val="00273388"/>
    <w:rsid w:val="002738C0"/>
    <w:rsid w:val="00273933"/>
    <w:rsid w:val="00273C9F"/>
    <w:rsid w:val="0027401E"/>
    <w:rsid w:val="00274343"/>
    <w:rsid w:val="002743FD"/>
    <w:rsid w:val="002744B1"/>
    <w:rsid w:val="00274525"/>
    <w:rsid w:val="002746AB"/>
    <w:rsid w:val="00274BA0"/>
    <w:rsid w:val="00274C3C"/>
    <w:rsid w:val="00275178"/>
    <w:rsid w:val="002751AF"/>
    <w:rsid w:val="00275785"/>
    <w:rsid w:val="002758EC"/>
    <w:rsid w:val="00275C65"/>
    <w:rsid w:val="00275C89"/>
    <w:rsid w:val="00275CFC"/>
    <w:rsid w:val="00275D86"/>
    <w:rsid w:val="00275DBB"/>
    <w:rsid w:val="00275EE7"/>
    <w:rsid w:val="0027624A"/>
    <w:rsid w:val="00276297"/>
    <w:rsid w:val="00276584"/>
    <w:rsid w:val="0027672F"/>
    <w:rsid w:val="00276784"/>
    <w:rsid w:val="00276B7E"/>
    <w:rsid w:val="00276BEC"/>
    <w:rsid w:val="00276E0A"/>
    <w:rsid w:val="002770DF"/>
    <w:rsid w:val="00277165"/>
    <w:rsid w:val="00277455"/>
    <w:rsid w:val="002774ED"/>
    <w:rsid w:val="002775C4"/>
    <w:rsid w:val="00277B7E"/>
    <w:rsid w:val="00277DA6"/>
    <w:rsid w:val="00277E62"/>
    <w:rsid w:val="00277E74"/>
    <w:rsid w:val="00277EE4"/>
    <w:rsid w:val="00277F81"/>
    <w:rsid w:val="002802E7"/>
    <w:rsid w:val="0028037D"/>
    <w:rsid w:val="00280698"/>
    <w:rsid w:val="002808D4"/>
    <w:rsid w:val="00280970"/>
    <w:rsid w:val="00280AC3"/>
    <w:rsid w:val="00280CEF"/>
    <w:rsid w:val="00280EE7"/>
    <w:rsid w:val="002814D4"/>
    <w:rsid w:val="00281747"/>
    <w:rsid w:val="00281798"/>
    <w:rsid w:val="002817BC"/>
    <w:rsid w:val="00281852"/>
    <w:rsid w:val="00281C8E"/>
    <w:rsid w:val="00281CFA"/>
    <w:rsid w:val="00281D4A"/>
    <w:rsid w:val="00282073"/>
    <w:rsid w:val="00282271"/>
    <w:rsid w:val="002822BB"/>
    <w:rsid w:val="00282380"/>
    <w:rsid w:val="00282AD1"/>
    <w:rsid w:val="002837B7"/>
    <w:rsid w:val="0028392D"/>
    <w:rsid w:val="00283B4D"/>
    <w:rsid w:val="00283D83"/>
    <w:rsid w:val="00283E89"/>
    <w:rsid w:val="00283F5C"/>
    <w:rsid w:val="00283F7D"/>
    <w:rsid w:val="002844E5"/>
    <w:rsid w:val="00284EC5"/>
    <w:rsid w:val="00284FC3"/>
    <w:rsid w:val="00285216"/>
    <w:rsid w:val="0028550A"/>
    <w:rsid w:val="00285772"/>
    <w:rsid w:val="00285973"/>
    <w:rsid w:val="00285B64"/>
    <w:rsid w:val="00285E97"/>
    <w:rsid w:val="00285EE7"/>
    <w:rsid w:val="00285EF8"/>
    <w:rsid w:val="00286075"/>
    <w:rsid w:val="00286516"/>
    <w:rsid w:val="002866DF"/>
    <w:rsid w:val="002869FB"/>
    <w:rsid w:val="00286EF4"/>
    <w:rsid w:val="00286FEC"/>
    <w:rsid w:val="00287310"/>
    <w:rsid w:val="00287527"/>
    <w:rsid w:val="00287745"/>
    <w:rsid w:val="00287838"/>
    <w:rsid w:val="00287CD4"/>
    <w:rsid w:val="002901DB"/>
    <w:rsid w:val="0029092F"/>
    <w:rsid w:val="002909C0"/>
    <w:rsid w:val="00290ADD"/>
    <w:rsid w:val="002910F0"/>
    <w:rsid w:val="0029144A"/>
    <w:rsid w:val="002914E1"/>
    <w:rsid w:val="00291C78"/>
    <w:rsid w:val="00291CA4"/>
    <w:rsid w:val="00291CD4"/>
    <w:rsid w:val="00291CEA"/>
    <w:rsid w:val="00291FB3"/>
    <w:rsid w:val="00292012"/>
    <w:rsid w:val="00292063"/>
    <w:rsid w:val="002923DF"/>
    <w:rsid w:val="002924F8"/>
    <w:rsid w:val="002926B5"/>
    <w:rsid w:val="002928D5"/>
    <w:rsid w:val="00292966"/>
    <w:rsid w:val="00292C0D"/>
    <w:rsid w:val="00292C2D"/>
    <w:rsid w:val="00293045"/>
    <w:rsid w:val="0029333D"/>
    <w:rsid w:val="002934C4"/>
    <w:rsid w:val="002935F5"/>
    <w:rsid w:val="00293743"/>
    <w:rsid w:val="00293744"/>
    <w:rsid w:val="002937C9"/>
    <w:rsid w:val="00293A60"/>
    <w:rsid w:val="00293B95"/>
    <w:rsid w:val="00293BC9"/>
    <w:rsid w:val="00293C71"/>
    <w:rsid w:val="00293EAA"/>
    <w:rsid w:val="00293F1D"/>
    <w:rsid w:val="00294773"/>
    <w:rsid w:val="002947E4"/>
    <w:rsid w:val="00294A14"/>
    <w:rsid w:val="00294AB2"/>
    <w:rsid w:val="00294AC7"/>
    <w:rsid w:val="00294CF1"/>
    <w:rsid w:val="00294E6E"/>
    <w:rsid w:val="00294F3C"/>
    <w:rsid w:val="0029528D"/>
    <w:rsid w:val="00295476"/>
    <w:rsid w:val="0029584D"/>
    <w:rsid w:val="00295989"/>
    <w:rsid w:val="002959A8"/>
    <w:rsid w:val="00295A84"/>
    <w:rsid w:val="00295CCE"/>
    <w:rsid w:val="00295F65"/>
    <w:rsid w:val="0029645A"/>
    <w:rsid w:val="002969D0"/>
    <w:rsid w:val="00296A16"/>
    <w:rsid w:val="002971DC"/>
    <w:rsid w:val="002971E4"/>
    <w:rsid w:val="002972E7"/>
    <w:rsid w:val="0029740A"/>
    <w:rsid w:val="002974D8"/>
    <w:rsid w:val="00297CF8"/>
    <w:rsid w:val="00297F13"/>
    <w:rsid w:val="002A0264"/>
    <w:rsid w:val="002A0577"/>
    <w:rsid w:val="002A0866"/>
    <w:rsid w:val="002A091E"/>
    <w:rsid w:val="002A0A53"/>
    <w:rsid w:val="002A0AB7"/>
    <w:rsid w:val="002A137D"/>
    <w:rsid w:val="002A146A"/>
    <w:rsid w:val="002A14B2"/>
    <w:rsid w:val="002A161C"/>
    <w:rsid w:val="002A1758"/>
    <w:rsid w:val="002A185E"/>
    <w:rsid w:val="002A187F"/>
    <w:rsid w:val="002A1965"/>
    <w:rsid w:val="002A1C52"/>
    <w:rsid w:val="002A1E84"/>
    <w:rsid w:val="002A1E95"/>
    <w:rsid w:val="002A1E97"/>
    <w:rsid w:val="002A1EFD"/>
    <w:rsid w:val="002A2207"/>
    <w:rsid w:val="002A241C"/>
    <w:rsid w:val="002A245B"/>
    <w:rsid w:val="002A270B"/>
    <w:rsid w:val="002A2A52"/>
    <w:rsid w:val="002A2D7F"/>
    <w:rsid w:val="002A2EC0"/>
    <w:rsid w:val="002A300F"/>
    <w:rsid w:val="002A303A"/>
    <w:rsid w:val="002A3944"/>
    <w:rsid w:val="002A3A3B"/>
    <w:rsid w:val="002A3B1F"/>
    <w:rsid w:val="002A3E50"/>
    <w:rsid w:val="002A401F"/>
    <w:rsid w:val="002A422B"/>
    <w:rsid w:val="002A4270"/>
    <w:rsid w:val="002A466A"/>
    <w:rsid w:val="002A4865"/>
    <w:rsid w:val="002A4B81"/>
    <w:rsid w:val="002A4B8A"/>
    <w:rsid w:val="002A509D"/>
    <w:rsid w:val="002A5126"/>
    <w:rsid w:val="002A52C9"/>
    <w:rsid w:val="002A557F"/>
    <w:rsid w:val="002A5645"/>
    <w:rsid w:val="002A584A"/>
    <w:rsid w:val="002A59C1"/>
    <w:rsid w:val="002A5AFD"/>
    <w:rsid w:val="002A5D69"/>
    <w:rsid w:val="002A5DBD"/>
    <w:rsid w:val="002A5DCC"/>
    <w:rsid w:val="002A5F5B"/>
    <w:rsid w:val="002A5FA4"/>
    <w:rsid w:val="002A60F9"/>
    <w:rsid w:val="002A6253"/>
    <w:rsid w:val="002A665F"/>
    <w:rsid w:val="002A6684"/>
    <w:rsid w:val="002A6C96"/>
    <w:rsid w:val="002A6CC3"/>
    <w:rsid w:val="002A7596"/>
    <w:rsid w:val="002A75ED"/>
    <w:rsid w:val="002A76B7"/>
    <w:rsid w:val="002A77B9"/>
    <w:rsid w:val="002A7B5E"/>
    <w:rsid w:val="002B0074"/>
    <w:rsid w:val="002B00CA"/>
    <w:rsid w:val="002B00EC"/>
    <w:rsid w:val="002B031E"/>
    <w:rsid w:val="002B0494"/>
    <w:rsid w:val="002B05CD"/>
    <w:rsid w:val="002B06A5"/>
    <w:rsid w:val="002B0964"/>
    <w:rsid w:val="002B0B3B"/>
    <w:rsid w:val="002B0F9B"/>
    <w:rsid w:val="002B0FF4"/>
    <w:rsid w:val="002B128E"/>
    <w:rsid w:val="002B131F"/>
    <w:rsid w:val="002B137D"/>
    <w:rsid w:val="002B19DE"/>
    <w:rsid w:val="002B1B93"/>
    <w:rsid w:val="002B1B9D"/>
    <w:rsid w:val="002B1CFD"/>
    <w:rsid w:val="002B1F06"/>
    <w:rsid w:val="002B28EE"/>
    <w:rsid w:val="002B29AC"/>
    <w:rsid w:val="002B2ACF"/>
    <w:rsid w:val="002B2CC1"/>
    <w:rsid w:val="002B3297"/>
    <w:rsid w:val="002B329A"/>
    <w:rsid w:val="002B38ED"/>
    <w:rsid w:val="002B3B4B"/>
    <w:rsid w:val="002B4312"/>
    <w:rsid w:val="002B4599"/>
    <w:rsid w:val="002B45F9"/>
    <w:rsid w:val="002B476C"/>
    <w:rsid w:val="002B48D5"/>
    <w:rsid w:val="002B48DA"/>
    <w:rsid w:val="002B4AC3"/>
    <w:rsid w:val="002B4FFC"/>
    <w:rsid w:val="002B5120"/>
    <w:rsid w:val="002B5122"/>
    <w:rsid w:val="002B5427"/>
    <w:rsid w:val="002B550D"/>
    <w:rsid w:val="002B559C"/>
    <w:rsid w:val="002B5912"/>
    <w:rsid w:val="002B5CDF"/>
    <w:rsid w:val="002B60E6"/>
    <w:rsid w:val="002B6306"/>
    <w:rsid w:val="002B6A0B"/>
    <w:rsid w:val="002B6A7E"/>
    <w:rsid w:val="002B6B5C"/>
    <w:rsid w:val="002B6D0E"/>
    <w:rsid w:val="002B6EA0"/>
    <w:rsid w:val="002B7467"/>
    <w:rsid w:val="002B76F1"/>
    <w:rsid w:val="002B7765"/>
    <w:rsid w:val="002B798E"/>
    <w:rsid w:val="002B7A61"/>
    <w:rsid w:val="002B7BD4"/>
    <w:rsid w:val="002B7C74"/>
    <w:rsid w:val="002B7DCC"/>
    <w:rsid w:val="002C006F"/>
    <w:rsid w:val="002C01D6"/>
    <w:rsid w:val="002C03B1"/>
    <w:rsid w:val="002C077E"/>
    <w:rsid w:val="002C099D"/>
    <w:rsid w:val="002C0BB1"/>
    <w:rsid w:val="002C0C08"/>
    <w:rsid w:val="002C0D37"/>
    <w:rsid w:val="002C0D63"/>
    <w:rsid w:val="002C0FA1"/>
    <w:rsid w:val="002C127F"/>
    <w:rsid w:val="002C16AD"/>
    <w:rsid w:val="002C16F6"/>
    <w:rsid w:val="002C18DF"/>
    <w:rsid w:val="002C196D"/>
    <w:rsid w:val="002C1AA9"/>
    <w:rsid w:val="002C1C95"/>
    <w:rsid w:val="002C1D96"/>
    <w:rsid w:val="002C21AE"/>
    <w:rsid w:val="002C28D8"/>
    <w:rsid w:val="002C2998"/>
    <w:rsid w:val="002C2AAD"/>
    <w:rsid w:val="002C2C3D"/>
    <w:rsid w:val="002C2CE6"/>
    <w:rsid w:val="002C2F0A"/>
    <w:rsid w:val="002C3195"/>
    <w:rsid w:val="002C323B"/>
    <w:rsid w:val="002C37EC"/>
    <w:rsid w:val="002C3C71"/>
    <w:rsid w:val="002C3CB2"/>
    <w:rsid w:val="002C4420"/>
    <w:rsid w:val="002C45D7"/>
    <w:rsid w:val="002C4A3D"/>
    <w:rsid w:val="002C4A4A"/>
    <w:rsid w:val="002C4B6B"/>
    <w:rsid w:val="002C4B71"/>
    <w:rsid w:val="002C4BA3"/>
    <w:rsid w:val="002C4C55"/>
    <w:rsid w:val="002C4D16"/>
    <w:rsid w:val="002C520D"/>
    <w:rsid w:val="002C532C"/>
    <w:rsid w:val="002C5355"/>
    <w:rsid w:val="002C535A"/>
    <w:rsid w:val="002C53F1"/>
    <w:rsid w:val="002C5502"/>
    <w:rsid w:val="002C555B"/>
    <w:rsid w:val="002C5ABF"/>
    <w:rsid w:val="002C5BFF"/>
    <w:rsid w:val="002C5DD3"/>
    <w:rsid w:val="002C62DC"/>
    <w:rsid w:val="002C6418"/>
    <w:rsid w:val="002C658C"/>
    <w:rsid w:val="002C673C"/>
    <w:rsid w:val="002C69FA"/>
    <w:rsid w:val="002C6A12"/>
    <w:rsid w:val="002C71D7"/>
    <w:rsid w:val="002C72A4"/>
    <w:rsid w:val="002C7535"/>
    <w:rsid w:val="002C759D"/>
    <w:rsid w:val="002C78B3"/>
    <w:rsid w:val="002C7D61"/>
    <w:rsid w:val="002C7DCF"/>
    <w:rsid w:val="002C7FFB"/>
    <w:rsid w:val="002D0210"/>
    <w:rsid w:val="002D0433"/>
    <w:rsid w:val="002D05FB"/>
    <w:rsid w:val="002D06AA"/>
    <w:rsid w:val="002D0933"/>
    <w:rsid w:val="002D09F1"/>
    <w:rsid w:val="002D0B83"/>
    <w:rsid w:val="002D0B8E"/>
    <w:rsid w:val="002D0C6F"/>
    <w:rsid w:val="002D0E31"/>
    <w:rsid w:val="002D0E98"/>
    <w:rsid w:val="002D0FAE"/>
    <w:rsid w:val="002D1B0C"/>
    <w:rsid w:val="002D1BB0"/>
    <w:rsid w:val="002D20D8"/>
    <w:rsid w:val="002D23A7"/>
    <w:rsid w:val="002D24A3"/>
    <w:rsid w:val="002D2A07"/>
    <w:rsid w:val="002D2C06"/>
    <w:rsid w:val="002D2C7F"/>
    <w:rsid w:val="002D2DE5"/>
    <w:rsid w:val="002D2E62"/>
    <w:rsid w:val="002D3002"/>
    <w:rsid w:val="002D303E"/>
    <w:rsid w:val="002D3158"/>
    <w:rsid w:val="002D34BE"/>
    <w:rsid w:val="002D351A"/>
    <w:rsid w:val="002D3937"/>
    <w:rsid w:val="002D3B84"/>
    <w:rsid w:val="002D3CE8"/>
    <w:rsid w:val="002D3D35"/>
    <w:rsid w:val="002D41A5"/>
    <w:rsid w:val="002D442C"/>
    <w:rsid w:val="002D4487"/>
    <w:rsid w:val="002D4A4A"/>
    <w:rsid w:val="002D5143"/>
    <w:rsid w:val="002D51DF"/>
    <w:rsid w:val="002D540D"/>
    <w:rsid w:val="002D567C"/>
    <w:rsid w:val="002D5C91"/>
    <w:rsid w:val="002D5D95"/>
    <w:rsid w:val="002D60B4"/>
    <w:rsid w:val="002D60D6"/>
    <w:rsid w:val="002D6198"/>
    <w:rsid w:val="002D6487"/>
    <w:rsid w:val="002D66EE"/>
    <w:rsid w:val="002D684A"/>
    <w:rsid w:val="002D698B"/>
    <w:rsid w:val="002D6AA6"/>
    <w:rsid w:val="002D6B08"/>
    <w:rsid w:val="002D6C3F"/>
    <w:rsid w:val="002D6FB3"/>
    <w:rsid w:val="002D7039"/>
    <w:rsid w:val="002D7610"/>
    <w:rsid w:val="002D764D"/>
    <w:rsid w:val="002D7A34"/>
    <w:rsid w:val="002D7C19"/>
    <w:rsid w:val="002D7C21"/>
    <w:rsid w:val="002D7D89"/>
    <w:rsid w:val="002D7F0E"/>
    <w:rsid w:val="002E00C2"/>
    <w:rsid w:val="002E028C"/>
    <w:rsid w:val="002E042C"/>
    <w:rsid w:val="002E07BD"/>
    <w:rsid w:val="002E07BF"/>
    <w:rsid w:val="002E0859"/>
    <w:rsid w:val="002E0A2C"/>
    <w:rsid w:val="002E0D12"/>
    <w:rsid w:val="002E1230"/>
    <w:rsid w:val="002E1777"/>
    <w:rsid w:val="002E186E"/>
    <w:rsid w:val="002E1B19"/>
    <w:rsid w:val="002E1C17"/>
    <w:rsid w:val="002E226B"/>
    <w:rsid w:val="002E24F6"/>
    <w:rsid w:val="002E266A"/>
    <w:rsid w:val="002E2685"/>
    <w:rsid w:val="002E2894"/>
    <w:rsid w:val="002E2A5B"/>
    <w:rsid w:val="002E2C5B"/>
    <w:rsid w:val="002E2F78"/>
    <w:rsid w:val="002E3180"/>
    <w:rsid w:val="002E3269"/>
    <w:rsid w:val="002E377C"/>
    <w:rsid w:val="002E37C6"/>
    <w:rsid w:val="002E3A50"/>
    <w:rsid w:val="002E3AA7"/>
    <w:rsid w:val="002E3B07"/>
    <w:rsid w:val="002E3B8C"/>
    <w:rsid w:val="002E3BAA"/>
    <w:rsid w:val="002E3E45"/>
    <w:rsid w:val="002E3FAC"/>
    <w:rsid w:val="002E4129"/>
    <w:rsid w:val="002E4416"/>
    <w:rsid w:val="002E4564"/>
    <w:rsid w:val="002E46EA"/>
    <w:rsid w:val="002E47CE"/>
    <w:rsid w:val="002E49E2"/>
    <w:rsid w:val="002E5189"/>
    <w:rsid w:val="002E535F"/>
    <w:rsid w:val="002E54B6"/>
    <w:rsid w:val="002E5B96"/>
    <w:rsid w:val="002E5BFF"/>
    <w:rsid w:val="002E5F86"/>
    <w:rsid w:val="002E6012"/>
    <w:rsid w:val="002E68EF"/>
    <w:rsid w:val="002E6C63"/>
    <w:rsid w:val="002E6F4B"/>
    <w:rsid w:val="002E70D3"/>
    <w:rsid w:val="002E70E9"/>
    <w:rsid w:val="002E726D"/>
    <w:rsid w:val="002E7306"/>
    <w:rsid w:val="002E74EA"/>
    <w:rsid w:val="002E7839"/>
    <w:rsid w:val="002E798B"/>
    <w:rsid w:val="002E7C7B"/>
    <w:rsid w:val="002E7E25"/>
    <w:rsid w:val="002E7F55"/>
    <w:rsid w:val="002F00A5"/>
    <w:rsid w:val="002F00BF"/>
    <w:rsid w:val="002F0119"/>
    <w:rsid w:val="002F07D5"/>
    <w:rsid w:val="002F09D5"/>
    <w:rsid w:val="002F0A10"/>
    <w:rsid w:val="002F0A26"/>
    <w:rsid w:val="002F0FFA"/>
    <w:rsid w:val="002F136B"/>
    <w:rsid w:val="002F148A"/>
    <w:rsid w:val="002F19BB"/>
    <w:rsid w:val="002F1F37"/>
    <w:rsid w:val="002F2084"/>
    <w:rsid w:val="002F2963"/>
    <w:rsid w:val="002F2D67"/>
    <w:rsid w:val="002F2F2C"/>
    <w:rsid w:val="002F3245"/>
    <w:rsid w:val="002F344B"/>
    <w:rsid w:val="002F34E0"/>
    <w:rsid w:val="002F3882"/>
    <w:rsid w:val="002F3A19"/>
    <w:rsid w:val="002F3BE6"/>
    <w:rsid w:val="002F3F7A"/>
    <w:rsid w:val="002F3FF3"/>
    <w:rsid w:val="002F415F"/>
    <w:rsid w:val="002F42C0"/>
    <w:rsid w:val="002F4395"/>
    <w:rsid w:val="002F485E"/>
    <w:rsid w:val="002F4A2B"/>
    <w:rsid w:val="002F4B99"/>
    <w:rsid w:val="002F4ED0"/>
    <w:rsid w:val="002F4FAE"/>
    <w:rsid w:val="002F52B9"/>
    <w:rsid w:val="002F52EC"/>
    <w:rsid w:val="002F549B"/>
    <w:rsid w:val="002F580F"/>
    <w:rsid w:val="002F5EC3"/>
    <w:rsid w:val="002F5EF3"/>
    <w:rsid w:val="002F60C5"/>
    <w:rsid w:val="002F611C"/>
    <w:rsid w:val="002F629A"/>
    <w:rsid w:val="002F660B"/>
    <w:rsid w:val="002F6E85"/>
    <w:rsid w:val="002F6F63"/>
    <w:rsid w:val="002F706D"/>
    <w:rsid w:val="002F74D8"/>
    <w:rsid w:val="002F762C"/>
    <w:rsid w:val="002F7684"/>
    <w:rsid w:val="002F780B"/>
    <w:rsid w:val="002F7AD8"/>
    <w:rsid w:val="002F7FF3"/>
    <w:rsid w:val="003000B2"/>
    <w:rsid w:val="0030014B"/>
    <w:rsid w:val="003002C0"/>
    <w:rsid w:val="003002C7"/>
    <w:rsid w:val="003004FB"/>
    <w:rsid w:val="0030092E"/>
    <w:rsid w:val="00300A3C"/>
    <w:rsid w:val="00300BCC"/>
    <w:rsid w:val="00300CAC"/>
    <w:rsid w:val="00300DF2"/>
    <w:rsid w:val="00300EF9"/>
    <w:rsid w:val="00300F44"/>
    <w:rsid w:val="00300FE3"/>
    <w:rsid w:val="0030139A"/>
    <w:rsid w:val="0030152C"/>
    <w:rsid w:val="00301545"/>
    <w:rsid w:val="00301BC2"/>
    <w:rsid w:val="00301BE9"/>
    <w:rsid w:val="00301DDA"/>
    <w:rsid w:val="00301F86"/>
    <w:rsid w:val="00302817"/>
    <w:rsid w:val="00302AAD"/>
    <w:rsid w:val="0030321B"/>
    <w:rsid w:val="0030332F"/>
    <w:rsid w:val="00303339"/>
    <w:rsid w:val="003037A1"/>
    <w:rsid w:val="00303F53"/>
    <w:rsid w:val="00303FF1"/>
    <w:rsid w:val="00304134"/>
    <w:rsid w:val="003044D8"/>
    <w:rsid w:val="00304612"/>
    <w:rsid w:val="0030494E"/>
    <w:rsid w:val="00305123"/>
    <w:rsid w:val="0030569C"/>
    <w:rsid w:val="003057AD"/>
    <w:rsid w:val="00305879"/>
    <w:rsid w:val="00305A58"/>
    <w:rsid w:val="00305C99"/>
    <w:rsid w:val="00306193"/>
    <w:rsid w:val="00306559"/>
    <w:rsid w:val="00306691"/>
    <w:rsid w:val="003068E5"/>
    <w:rsid w:val="00306A49"/>
    <w:rsid w:val="00306DFB"/>
    <w:rsid w:val="00306FAD"/>
    <w:rsid w:val="00307354"/>
    <w:rsid w:val="00307426"/>
    <w:rsid w:val="003076F2"/>
    <w:rsid w:val="00307828"/>
    <w:rsid w:val="00307A48"/>
    <w:rsid w:val="00307D70"/>
    <w:rsid w:val="00307E19"/>
    <w:rsid w:val="00310145"/>
    <w:rsid w:val="00310384"/>
    <w:rsid w:val="0031038A"/>
    <w:rsid w:val="0031040B"/>
    <w:rsid w:val="00310608"/>
    <w:rsid w:val="003107BE"/>
    <w:rsid w:val="0031093C"/>
    <w:rsid w:val="00310998"/>
    <w:rsid w:val="003109AA"/>
    <w:rsid w:val="00310B0E"/>
    <w:rsid w:val="00310B6C"/>
    <w:rsid w:val="00310C03"/>
    <w:rsid w:val="00310E5A"/>
    <w:rsid w:val="00310F73"/>
    <w:rsid w:val="00310F83"/>
    <w:rsid w:val="00310FA5"/>
    <w:rsid w:val="00311076"/>
    <w:rsid w:val="003115B1"/>
    <w:rsid w:val="00311AF0"/>
    <w:rsid w:val="00311B72"/>
    <w:rsid w:val="00311BFE"/>
    <w:rsid w:val="00311E2F"/>
    <w:rsid w:val="00311E55"/>
    <w:rsid w:val="00312056"/>
    <w:rsid w:val="003121B5"/>
    <w:rsid w:val="003123A1"/>
    <w:rsid w:val="003125B0"/>
    <w:rsid w:val="003127B3"/>
    <w:rsid w:val="00312A0A"/>
    <w:rsid w:val="00312C9D"/>
    <w:rsid w:val="00312D29"/>
    <w:rsid w:val="00312DEC"/>
    <w:rsid w:val="00312E31"/>
    <w:rsid w:val="003132A7"/>
    <w:rsid w:val="00313350"/>
    <w:rsid w:val="0031338C"/>
    <w:rsid w:val="00313858"/>
    <w:rsid w:val="00313875"/>
    <w:rsid w:val="003138CF"/>
    <w:rsid w:val="003138D6"/>
    <w:rsid w:val="00313980"/>
    <w:rsid w:val="00313AB6"/>
    <w:rsid w:val="00313AB9"/>
    <w:rsid w:val="00313BF7"/>
    <w:rsid w:val="00313F4B"/>
    <w:rsid w:val="00313F9A"/>
    <w:rsid w:val="003140FD"/>
    <w:rsid w:val="00314433"/>
    <w:rsid w:val="0031459C"/>
    <w:rsid w:val="003147EF"/>
    <w:rsid w:val="00314C49"/>
    <w:rsid w:val="00314FA4"/>
    <w:rsid w:val="0031585C"/>
    <w:rsid w:val="003164F2"/>
    <w:rsid w:val="0031688C"/>
    <w:rsid w:val="00316928"/>
    <w:rsid w:val="00316C29"/>
    <w:rsid w:val="00316D2C"/>
    <w:rsid w:val="00316D73"/>
    <w:rsid w:val="00316DE9"/>
    <w:rsid w:val="00317133"/>
    <w:rsid w:val="003174CC"/>
    <w:rsid w:val="00317763"/>
    <w:rsid w:val="003177C6"/>
    <w:rsid w:val="00317A8A"/>
    <w:rsid w:val="00317B86"/>
    <w:rsid w:val="00317BD0"/>
    <w:rsid w:val="0032054E"/>
    <w:rsid w:val="0032074C"/>
    <w:rsid w:val="00320A12"/>
    <w:rsid w:val="00320B31"/>
    <w:rsid w:val="00320B5F"/>
    <w:rsid w:val="00320D60"/>
    <w:rsid w:val="00320F6E"/>
    <w:rsid w:val="00321090"/>
    <w:rsid w:val="003215C3"/>
    <w:rsid w:val="003219DC"/>
    <w:rsid w:val="00321A6B"/>
    <w:rsid w:val="00321C6A"/>
    <w:rsid w:val="00321E16"/>
    <w:rsid w:val="00321E1B"/>
    <w:rsid w:val="00321F15"/>
    <w:rsid w:val="00322188"/>
    <w:rsid w:val="00322679"/>
    <w:rsid w:val="00322691"/>
    <w:rsid w:val="00322A2D"/>
    <w:rsid w:val="00322C3A"/>
    <w:rsid w:val="0032330D"/>
    <w:rsid w:val="00323719"/>
    <w:rsid w:val="00323B43"/>
    <w:rsid w:val="00323DB6"/>
    <w:rsid w:val="00323DFA"/>
    <w:rsid w:val="00323EDA"/>
    <w:rsid w:val="00323EF8"/>
    <w:rsid w:val="00323F22"/>
    <w:rsid w:val="00323F76"/>
    <w:rsid w:val="00324195"/>
    <w:rsid w:val="003243D3"/>
    <w:rsid w:val="003243E4"/>
    <w:rsid w:val="003245B0"/>
    <w:rsid w:val="00324609"/>
    <w:rsid w:val="003247DB"/>
    <w:rsid w:val="003249F8"/>
    <w:rsid w:val="00324A20"/>
    <w:rsid w:val="00324A7B"/>
    <w:rsid w:val="0032567C"/>
    <w:rsid w:val="0032573E"/>
    <w:rsid w:val="0032578E"/>
    <w:rsid w:val="00325B22"/>
    <w:rsid w:val="00326196"/>
    <w:rsid w:val="00326325"/>
    <w:rsid w:val="003265B3"/>
    <w:rsid w:val="003267C8"/>
    <w:rsid w:val="0032699B"/>
    <w:rsid w:val="00326B21"/>
    <w:rsid w:val="00326E99"/>
    <w:rsid w:val="00326F92"/>
    <w:rsid w:val="0032739E"/>
    <w:rsid w:val="003278A5"/>
    <w:rsid w:val="003278E4"/>
    <w:rsid w:val="00327DFD"/>
    <w:rsid w:val="003303BA"/>
    <w:rsid w:val="003304A5"/>
    <w:rsid w:val="00330B52"/>
    <w:rsid w:val="00330E22"/>
    <w:rsid w:val="00330EB4"/>
    <w:rsid w:val="003310E7"/>
    <w:rsid w:val="003319AB"/>
    <w:rsid w:val="003319B5"/>
    <w:rsid w:val="00331D08"/>
    <w:rsid w:val="00331D47"/>
    <w:rsid w:val="00331F05"/>
    <w:rsid w:val="00331F82"/>
    <w:rsid w:val="003321EF"/>
    <w:rsid w:val="003322FB"/>
    <w:rsid w:val="00332D5C"/>
    <w:rsid w:val="00332E96"/>
    <w:rsid w:val="00333019"/>
    <w:rsid w:val="0033306C"/>
    <w:rsid w:val="00333EBA"/>
    <w:rsid w:val="00333EC6"/>
    <w:rsid w:val="00334047"/>
    <w:rsid w:val="00334213"/>
    <w:rsid w:val="003344C1"/>
    <w:rsid w:val="003345DF"/>
    <w:rsid w:val="003346DF"/>
    <w:rsid w:val="00334E49"/>
    <w:rsid w:val="00334E90"/>
    <w:rsid w:val="00334F57"/>
    <w:rsid w:val="003350E6"/>
    <w:rsid w:val="003354B0"/>
    <w:rsid w:val="003354D3"/>
    <w:rsid w:val="00335629"/>
    <w:rsid w:val="003356D6"/>
    <w:rsid w:val="00335787"/>
    <w:rsid w:val="003359EC"/>
    <w:rsid w:val="00335BB8"/>
    <w:rsid w:val="00335D63"/>
    <w:rsid w:val="00335D7D"/>
    <w:rsid w:val="00335F37"/>
    <w:rsid w:val="003362AD"/>
    <w:rsid w:val="003367AE"/>
    <w:rsid w:val="003367FD"/>
    <w:rsid w:val="00336A1D"/>
    <w:rsid w:val="00337052"/>
    <w:rsid w:val="003373D7"/>
    <w:rsid w:val="003375D6"/>
    <w:rsid w:val="00337966"/>
    <w:rsid w:val="00337A4F"/>
    <w:rsid w:val="00337B1E"/>
    <w:rsid w:val="00337B56"/>
    <w:rsid w:val="00337D37"/>
    <w:rsid w:val="00337D4E"/>
    <w:rsid w:val="00337D8E"/>
    <w:rsid w:val="0034017E"/>
    <w:rsid w:val="003402C3"/>
    <w:rsid w:val="0034067E"/>
    <w:rsid w:val="00340830"/>
    <w:rsid w:val="00340905"/>
    <w:rsid w:val="00340F2E"/>
    <w:rsid w:val="003413DE"/>
    <w:rsid w:val="00341429"/>
    <w:rsid w:val="00341524"/>
    <w:rsid w:val="00341530"/>
    <w:rsid w:val="003415AD"/>
    <w:rsid w:val="003416C4"/>
    <w:rsid w:val="003417F0"/>
    <w:rsid w:val="00341D15"/>
    <w:rsid w:val="00341D9D"/>
    <w:rsid w:val="003420E3"/>
    <w:rsid w:val="003421A2"/>
    <w:rsid w:val="003424C8"/>
    <w:rsid w:val="0034281B"/>
    <w:rsid w:val="00342842"/>
    <w:rsid w:val="00342F5D"/>
    <w:rsid w:val="00343309"/>
    <w:rsid w:val="0034338B"/>
    <w:rsid w:val="003434DB"/>
    <w:rsid w:val="0034357D"/>
    <w:rsid w:val="003437DF"/>
    <w:rsid w:val="003440FE"/>
    <w:rsid w:val="0034426C"/>
    <w:rsid w:val="00344CCE"/>
    <w:rsid w:val="00344D20"/>
    <w:rsid w:val="00344E24"/>
    <w:rsid w:val="00344F6A"/>
    <w:rsid w:val="003450EF"/>
    <w:rsid w:val="003451F0"/>
    <w:rsid w:val="003457FA"/>
    <w:rsid w:val="00345870"/>
    <w:rsid w:val="003458CF"/>
    <w:rsid w:val="00345A95"/>
    <w:rsid w:val="00345CBA"/>
    <w:rsid w:val="00345D1A"/>
    <w:rsid w:val="00345D27"/>
    <w:rsid w:val="00345E62"/>
    <w:rsid w:val="00345F72"/>
    <w:rsid w:val="00346031"/>
    <w:rsid w:val="003464FE"/>
    <w:rsid w:val="003466EB"/>
    <w:rsid w:val="00346816"/>
    <w:rsid w:val="00346B08"/>
    <w:rsid w:val="00346B0F"/>
    <w:rsid w:val="00346B85"/>
    <w:rsid w:val="00346F38"/>
    <w:rsid w:val="0034701E"/>
    <w:rsid w:val="0034760F"/>
    <w:rsid w:val="003476A9"/>
    <w:rsid w:val="003479A3"/>
    <w:rsid w:val="00347A29"/>
    <w:rsid w:val="0035014D"/>
    <w:rsid w:val="003503CE"/>
    <w:rsid w:val="00350433"/>
    <w:rsid w:val="003504A7"/>
    <w:rsid w:val="0035058C"/>
    <w:rsid w:val="00350833"/>
    <w:rsid w:val="00350A39"/>
    <w:rsid w:val="00350A8C"/>
    <w:rsid w:val="00351137"/>
    <w:rsid w:val="003512F0"/>
    <w:rsid w:val="0035165F"/>
    <w:rsid w:val="003516CB"/>
    <w:rsid w:val="0035189E"/>
    <w:rsid w:val="003518C8"/>
    <w:rsid w:val="003519E3"/>
    <w:rsid w:val="00351ABD"/>
    <w:rsid w:val="00351B41"/>
    <w:rsid w:val="00351D2D"/>
    <w:rsid w:val="00351E3C"/>
    <w:rsid w:val="0035209B"/>
    <w:rsid w:val="00352269"/>
    <w:rsid w:val="003523AA"/>
    <w:rsid w:val="003525D2"/>
    <w:rsid w:val="003527C2"/>
    <w:rsid w:val="00352B85"/>
    <w:rsid w:val="00352BBE"/>
    <w:rsid w:val="003531A6"/>
    <w:rsid w:val="00353360"/>
    <w:rsid w:val="003535B5"/>
    <w:rsid w:val="0035380E"/>
    <w:rsid w:val="00353D42"/>
    <w:rsid w:val="00353D47"/>
    <w:rsid w:val="003541A3"/>
    <w:rsid w:val="00354211"/>
    <w:rsid w:val="003542C8"/>
    <w:rsid w:val="00354B40"/>
    <w:rsid w:val="00354B52"/>
    <w:rsid w:val="00354E99"/>
    <w:rsid w:val="003551B4"/>
    <w:rsid w:val="0035526A"/>
    <w:rsid w:val="003553FA"/>
    <w:rsid w:val="00355577"/>
    <w:rsid w:val="0035569D"/>
    <w:rsid w:val="003559B2"/>
    <w:rsid w:val="00355AE1"/>
    <w:rsid w:val="00355B40"/>
    <w:rsid w:val="00355CD1"/>
    <w:rsid w:val="00355DF2"/>
    <w:rsid w:val="00356524"/>
    <w:rsid w:val="003566C6"/>
    <w:rsid w:val="0035696D"/>
    <w:rsid w:val="00356D3F"/>
    <w:rsid w:val="00356E0B"/>
    <w:rsid w:val="00356EDE"/>
    <w:rsid w:val="0035718E"/>
    <w:rsid w:val="00357218"/>
    <w:rsid w:val="003572D2"/>
    <w:rsid w:val="003573F7"/>
    <w:rsid w:val="0035758D"/>
    <w:rsid w:val="00357722"/>
    <w:rsid w:val="00357D0E"/>
    <w:rsid w:val="00357D18"/>
    <w:rsid w:val="00357F97"/>
    <w:rsid w:val="003600F6"/>
    <w:rsid w:val="00360466"/>
    <w:rsid w:val="00360B25"/>
    <w:rsid w:val="00360B61"/>
    <w:rsid w:val="00360FE1"/>
    <w:rsid w:val="003612DA"/>
    <w:rsid w:val="003614D9"/>
    <w:rsid w:val="00361585"/>
    <w:rsid w:val="003616FC"/>
    <w:rsid w:val="00361770"/>
    <w:rsid w:val="003619D9"/>
    <w:rsid w:val="00361A1C"/>
    <w:rsid w:val="00361AD0"/>
    <w:rsid w:val="00361B03"/>
    <w:rsid w:val="00361D86"/>
    <w:rsid w:val="00361FCF"/>
    <w:rsid w:val="0036203E"/>
    <w:rsid w:val="003621D2"/>
    <w:rsid w:val="0036225F"/>
    <w:rsid w:val="0036245C"/>
    <w:rsid w:val="0036268D"/>
    <w:rsid w:val="003626BC"/>
    <w:rsid w:val="003626F0"/>
    <w:rsid w:val="00362A14"/>
    <w:rsid w:val="00362A1F"/>
    <w:rsid w:val="00362DDC"/>
    <w:rsid w:val="00363113"/>
    <w:rsid w:val="00363393"/>
    <w:rsid w:val="003635DD"/>
    <w:rsid w:val="00363E06"/>
    <w:rsid w:val="00363F59"/>
    <w:rsid w:val="003642B8"/>
    <w:rsid w:val="003645A2"/>
    <w:rsid w:val="00364A68"/>
    <w:rsid w:val="00364A7B"/>
    <w:rsid w:val="00364BB9"/>
    <w:rsid w:val="00364D0D"/>
    <w:rsid w:val="00364D5A"/>
    <w:rsid w:val="00364EB7"/>
    <w:rsid w:val="00364FAD"/>
    <w:rsid w:val="003650C6"/>
    <w:rsid w:val="00365138"/>
    <w:rsid w:val="003651BE"/>
    <w:rsid w:val="003652D9"/>
    <w:rsid w:val="00365306"/>
    <w:rsid w:val="003655EA"/>
    <w:rsid w:val="003657B8"/>
    <w:rsid w:val="003659CB"/>
    <w:rsid w:val="00365AD4"/>
    <w:rsid w:val="00365BB2"/>
    <w:rsid w:val="00365F53"/>
    <w:rsid w:val="003660C9"/>
    <w:rsid w:val="003661A1"/>
    <w:rsid w:val="003663F7"/>
    <w:rsid w:val="0036656D"/>
    <w:rsid w:val="00366866"/>
    <w:rsid w:val="00366C94"/>
    <w:rsid w:val="00366CCC"/>
    <w:rsid w:val="00366D5E"/>
    <w:rsid w:val="00366E97"/>
    <w:rsid w:val="0036751D"/>
    <w:rsid w:val="00367620"/>
    <w:rsid w:val="003679FC"/>
    <w:rsid w:val="00367E2E"/>
    <w:rsid w:val="00370587"/>
    <w:rsid w:val="0037058D"/>
    <w:rsid w:val="0037086C"/>
    <w:rsid w:val="00371132"/>
    <w:rsid w:val="0037122E"/>
    <w:rsid w:val="003717D5"/>
    <w:rsid w:val="00371997"/>
    <w:rsid w:val="003721AB"/>
    <w:rsid w:val="003722D2"/>
    <w:rsid w:val="00372357"/>
    <w:rsid w:val="0037235D"/>
    <w:rsid w:val="00372499"/>
    <w:rsid w:val="003724A1"/>
    <w:rsid w:val="003725BB"/>
    <w:rsid w:val="00372996"/>
    <w:rsid w:val="003729E4"/>
    <w:rsid w:val="00372BD8"/>
    <w:rsid w:val="00372D6A"/>
    <w:rsid w:val="00373337"/>
    <w:rsid w:val="0037338F"/>
    <w:rsid w:val="0037365D"/>
    <w:rsid w:val="003738C8"/>
    <w:rsid w:val="003738F1"/>
    <w:rsid w:val="003739B1"/>
    <w:rsid w:val="00373D6F"/>
    <w:rsid w:val="00373E31"/>
    <w:rsid w:val="00373F6C"/>
    <w:rsid w:val="0037410E"/>
    <w:rsid w:val="00374192"/>
    <w:rsid w:val="003742BC"/>
    <w:rsid w:val="00374544"/>
    <w:rsid w:val="00374E36"/>
    <w:rsid w:val="00374F44"/>
    <w:rsid w:val="0037568A"/>
    <w:rsid w:val="00375A95"/>
    <w:rsid w:val="00376209"/>
    <w:rsid w:val="003763CE"/>
    <w:rsid w:val="003768B3"/>
    <w:rsid w:val="00376A76"/>
    <w:rsid w:val="00376DB2"/>
    <w:rsid w:val="0037701B"/>
    <w:rsid w:val="003772A4"/>
    <w:rsid w:val="003775F1"/>
    <w:rsid w:val="00377850"/>
    <w:rsid w:val="00377B5C"/>
    <w:rsid w:val="00377C33"/>
    <w:rsid w:val="00377D1A"/>
    <w:rsid w:val="00380099"/>
    <w:rsid w:val="003800B2"/>
    <w:rsid w:val="0038057C"/>
    <w:rsid w:val="003806AF"/>
    <w:rsid w:val="0038079C"/>
    <w:rsid w:val="00380A66"/>
    <w:rsid w:val="00380BF7"/>
    <w:rsid w:val="00380C7D"/>
    <w:rsid w:val="00380CD9"/>
    <w:rsid w:val="00380F54"/>
    <w:rsid w:val="003812C1"/>
    <w:rsid w:val="00381582"/>
    <w:rsid w:val="00381785"/>
    <w:rsid w:val="00381AEF"/>
    <w:rsid w:val="00381BA2"/>
    <w:rsid w:val="00381C80"/>
    <w:rsid w:val="00381D99"/>
    <w:rsid w:val="00382232"/>
    <w:rsid w:val="0038224A"/>
    <w:rsid w:val="003823AA"/>
    <w:rsid w:val="003826F0"/>
    <w:rsid w:val="0038278A"/>
    <w:rsid w:val="0038294E"/>
    <w:rsid w:val="00382F0E"/>
    <w:rsid w:val="00382FEF"/>
    <w:rsid w:val="00383634"/>
    <w:rsid w:val="00383BF5"/>
    <w:rsid w:val="00383C4A"/>
    <w:rsid w:val="00383E5D"/>
    <w:rsid w:val="00383EB5"/>
    <w:rsid w:val="00383F5A"/>
    <w:rsid w:val="003841E9"/>
    <w:rsid w:val="00384983"/>
    <w:rsid w:val="00384D9C"/>
    <w:rsid w:val="00384E17"/>
    <w:rsid w:val="0038503F"/>
    <w:rsid w:val="003850B3"/>
    <w:rsid w:val="003851C3"/>
    <w:rsid w:val="00385648"/>
    <w:rsid w:val="003857DD"/>
    <w:rsid w:val="00385A05"/>
    <w:rsid w:val="00385B7E"/>
    <w:rsid w:val="00385E76"/>
    <w:rsid w:val="0038603A"/>
    <w:rsid w:val="00386245"/>
    <w:rsid w:val="003868D2"/>
    <w:rsid w:val="0038691C"/>
    <w:rsid w:val="00386A87"/>
    <w:rsid w:val="00386BA4"/>
    <w:rsid w:val="00386FE6"/>
    <w:rsid w:val="00386FEA"/>
    <w:rsid w:val="0038708F"/>
    <w:rsid w:val="003871D5"/>
    <w:rsid w:val="003871DD"/>
    <w:rsid w:val="00387201"/>
    <w:rsid w:val="0038727A"/>
    <w:rsid w:val="003875B9"/>
    <w:rsid w:val="003877A1"/>
    <w:rsid w:val="003877F1"/>
    <w:rsid w:val="00387919"/>
    <w:rsid w:val="00387DB1"/>
    <w:rsid w:val="00390034"/>
    <w:rsid w:val="00390585"/>
    <w:rsid w:val="00390759"/>
    <w:rsid w:val="00390A40"/>
    <w:rsid w:val="00390F10"/>
    <w:rsid w:val="00390FC5"/>
    <w:rsid w:val="00391648"/>
    <w:rsid w:val="0039184B"/>
    <w:rsid w:val="00391D72"/>
    <w:rsid w:val="00392320"/>
    <w:rsid w:val="0039241B"/>
    <w:rsid w:val="00392592"/>
    <w:rsid w:val="00392719"/>
    <w:rsid w:val="003927B6"/>
    <w:rsid w:val="00392962"/>
    <w:rsid w:val="00392B39"/>
    <w:rsid w:val="00392C42"/>
    <w:rsid w:val="00393042"/>
    <w:rsid w:val="0039313C"/>
    <w:rsid w:val="00393227"/>
    <w:rsid w:val="00393468"/>
    <w:rsid w:val="00393476"/>
    <w:rsid w:val="00393589"/>
    <w:rsid w:val="00393638"/>
    <w:rsid w:val="0039370A"/>
    <w:rsid w:val="0039376E"/>
    <w:rsid w:val="00393A8A"/>
    <w:rsid w:val="00393BBE"/>
    <w:rsid w:val="00393C02"/>
    <w:rsid w:val="003940BE"/>
    <w:rsid w:val="003940E8"/>
    <w:rsid w:val="00394104"/>
    <w:rsid w:val="003941E7"/>
    <w:rsid w:val="003948C3"/>
    <w:rsid w:val="003954C4"/>
    <w:rsid w:val="003957FC"/>
    <w:rsid w:val="00395DDF"/>
    <w:rsid w:val="00395FFC"/>
    <w:rsid w:val="0039605F"/>
    <w:rsid w:val="0039640F"/>
    <w:rsid w:val="00396498"/>
    <w:rsid w:val="003966FE"/>
    <w:rsid w:val="00396A2A"/>
    <w:rsid w:val="003970DD"/>
    <w:rsid w:val="00397286"/>
    <w:rsid w:val="003973FA"/>
    <w:rsid w:val="0039746D"/>
    <w:rsid w:val="00397606"/>
    <w:rsid w:val="00397613"/>
    <w:rsid w:val="0039770F"/>
    <w:rsid w:val="00397845"/>
    <w:rsid w:val="00397972"/>
    <w:rsid w:val="00397C2B"/>
    <w:rsid w:val="00397DE5"/>
    <w:rsid w:val="003A0487"/>
    <w:rsid w:val="003A14B4"/>
    <w:rsid w:val="003A1552"/>
    <w:rsid w:val="003A19D1"/>
    <w:rsid w:val="003A1DA7"/>
    <w:rsid w:val="003A1E22"/>
    <w:rsid w:val="003A2244"/>
    <w:rsid w:val="003A22BB"/>
    <w:rsid w:val="003A22FA"/>
    <w:rsid w:val="003A2355"/>
    <w:rsid w:val="003A25E3"/>
    <w:rsid w:val="003A290E"/>
    <w:rsid w:val="003A2D9B"/>
    <w:rsid w:val="003A2DB7"/>
    <w:rsid w:val="003A2DDD"/>
    <w:rsid w:val="003A2F5F"/>
    <w:rsid w:val="003A309A"/>
    <w:rsid w:val="003A31DC"/>
    <w:rsid w:val="003A32CC"/>
    <w:rsid w:val="003A351E"/>
    <w:rsid w:val="003A3856"/>
    <w:rsid w:val="003A39DB"/>
    <w:rsid w:val="003A3D6F"/>
    <w:rsid w:val="003A4102"/>
    <w:rsid w:val="003A413B"/>
    <w:rsid w:val="003A4294"/>
    <w:rsid w:val="003A42C3"/>
    <w:rsid w:val="003A4591"/>
    <w:rsid w:val="003A491C"/>
    <w:rsid w:val="003A4922"/>
    <w:rsid w:val="003A49FD"/>
    <w:rsid w:val="003A4CC3"/>
    <w:rsid w:val="003A4F19"/>
    <w:rsid w:val="003A4F40"/>
    <w:rsid w:val="003A4FF8"/>
    <w:rsid w:val="003A5132"/>
    <w:rsid w:val="003A548F"/>
    <w:rsid w:val="003A560B"/>
    <w:rsid w:val="003A56C1"/>
    <w:rsid w:val="003A5DD0"/>
    <w:rsid w:val="003A6068"/>
    <w:rsid w:val="003A6418"/>
    <w:rsid w:val="003A64BB"/>
    <w:rsid w:val="003A64F9"/>
    <w:rsid w:val="003A6594"/>
    <w:rsid w:val="003A68F2"/>
    <w:rsid w:val="003A699D"/>
    <w:rsid w:val="003A6A02"/>
    <w:rsid w:val="003A6B3B"/>
    <w:rsid w:val="003A6B8D"/>
    <w:rsid w:val="003A7399"/>
    <w:rsid w:val="003A746C"/>
    <w:rsid w:val="003A765F"/>
    <w:rsid w:val="003A7722"/>
    <w:rsid w:val="003A778C"/>
    <w:rsid w:val="003B003A"/>
    <w:rsid w:val="003B00AF"/>
    <w:rsid w:val="003B01A2"/>
    <w:rsid w:val="003B0781"/>
    <w:rsid w:val="003B07F1"/>
    <w:rsid w:val="003B0EA3"/>
    <w:rsid w:val="003B1280"/>
    <w:rsid w:val="003B1435"/>
    <w:rsid w:val="003B149D"/>
    <w:rsid w:val="003B1927"/>
    <w:rsid w:val="003B1A3F"/>
    <w:rsid w:val="003B1B60"/>
    <w:rsid w:val="003B1F1C"/>
    <w:rsid w:val="003B1F3E"/>
    <w:rsid w:val="003B2450"/>
    <w:rsid w:val="003B268F"/>
    <w:rsid w:val="003B26DC"/>
    <w:rsid w:val="003B282C"/>
    <w:rsid w:val="003B2E07"/>
    <w:rsid w:val="003B30D5"/>
    <w:rsid w:val="003B3104"/>
    <w:rsid w:val="003B336C"/>
    <w:rsid w:val="003B361C"/>
    <w:rsid w:val="003B38E2"/>
    <w:rsid w:val="003B3A9A"/>
    <w:rsid w:val="003B3B22"/>
    <w:rsid w:val="003B3F31"/>
    <w:rsid w:val="003B40FC"/>
    <w:rsid w:val="003B4116"/>
    <w:rsid w:val="003B439E"/>
    <w:rsid w:val="003B44CE"/>
    <w:rsid w:val="003B46B7"/>
    <w:rsid w:val="003B479D"/>
    <w:rsid w:val="003B4A63"/>
    <w:rsid w:val="003B4B36"/>
    <w:rsid w:val="003B4B81"/>
    <w:rsid w:val="003B4C0D"/>
    <w:rsid w:val="003B4C2D"/>
    <w:rsid w:val="003B5284"/>
    <w:rsid w:val="003B5405"/>
    <w:rsid w:val="003B540E"/>
    <w:rsid w:val="003B54F3"/>
    <w:rsid w:val="003B58FF"/>
    <w:rsid w:val="003B5BF9"/>
    <w:rsid w:val="003B5C4C"/>
    <w:rsid w:val="003B5DE1"/>
    <w:rsid w:val="003B61C7"/>
    <w:rsid w:val="003B65CF"/>
    <w:rsid w:val="003B6971"/>
    <w:rsid w:val="003B719F"/>
    <w:rsid w:val="003B7982"/>
    <w:rsid w:val="003B79E3"/>
    <w:rsid w:val="003C005B"/>
    <w:rsid w:val="003C022F"/>
    <w:rsid w:val="003C02E5"/>
    <w:rsid w:val="003C0520"/>
    <w:rsid w:val="003C068E"/>
    <w:rsid w:val="003C09B5"/>
    <w:rsid w:val="003C0ADA"/>
    <w:rsid w:val="003C0C4C"/>
    <w:rsid w:val="003C0C96"/>
    <w:rsid w:val="003C0D31"/>
    <w:rsid w:val="003C0E74"/>
    <w:rsid w:val="003C1001"/>
    <w:rsid w:val="003C12CD"/>
    <w:rsid w:val="003C144D"/>
    <w:rsid w:val="003C157D"/>
    <w:rsid w:val="003C17B1"/>
    <w:rsid w:val="003C1CFB"/>
    <w:rsid w:val="003C1D3D"/>
    <w:rsid w:val="003C1F3A"/>
    <w:rsid w:val="003C1F46"/>
    <w:rsid w:val="003C227E"/>
    <w:rsid w:val="003C23C3"/>
    <w:rsid w:val="003C25E8"/>
    <w:rsid w:val="003C2889"/>
    <w:rsid w:val="003C2A89"/>
    <w:rsid w:val="003C3C68"/>
    <w:rsid w:val="003C3CD3"/>
    <w:rsid w:val="003C3E24"/>
    <w:rsid w:val="003C3E7C"/>
    <w:rsid w:val="003C3F06"/>
    <w:rsid w:val="003C419B"/>
    <w:rsid w:val="003C44D2"/>
    <w:rsid w:val="003C4937"/>
    <w:rsid w:val="003C4A91"/>
    <w:rsid w:val="003C4E30"/>
    <w:rsid w:val="003C4F02"/>
    <w:rsid w:val="003C5474"/>
    <w:rsid w:val="003C5874"/>
    <w:rsid w:val="003C58AE"/>
    <w:rsid w:val="003C5A9F"/>
    <w:rsid w:val="003C6110"/>
    <w:rsid w:val="003C6224"/>
    <w:rsid w:val="003C6324"/>
    <w:rsid w:val="003C64FA"/>
    <w:rsid w:val="003C655E"/>
    <w:rsid w:val="003C666A"/>
    <w:rsid w:val="003C6773"/>
    <w:rsid w:val="003C694B"/>
    <w:rsid w:val="003C6C19"/>
    <w:rsid w:val="003C6C3B"/>
    <w:rsid w:val="003C6D5F"/>
    <w:rsid w:val="003C6EAF"/>
    <w:rsid w:val="003C6F10"/>
    <w:rsid w:val="003C70B0"/>
    <w:rsid w:val="003C7453"/>
    <w:rsid w:val="003C7A37"/>
    <w:rsid w:val="003C7B33"/>
    <w:rsid w:val="003D01C5"/>
    <w:rsid w:val="003D0CB5"/>
    <w:rsid w:val="003D0EB5"/>
    <w:rsid w:val="003D0F4D"/>
    <w:rsid w:val="003D0FE3"/>
    <w:rsid w:val="003D1060"/>
    <w:rsid w:val="003D13AA"/>
    <w:rsid w:val="003D15C4"/>
    <w:rsid w:val="003D168B"/>
    <w:rsid w:val="003D16FD"/>
    <w:rsid w:val="003D1810"/>
    <w:rsid w:val="003D1834"/>
    <w:rsid w:val="003D19C8"/>
    <w:rsid w:val="003D1B51"/>
    <w:rsid w:val="003D1DC3"/>
    <w:rsid w:val="003D1FF6"/>
    <w:rsid w:val="003D21B9"/>
    <w:rsid w:val="003D22D9"/>
    <w:rsid w:val="003D25E2"/>
    <w:rsid w:val="003D25F5"/>
    <w:rsid w:val="003D2601"/>
    <w:rsid w:val="003D327E"/>
    <w:rsid w:val="003D3345"/>
    <w:rsid w:val="003D342D"/>
    <w:rsid w:val="003D3559"/>
    <w:rsid w:val="003D3994"/>
    <w:rsid w:val="003D3C0C"/>
    <w:rsid w:val="003D3C91"/>
    <w:rsid w:val="003D3D3F"/>
    <w:rsid w:val="003D3D61"/>
    <w:rsid w:val="003D3DE2"/>
    <w:rsid w:val="003D3F32"/>
    <w:rsid w:val="003D3FAD"/>
    <w:rsid w:val="003D40A3"/>
    <w:rsid w:val="003D411E"/>
    <w:rsid w:val="003D4229"/>
    <w:rsid w:val="003D4996"/>
    <w:rsid w:val="003D4A71"/>
    <w:rsid w:val="003D4B10"/>
    <w:rsid w:val="003D4EC8"/>
    <w:rsid w:val="003D579D"/>
    <w:rsid w:val="003D59A0"/>
    <w:rsid w:val="003D5A29"/>
    <w:rsid w:val="003D5B51"/>
    <w:rsid w:val="003D6671"/>
    <w:rsid w:val="003D6756"/>
    <w:rsid w:val="003D677A"/>
    <w:rsid w:val="003D67C8"/>
    <w:rsid w:val="003D6A36"/>
    <w:rsid w:val="003D6C55"/>
    <w:rsid w:val="003D6C60"/>
    <w:rsid w:val="003D6DF1"/>
    <w:rsid w:val="003D712A"/>
    <w:rsid w:val="003D759B"/>
    <w:rsid w:val="003D7609"/>
    <w:rsid w:val="003D7A09"/>
    <w:rsid w:val="003D7DEB"/>
    <w:rsid w:val="003E02AD"/>
    <w:rsid w:val="003E0673"/>
    <w:rsid w:val="003E0A37"/>
    <w:rsid w:val="003E0A5F"/>
    <w:rsid w:val="003E0B85"/>
    <w:rsid w:val="003E0BDF"/>
    <w:rsid w:val="003E0FF3"/>
    <w:rsid w:val="003E1295"/>
    <w:rsid w:val="003E13B7"/>
    <w:rsid w:val="003E1491"/>
    <w:rsid w:val="003E175D"/>
    <w:rsid w:val="003E18D7"/>
    <w:rsid w:val="003E1901"/>
    <w:rsid w:val="003E1998"/>
    <w:rsid w:val="003E1CCA"/>
    <w:rsid w:val="003E20F3"/>
    <w:rsid w:val="003E2223"/>
    <w:rsid w:val="003E2461"/>
    <w:rsid w:val="003E24A5"/>
    <w:rsid w:val="003E24EE"/>
    <w:rsid w:val="003E3074"/>
    <w:rsid w:val="003E307B"/>
    <w:rsid w:val="003E311A"/>
    <w:rsid w:val="003E322A"/>
    <w:rsid w:val="003E34E8"/>
    <w:rsid w:val="003E3523"/>
    <w:rsid w:val="003E36C1"/>
    <w:rsid w:val="003E36ED"/>
    <w:rsid w:val="003E3799"/>
    <w:rsid w:val="003E3ABD"/>
    <w:rsid w:val="003E3C16"/>
    <w:rsid w:val="003E4037"/>
    <w:rsid w:val="003E40B5"/>
    <w:rsid w:val="003E4986"/>
    <w:rsid w:val="003E4CD0"/>
    <w:rsid w:val="003E4E20"/>
    <w:rsid w:val="003E4F7A"/>
    <w:rsid w:val="003E50BD"/>
    <w:rsid w:val="003E511B"/>
    <w:rsid w:val="003E521C"/>
    <w:rsid w:val="003E53F0"/>
    <w:rsid w:val="003E5560"/>
    <w:rsid w:val="003E56BE"/>
    <w:rsid w:val="003E57CF"/>
    <w:rsid w:val="003E6027"/>
    <w:rsid w:val="003E61FE"/>
    <w:rsid w:val="003E6676"/>
    <w:rsid w:val="003E693E"/>
    <w:rsid w:val="003E6B17"/>
    <w:rsid w:val="003E6C1F"/>
    <w:rsid w:val="003E6C8B"/>
    <w:rsid w:val="003E6D0F"/>
    <w:rsid w:val="003E6F1A"/>
    <w:rsid w:val="003E7097"/>
    <w:rsid w:val="003E7257"/>
    <w:rsid w:val="003E726E"/>
    <w:rsid w:val="003E7388"/>
    <w:rsid w:val="003E743B"/>
    <w:rsid w:val="003E782F"/>
    <w:rsid w:val="003E793F"/>
    <w:rsid w:val="003F0515"/>
    <w:rsid w:val="003F0A77"/>
    <w:rsid w:val="003F0BB9"/>
    <w:rsid w:val="003F0E0E"/>
    <w:rsid w:val="003F0EC2"/>
    <w:rsid w:val="003F15B2"/>
    <w:rsid w:val="003F1618"/>
    <w:rsid w:val="003F1D3D"/>
    <w:rsid w:val="003F1D6C"/>
    <w:rsid w:val="003F1E1D"/>
    <w:rsid w:val="003F21CC"/>
    <w:rsid w:val="003F2661"/>
    <w:rsid w:val="003F29B8"/>
    <w:rsid w:val="003F2BB6"/>
    <w:rsid w:val="003F2DFB"/>
    <w:rsid w:val="003F2E3E"/>
    <w:rsid w:val="003F3115"/>
    <w:rsid w:val="003F3202"/>
    <w:rsid w:val="003F3357"/>
    <w:rsid w:val="003F3750"/>
    <w:rsid w:val="003F37EF"/>
    <w:rsid w:val="003F3851"/>
    <w:rsid w:val="003F38A2"/>
    <w:rsid w:val="003F38B1"/>
    <w:rsid w:val="003F3C4D"/>
    <w:rsid w:val="003F42BB"/>
    <w:rsid w:val="003F454D"/>
    <w:rsid w:val="003F4617"/>
    <w:rsid w:val="003F4853"/>
    <w:rsid w:val="003F48B7"/>
    <w:rsid w:val="003F498D"/>
    <w:rsid w:val="003F4F2F"/>
    <w:rsid w:val="003F4FB4"/>
    <w:rsid w:val="003F5114"/>
    <w:rsid w:val="003F5314"/>
    <w:rsid w:val="003F53C5"/>
    <w:rsid w:val="003F53E1"/>
    <w:rsid w:val="003F53E6"/>
    <w:rsid w:val="003F5503"/>
    <w:rsid w:val="003F5584"/>
    <w:rsid w:val="003F584A"/>
    <w:rsid w:val="003F5AC4"/>
    <w:rsid w:val="003F5B45"/>
    <w:rsid w:val="003F5C0B"/>
    <w:rsid w:val="003F5E06"/>
    <w:rsid w:val="003F5EB2"/>
    <w:rsid w:val="003F6114"/>
    <w:rsid w:val="003F6301"/>
    <w:rsid w:val="003F637D"/>
    <w:rsid w:val="003F6505"/>
    <w:rsid w:val="003F68DA"/>
    <w:rsid w:val="003F69B0"/>
    <w:rsid w:val="003F6AF5"/>
    <w:rsid w:val="003F6C73"/>
    <w:rsid w:val="003F6CC1"/>
    <w:rsid w:val="003F6D0A"/>
    <w:rsid w:val="003F6D78"/>
    <w:rsid w:val="003F6DEB"/>
    <w:rsid w:val="003F70AF"/>
    <w:rsid w:val="003F7451"/>
    <w:rsid w:val="003F7455"/>
    <w:rsid w:val="003F7567"/>
    <w:rsid w:val="003F7A4B"/>
    <w:rsid w:val="003F7D4F"/>
    <w:rsid w:val="003F7E06"/>
    <w:rsid w:val="003F7E5A"/>
    <w:rsid w:val="00400233"/>
    <w:rsid w:val="0040034E"/>
    <w:rsid w:val="004008B1"/>
    <w:rsid w:val="004008D6"/>
    <w:rsid w:val="0040093D"/>
    <w:rsid w:val="00400F9B"/>
    <w:rsid w:val="00400FBD"/>
    <w:rsid w:val="0040106D"/>
    <w:rsid w:val="004012C9"/>
    <w:rsid w:val="004012CE"/>
    <w:rsid w:val="00401339"/>
    <w:rsid w:val="0040250A"/>
    <w:rsid w:val="00402880"/>
    <w:rsid w:val="00402984"/>
    <w:rsid w:val="004029F6"/>
    <w:rsid w:val="00402B31"/>
    <w:rsid w:val="00402BBB"/>
    <w:rsid w:val="00402BD3"/>
    <w:rsid w:val="00402D12"/>
    <w:rsid w:val="004030EF"/>
    <w:rsid w:val="00403374"/>
    <w:rsid w:val="00403416"/>
    <w:rsid w:val="00403512"/>
    <w:rsid w:val="004036C7"/>
    <w:rsid w:val="00403714"/>
    <w:rsid w:val="00403C67"/>
    <w:rsid w:val="00403CFF"/>
    <w:rsid w:val="00403EB5"/>
    <w:rsid w:val="004040FA"/>
    <w:rsid w:val="0040421A"/>
    <w:rsid w:val="00404744"/>
    <w:rsid w:val="004047C6"/>
    <w:rsid w:val="00404D8E"/>
    <w:rsid w:val="00404F87"/>
    <w:rsid w:val="00405237"/>
    <w:rsid w:val="0040530C"/>
    <w:rsid w:val="0040573A"/>
    <w:rsid w:val="00405A03"/>
    <w:rsid w:val="00405FF8"/>
    <w:rsid w:val="004060B7"/>
    <w:rsid w:val="0040620F"/>
    <w:rsid w:val="00406439"/>
    <w:rsid w:val="004065CE"/>
    <w:rsid w:val="00406605"/>
    <w:rsid w:val="004067C4"/>
    <w:rsid w:val="00406CC3"/>
    <w:rsid w:val="00406DE7"/>
    <w:rsid w:val="004076BB"/>
    <w:rsid w:val="004078A9"/>
    <w:rsid w:val="00407B2E"/>
    <w:rsid w:val="00407EDA"/>
    <w:rsid w:val="004101DD"/>
    <w:rsid w:val="0041025A"/>
    <w:rsid w:val="004102CD"/>
    <w:rsid w:val="0041033D"/>
    <w:rsid w:val="00410342"/>
    <w:rsid w:val="004106FB"/>
    <w:rsid w:val="0041081F"/>
    <w:rsid w:val="00410C1F"/>
    <w:rsid w:val="00411259"/>
    <w:rsid w:val="0041147D"/>
    <w:rsid w:val="0041175E"/>
    <w:rsid w:val="0041229D"/>
    <w:rsid w:val="0041274F"/>
    <w:rsid w:val="00412935"/>
    <w:rsid w:val="004129DC"/>
    <w:rsid w:val="00412CED"/>
    <w:rsid w:val="00413046"/>
    <w:rsid w:val="004134C8"/>
    <w:rsid w:val="004135F9"/>
    <w:rsid w:val="00413667"/>
    <w:rsid w:val="00413675"/>
    <w:rsid w:val="0041374D"/>
    <w:rsid w:val="00413A50"/>
    <w:rsid w:val="00413CFB"/>
    <w:rsid w:val="0041420D"/>
    <w:rsid w:val="0041424F"/>
    <w:rsid w:val="0041484A"/>
    <w:rsid w:val="004148DC"/>
    <w:rsid w:val="00414980"/>
    <w:rsid w:val="00414BA4"/>
    <w:rsid w:val="00414FC3"/>
    <w:rsid w:val="00415347"/>
    <w:rsid w:val="004153E7"/>
    <w:rsid w:val="00415AC9"/>
    <w:rsid w:val="00415FD2"/>
    <w:rsid w:val="004160A1"/>
    <w:rsid w:val="0041664D"/>
    <w:rsid w:val="00416882"/>
    <w:rsid w:val="004169CC"/>
    <w:rsid w:val="00416D0D"/>
    <w:rsid w:val="00416E16"/>
    <w:rsid w:val="00416FDE"/>
    <w:rsid w:val="0041703D"/>
    <w:rsid w:val="00417240"/>
    <w:rsid w:val="0041750A"/>
    <w:rsid w:val="00417571"/>
    <w:rsid w:val="0041763E"/>
    <w:rsid w:val="00417754"/>
    <w:rsid w:val="00417989"/>
    <w:rsid w:val="00417A56"/>
    <w:rsid w:val="00417DE2"/>
    <w:rsid w:val="00417EC0"/>
    <w:rsid w:val="00417F02"/>
    <w:rsid w:val="00417FFE"/>
    <w:rsid w:val="0042030B"/>
    <w:rsid w:val="00420555"/>
    <w:rsid w:val="004207A7"/>
    <w:rsid w:val="0042081E"/>
    <w:rsid w:val="00420843"/>
    <w:rsid w:val="00420912"/>
    <w:rsid w:val="00420BFB"/>
    <w:rsid w:val="00420C0D"/>
    <w:rsid w:val="00420C7A"/>
    <w:rsid w:val="00420E5E"/>
    <w:rsid w:val="00420EFC"/>
    <w:rsid w:val="00421438"/>
    <w:rsid w:val="00421BB8"/>
    <w:rsid w:val="00421CAD"/>
    <w:rsid w:val="00422089"/>
    <w:rsid w:val="004220D7"/>
    <w:rsid w:val="00422146"/>
    <w:rsid w:val="0042221D"/>
    <w:rsid w:val="00422363"/>
    <w:rsid w:val="00422428"/>
    <w:rsid w:val="00422C63"/>
    <w:rsid w:val="00422F40"/>
    <w:rsid w:val="0042302E"/>
    <w:rsid w:val="004235C8"/>
    <w:rsid w:val="004237C4"/>
    <w:rsid w:val="00423B0D"/>
    <w:rsid w:val="00423C34"/>
    <w:rsid w:val="00423FB0"/>
    <w:rsid w:val="004241D1"/>
    <w:rsid w:val="0042427F"/>
    <w:rsid w:val="0042453D"/>
    <w:rsid w:val="0042554D"/>
    <w:rsid w:val="00425864"/>
    <w:rsid w:val="00425C60"/>
    <w:rsid w:val="00425E5D"/>
    <w:rsid w:val="00425FD5"/>
    <w:rsid w:val="004261AB"/>
    <w:rsid w:val="0042640D"/>
    <w:rsid w:val="00426693"/>
    <w:rsid w:val="004268E1"/>
    <w:rsid w:val="00426A82"/>
    <w:rsid w:val="00426BA2"/>
    <w:rsid w:val="00426CDE"/>
    <w:rsid w:val="00427AA6"/>
    <w:rsid w:val="00427AC7"/>
    <w:rsid w:val="00427E8C"/>
    <w:rsid w:val="00427E9F"/>
    <w:rsid w:val="004300CE"/>
    <w:rsid w:val="004303E8"/>
    <w:rsid w:val="00430ADF"/>
    <w:rsid w:val="00430ECD"/>
    <w:rsid w:val="00430EFC"/>
    <w:rsid w:val="00430F65"/>
    <w:rsid w:val="004311DE"/>
    <w:rsid w:val="004312BD"/>
    <w:rsid w:val="004312D6"/>
    <w:rsid w:val="00431BE8"/>
    <w:rsid w:val="00432586"/>
    <w:rsid w:val="004326B1"/>
    <w:rsid w:val="00432815"/>
    <w:rsid w:val="00432B64"/>
    <w:rsid w:val="00432CE7"/>
    <w:rsid w:val="00432F12"/>
    <w:rsid w:val="00432F4C"/>
    <w:rsid w:val="00433273"/>
    <w:rsid w:val="0043343A"/>
    <w:rsid w:val="004334FA"/>
    <w:rsid w:val="0043388F"/>
    <w:rsid w:val="00433BC9"/>
    <w:rsid w:val="00433C1B"/>
    <w:rsid w:val="00434039"/>
    <w:rsid w:val="00434240"/>
    <w:rsid w:val="00435063"/>
    <w:rsid w:val="0043543C"/>
    <w:rsid w:val="0043546A"/>
    <w:rsid w:val="0043553F"/>
    <w:rsid w:val="00435647"/>
    <w:rsid w:val="004356F7"/>
    <w:rsid w:val="0043581B"/>
    <w:rsid w:val="0043599F"/>
    <w:rsid w:val="00435C1A"/>
    <w:rsid w:val="00435C59"/>
    <w:rsid w:val="00435F66"/>
    <w:rsid w:val="0043622E"/>
    <w:rsid w:val="00436264"/>
    <w:rsid w:val="00436302"/>
    <w:rsid w:val="0043633C"/>
    <w:rsid w:val="00436359"/>
    <w:rsid w:val="004364B8"/>
    <w:rsid w:val="004369E7"/>
    <w:rsid w:val="00436ECC"/>
    <w:rsid w:val="00436F6D"/>
    <w:rsid w:val="004371B8"/>
    <w:rsid w:val="00437352"/>
    <w:rsid w:val="0043765D"/>
    <w:rsid w:val="00437ADC"/>
    <w:rsid w:val="00437AF8"/>
    <w:rsid w:val="00437E3C"/>
    <w:rsid w:val="00437EB1"/>
    <w:rsid w:val="00437FA5"/>
    <w:rsid w:val="00440037"/>
    <w:rsid w:val="00440058"/>
    <w:rsid w:val="004400A6"/>
    <w:rsid w:val="004400D1"/>
    <w:rsid w:val="004400EF"/>
    <w:rsid w:val="004403C7"/>
    <w:rsid w:val="004403CD"/>
    <w:rsid w:val="004404DA"/>
    <w:rsid w:val="00440916"/>
    <w:rsid w:val="00440C6E"/>
    <w:rsid w:val="00440CA9"/>
    <w:rsid w:val="00440D97"/>
    <w:rsid w:val="00441352"/>
    <w:rsid w:val="004418CF"/>
    <w:rsid w:val="00441B02"/>
    <w:rsid w:val="00441BF3"/>
    <w:rsid w:val="00441C8A"/>
    <w:rsid w:val="00442601"/>
    <w:rsid w:val="004429FB"/>
    <w:rsid w:val="00442FFE"/>
    <w:rsid w:val="00443B44"/>
    <w:rsid w:val="00443FE4"/>
    <w:rsid w:val="00444020"/>
    <w:rsid w:val="0044424D"/>
    <w:rsid w:val="00444267"/>
    <w:rsid w:val="004442B7"/>
    <w:rsid w:val="004444F5"/>
    <w:rsid w:val="0044456A"/>
    <w:rsid w:val="004445AD"/>
    <w:rsid w:val="0044469C"/>
    <w:rsid w:val="00444B2F"/>
    <w:rsid w:val="00444C34"/>
    <w:rsid w:val="00445089"/>
    <w:rsid w:val="004455FB"/>
    <w:rsid w:val="004456AB"/>
    <w:rsid w:val="004457A4"/>
    <w:rsid w:val="00445EAC"/>
    <w:rsid w:val="00446016"/>
    <w:rsid w:val="00446218"/>
    <w:rsid w:val="004467CC"/>
    <w:rsid w:val="00446822"/>
    <w:rsid w:val="004469A6"/>
    <w:rsid w:val="00446CB8"/>
    <w:rsid w:val="00446DB4"/>
    <w:rsid w:val="00446E2C"/>
    <w:rsid w:val="00446E36"/>
    <w:rsid w:val="00446F30"/>
    <w:rsid w:val="00447732"/>
    <w:rsid w:val="00447872"/>
    <w:rsid w:val="00447918"/>
    <w:rsid w:val="00447BC5"/>
    <w:rsid w:val="00447D45"/>
    <w:rsid w:val="00447D53"/>
    <w:rsid w:val="00447F55"/>
    <w:rsid w:val="00447F92"/>
    <w:rsid w:val="004500B9"/>
    <w:rsid w:val="004504F3"/>
    <w:rsid w:val="00450E9B"/>
    <w:rsid w:val="00450F45"/>
    <w:rsid w:val="00450F5C"/>
    <w:rsid w:val="00450FB4"/>
    <w:rsid w:val="00451123"/>
    <w:rsid w:val="00451151"/>
    <w:rsid w:val="0045116F"/>
    <w:rsid w:val="00451423"/>
    <w:rsid w:val="004515F5"/>
    <w:rsid w:val="004516AC"/>
    <w:rsid w:val="0045170E"/>
    <w:rsid w:val="00451AF7"/>
    <w:rsid w:val="00451E5F"/>
    <w:rsid w:val="00452127"/>
    <w:rsid w:val="0045216B"/>
    <w:rsid w:val="00452377"/>
    <w:rsid w:val="00452379"/>
    <w:rsid w:val="00453058"/>
    <w:rsid w:val="004530DC"/>
    <w:rsid w:val="004536C0"/>
    <w:rsid w:val="00453739"/>
    <w:rsid w:val="004538F5"/>
    <w:rsid w:val="004539BA"/>
    <w:rsid w:val="00453A72"/>
    <w:rsid w:val="00454B32"/>
    <w:rsid w:val="00454CC7"/>
    <w:rsid w:val="00454FD7"/>
    <w:rsid w:val="0045553E"/>
    <w:rsid w:val="00455679"/>
    <w:rsid w:val="00455B93"/>
    <w:rsid w:val="00455F03"/>
    <w:rsid w:val="004561DC"/>
    <w:rsid w:val="004562F5"/>
    <w:rsid w:val="00456306"/>
    <w:rsid w:val="00456505"/>
    <w:rsid w:val="00456682"/>
    <w:rsid w:val="004568C8"/>
    <w:rsid w:val="00456CF5"/>
    <w:rsid w:val="00457069"/>
    <w:rsid w:val="0045728A"/>
    <w:rsid w:val="00457315"/>
    <w:rsid w:val="0045742E"/>
    <w:rsid w:val="0045770F"/>
    <w:rsid w:val="0045780E"/>
    <w:rsid w:val="00457D45"/>
    <w:rsid w:val="00457D50"/>
    <w:rsid w:val="00457E37"/>
    <w:rsid w:val="00457EE1"/>
    <w:rsid w:val="00457FC1"/>
    <w:rsid w:val="00460080"/>
    <w:rsid w:val="0046020E"/>
    <w:rsid w:val="004602FB"/>
    <w:rsid w:val="0046037B"/>
    <w:rsid w:val="004608D8"/>
    <w:rsid w:val="004609AB"/>
    <w:rsid w:val="00460A33"/>
    <w:rsid w:val="00460B98"/>
    <w:rsid w:val="00460E21"/>
    <w:rsid w:val="00461120"/>
    <w:rsid w:val="0046131E"/>
    <w:rsid w:val="004616C6"/>
    <w:rsid w:val="0046192D"/>
    <w:rsid w:val="004619FA"/>
    <w:rsid w:val="00461A88"/>
    <w:rsid w:val="00461C2C"/>
    <w:rsid w:val="00461D7A"/>
    <w:rsid w:val="0046215F"/>
    <w:rsid w:val="004621B7"/>
    <w:rsid w:val="004622D4"/>
    <w:rsid w:val="00462477"/>
    <w:rsid w:val="0046260C"/>
    <w:rsid w:val="0046263D"/>
    <w:rsid w:val="00462675"/>
    <w:rsid w:val="00462761"/>
    <w:rsid w:val="004627DC"/>
    <w:rsid w:val="00462959"/>
    <w:rsid w:val="00462CCA"/>
    <w:rsid w:val="0046300A"/>
    <w:rsid w:val="00463056"/>
    <w:rsid w:val="004631AE"/>
    <w:rsid w:val="0046351A"/>
    <w:rsid w:val="004635B5"/>
    <w:rsid w:val="004635F4"/>
    <w:rsid w:val="00463791"/>
    <w:rsid w:val="004637C2"/>
    <w:rsid w:val="004638BB"/>
    <w:rsid w:val="00463F3D"/>
    <w:rsid w:val="00463FF4"/>
    <w:rsid w:val="00464049"/>
    <w:rsid w:val="0046416F"/>
    <w:rsid w:val="0046421A"/>
    <w:rsid w:val="00464781"/>
    <w:rsid w:val="004647D1"/>
    <w:rsid w:val="00464905"/>
    <w:rsid w:val="0046492F"/>
    <w:rsid w:val="00464A26"/>
    <w:rsid w:val="00464D7D"/>
    <w:rsid w:val="0046505E"/>
    <w:rsid w:val="00465132"/>
    <w:rsid w:val="00465576"/>
    <w:rsid w:val="00465EBB"/>
    <w:rsid w:val="00465FF1"/>
    <w:rsid w:val="004660A2"/>
    <w:rsid w:val="00466380"/>
    <w:rsid w:val="00466394"/>
    <w:rsid w:val="004664BE"/>
    <w:rsid w:val="00466736"/>
    <w:rsid w:val="00466833"/>
    <w:rsid w:val="00466961"/>
    <w:rsid w:val="00466A91"/>
    <w:rsid w:val="00466E3F"/>
    <w:rsid w:val="004672EB"/>
    <w:rsid w:val="004674B2"/>
    <w:rsid w:val="00467599"/>
    <w:rsid w:val="004678F8"/>
    <w:rsid w:val="00467981"/>
    <w:rsid w:val="00467AA5"/>
    <w:rsid w:val="004701EE"/>
    <w:rsid w:val="004706DD"/>
    <w:rsid w:val="00470777"/>
    <w:rsid w:val="00470A33"/>
    <w:rsid w:val="00470B92"/>
    <w:rsid w:val="00470C36"/>
    <w:rsid w:val="00470DD8"/>
    <w:rsid w:val="00471369"/>
    <w:rsid w:val="004714F8"/>
    <w:rsid w:val="0047173F"/>
    <w:rsid w:val="0047187D"/>
    <w:rsid w:val="004718E2"/>
    <w:rsid w:val="004719AB"/>
    <w:rsid w:val="00471B61"/>
    <w:rsid w:val="00471D85"/>
    <w:rsid w:val="00471DF1"/>
    <w:rsid w:val="00471E39"/>
    <w:rsid w:val="00471F82"/>
    <w:rsid w:val="00472102"/>
    <w:rsid w:val="0047276F"/>
    <w:rsid w:val="00472948"/>
    <w:rsid w:val="00472BEB"/>
    <w:rsid w:val="00472D68"/>
    <w:rsid w:val="00472DEE"/>
    <w:rsid w:val="00473382"/>
    <w:rsid w:val="00473391"/>
    <w:rsid w:val="004734FF"/>
    <w:rsid w:val="00473720"/>
    <w:rsid w:val="004738CB"/>
    <w:rsid w:val="00473ECE"/>
    <w:rsid w:val="00473EF3"/>
    <w:rsid w:val="0047470F"/>
    <w:rsid w:val="00474EE1"/>
    <w:rsid w:val="00474F3F"/>
    <w:rsid w:val="00474F8A"/>
    <w:rsid w:val="004751F8"/>
    <w:rsid w:val="004754C2"/>
    <w:rsid w:val="0047553D"/>
    <w:rsid w:val="004755E0"/>
    <w:rsid w:val="00475677"/>
    <w:rsid w:val="00475753"/>
    <w:rsid w:val="00475CB3"/>
    <w:rsid w:val="00475E81"/>
    <w:rsid w:val="00475F90"/>
    <w:rsid w:val="004762E9"/>
    <w:rsid w:val="00476A2C"/>
    <w:rsid w:val="00476C9C"/>
    <w:rsid w:val="00477222"/>
    <w:rsid w:val="00477288"/>
    <w:rsid w:val="004772AC"/>
    <w:rsid w:val="00477356"/>
    <w:rsid w:val="0047738A"/>
    <w:rsid w:val="004773FD"/>
    <w:rsid w:val="004776F2"/>
    <w:rsid w:val="00477AB8"/>
    <w:rsid w:val="00477E2F"/>
    <w:rsid w:val="00480009"/>
    <w:rsid w:val="004802B4"/>
    <w:rsid w:val="0048055E"/>
    <w:rsid w:val="00480AEF"/>
    <w:rsid w:val="00480CC3"/>
    <w:rsid w:val="00480FE0"/>
    <w:rsid w:val="0048126C"/>
    <w:rsid w:val="0048161B"/>
    <w:rsid w:val="00481678"/>
    <w:rsid w:val="00481797"/>
    <w:rsid w:val="0048185A"/>
    <w:rsid w:val="00481A10"/>
    <w:rsid w:val="00481C1F"/>
    <w:rsid w:val="00481F28"/>
    <w:rsid w:val="00481F7F"/>
    <w:rsid w:val="00482173"/>
    <w:rsid w:val="00482537"/>
    <w:rsid w:val="004825EC"/>
    <w:rsid w:val="00482BEF"/>
    <w:rsid w:val="00482BF7"/>
    <w:rsid w:val="00482EAC"/>
    <w:rsid w:val="00483672"/>
    <w:rsid w:val="00483816"/>
    <w:rsid w:val="00483825"/>
    <w:rsid w:val="004838C5"/>
    <w:rsid w:val="004839E3"/>
    <w:rsid w:val="00483AD3"/>
    <w:rsid w:val="00483B10"/>
    <w:rsid w:val="00483B59"/>
    <w:rsid w:val="00483EEB"/>
    <w:rsid w:val="00483F10"/>
    <w:rsid w:val="00483F48"/>
    <w:rsid w:val="004841C2"/>
    <w:rsid w:val="004842B2"/>
    <w:rsid w:val="0048443C"/>
    <w:rsid w:val="00484453"/>
    <w:rsid w:val="00484521"/>
    <w:rsid w:val="00484647"/>
    <w:rsid w:val="00484836"/>
    <w:rsid w:val="00484881"/>
    <w:rsid w:val="0048496F"/>
    <w:rsid w:val="00484D2F"/>
    <w:rsid w:val="00485132"/>
    <w:rsid w:val="004851C6"/>
    <w:rsid w:val="004853AB"/>
    <w:rsid w:val="0048543D"/>
    <w:rsid w:val="0048551B"/>
    <w:rsid w:val="00485540"/>
    <w:rsid w:val="00485813"/>
    <w:rsid w:val="00485AE1"/>
    <w:rsid w:val="00485BB0"/>
    <w:rsid w:val="00485C88"/>
    <w:rsid w:val="00485E30"/>
    <w:rsid w:val="00486092"/>
    <w:rsid w:val="00486546"/>
    <w:rsid w:val="00486557"/>
    <w:rsid w:val="00486A27"/>
    <w:rsid w:val="00487165"/>
    <w:rsid w:val="00487567"/>
    <w:rsid w:val="004875B1"/>
    <w:rsid w:val="004876E2"/>
    <w:rsid w:val="00487728"/>
    <w:rsid w:val="00487AEB"/>
    <w:rsid w:val="00490181"/>
    <w:rsid w:val="00490269"/>
    <w:rsid w:val="004902EA"/>
    <w:rsid w:val="0049083F"/>
    <w:rsid w:val="0049084A"/>
    <w:rsid w:val="004908E1"/>
    <w:rsid w:val="00490A0A"/>
    <w:rsid w:val="00490B33"/>
    <w:rsid w:val="00490E21"/>
    <w:rsid w:val="00490F80"/>
    <w:rsid w:val="00490FDF"/>
    <w:rsid w:val="004911A4"/>
    <w:rsid w:val="004911C1"/>
    <w:rsid w:val="004911E9"/>
    <w:rsid w:val="00491674"/>
    <w:rsid w:val="004916B0"/>
    <w:rsid w:val="00491C1E"/>
    <w:rsid w:val="00491DBC"/>
    <w:rsid w:val="00491EBB"/>
    <w:rsid w:val="00491EEA"/>
    <w:rsid w:val="004920B5"/>
    <w:rsid w:val="00492515"/>
    <w:rsid w:val="00492BBD"/>
    <w:rsid w:val="00492DF1"/>
    <w:rsid w:val="004931E3"/>
    <w:rsid w:val="0049326E"/>
    <w:rsid w:val="0049332A"/>
    <w:rsid w:val="0049388A"/>
    <w:rsid w:val="00493F59"/>
    <w:rsid w:val="00494408"/>
    <w:rsid w:val="004947BD"/>
    <w:rsid w:val="00494CE5"/>
    <w:rsid w:val="004950FC"/>
    <w:rsid w:val="004955C2"/>
    <w:rsid w:val="004955EA"/>
    <w:rsid w:val="004958B4"/>
    <w:rsid w:val="004959BB"/>
    <w:rsid w:val="004959D2"/>
    <w:rsid w:val="00495B59"/>
    <w:rsid w:val="00495C64"/>
    <w:rsid w:val="00495EA3"/>
    <w:rsid w:val="004961BF"/>
    <w:rsid w:val="004963DE"/>
    <w:rsid w:val="00496799"/>
    <w:rsid w:val="004969D2"/>
    <w:rsid w:val="00496A24"/>
    <w:rsid w:val="00496A82"/>
    <w:rsid w:val="00497095"/>
    <w:rsid w:val="0049734C"/>
    <w:rsid w:val="00497667"/>
    <w:rsid w:val="004976EB"/>
    <w:rsid w:val="00497761"/>
    <w:rsid w:val="00497B43"/>
    <w:rsid w:val="00497DC3"/>
    <w:rsid w:val="004A02C1"/>
    <w:rsid w:val="004A050D"/>
    <w:rsid w:val="004A05D4"/>
    <w:rsid w:val="004A0792"/>
    <w:rsid w:val="004A0842"/>
    <w:rsid w:val="004A085F"/>
    <w:rsid w:val="004A0963"/>
    <w:rsid w:val="004A0D91"/>
    <w:rsid w:val="004A0EDC"/>
    <w:rsid w:val="004A114F"/>
    <w:rsid w:val="004A11E9"/>
    <w:rsid w:val="004A143B"/>
    <w:rsid w:val="004A15A3"/>
    <w:rsid w:val="004A16EF"/>
    <w:rsid w:val="004A173D"/>
    <w:rsid w:val="004A1745"/>
    <w:rsid w:val="004A176D"/>
    <w:rsid w:val="004A17ED"/>
    <w:rsid w:val="004A1A98"/>
    <w:rsid w:val="004A1E03"/>
    <w:rsid w:val="004A1E80"/>
    <w:rsid w:val="004A1F2D"/>
    <w:rsid w:val="004A2451"/>
    <w:rsid w:val="004A275A"/>
    <w:rsid w:val="004A2995"/>
    <w:rsid w:val="004A2A2D"/>
    <w:rsid w:val="004A2D17"/>
    <w:rsid w:val="004A2D38"/>
    <w:rsid w:val="004A2EC9"/>
    <w:rsid w:val="004A2F98"/>
    <w:rsid w:val="004A30B7"/>
    <w:rsid w:val="004A3324"/>
    <w:rsid w:val="004A3567"/>
    <w:rsid w:val="004A36A0"/>
    <w:rsid w:val="004A38CE"/>
    <w:rsid w:val="004A3A0B"/>
    <w:rsid w:val="004A3B3D"/>
    <w:rsid w:val="004A3C07"/>
    <w:rsid w:val="004A3C08"/>
    <w:rsid w:val="004A3D24"/>
    <w:rsid w:val="004A3DB5"/>
    <w:rsid w:val="004A3EC8"/>
    <w:rsid w:val="004A4238"/>
    <w:rsid w:val="004A43C5"/>
    <w:rsid w:val="004A4766"/>
    <w:rsid w:val="004A4A0F"/>
    <w:rsid w:val="004A4B10"/>
    <w:rsid w:val="004A4B21"/>
    <w:rsid w:val="004A5572"/>
    <w:rsid w:val="004A56C0"/>
    <w:rsid w:val="004A5961"/>
    <w:rsid w:val="004A5969"/>
    <w:rsid w:val="004A603A"/>
    <w:rsid w:val="004A66B7"/>
    <w:rsid w:val="004A6BE6"/>
    <w:rsid w:val="004A6EF9"/>
    <w:rsid w:val="004A742B"/>
    <w:rsid w:val="004A744D"/>
    <w:rsid w:val="004A7668"/>
    <w:rsid w:val="004A78A9"/>
    <w:rsid w:val="004A78E9"/>
    <w:rsid w:val="004A7BF2"/>
    <w:rsid w:val="004A7D05"/>
    <w:rsid w:val="004A7DC1"/>
    <w:rsid w:val="004B0132"/>
    <w:rsid w:val="004B02E0"/>
    <w:rsid w:val="004B03B1"/>
    <w:rsid w:val="004B03CB"/>
    <w:rsid w:val="004B04AB"/>
    <w:rsid w:val="004B0613"/>
    <w:rsid w:val="004B0A71"/>
    <w:rsid w:val="004B10D4"/>
    <w:rsid w:val="004B169A"/>
    <w:rsid w:val="004B17BE"/>
    <w:rsid w:val="004B1883"/>
    <w:rsid w:val="004B1BBA"/>
    <w:rsid w:val="004B1D8B"/>
    <w:rsid w:val="004B1EBE"/>
    <w:rsid w:val="004B21A7"/>
    <w:rsid w:val="004B21F6"/>
    <w:rsid w:val="004B222E"/>
    <w:rsid w:val="004B2543"/>
    <w:rsid w:val="004B270C"/>
    <w:rsid w:val="004B2C66"/>
    <w:rsid w:val="004B2E68"/>
    <w:rsid w:val="004B30CB"/>
    <w:rsid w:val="004B322B"/>
    <w:rsid w:val="004B3280"/>
    <w:rsid w:val="004B339E"/>
    <w:rsid w:val="004B355E"/>
    <w:rsid w:val="004B3BD8"/>
    <w:rsid w:val="004B3FD9"/>
    <w:rsid w:val="004B430B"/>
    <w:rsid w:val="004B435F"/>
    <w:rsid w:val="004B4763"/>
    <w:rsid w:val="004B4AF7"/>
    <w:rsid w:val="004B4CB6"/>
    <w:rsid w:val="004B4DFC"/>
    <w:rsid w:val="004B5E59"/>
    <w:rsid w:val="004B67C7"/>
    <w:rsid w:val="004B6CD9"/>
    <w:rsid w:val="004B6DB1"/>
    <w:rsid w:val="004B6DC7"/>
    <w:rsid w:val="004B6F0C"/>
    <w:rsid w:val="004B74D1"/>
    <w:rsid w:val="004B79C5"/>
    <w:rsid w:val="004B7AA9"/>
    <w:rsid w:val="004B7AB2"/>
    <w:rsid w:val="004B7AE4"/>
    <w:rsid w:val="004B7CA0"/>
    <w:rsid w:val="004B7D3E"/>
    <w:rsid w:val="004B7DAF"/>
    <w:rsid w:val="004B7FEE"/>
    <w:rsid w:val="004C010B"/>
    <w:rsid w:val="004C03AD"/>
    <w:rsid w:val="004C0667"/>
    <w:rsid w:val="004C0914"/>
    <w:rsid w:val="004C097B"/>
    <w:rsid w:val="004C09D8"/>
    <w:rsid w:val="004C0B27"/>
    <w:rsid w:val="004C0D0F"/>
    <w:rsid w:val="004C0F07"/>
    <w:rsid w:val="004C10EB"/>
    <w:rsid w:val="004C11D9"/>
    <w:rsid w:val="004C1495"/>
    <w:rsid w:val="004C1D80"/>
    <w:rsid w:val="004C1DDC"/>
    <w:rsid w:val="004C2377"/>
    <w:rsid w:val="004C24CA"/>
    <w:rsid w:val="004C262E"/>
    <w:rsid w:val="004C2A08"/>
    <w:rsid w:val="004C2A72"/>
    <w:rsid w:val="004C2CF3"/>
    <w:rsid w:val="004C3099"/>
    <w:rsid w:val="004C335E"/>
    <w:rsid w:val="004C33E2"/>
    <w:rsid w:val="004C3726"/>
    <w:rsid w:val="004C3957"/>
    <w:rsid w:val="004C3BB2"/>
    <w:rsid w:val="004C3F7D"/>
    <w:rsid w:val="004C3FCA"/>
    <w:rsid w:val="004C42C3"/>
    <w:rsid w:val="004C4459"/>
    <w:rsid w:val="004C46BD"/>
    <w:rsid w:val="004C4B4E"/>
    <w:rsid w:val="004C4F3A"/>
    <w:rsid w:val="004C5623"/>
    <w:rsid w:val="004C5631"/>
    <w:rsid w:val="004C5775"/>
    <w:rsid w:val="004C586C"/>
    <w:rsid w:val="004C59BA"/>
    <w:rsid w:val="004C5B74"/>
    <w:rsid w:val="004C5E79"/>
    <w:rsid w:val="004C6044"/>
    <w:rsid w:val="004C619E"/>
    <w:rsid w:val="004C675D"/>
    <w:rsid w:val="004C6891"/>
    <w:rsid w:val="004C68BC"/>
    <w:rsid w:val="004C6B2B"/>
    <w:rsid w:val="004C6B9E"/>
    <w:rsid w:val="004C6D5D"/>
    <w:rsid w:val="004C6F32"/>
    <w:rsid w:val="004C6F68"/>
    <w:rsid w:val="004C713D"/>
    <w:rsid w:val="004C73EE"/>
    <w:rsid w:val="004C77AE"/>
    <w:rsid w:val="004C7940"/>
    <w:rsid w:val="004C7A11"/>
    <w:rsid w:val="004C7DF7"/>
    <w:rsid w:val="004D00AB"/>
    <w:rsid w:val="004D0157"/>
    <w:rsid w:val="004D01A8"/>
    <w:rsid w:val="004D0202"/>
    <w:rsid w:val="004D020A"/>
    <w:rsid w:val="004D074B"/>
    <w:rsid w:val="004D0863"/>
    <w:rsid w:val="004D0864"/>
    <w:rsid w:val="004D090A"/>
    <w:rsid w:val="004D09C4"/>
    <w:rsid w:val="004D0B31"/>
    <w:rsid w:val="004D0DCA"/>
    <w:rsid w:val="004D0DE3"/>
    <w:rsid w:val="004D0E6D"/>
    <w:rsid w:val="004D103A"/>
    <w:rsid w:val="004D12C3"/>
    <w:rsid w:val="004D1538"/>
    <w:rsid w:val="004D163A"/>
    <w:rsid w:val="004D19B1"/>
    <w:rsid w:val="004D1A25"/>
    <w:rsid w:val="004D1AA1"/>
    <w:rsid w:val="004D1BDD"/>
    <w:rsid w:val="004D1E53"/>
    <w:rsid w:val="004D20BD"/>
    <w:rsid w:val="004D21B5"/>
    <w:rsid w:val="004D2318"/>
    <w:rsid w:val="004D23CB"/>
    <w:rsid w:val="004D23F5"/>
    <w:rsid w:val="004D2458"/>
    <w:rsid w:val="004D25AD"/>
    <w:rsid w:val="004D285E"/>
    <w:rsid w:val="004D2E24"/>
    <w:rsid w:val="004D2E79"/>
    <w:rsid w:val="004D2F14"/>
    <w:rsid w:val="004D34EA"/>
    <w:rsid w:val="004D3516"/>
    <w:rsid w:val="004D3887"/>
    <w:rsid w:val="004D3A4C"/>
    <w:rsid w:val="004D40B2"/>
    <w:rsid w:val="004D4559"/>
    <w:rsid w:val="004D475C"/>
    <w:rsid w:val="004D4805"/>
    <w:rsid w:val="004D4BF4"/>
    <w:rsid w:val="004D502D"/>
    <w:rsid w:val="004D5223"/>
    <w:rsid w:val="004D539C"/>
    <w:rsid w:val="004D53E7"/>
    <w:rsid w:val="004D549E"/>
    <w:rsid w:val="004D55BA"/>
    <w:rsid w:val="004D575D"/>
    <w:rsid w:val="004D5943"/>
    <w:rsid w:val="004D5BC3"/>
    <w:rsid w:val="004D5CB4"/>
    <w:rsid w:val="004D5EAF"/>
    <w:rsid w:val="004D6117"/>
    <w:rsid w:val="004D6201"/>
    <w:rsid w:val="004D625D"/>
    <w:rsid w:val="004D62FA"/>
    <w:rsid w:val="004D631D"/>
    <w:rsid w:val="004D68D7"/>
    <w:rsid w:val="004D6A53"/>
    <w:rsid w:val="004D6AAC"/>
    <w:rsid w:val="004D6CFC"/>
    <w:rsid w:val="004D6E79"/>
    <w:rsid w:val="004D6ED0"/>
    <w:rsid w:val="004D72F3"/>
    <w:rsid w:val="004D758C"/>
    <w:rsid w:val="004D7889"/>
    <w:rsid w:val="004D7AF1"/>
    <w:rsid w:val="004D7C3B"/>
    <w:rsid w:val="004D7DE4"/>
    <w:rsid w:val="004D7FE8"/>
    <w:rsid w:val="004E0182"/>
    <w:rsid w:val="004E04C7"/>
    <w:rsid w:val="004E09DE"/>
    <w:rsid w:val="004E0CFE"/>
    <w:rsid w:val="004E1089"/>
    <w:rsid w:val="004E1129"/>
    <w:rsid w:val="004E12A8"/>
    <w:rsid w:val="004E1335"/>
    <w:rsid w:val="004E179A"/>
    <w:rsid w:val="004E18C9"/>
    <w:rsid w:val="004E1944"/>
    <w:rsid w:val="004E19F6"/>
    <w:rsid w:val="004E1AC3"/>
    <w:rsid w:val="004E1C1A"/>
    <w:rsid w:val="004E1D0B"/>
    <w:rsid w:val="004E1E08"/>
    <w:rsid w:val="004E203F"/>
    <w:rsid w:val="004E2073"/>
    <w:rsid w:val="004E2081"/>
    <w:rsid w:val="004E209F"/>
    <w:rsid w:val="004E2198"/>
    <w:rsid w:val="004E2538"/>
    <w:rsid w:val="004E3079"/>
    <w:rsid w:val="004E395D"/>
    <w:rsid w:val="004E3A6E"/>
    <w:rsid w:val="004E3C0B"/>
    <w:rsid w:val="004E3D53"/>
    <w:rsid w:val="004E3F7D"/>
    <w:rsid w:val="004E41E3"/>
    <w:rsid w:val="004E426D"/>
    <w:rsid w:val="004E4329"/>
    <w:rsid w:val="004E46A1"/>
    <w:rsid w:val="004E4B17"/>
    <w:rsid w:val="004E4FDB"/>
    <w:rsid w:val="004E5073"/>
    <w:rsid w:val="004E508E"/>
    <w:rsid w:val="004E5737"/>
    <w:rsid w:val="004E5BCB"/>
    <w:rsid w:val="004E5C6C"/>
    <w:rsid w:val="004E5CAA"/>
    <w:rsid w:val="004E5EBE"/>
    <w:rsid w:val="004E6129"/>
    <w:rsid w:val="004E627D"/>
    <w:rsid w:val="004E63AA"/>
    <w:rsid w:val="004E6F58"/>
    <w:rsid w:val="004E73F7"/>
    <w:rsid w:val="004E78EC"/>
    <w:rsid w:val="004E7CAB"/>
    <w:rsid w:val="004E7EFF"/>
    <w:rsid w:val="004F006B"/>
    <w:rsid w:val="004F014A"/>
    <w:rsid w:val="004F0290"/>
    <w:rsid w:val="004F05EE"/>
    <w:rsid w:val="004F0722"/>
    <w:rsid w:val="004F0C37"/>
    <w:rsid w:val="004F19AA"/>
    <w:rsid w:val="004F19C8"/>
    <w:rsid w:val="004F1AEF"/>
    <w:rsid w:val="004F1B97"/>
    <w:rsid w:val="004F1F86"/>
    <w:rsid w:val="004F1F89"/>
    <w:rsid w:val="004F2381"/>
    <w:rsid w:val="004F24C2"/>
    <w:rsid w:val="004F2779"/>
    <w:rsid w:val="004F2BE5"/>
    <w:rsid w:val="004F2CE6"/>
    <w:rsid w:val="004F2D56"/>
    <w:rsid w:val="004F3047"/>
    <w:rsid w:val="004F33F1"/>
    <w:rsid w:val="004F3690"/>
    <w:rsid w:val="004F3818"/>
    <w:rsid w:val="004F3953"/>
    <w:rsid w:val="004F39B2"/>
    <w:rsid w:val="004F3A7F"/>
    <w:rsid w:val="004F3C8A"/>
    <w:rsid w:val="004F3CA6"/>
    <w:rsid w:val="004F4573"/>
    <w:rsid w:val="004F4B56"/>
    <w:rsid w:val="004F4CFA"/>
    <w:rsid w:val="004F4FF2"/>
    <w:rsid w:val="004F5043"/>
    <w:rsid w:val="004F5320"/>
    <w:rsid w:val="004F53AC"/>
    <w:rsid w:val="004F5707"/>
    <w:rsid w:val="004F5847"/>
    <w:rsid w:val="004F5AAA"/>
    <w:rsid w:val="004F5D4B"/>
    <w:rsid w:val="004F5D8F"/>
    <w:rsid w:val="004F62FA"/>
    <w:rsid w:val="004F692C"/>
    <w:rsid w:val="004F6A35"/>
    <w:rsid w:val="004F6D5B"/>
    <w:rsid w:val="004F71BB"/>
    <w:rsid w:val="004F72EF"/>
    <w:rsid w:val="004F72F3"/>
    <w:rsid w:val="004F73FE"/>
    <w:rsid w:val="004F7433"/>
    <w:rsid w:val="004F76E9"/>
    <w:rsid w:val="004F770A"/>
    <w:rsid w:val="004F7843"/>
    <w:rsid w:val="004F789F"/>
    <w:rsid w:val="004F79F3"/>
    <w:rsid w:val="004F7AD5"/>
    <w:rsid w:val="004F7E55"/>
    <w:rsid w:val="004F7EC4"/>
    <w:rsid w:val="004F7F66"/>
    <w:rsid w:val="0050004A"/>
    <w:rsid w:val="005000FF"/>
    <w:rsid w:val="005002D4"/>
    <w:rsid w:val="005004C5"/>
    <w:rsid w:val="00500774"/>
    <w:rsid w:val="005007EE"/>
    <w:rsid w:val="00500990"/>
    <w:rsid w:val="00500BC0"/>
    <w:rsid w:val="00500CBA"/>
    <w:rsid w:val="00500DDE"/>
    <w:rsid w:val="00500E54"/>
    <w:rsid w:val="00500E79"/>
    <w:rsid w:val="0050106A"/>
    <w:rsid w:val="00501210"/>
    <w:rsid w:val="005013E7"/>
    <w:rsid w:val="005014B3"/>
    <w:rsid w:val="00501734"/>
    <w:rsid w:val="005019EC"/>
    <w:rsid w:val="00501BEF"/>
    <w:rsid w:val="00501C16"/>
    <w:rsid w:val="00501C30"/>
    <w:rsid w:val="00501F3D"/>
    <w:rsid w:val="00502030"/>
    <w:rsid w:val="005023B9"/>
    <w:rsid w:val="00502519"/>
    <w:rsid w:val="00502557"/>
    <w:rsid w:val="00502607"/>
    <w:rsid w:val="005028E2"/>
    <w:rsid w:val="00502CDB"/>
    <w:rsid w:val="00502CE6"/>
    <w:rsid w:val="00502D0A"/>
    <w:rsid w:val="00502E56"/>
    <w:rsid w:val="005031E3"/>
    <w:rsid w:val="00503272"/>
    <w:rsid w:val="005036DC"/>
    <w:rsid w:val="00503920"/>
    <w:rsid w:val="00503AEC"/>
    <w:rsid w:val="00503D93"/>
    <w:rsid w:val="00503DB0"/>
    <w:rsid w:val="00503E07"/>
    <w:rsid w:val="00503EF1"/>
    <w:rsid w:val="00503F01"/>
    <w:rsid w:val="00504842"/>
    <w:rsid w:val="0050494E"/>
    <w:rsid w:val="0050497B"/>
    <w:rsid w:val="005049D3"/>
    <w:rsid w:val="00504FC3"/>
    <w:rsid w:val="00505000"/>
    <w:rsid w:val="00505150"/>
    <w:rsid w:val="005056B4"/>
    <w:rsid w:val="00505904"/>
    <w:rsid w:val="00505A73"/>
    <w:rsid w:val="00505DD8"/>
    <w:rsid w:val="00506053"/>
    <w:rsid w:val="0050605D"/>
    <w:rsid w:val="005063BA"/>
    <w:rsid w:val="005068A1"/>
    <w:rsid w:val="005068B5"/>
    <w:rsid w:val="005068DC"/>
    <w:rsid w:val="00506947"/>
    <w:rsid w:val="00506954"/>
    <w:rsid w:val="00506CBD"/>
    <w:rsid w:val="00506CF2"/>
    <w:rsid w:val="00506E9B"/>
    <w:rsid w:val="00506F31"/>
    <w:rsid w:val="005071B1"/>
    <w:rsid w:val="0050726D"/>
    <w:rsid w:val="005074A0"/>
    <w:rsid w:val="00507527"/>
    <w:rsid w:val="00507DBA"/>
    <w:rsid w:val="00510117"/>
    <w:rsid w:val="00510387"/>
    <w:rsid w:val="005105FD"/>
    <w:rsid w:val="00510791"/>
    <w:rsid w:val="005107F8"/>
    <w:rsid w:val="005109AA"/>
    <w:rsid w:val="00510BCD"/>
    <w:rsid w:val="00510C40"/>
    <w:rsid w:val="00510CBE"/>
    <w:rsid w:val="0051108A"/>
    <w:rsid w:val="00511189"/>
    <w:rsid w:val="0051119D"/>
    <w:rsid w:val="005111EF"/>
    <w:rsid w:val="0051121A"/>
    <w:rsid w:val="00511292"/>
    <w:rsid w:val="00511353"/>
    <w:rsid w:val="005116A9"/>
    <w:rsid w:val="00511DD1"/>
    <w:rsid w:val="00511FF4"/>
    <w:rsid w:val="005125FD"/>
    <w:rsid w:val="00512877"/>
    <w:rsid w:val="00512879"/>
    <w:rsid w:val="00512A34"/>
    <w:rsid w:val="00512D48"/>
    <w:rsid w:val="00512EB2"/>
    <w:rsid w:val="00513290"/>
    <w:rsid w:val="005132D4"/>
    <w:rsid w:val="00513327"/>
    <w:rsid w:val="00513354"/>
    <w:rsid w:val="00513534"/>
    <w:rsid w:val="00513695"/>
    <w:rsid w:val="00513D0C"/>
    <w:rsid w:val="00513F02"/>
    <w:rsid w:val="00513FD7"/>
    <w:rsid w:val="005141F8"/>
    <w:rsid w:val="00514396"/>
    <w:rsid w:val="005147A4"/>
    <w:rsid w:val="00514B6E"/>
    <w:rsid w:val="00514BCD"/>
    <w:rsid w:val="00514D40"/>
    <w:rsid w:val="00514E3E"/>
    <w:rsid w:val="005151C6"/>
    <w:rsid w:val="00515215"/>
    <w:rsid w:val="005153A0"/>
    <w:rsid w:val="005154F0"/>
    <w:rsid w:val="00515508"/>
    <w:rsid w:val="005156E7"/>
    <w:rsid w:val="005159C9"/>
    <w:rsid w:val="005159F5"/>
    <w:rsid w:val="00515AB2"/>
    <w:rsid w:val="00515DD9"/>
    <w:rsid w:val="00515F94"/>
    <w:rsid w:val="005161E5"/>
    <w:rsid w:val="0051622C"/>
    <w:rsid w:val="0051627D"/>
    <w:rsid w:val="00516343"/>
    <w:rsid w:val="0051640E"/>
    <w:rsid w:val="00516415"/>
    <w:rsid w:val="00516B89"/>
    <w:rsid w:val="00516C5B"/>
    <w:rsid w:val="00516DB2"/>
    <w:rsid w:val="00516DFC"/>
    <w:rsid w:val="00516FC5"/>
    <w:rsid w:val="0051703A"/>
    <w:rsid w:val="005171CC"/>
    <w:rsid w:val="00517341"/>
    <w:rsid w:val="00517AE1"/>
    <w:rsid w:val="00517AF0"/>
    <w:rsid w:val="00517B67"/>
    <w:rsid w:val="005200E0"/>
    <w:rsid w:val="005205FA"/>
    <w:rsid w:val="00520620"/>
    <w:rsid w:val="005206E9"/>
    <w:rsid w:val="00520793"/>
    <w:rsid w:val="005207ED"/>
    <w:rsid w:val="005209FF"/>
    <w:rsid w:val="00520C99"/>
    <w:rsid w:val="00520D1C"/>
    <w:rsid w:val="005212BE"/>
    <w:rsid w:val="00521395"/>
    <w:rsid w:val="00521BE7"/>
    <w:rsid w:val="00521FF0"/>
    <w:rsid w:val="0052207F"/>
    <w:rsid w:val="005220F6"/>
    <w:rsid w:val="0052210C"/>
    <w:rsid w:val="00522414"/>
    <w:rsid w:val="0052249B"/>
    <w:rsid w:val="005225A4"/>
    <w:rsid w:val="005226AB"/>
    <w:rsid w:val="005228F0"/>
    <w:rsid w:val="005229F4"/>
    <w:rsid w:val="00522C45"/>
    <w:rsid w:val="00523030"/>
    <w:rsid w:val="005230A8"/>
    <w:rsid w:val="00523334"/>
    <w:rsid w:val="00523489"/>
    <w:rsid w:val="00523681"/>
    <w:rsid w:val="005237C4"/>
    <w:rsid w:val="005238CF"/>
    <w:rsid w:val="00523A10"/>
    <w:rsid w:val="00523A83"/>
    <w:rsid w:val="00523AE1"/>
    <w:rsid w:val="00523B5F"/>
    <w:rsid w:val="005249F3"/>
    <w:rsid w:val="00524BBA"/>
    <w:rsid w:val="00524F99"/>
    <w:rsid w:val="00524FBD"/>
    <w:rsid w:val="00525177"/>
    <w:rsid w:val="005253D2"/>
    <w:rsid w:val="0052550E"/>
    <w:rsid w:val="005257D3"/>
    <w:rsid w:val="00525C8C"/>
    <w:rsid w:val="00525CF2"/>
    <w:rsid w:val="00525F42"/>
    <w:rsid w:val="005261C2"/>
    <w:rsid w:val="0052647C"/>
    <w:rsid w:val="0052652C"/>
    <w:rsid w:val="00526735"/>
    <w:rsid w:val="005268CD"/>
    <w:rsid w:val="00526DEA"/>
    <w:rsid w:val="00526ED1"/>
    <w:rsid w:val="00526F0A"/>
    <w:rsid w:val="00526FF3"/>
    <w:rsid w:val="0052729A"/>
    <w:rsid w:val="005272E9"/>
    <w:rsid w:val="0052761F"/>
    <w:rsid w:val="00527956"/>
    <w:rsid w:val="00527BC6"/>
    <w:rsid w:val="00527D36"/>
    <w:rsid w:val="0053010E"/>
    <w:rsid w:val="00530116"/>
    <w:rsid w:val="0053069B"/>
    <w:rsid w:val="00530D6D"/>
    <w:rsid w:val="00531186"/>
    <w:rsid w:val="00531429"/>
    <w:rsid w:val="0053190C"/>
    <w:rsid w:val="00531C39"/>
    <w:rsid w:val="00531C5F"/>
    <w:rsid w:val="0053242E"/>
    <w:rsid w:val="00532C5D"/>
    <w:rsid w:val="00532CA7"/>
    <w:rsid w:val="0053308D"/>
    <w:rsid w:val="005333ED"/>
    <w:rsid w:val="00533616"/>
    <w:rsid w:val="005336B6"/>
    <w:rsid w:val="00533857"/>
    <w:rsid w:val="00533F2C"/>
    <w:rsid w:val="00533F9C"/>
    <w:rsid w:val="00534080"/>
    <w:rsid w:val="005340E5"/>
    <w:rsid w:val="0053437B"/>
    <w:rsid w:val="005343FE"/>
    <w:rsid w:val="005344D2"/>
    <w:rsid w:val="0053456B"/>
    <w:rsid w:val="005346D0"/>
    <w:rsid w:val="005346F4"/>
    <w:rsid w:val="00534845"/>
    <w:rsid w:val="00534AF2"/>
    <w:rsid w:val="00534BA2"/>
    <w:rsid w:val="00534DF0"/>
    <w:rsid w:val="00534F7B"/>
    <w:rsid w:val="00535042"/>
    <w:rsid w:val="0053504F"/>
    <w:rsid w:val="0053512B"/>
    <w:rsid w:val="00535193"/>
    <w:rsid w:val="005351E3"/>
    <w:rsid w:val="0053521F"/>
    <w:rsid w:val="0053561C"/>
    <w:rsid w:val="005356A3"/>
    <w:rsid w:val="0053575C"/>
    <w:rsid w:val="00535786"/>
    <w:rsid w:val="0053589D"/>
    <w:rsid w:val="00535A51"/>
    <w:rsid w:val="00535DC7"/>
    <w:rsid w:val="00535DF8"/>
    <w:rsid w:val="00535EDB"/>
    <w:rsid w:val="00535EFF"/>
    <w:rsid w:val="00535FCF"/>
    <w:rsid w:val="005361B0"/>
    <w:rsid w:val="005361E1"/>
    <w:rsid w:val="005361E4"/>
    <w:rsid w:val="005364D2"/>
    <w:rsid w:val="0053681E"/>
    <w:rsid w:val="005368BA"/>
    <w:rsid w:val="00536BFF"/>
    <w:rsid w:val="00536CD0"/>
    <w:rsid w:val="00536E88"/>
    <w:rsid w:val="00536F83"/>
    <w:rsid w:val="00537055"/>
    <w:rsid w:val="0053712C"/>
    <w:rsid w:val="00537248"/>
    <w:rsid w:val="00537252"/>
    <w:rsid w:val="00537369"/>
    <w:rsid w:val="0053759A"/>
    <w:rsid w:val="005376CD"/>
    <w:rsid w:val="005376FB"/>
    <w:rsid w:val="005377F7"/>
    <w:rsid w:val="00537D01"/>
    <w:rsid w:val="00537DD8"/>
    <w:rsid w:val="00540647"/>
    <w:rsid w:val="005407B2"/>
    <w:rsid w:val="00540868"/>
    <w:rsid w:val="00540954"/>
    <w:rsid w:val="00540B6C"/>
    <w:rsid w:val="00540BD4"/>
    <w:rsid w:val="00540BE2"/>
    <w:rsid w:val="00540C4C"/>
    <w:rsid w:val="00540E29"/>
    <w:rsid w:val="00540E2C"/>
    <w:rsid w:val="00540EA6"/>
    <w:rsid w:val="00540FA0"/>
    <w:rsid w:val="00540FC9"/>
    <w:rsid w:val="00540FE7"/>
    <w:rsid w:val="0054125A"/>
    <w:rsid w:val="005414B5"/>
    <w:rsid w:val="00541704"/>
    <w:rsid w:val="005417CB"/>
    <w:rsid w:val="00541884"/>
    <w:rsid w:val="005419F6"/>
    <w:rsid w:val="00541D68"/>
    <w:rsid w:val="0054209D"/>
    <w:rsid w:val="0054286B"/>
    <w:rsid w:val="0054298E"/>
    <w:rsid w:val="00542A0E"/>
    <w:rsid w:val="00542BC1"/>
    <w:rsid w:val="00542F58"/>
    <w:rsid w:val="00543508"/>
    <w:rsid w:val="00543C85"/>
    <w:rsid w:val="00543CCB"/>
    <w:rsid w:val="00543DC7"/>
    <w:rsid w:val="0054406A"/>
    <w:rsid w:val="00544244"/>
    <w:rsid w:val="0054449F"/>
    <w:rsid w:val="00544598"/>
    <w:rsid w:val="005445A0"/>
    <w:rsid w:val="005447B6"/>
    <w:rsid w:val="00544C02"/>
    <w:rsid w:val="00544C3D"/>
    <w:rsid w:val="00544EBB"/>
    <w:rsid w:val="00544EC8"/>
    <w:rsid w:val="00545132"/>
    <w:rsid w:val="005454D4"/>
    <w:rsid w:val="00545820"/>
    <w:rsid w:val="00545859"/>
    <w:rsid w:val="00545F1D"/>
    <w:rsid w:val="00545FBD"/>
    <w:rsid w:val="0054636B"/>
    <w:rsid w:val="005464B9"/>
    <w:rsid w:val="005464C6"/>
    <w:rsid w:val="005467C2"/>
    <w:rsid w:val="00546B37"/>
    <w:rsid w:val="00546C56"/>
    <w:rsid w:val="00546C7F"/>
    <w:rsid w:val="00546CAB"/>
    <w:rsid w:val="00546E99"/>
    <w:rsid w:val="00546F1A"/>
    <w:rsid w:val="00546FD5"/>
    <w:rsid w:val="00547B49"/>
    <w:rsid w:val="00547CBC"/>
    <w:rsid w:val="00550026"/>
    <w:rsid w:val="00550071"/>
    <w:rsid w:val="00550243"/>
    <w:rsid w:val="00550554"/>
    <w:rsid w:val="00550B9B"/>
    <w:rsid w:val="00550E45"/>
    <w:rsid w:val="005510A3"/>
    <w:rsid w:val="005515D0"/>
    <w:rsid w:val="00551BAF"/>
    <w:rsid w:val="00551EE0"/>
    <w:rsid w:val="005520C0"/>
    <w:rsid w:val="00552A43"/>
    <w:rsid w:val="00552A99"/>
    <w:rsid w:val="00552C0D"/>
    <w:rsid w:val="005530D0"/>
    <w:rsid w:val="0055323C"/>
    <w:rsid w:val="00553488"/>
    <w:rsid w:val="005534DF"/>
    <w:rsid w:val="0055350D"/>
    <w:rsid w:val="00553548"/>
    <w:rsid w:val="005535E0"/>
    <w:rsid w:val="005537EC"/>
    <w:rsid w:val="00553C3A"/>
    <w:rsid w:val="00553DDA"/>
    <w:rsid w:val="005541E5"/>
    <w:rsid w:val="00554205"/>
    <w:rsid w:val="00554249"/>
    <w:rsid w:val="00554657"/>
    <w:rsid w:val="005546C0"/>
    <w:rsid w:val="00554783"/>
    <w:rsid w:val="005549CF"/>
    <w:rsid w:val="00554B29"/>
    <w:rsid w:val="00554D1C"/>
    <w:rsid w:val="005551DF"/>
    <w:rsid w:val="0055558C"/>
    <w:rsid w:val="00555BA2"/>
    <w:rsid w:val="00555D54"/>
    <w:rsid w:val="00555FF1"/>
    <w:rsid w:val="00556296"/>
    <w:rsid w:val="00556437"/>
    <w:rsid w:val="00556648"/>
    <w:rsid w:val="0055695B"/>
    <w:rsid w:val="00556D63"/>
    <w:rsid w:val="005573E0"/>
    <w:rsid w:val="0055768A"/>
    <w:rsid w:val="00557884"/>
    <w:rsid w:val="0055790B"/>
    <w:rsid w:val="00557963"/>
    <w:rsid w:val="005579CC"/>
    <w:rsid w:val="00557AFD"/>
    <w:rsid w:val="00557CC5"/>
    <w:rsid w:val="00557D28"/>
    <w:rsid w:val="00560059"/>
    <w:rsid w:val="0056016F"/>
    <w:rsid w:val="0056029B"/>
    <w:rsid w:val="005602FD"/>
    <w:rsid w:val="00560338"/>
    <w:rsid w:val="0056052F"/>
    <w:rsid w:val="00560624"/>
    <w:rsid w:val="0056085C"/>
    <w:rsid w:val="00560DC7"/>
    <w:rsid w:val="00560FE8"/>
    <w:rsid w:val="0056120F"/>
    <w:rsid w:val="00561265"/>
    <w:rsid w:val="00561309"/>
    <w:rsid w:val="005613EA"/>
    <w:rsid w:val="005613F8"/>
    <w:rsid w:val="005616A9"/>
    <w:rsid w:val="005616EB"/>
    <w:rsid w:val="005616EC"/>
    <w:rsid w:val="00561B29"/>
    <w:rsid w:val="00561C31"/>
    <w:rsid w:val="00561F53"/>
    <w:rsid w:val="00562138"/>
    <w:rsid w:val="00562542"/>
    <w:rsid w:val="00562575"/>
    <w:rsid w:val="00562778"/>
    <w:rsid w:val="00562779"/>
    <w:rsid w:val="00562882"/>
    <w:rsid w:val="00562B75"/>
    <w:rsid w:val="00562C5D"/>
    <w:rsid w:val="00562CA9"/>
    <w:rsid w:val="00562D7E"/>
    <w:rsid w:val="00563078"/>
    <w:rsid w:val="005632EE"/>
    <w:rsid w:val="00563685"/>
    <w:rsid w:val="00563776"/>
    <w:rsid w:val="00563992"/>
    <w:rsid w:val="00563AEC"/>
    <w:rsid w:val="00563B29"/>
    <w:rsid w:val="00563BA5"/>
    <w:rsid w:val="00563DEB"/>
    <w:rsid w:val="00563F67"/>
    <w:rsid w:val="00563F88"/>
    <w:rsid w:val="00564298"/>
    <w:rsid w:val="0056432E"/>
    <w:rsid w:val="005644B0"/>
    <w:rsid w:val="00564632"/>
    <w:rsid w:val="00564A85"/>
    <w:rsid w:val="005651A8"/>
    <w:rsid w:val="0056529F"/>
    <w:rsid w:val="0056552E"/>
    <w:rsid w:val="005655D6"/>
    <w:rsid w:val="005655F5"/>
    <w:rsid w:val="00565A0C"/>
    <w:rsid w:val="00565E0E"/>
    <w:rsid w:val="00565FE1"/>
    <w:rsid w:val="00566007"/>
    <w:rsid w:val="00566136"/>
    <w:rsid w:val="005661A7"/>
    <w:rsid w:val="005662A3"/>
    <w:rsid w:val="005662EA"/>
    <w:rsid w:val="0056654D"/>
    <w:rsid w:val="00566588"/>
    <w:rsid w:val="005665C4"/>
    <w:rsid w:val="00566A1B"/>
    <w:rsid w:val="00566C70"/>
    <w:rsid w:val="00566CC5"/>
    <w:rsid w:val="00567301"/>
    <w:rsid w:val="005673C8"/>
    <w:rsid w:val="00567A93"/>
    <w:rsid w:val="00567CEB"/>
    <w:rsid w:val="00567D17"/>
    <w:rsid w:val="0057014B"/>
    <w:rsid w:val="005702AA"/>
    <w:rsid w:val="00570328"/>
    <w:rsid w:val="005704E0"/>
    <w:rsid w:val="005705C0"/>
    <w:rsid w:val="00570617"/>
    <w:rsid w:val="005706DA"/>
    <w:rsid w:val="00570AA3"/>
    <w:rsid w:val="00570E60"/>
    <w:rsid w:val="00570F76"/>
    <w:rsid w:val="0057107C"/>
    <w:rsid w:val="00571122"/>
    <w:rsid w:val="00571445"/>
    <w:rsid w:val="00571894"/>
    <w:rsid w:val="00571926"/>
    <w:rsid w:val="00571A9F"/>
    <w:rsid w:val="00571B84"/>
    <w:rsid w:val="00571CBD"/>
    <w:rsid w:val="00571D29"/>
    <w:rsid w:val="00572351"/>
    <w:rsid w:val="005724BC"/>
    <w:rsid w:val="00572536"/>
    <w:rsid w:val="00572579"/>
    <w:rsid w:val="005725C9"/>
    <w:rsid w:val="005726F8"/>
    <w:rsid w:val="00572D9E"/>
    <w:rsid w:val="00572F0F"/>
    <w:rsid w:val="00572F85"/>
    <w:rsid w:val="005730F9"/>
    <w:rsid w:val="00573120"/>
    <w:rsid w:val="0057350A"/>
    <w:rsid w:val="0057352C"/>
    <w:rsid w:val="005735E2"/>
    <w:rsid w:val="005737C3"/>
    <w:rsid w:val="005737F1"/>
    <w:rsid w:val="005738B8"/>
    <w:rsid w:val="00573D64"/>
    <w:rsid w:val="00573EA8"/>
    <w:rsid w:val="0057415A"/>
    <w:rsid w:val="005742F8"/>
    <w:rsid w:val="0057443F"/>
    <w:rsid w:val="0057449D"/>
    <w:rsid w:val="005744B1"/>
    <w:rsid w:val="005745AF"/>
    <w:rsid w:val="005746E5"/>
    <w:rsid w:val="00574924"/>
    <w:rsid w:val="0057499D"/>
    <w:rsid w:val="00574C69"/>
    <w:rsid w:val="00574ED5"/>
    <w:rsid w:val="005750C9"/>
    <w:rsid w:val="005752B3"/>
    <w:rsid w:val="0057542E"/>
    <w:rsid w:val="00575A0F"/>
    <w:rsid w:val="00575A1F"/>
    <w:rsid w:val="00575A65"/>
    <w:rsid w:val="00575ADE"/>
    <w:rsid w:val="00575B8C"/>
    <w:rsid w:val="00575F33"/>
    <w:rsid w:val="00576307"/>
    <w:rsid w:val="00576416"/>
    <w:rsid w:val="0057649A"/>
    <w:rsid w:val="00576895"/>
    <w:rsid w:val="00576ABD"/>
    <w:rsid w:val="00576B99"/>
    <w:rsid w:val="00576D45"/>
    <w:rsid w:val="00576F07"/>
    <w:rsid w:val="005771B7"/>
    <w:rsid w:val="00577334"/>
    <w:rsid w:val="005773E7"/>
    <w:rsid w:val="0057761F"/>
    <w:rsid w:val="005776D5"/>
    <w:rsid w:val="00577870"/>
    <w:rsid w:val="005778C9"/>
    <w:rsid w:val="00577ACB"/>
    <w:rsid w:val="00577C29"/>
    <w:rsid w:val="00577CD0"/>
    <w:rsid w:val="00577DC1"/>
    <w:rsid w:val="00577E57"/>
    <w:rsid w:val="0058006C"/>
    <w:rsid w:val="005804B5"/>
    <w:rsid w:val="00580563"/>
    <w:rsid w:val="00580571"/>
    <w:rsid w:val="0058090D"/>
    <w:rsid w:val="00580B94"/>
    <w:rsid w:val="00580D96"/>
    <w:rsid w:val="00581781"/>
    <w:rsid w:val="00581BF4"/>
    <w:rsid w:val="00581C5C"/>
    <w:rsid w:val="0058257E"/>
    <w:rsid w:val="00582952"/>
    <w:rsid w:val="00582BE7"/>
    <w:rsid w:val="00582EA2"/>
    <w:rsid w:val="00582EF4"/>
    <w:rsid w:val="00582F89"/>
    <w:rsid w:val="00583095"/>
    <w:rsid w:val="0058338D"/>
    <w:rsid w:val="0058342A"/>
    <w:rsid w:val="00583645"/>
    <w:rsid w:val="0058388B"/>
    <w:rsid w:val="00583B2C"/>
    <w:rsid w:val="00583D5B"/>
    <w:rsid w:val="00583E60"/>
    <w:rsid w:val="00583ED5"/>
    <w:rsid w:val="005840B4"/>
    <w:rsid w:val="005841E9"/>
    <w:rsid w:val="0058421F"/>
    <w:rsid w:val="0058454B"/>
    <w:rsid w:val="005846CD"/>
    <w:rsid w:val="0058474A"/>
    <w:rsid w:val="00584A60"/>
    <w:rsid w:val="00585250"/>
    <w:rsid w:val="0058529C"/>
    <w:rsid w:val="00585392"/>
    <w:rsid w:val="00585EF7"/>
    <w:rsid w:val="005861B3"/>
    <w:rsid w:val="0058638E"/>
    <w:rsid w:val="005863A0"/>
    <w:rsid w:val="00586A05"/>
    <w:rsid w:val="00586E12"/>
    <w:rsid w:val="00587320"/>
    <w:rsid w:val="00587568"/>
    <w:rsid w:val="00587804"/>
    <w:rsid w:val="00587CFA"/>
    <w:rsid w:val="00587E8E"/>
    <w:rsid w:val="00590326"/>
    <w:rsid w:val="0059049A"/>
    <w:rsid w:val="005904CC"/>
    <w:rsid w:val="005906B3"/>
    <w:rsid w:val="00590812"/>
    <w:rsid w:val="0059094B"/>
    <w:rsid w:val="00590A55"/>
    <w:rsid w:val="00590A7F"/>
    <w:rsid w:val="00590B39"/>
    <w:rsid w:val="00590D5C"/>
    <w:rsid w:val="00591250"/>
    <w:rsid w:val="00591295"/>
    <w:rsid w:val="00591420"/>
    <w:rsid w:val="005915A8"/>
    <w:rsid w:val="00591609"/>
    <w:rsid w:val="00591ADC"/>
    <w:rsid w:val="00591BD5"/>
    <w:rsid w:val="00591C4D"/>
    <w:rsid w:val="00591D0B"/>
    <w:rsid w:val="00592159"/>
    <w:rsid w:val="005922DD"/>
    <w:rsid w:val="005924CA"/>
    <w:rsid w:val="00592859"/>
    <w:rsid w:val="00592A6C"/>
    <w:rsid w:val="00592CBF"/>
    <w:rsid w:val="005938C8"/>
    <w:rsid w:val="00593A15"/>
    <w:rsid w:val="00593D2B"/>
    <w:rsid w:val="00593E14"/>
    <w:rsid w:val="00594276"/>
    <w:rsid w:val="00594391"/>
    <w:rsid w:val="005945A3"/>
    <w:rsid w:val="00594AAE"/>
    <w:rsid w:val="00594C66"/>
    <w:rsid w:val="005950D5"/>
    <w:rsid w:val="005952E3"/>
    <w:rsid w:val="0059537D"/>
    <w:rsid w:val="005953B1"/>
    <w:rsid w:val="005955A6"/>
    <w:rsid w:val="005956AC"/>
    <w:rsid w:val="00595837"/>
    <w:rsid w:val="005958CB"/>
    <w:rsid w:val="0059591F"/>
    <w:rsid w:val="005959A6"/>
    <w:rsid w:val="00595C5D"/>
    <w:rsid w:val="00595C98"/>
    <w:rsid w:val="00595EB9"/>
    <w:rsid w:val="005961E6"/>
    <w:rsid w:val="00596236"/>
    <w:rsid w:val="0059639B"/>
    <w:rsid w:val="0059644A"/>
    <w:rsid w:val="0059666E"/>
    <w:rsid w:val="00596A7D"/>
    <w:rsid w:val="00596AF1"/>
    <w:rsid w:val="00596B2E"/>
    <w:rsid w:val="00596E09"/>
    <w:rsid w:val="00596E98"/>
    <w:rsid w:val="00596EC7"/>
    <w:rsid w:val="00596F57"/>
    <w:rsid w:val="00597443"/>
    <w:rsid w:val="00597772"/>
    <w:rsid w:val="0059784E"/>
    <w:rsid w:val="00597C5B"/>
    <w:rsid w:val="00597D12"/>
    <w:rsid w:val="00597F6B"/>
    <w:rsid w:val="005A001B"/>
    <w:rsid w:val="005A0466"/>
    <w:rsid w:val="005A0730"/>
    <w:rsid w:val="005A09AB"/>
    <w:rsid w:val="005A0A08"/>
    <w:rsid w:val="005A0C23"/>
    <w:rsid w:val="005A0F99"/>
    <w:rsid w:val="005A11A0"/>
    <w:rsid w:val="005A13C0"/>
    <w:rsid w:val="005A15C7"/>
    <w:rsid w:val="005A1720"/>
    <w:rsid w:val="005A1A46"/>
    <w:rsid w:val="005A1FC6"/>
    <w:rsid w:val="005A206E"/>
    <w:rsid w:val="005A2174"/>
    <w:rsid w:val="005A2259"/>
    <w:rsid w:val="005A246C"/>
    <w:rsid w:val="005A24A2"/>
    <w:rsid w:val="005A2795"/>
    <w:rsid w:val="005A2913"/>
    <w:rsid w:val="005A2A2C"/>
    <w:rsid w:val="005A2B93"/>
    <w:rsid w:val="005A2F12"/>
    <w:rsid w:val="005A3102"/>
    <w:rsid w:val="005A32DC"/>
    <w:rsid w:val="005A3473"/>
    <w:rsid w:val="005A36F2"/>
    <w:rsid w:val="005A3F46"/>
    <w:rsid w:val="005A4047"/>
    <w:rsid w:val="005A4071"/>
    <w:rsid w:val="005A42AA"/>
    <w:rsid w:val="005A484C"/>
    <w:rsid w:val="005A4B97"/>
    <w:rsid w:val="005A4C2C"/>
    <w:rsid w:val="005A4C39"/>
    <w:rsid w:val="005A522F"/>
    <w:rsid w:val="005A5333"/>
    <w:rsid w:val="005A55E5"/>
    <w:rsid w:val="005A5814"/>
    <w:rsid w:val="005A5B96"/>
    <w:rsid w:val="005A5C18"/>
    <w:rsid w:val="005A5C39"/>
    <w:rsid w:val="005A5D90"/>
    <w:rsid w:val="005A5E15"/>
    <w:rsid w:val="005A6056"/>
    <w:rsid w:val="005A60A6"/>
    <w:rsid w:val="005A62C8"/>
    <w:rsid w:val="005A643A"/>
    <w:rsid w:val="005A685A"/>
    <w:rsid w:val="005A68EF"/>
    <w:rsid w:val="005A6AEB"/>
    <w:rsid w:val="005A6CEC"/>
    <w:rsid w:val="005A70F9"/>
    <w:rsid w:val="005A71C7"/>
    <w:rsid w:val="005A750C"/>
    <w:rsid w:val="005A77AE"/>
    <w:rsid w:val="005A78A5"/>
    <w:rsid w:val="005A7997"/>
    <w:rsid w:val="005B059B"/>
    <w:rsid w:val="005B0727"/>
    <w:rsid w:val="005B07E8"/>
    <w:rsid w:val="005B0B6C"/>
    <w:rsid w:val="005B0C58"/>
    <w:rsid w:val="005B0CE1"/>
    <w:rsid w:val="005B103D"/>
    <w:rsid w:val="005B10BD"/>
    <w:rsid w:val="005B13C5"/>
    <w:rsid w:val="005B13CA"/>
    <w:rsid w:val="005B1766"/>
    <w:rsid w:val="005B1996"/>
    <w:rsid w:val="005B19B8"/>
    <w:rsid w:val="005B1AB6"/>
    <w:rsid w:val="005B2071"/>
    <w:rsid w:val="005B223F"/>
    <w:rsid w:val="005B2261"/>
    <w:rsid w:val="005B2445"/>
    <w:rsid w:val="005B2473"/>
    <w:rsid w:val="005B250D"/>
    <w:rsid w:val="005B26CF"/>
    <w:rsid w:val="005B26FE"/>
    <w:rsid w:val="005B2986"/>
    <w:rsid w:val="005B2A91"/>
    <w:rsid w:val="005B2B37"/>
    <w:rsid w:val="005B2B85"/>
    <w:rsid w:val="005B2CB6"/>
    <w:rsid w:val="005B2CD7"/>
    <w:rsid w:val="005B2E0B"/>
    <w:rsid w:val="005B2F5D"/>
    <w:rsid w:val="005B30F1"/>
    <w:rsid w:val="005B30F4"/>
    <w:rsid w:val="005B329E"/>
    <w:rsid w:val="005B33EF"/>
    <w:rsid w:val="005B3535"/>
    <w:rsid w:val="005B3983"/>
    <w:rsid w:val="005B3BFB"/>
    <w:rsid w:val="005B3EB7"/>
    <w:rsid w:val="005B3EC5"/>
    <w:rsid w:val="005B40E2"/>
    <w:rsid w:val="005B4263"/>
    <w:rsid w:val="005B4265"/>
    <w:rsid w:val="005B448D"/>
    <w:rsid w:val="005B4671"/>
    <w:rsid w:val="005B49C7"/>
    <w:rsid w:val="005B49D1"/>
    <w:rsid w:val="005B4B7D"/>
    <w:rsid w:val="005B4CFA"/>
    <w:rsid w:val="005B4D0D"/>
    <w:rsid w:val="005B4E53"/>
    <w:rsid w:val="005B4E66"/>
    <w:rsid w:val="005B4FBA"/>
    <w:rsid w:val="005B5628"/>
    <w:rsid w:val="005B5B04"/>
    <w:rsid w:val="005B5BCE"/>
    <w:rsid w:val="005B5D3E"/>
    <w:rsid w:val="005B5EC1"/>
    <w:rsid w:val="005B6475"/>
    <w:rsid w:val="005B649F"/>
    <w:rsid w:val="005B662B"/>
    <w:rsid w:val="005B6632"/>
    <w:rsid w:val="005B69AC"/>
    <w:rsid w:val="005B6A8E"/>
    <w:rsid w:val="005B6DBE"/>
    <w:rsid w:val="005B720E"/>
    <w:rsid w:val="005B7690"/>
    <w:rsid w:val="005B7A6C"/>
    <w:rsid w:val="005B7DE7"/>
    <w:rsid w:val="005B7FE5"/>
    <w:rsid w:val="005C01B0"/>
    <w:rsid w:val="005C0284"/>
    <w:rsid w:val="005C02C5"/>
    <w:rsid w:val="005C02D8"/>
    <w:rsid w:val="005C041A"/>
    <w:rsid w:val="005C04D9"/>
    <w:rsid w:val="005C0679"/>
    <w:rsid w:val="005C0735"/>
    <w:rsid w:val="005C0801"/>
    <w:rsid w:val="005C09C0"/>
    <w:rsid w:val="005C11C6"/>
    <w:rsid w:val="005C1342"/>
    <w:rsid w:val="005C1545"/>
    <w:rsid w:val="005C1881"/>
    <w:rsid w:val="005C19B5"/>
    <w:rsid w:val="005C19E6"/>
    <w:rsid w:val="005C1EA8"/>
    <w:rsid w:val="005C2120"/>
    <w:rsid w:val="005C2186"/>
    <w:rsid w:val="005C22DD"/>
    <w:rsid w:val="005C234D"/>
    <w:rsid w:val="005C23B1"/>
    <w:rsid w:val="005C260D"/>
    <w:rsid w:val="005C2976"/>
    <w:rsid w:val="005C2BED"/>
    <w:rsid w:val="005C2C11"/>
    <w:rsid w:val="005C2C9B"/>
    <w:rsid w:val="005C2DE0"/>
    <w:rsid w:val="005C2DFC"/>
    <w:rsid w:val="005C32E9"/>
    <w:rsid w:val="005C35AA"/>
    <w:rsid w:val="005C36AD"/>
    <w:rsid w:val="005C3992"/>
    <w:rsid w:val="005C3F9C"/>
    <w:rsid w:val="005C46B5"/>
    <w:rsid w:val="005C46C3"/>
    <w:rsid w:val="005C4AE6"/>
    <w:rsid w:val="005C4DAD"/>
    <w:rsid w:val="005C5247"/>
    <w:rsid w:val="005C557B"/>
    <w:rsid w:val="005C583B"/>
    <w:rsid w:val="005C59B1"/>
    <w:rsid w:val="005C59DC"/>
    <w:rsid w:val="005C5BE5"/>
    <w:rsid w:val="005C5F45"/>
    <w:rsid w:val="005C62DB"/>
    <w:rsid w:val="005C6533"/>
    <w:rsid w:val="005C6779"/>
    <w:rsid w:val="005C67B1"/>
    <w:rsid w:val="005C6894"/>
    <w:rsid w:val="005C6CF4"/>
    <w:rsid w:val="005C6DC2"/>
    <w:rsid w:val="005C72C3"/>
    <w:rsid w:val="005C757D"/>
    <w:rsid w:val="005C7664"/>
    <w:rsid w:val="005C7ABF"/>
    <w:rsid w:val="005C7CFF"/>
    <w:rsid w:val="005C7DDE"/>
    <w:rsid w:val="005D02BA"/>
    <w:rsid w:val="005D03AB"/>
    <w:rsid w:val="005D050F"/>
    <w:rsid w:val="005D05A4"/>
    <w:rsid w:val="005D0657"/>
    <w:rsid w:val="005D0661"/>
    <w:rsid w:val="005D08AF"/>
    <w:rsid w:val="005D0939"/>
    <w:rsid w:val="005D0A02"/>
    <w:rsid w:val="005D0A42"/>
    <w:rsid w:val="005D0C53"/>
    <w:rsid w:val="005D163D"/>
    <w:rsid w:val="005D168A"/>
    <w:rsid w:val="005D16E6"/>
    <w:rsid w:val="005D17AA"/>
    <w:rsid w:val="005D1884"/>
    <w:rsid w:val="005D1A9B"/>
    <w:rsid w:val="005D1B9E"/>
    <w:rsid w:val="005D1EA1"/>
    <w:rsid w:val="005D216F"/>
    <w:rsid w:val="005D2174"/>
    <w:rsid w:val="005D2235"/>
    <w:rsid w:val="005D2619"/>
    <w:rsid w:val="005D2998"/>
    <w:rsid w:val="005D2C07"/>
    <w:rsid w:val="005D2E55"/>
    <w:rsid w:val="005D2EA3"/>
    <w:rsid w:val="005D2F3A"/>
    <w:rsid w:val="005D2F69"/>
    <w:rsid w:val="005D37E9"/>
    <w:rsid w:val="005D3EE3"/>
    <w:rsid w:val="005D48AB"/>
    <w:rsid w:val="005D4D79"/>
    <w:rsid w:val="005D5019"/>
    <w:rsid w:val="005D50B1"/>
    <w:rsid w:val="005D54BC"/>
    <w:rsid w:val="005D5547"/>
    <w:rsid w:val="005D56C4"/>
    <w:rsid w:val="005D56CD"/>
    <w:rsid w:val="005D57DF"/>
    <w:rsid w:val="005D587C"/>
    <w:rsid w:val="005D59BB"/>
    <w:rsid w:val="005D5C32"/>
    <w:rsid w:val="005D5DC5"/>
    <w:rsid w:val="005D620F"/>
    <w:rsid w:val="005D6656"/>
    <w:rsid w:val="005D6682"/>
    <w:rsid w:val="005D679D"/>
    <w:rsid w:val="005D67A7"/>
    <w:rsid w:val="005D6AC8"/>
    <w:rsid w:val="005D6B66"/>
    <w:rsid w:val="005D6B93"/>
    <w:rsid w:val="005D6D3D"/>
    <w:rsid w:val="005D6D9E"/>
    <w:rsid w:val="005D6F71"/>
    <w:rsid w:val="005D7120"/>
    <w:rsid w:val="005D7818"/>
    <w:rsid w:val="005D7A0B"/>
    <w:rsid w:val="005D7A74"/>
    <w:rsid w:val="005D7B62"/>
    <w:rsid w:val="005D7D60"/>
    <w:rsid w:val="005D7F2C"/>
    <w:rsid w:val="005D7F34"/>
    <w:rsid w:val="005D7FB9"/>
    <w:rsid w:val="005D7FEA"/>
    <w:rsid w:val="005E01D2"/>
    <w:rsid w:val="005E051B"/>
    <w:rsid w:val="005E06B2"/>
    <w:rsid w:val="005E07A3"/>
    <w:rsid w:val="005E0980"/>
    <w:rsid w:val="005E0A14"/>
    <w:rsid w:val="005E0A39"/>
    <w:rsid w:val="005E0C84"/>
    <w:rsid w:val="005E10C6"/>
    <w:rsid w:val="005E10F6"/>
    <w:rsid w:val="005E17D0"/>
    <w:rsid w:val="005E1919"/>
    <w:rsid w:val="005E1AF4"/>
    <w:rsid w:val="005E1B65"/>
    <w:rsid w:val="005E1D94"/>
    <w:rsid w:val="005E238B"/>
    <w:rsid w:val="005E247C"/>
    <w:rsid w:val="005E25C0"/>
    <w:rsid w:val="005E2605"/>
    <w:rsid w:val="005E2619"/>
    <w:rsid w:val="005E264A"/>
    <w:rsid w:val="005E27D7"/>
    <w:rsid w:val="005E27DA"/>
    <w:rsid w:val="005E2B5D"/>
    <w:rsid w:val="005E2EC0"/>
    <w:rsid w:val="005E319C"/>
    <w:rsid w:val="005E32D0"/>
    <w:rsid w:val="005E3352"/>
    <w:rsid w:val="005E3467"/>
    <w:rsid w:val="005E3830"/>
    <w:rsid w:val="005E3B76"/>
    <w:rsid w:val="005E40AC"/>
    <w:rsid w:val="005E41E9"/>
    <w:rsid w:val="005E43D9"/>
    <w:rsid w:val="005E4480"/>
    <w:rsid w:val="005E46BE"/>
    <w:rsid w:val="005E46CF"/>
    <w:rsid w:val="005E48AD"/>
    <w:rsid w:val="005E4AC8"/>
    <w:rsid w:val="005E501B"/>
    <w:rsid w:val="005E5052"/>
    <w:rsid w:val="005E50B5"/>
    <w:rsid w:val="005E547F"/>
    <w:rsid w:val="005E55CC"/>
    <w:rsid w:val="005E5627"/>
    <w:rsid w:val="005E61CD"/>
    <w:rsid w:val="005E635F"/>
    <w:rsid w:val="005E67FD"/>
    <w:rsid w:val="005E6845"/>
    <w:rsid w:val="005E68BA"/>
    <w:rsid w:val="005E69E7"/>
    <w:rsid w:val="005E6AC6"/>
    <w:rsid w:val="005E6EAE"/>
    <w:rsid w:val="005E7051"/>
    <w:rsid w:val="005E721A"/>
    <w:rsid w:val="005E74E0"/>
    <w:rsid w:val="005F0822"/>
    <w:rsid w:val="005F088B"/>
    <w:rsid w:val="005F08AE"/>
    <w:rsid w:val="005F0A0A"/>
    <w:rsid w:val="005F0B76"/>
    <w:rsid w:val="005F0C79"/>
    <w:rsid w:val="005F100A"/>
    <w:rsid w:val="005F10CE"/>
    <w:rsid w:val="005F113A"/>
    <w:rsid w:val="005F12A9"/>
    <w:rsid w:val="005F1366"/>
    <w:rsid w:val="005F172F"/>
    <w:rsid w:val="005F1837"/>
    <w:rsid w:val="005F27CC"/>
    <w:rsid w:val="005F2B4B"/>
    <w:rsid w:val="005F2F5D"/>
    <w:rsid w:val="005F3173"/>
    <w:rsid w:val="005F320E"/>
    <w:rsid w:val="005F335E"/>
    <w:rsid w:val="005F3414"/>
    <w:rsid w:val="005F347E"/>
    <w:rsid w:val="005F35D7"/>
    <w:rsid w:val="005F36A7"/>
    <w:rsid w:val="005F36FE"/>
    <w:rsid w:val="005F3DC6"/>
    <w:rsid w:val="005F3F95"/>
    <w:rsid w:val="005F4427"/>
    <w:rsid w:val="005F4557"/>
    <w:rsid w:val="005F47E8"/>
    <w:rsid w:val="005F4BDA"/>
    <w:rsid w:val="005F4C46"/>
    <w:rsid w:val="005F50F2"/>
    <w:rsid w:val="005F52F2"/>
    <w:rsid w:val="005F56C6"/>
    <w:rsid w:val="005F589A"/>
    <w:rsid w:val="005F5BE3"/>
    <w:rsid w:val="005F5F1B"/>
    <w:rsid w:val="005F5F8C"/>
    <w:rsid w:val="005F6058"/>
    <w:rsid w:val="005F6396"/>
    <w:rsid w:val="005F6484"/>
    <w:rsid w:val="005F64F9"/>
    <w:rsid w:val="005F655B"/>
    <w:rsid w:val="005F68BE"/>
    <w:rsid w:val="005F697C"/>
    <w:rsid w:val="005F6A01"/>
    <w:rsid w:val="005F6E92"/>
    <w:rsid w:val="005F6ED5"/>
    <w:rsid w:val="005F6EEE"/>
    <w:rsid w:val="005F7275"/>
    <w:rsid w:val="005F728C"/>
    <w:rsid w:val="005F7457"/>
    <w:rsid w:val="005F7556"/>
    <w:rsid w:val="005F77F8"/>
    <w:rsid w:val="005F7844"/>
    <w:rsid w:val="005F796F"/>
    <w:rsid w:val="005F799B"/>
    <w:rsid w:val="005F79C1"/>
    <w:rsid w:val="005F7AEB"/>
    <w:rsid w:val="0060006B"/>
    <w:rsid w:val="0060009E"/>
    <w:rsid w:val="00600280"/>
    <w:rsid w:val="0060041B"/>
    <w:rsid w:val="0060048C"/>
    <w:rsid w:val="00600542"/>
    <w:rsid w:val="0060144A"/>
    <w:rsid w:val="006014F5"/>
    <w:rsid w:val="00601BAE"/>
    <w:rsid w:val="00602108"/>
    <w:rsid w:val="006029CF"/>
    <w:rsid w:val="00602D6A"/>
    <w:rsid w:val="00603047"/>
    <w:rsid w:val="0060310D"/>
    <w:rsid w:val="0060315D"/>
    <w:rsid w:val="00603259"/>
    <w:rsid w:val="00603905"/>
    <w:rsid w:val="00603908"/>
    <w:rsid w:val="006039F1"/>
    <w:rsid w:val="00603EEB"/>
    <w:rsid w:val="00603F94"/>
    <w:rsid w:val="0060440E"/>
    <w:rsid w:val="00604487"/>
    <w:rsid w:val="006049BC"/>
    <w:rsid w:val="00604ACD"/>
    <w:rsid w:val="00604DCD"/>
    <w:rsid w:val="0060543A"/>
    <w:rsid w:val="00605587"/>
    <w:rsid w:val="006056E4"/>
    <w:rsid w:val="006057A0"/>
    <w:rsid w:val="00605A78"/>
    <w:rsid w:val="00605B35"/>
    <w:rsid w:val="00605BEF"/>
    <w:rsid w:val="0060688C"/>
    <w:rsid w:val="006069B9"/>
    <w:rsid w:val="00606E72"/>
    <w:rsid w:val="00607493"/>
    <w:rsid w:val="006075CB"/>
    <w:rsid w:val="00607AB5"/>
    <w:rsid w:val="00607BE8"/>
    <w:rsid w:val="00607E7B"/>
    <w:rsid w:val="00607EC9"/>
    <w:rsid w:val="006100B1"/>
    <w:rsid w:val="00610F63"/>
    <w:rsid w:val="00610FC0"/>
    <w:rsid w:val="00611291"/>
    <w:rsid w:val="00611636"/>
    <w:rsid w:val="00611CED"/>
    <w:rsid w:val="00612B73"/>
    <w:rsid w:val="00612BAD"/>
    <w:rsid w:val="00612EC4"/>
    <w:rsid w:val="006133F2"/>
    <w:rsid w:val="00613A2A"/>
    <w:rsid w:val="00614076"/>
    <w:rsid w:val="006140B0"/>
    <w:rsid w:val="00614357"/>
    <w:rsid w:val="00614870"/>
    <w:rsid w:val="00614B72"/>
    <w:rsid w:val="00614B8C"/>
    <w:rsid w:val="00614CA7"/>
    <w:rsid w:val="00614EA4"/>
    <w:rsid w:val="0061533D"/>
    <w:rsid w:val="0061571B"/>
    <w:rsid w:val="0061585D"/>
    <w:rsid w:val="00615B3F"/>
    <w:rsid w:val="00615C63"/>
    <w:rsid w:val="00616129"/>
    <w:rsid w:val="00616723"/>
    <w:rsid w:val="00616ABC"/>
    <w:rsid w:val="00616D44"/>
    <w:rsid w:val="00617223"/>
    <w:rsid w:val="00617857"/>
    <w:rsid w:val="00617B45"/>
    <w:rsid w:val="00617F14"/>
    <w:rsid w:val="00617F5C"/>
    <w:rsid w:val="00617FB9"/>
    <w:rsid w:val="0062057C"/>
    <w:rsid w:val="006205C9"/>
    <w:rsid w:val="00620664"/>
    <w:rsid w:val="0062077C"/>
    <w:rsid w:val="006207D2"/>
    <w:rsid w:val="00620A55"/>
    <w:rsid w:val="00620BC2"/>
    <w:rsid w:val="006211FC"/>
    <w:rsid w:val="006214DE"/>
    <w:rsid w:val="00621545"/>
    <w:rsid w:val="0062196B"/>
    <w:rsid w:val="00621D82"/>
    <w:rsid w:val="0062209F"/>
    <w:rsid w:val="006223CF"/>
    <w:rsid w:val="00622FB0"/>
    <w:rsid w:val="00622FC0"/>
    <w:rsid w:val="006237AA"/>
    <w:rsid w:val="006238E0"/>
    <w:rsid w:val="006239A3"/>
    <w:rsid w:val="006249C9"/>
    <w:rsid w:val="00624C28"/>
    <w:rsid w:val="00624D78"/>
    <w:rsid w:val="00624E83"/>
    <w:rsid w:val="0062503F"/>
    <w:rsid w:val="006252B0"/>
    <w:rsid w:val="006252CA"/>
    <w:rsid w:val="00625370"/>
    <w:rsid w:val="00625378"/>
    <w:rsid w:val="006254A9"/>
    <w:rsid w:val="006257F5"/>
    <w:rsid w:val="006259E9"/>
    <w:rsid w:val="00625AE5"/>
    <w:rsid w:val="00625D05"/>
    <w:rsid w:val="00625E1E"/>
    <w:rsid w:val="00625E3B"/>
    <w:rsid w:val="006260F8"/>
    <w:rsid w:val="006268E1"/>
    <w:rsid w:val="0062691A"/>
    <w:rsid w:val="00626936"/>
    <w:rsid w:val="00626A33"/>
    <w:rsid w:val="00626C17"/>
    <w:rsid w:val="00626CE3"/>
    <w:rsid w:val="00626D22"/>
    <w:rsid w:val="00626F14"/>
    <w:rsid w:val="006271C9"/>
    <w:rsid w:val="0062734B"/>
    <w:rsid w:val="006274B0"/>
    <w:rsid w:val="006276C0"/>
    <w:rsid w:val="00627838"/>
    <w:rsid w:val="0062787D"/>
    <w:rsid w:val="00627989"/>
    <w:rsid w:val="006279C1"/>
    <w:rsid w:val="00627C76"/>
    <w:rsid w:val="00627E2A"/>
    <w:rsid w:val="00630048"/>
    <w:rsid w:val="006300CF"/>
    <w:rsid w:val="006303B0"/>
    <w:rsid w:val="006303FF"/>
    <w:rsid w:val="00630765"/>
    <w:rsid w:val="0063085E"/>
    <w:rsid w:val="00630E7F"/>
    <w:rsid w:val="00630EA3"/>
    <w:rsid w:val="00630FF8"/>
    <w:rsid w:val="0063113C"/>
    <w:rsid w:val="00631261"/>
    <w:rsid w:val="00631295"/>
    <w:rsid w:val="00631471"/>
    <w:rsid w:val="00631521"/>
    <w:rsid w:val="0063155F"/>
    <w:rsid w:val="00631CCD"/>
    <w:rsid w:val="00631DAA"/>
    <w:rsid w:val="0063217A"/>
    <w:rsid w:val="0063243D"/>
    <w:rsid w:val="0063281E"/>
    <w:rsid w:val="006328D7"/>
    <w:rsid w:val="00632E75"/>
    <w:rsid w:val="00632FD8"/>
    <w:rsid w:val="00632FFF"/>
    <w:rsid w:val="00633360"/>
    <w:rsid w:val="00633363"/>
    <w:rsid w:val="00633D6C"/>
    <w:rsid w:val="00633F81"/>
    <w:rsid w:val="00634524"/>
    <w:rsid w:val="006345F2"/>
    <w:rsid w:val="006346E0"/>
    <w:rsid w:val="00634802"/>
    <w:rsid w:val="0063482B"/>
    <w:rsid w:val="006348A1"/>
    <w:rsid w:val="00634A29"/>
    <w:rsid w:val="00634B8B"/>
    <w:rsid w:val="00634C65"/>
    <w:rsid w:val="00635137"/>
    <w:rsid w:val="0063525D"/>
    <w:rsid w:val="006353A6"/>
    <w:rsid w:val="006357FE"/>
    <w:rsid w:val="00635EEF"/>
    <w:rsid w:val="0063629B"/>
    <w:rsid w:val="00636335"/>
    <w:rsid w:val="006365F3"/>
    <w:rsid w:val="006368D0"/>
    <w:rsid w:val="006368F9"/>
    <w:rsid w:val="00636AC3"/>
    <w:rsid w:val="00636B9D"/>
    <w:rsid w:val="0063720F"/>
    <w:rsid w:val="006375FB"/>
    <w:rsid w:val="00637876"/>
    <w:rsid w:val="00637921"/>
    <w:rsid w:val="006402F8"/>
    <w:rsid w:val="006403D4"/>
    <w:rsid w:val="006404C5"/>
    <w:rsid w:val="00640C2B"/>
    <w:rsid w:val="00640E12"/>
    <w:rsid w:val="0064110D"/>
    <w:rsid w:val="006412B6"/>
    <w:rsid w:val="006413FA"/>
    <w:rsid w:val="006419C3"/>
    <w:rsid w:val="00641C58"/>
    <w:rsid w:val="0064228E"/>
    <w:rsid w:val="00642752"/>
    <w:rsid w:val="006427C7"/>
    <w:rsid w:val="00642803"/>
    <w:rsid w:val="00642BD8"/>
    <w:rsid w:val="00642D6A"/>
    <w:rsid w:val="00642ED1"/>
    <w:rsid w:val="00642F0E"/>
    <w:rsid w:val="00642FF1"/>
    <w:rsid w:val="006430A6"/>
    <w:rsid w:val="00643594"/>
    <w:rsid w:val="006437F9"/>
    <w:rsid w:val="006439B6"/>
    <w:rsid w:val="00643A82"/>
    <w:rsid w:val="00643B98"/>
    <w:rsid w:val="00643BFD"/>
    <w:rsid w:val="00643E8D"/>
    <w:rsid w:val="00643FD1"/>
    <w:rsid w:val="006445DE"/>
    <w:rsid w:val="006447F4"/>
    <w:rsid w:val="006449BD"/>
    <w:rsid w:val="00644ABA"/>
    <w:rsid w:val="00644C0B"/>
    <w:rsid w:val="00644DF7"/>
    <w:rsid w:val="00644E75"/>
    <w:rsid w:val="00644FB6"/>
    <w:rsid w:val="006452AC"/>
    <w:rsid w:val="00645465"/>
    <w:rsid w:val="00645476"/>
    <w:rsid w:val="00645602"/>
    <w:rsid w:val="006457D0"/>
    <w:rsid w:val="00645A43"/>
    <w:rsid w:val="00645D2B"/>
    <w:rsid w:val="00646044"/>
    <w:rsid w:val="0064608D"/>
    <w:rsid w:val="006460AB"/>
    <w:rsid w:val="00646408"/>
    <w:rsid w:val="00646798"/>
    <w:rsid w:val="006467D7"/>
    <w:rsid w:val="00646C33"/>
    <w:rsid w:val="00646F40"/>
    <w:rsid w:val="0064761B"/>
    <w:rsid w:val="006476C4"/>
    <w:rsid w:val="006476E6"/>
    <w:rsid w:val="006477D3"/>
    <w:rsid w:val="00647A8C"/>
    <w:rsid w:val="00647D7E"/>
    <w:rsid w:val="00647E11"/>
    <w:rsid w:val="00650015"/>
    <w:rsid w:val="006500A8"/>
    <w:rsid w:val="00650508"/>
    <w:rsid w:val="006505AD"/>
    <w:rsid w:val="00650632"/>
    <w:rsid w:val="00650B3B"/>
    <w:rsid w:val="00650BC3"/>
    <w:rsid w:val="00650D5D"/>
    <w:rsid w:val="00651007"/>
    <w:rsid w:val="006512ED"/>
    <w:rsid w:val="006518D3"/>
    <w:rsid w:val="0065191D"/>
    <w:rsid w:val="00651A2C"/>
    <w:rsid w:val="00651AE6"/>
    <w:rsid w:val="00651B24"/>
    <w:rsid w:val="00651BFC"/>
    <w:rsid w:val="00651CD9"/>
    <w:rsid w:val="006522ED"/>
    <w:rsid w:val="00652385"/>
    <w:rsid w:val="006524EE"/>
    <w:rsid w:val="00652573"/>
    <w:rsid w:val="00652609"/>
    <w:rsid w:val="0065265C"/>
    <w:rsid w:val="00652783"/>
    <w:rsid w:val="00652960"/>
    <w:rsid w:val="006529BB"/>
    <w:rsid w:val="00652C57"/>
    <w:rsid w:val="00652CF4"/>
    <w:rsid w:val="00652D88"/>
    <w:rsid w:val="00652EBE"/>
    <w:rsid w:val="00653251"/>
    <w:rsid w:val="006537B7"/>
    <w:rsid w:val="0065389A"/>
    <w:rsid w:val="00653996"/>
    <w:rsid w:val="006539F5"/>
    <w:rsid w:val="00653B57"/>
    <w:rsid w:val="00654210"/>
    <w:rsid w:val="00654383"/>
    <w:rsid w:val="00654470"/>
    <w:rsid w:val="006545B6"/>
    <w:rsid w:val="006548AA"/>
    <w:rsid w:val="00654AD8"/>
    <w:rsid w:val="00654C37"/>
    <w:rsid w:val="00655435"/>
    <w:rsid w:val="0065544A"/>
    <w:rsid w:val="006556C8"/>
    <w:rsid w:val="00655B1E"/>
    <w:rsid w:val="00655E22"/>
    <w:rsid w:val="00656411"/>
    <w:rsid w:val="00656519"/>
    <w:rsid w:val="006568D5"/>
    <w:rsid w:val="00656A3D"/>
    <w:rsid w:val="00656BE5"/>
    <w:rsid w:val="00656F1A"/>
    <w:rsid w:val="0065705C"/>
    <w:rsid w:val="006570E8"/>
    <w:rsid w:val="006572FC"/>
    <w:rsid w:val="00657462"/>
    <w:rsid w:val="006579BD"/>
    <w:rsid w:val="006579DA"/>
    <w:rsid w:val="00657AC5"/>
    <w:rsid w:val="00657B67"/>
    <w:rsid w:val="00657DC3"/>
    <w:rsid w:val="00657E44"/>
    <w:rsid w:val="00657ED6"/>
    <w:rsid w:val="0066004B"/>
    <w:rsid w:val="006607F9"/>
    <w:rsid w:val="00660931"/>
    <w:rsid w:val="00660B7A"/>
    <w:rsid w:val="00660DC2"/>
    <w:rsid w:val="00661281"/>
    <w:rsid w:val="0066155B"/>
    <w:rsid w:val="00661697"/>
    <w:rsid w:val="006616EB"/>
    <w:rsid w:val="00661B28"/>
    <w:rsid w:val="00661C2C"/>
    <w:rsid w:val="00661E38"/>
    <w:rsid w:val="00661EB5"/>
    <w:rsid w:val="00661F81"/>
    <w:rsid w:val="00662189"/>
    <w:rsid w:val="00662246"/>
    <w:rsid w:val="006625C2"/>
    <w:rsid w:val="00662681"/>
    <w:rsid w:val="00662B3A"/>
    <w:rsid w:val="00662B70"/>
    <w:rsid w:val="00662B96"/>
    <w:rsid w:val="00662C3D"/>
    <w:rsid w:val="00662C61"/>
    <w:rsid w:val="00662FBA"/>
    <w:rsid w:val="00663607"/>
    <w:rsid w:val="00663979"/>
    <w:rsid w:val="00663ACE"/>
    <w:rsid w:val="00663CBB"/>
    <w:rsid w:val="00664114"/>
    <w:rsid w:val="0066429C"/>
    <w:rsid w:val="006642C4"/>
    <w:rsid w:val="00664636"/>
    <w:rsid w:val="00664830"/>
    <w:rsid w:val="00664B9E"/>
    <w:rsid w:val="00664C0A"/>
    <w:rsid w:val="00664C8E"/>
    <w:rsid w:val="00664EA8"/>
    <w:rsid w:val="00665212"/>
    <w:rsid w:val="006653EC"/>
    <w:rsid w:val="00665451"/>
    <w:rsid w:val="00665600"/>
    <w:rsid w:val="00665973"/>
    <w:rsid w:val="006659F3"/>
    <w:rsid w:val="00665A0E"/>
    <w:rsid w:val="00665E88"/>
    <w:rsid w:val="00666149"/>
    <w:rsid w:val="00666295"/>
    <w:rsid w:val="00666517"/>
    <w:rsid w:val="00666614"/>
    <w:rsid w:val="00666690"/>
    <w:rsid w:val="0066697A"/>
    <w:rsid w:val="00666CEA"/>
    <w:rsid w:val="00666F95"/>
    <w:rsid w:val="006674D4"/>
    <w:rsid w:val="00667817"/>
    <w:rsid w:val="006678B7"/>
    <w:rsid w:val="00667E78"/>
    <w:rsid w:val="00667F74"/>
    <w:rsid w:val="00667FBD"/>
    <w:rsid w:val="00670257"/>
    <w:rsid w:val="0067025D"/>
    <w:rsid w:val="006707B7"/>
    <w:rsid w:val="006707DF"/>
    <w:rsid w:val="00670C5C"/>
    <w:rsid w:val="00670C9F"/>
    <w:rsid w:val="00670E96"/>
    <w:rsid w:val="00671082"/>
    <w:rsid w:val="0067157C"/>
    <w:rsid w:val="00671AA3"/>
    <w:rsid w:val="00671B8B"/>
    <w:rsid w:val="00671D6B"/>
    <w:rsid w:val="00671FF4"/>
    <w:rsid w:val="006720A0"/>
    <w:rsid w:val="006720E2"/>
    <w:rsid w:val="0067222A"/>
    <w:rsid w:val="0067232A"/>
    <w:rsid w:val="006726C1"/>
    <w:rsid w:val="00672F77"/>
    <w:rsid w:val="006733C2"/>
    <w:rsid w:val="00673414"/>
    <w:rsid w:val="00673475"/>
    <w:rsid w:val="006737CF"/>
    <w:rsid w:val="0067387E"/>
    <w:rsid w:val="00673C9F"/>
    <w:rsid w:val="00673D0E"/>
    <w:rsid w:val="0067431A"/>
    <w:rsid w:val="006743EF"/>
    <w:rsid w:val="00674966"/>
    <w:rsid w:val="00674978"/>
    <w:rsid w:val="00674A1D"/>
    <w:rsid w:val="00674CB0"/>
    <w:rsid w:val="00675060"/>
    <w:rsid w:val="00675148"/>
    <w:rsid w:val="006754BD"/>
    <w:rsid w:val="006758B8"/>
    <w:rsid w:val="00675AD7"/>
    <w:rsid w:val="00675B61"/>
    <w:rsid w:val="00675BEA"/>
    <w:rsid w:val="00676021"/>
    <w:rsid w:val="0067603D"/>
    <w:rsid w:val="006761D2"/>
    <w:rsid w:val="00676522"/>
    <w:rsid w:val="00676773"/>
    <w:rsid w:val="006768A1"/>
    <w:rsid w:val="00676A26"/>
    <w:rsid w:val="00676A41"/>
    <w:rsid w:val="00677050"/>
    <w:rsid w:val="006773D7"/>
    <w:rsid w:val="006776AA"/>
    <w:rsid w:val="00677786"/>
    <w:rsid w:val="0067794D"/>
    <w:rsid w:val="00677A50"/>
    <w:rsid w:val="00677AA2"/>
    <w:rsid w:val="00677C06"/>
    <w:rsid w:val="00677CFA"/>
    <w:rsid w:val="00677E84"/>
    <w:rsid w:val="00680063"/>
    <w:rsid w:val="006801C1"/>
    <w:rsid w:val="00680219"/>
    <w:rsid w:val="00680480"/>
    <w:rsid w:val="00680557"/>
    <w:rsid w:val="0068082D"/>
    <w:rsid w:val="00680A20"/>
    <w:rsid w:val="00680A86"/>
    <w:rsid w:val="00680E9D"/>
    <w:rsid w:val="00680ED7"/>
    <w:rsid w:val="006811C4"/>
    <w:rsid w:val="00681244"/>
    <w:rsid w:val="0068162C"/>
    <w:rsid w:val="00681C20"/>
    <w:rsid w:val="006824A7"/>
    <w:rsid w:val="00682765"/>
    <w:rsid w:val="006827CA"/>
    <w:rsid w:val="0068284D"/>
    <w:rsid w:val="00682909"/>
    <w:rsid w:val="00682E0A"/>
    <w:rsid w:val="00682E81"/>
    <w:rsid w:val="006833CD"/>
    <w:rsid w:val="00683522"/>
    <w:rsid w:val="006839F4"/>
    <w:rsid w:val="00683A2E"/>
    <w:rsid w:val="00683BDB"/>
    <w:rsid w:val="00683D22"/>
    <w:rsid w:val="00683D2A"/>
    <w:rsid w:val="00683E28"/>
    <w:rsid w:val="006840AC"/>
    <w:rsid w:val="006843B6"/>
    <w:rsid w:val="0068445B"/>
    <w:rsid w:val="00684603"/>
    <w:rsid w:val="0068461E"/>
    <w:rsid w:val="00684910"/>
    <w:rsid w:val="00684AA4"/>
    <w:rsid w:val="00684C1D"/>
    <w:rsid w:val="00684D26"/>
    <w:rsid w:val="00684DA1"/>
    <w:rsid w:val="00684DA3"/>
    <w:rsid w:val="00685188"/>
    <w:rsid w:val="00685288"/>
    <w:rsid w:val="00685375"/>
    <w:rsid w:val="00685444"/>
    <w:rsid w:val="0068580E"/>
    <w:rsid w:val="006859DB"/>
    <w:rsid w:val="00685AEB"/>
    <w:rsid w:val="00685AF1"/>
    <w:rsid w:val="00685EEF"/>
    <w:rsid w:val="00685F12"/>
    <w:rsid w:val="006860C1"/>
    <w:rsid w:val="0068623A"/>
    <w:rsid w:val="006865D8"/>
    <w:rsid w:val="00686CFA"/>
    <w:rsid w:val="00686FC0"/>
    <w:rsid w:val="00686FEA"/>
    <w:rsid w:val="00687419"/>
    <w:rsid w:val="00687438"/>
    <w:rsid w:val="00687495"/>
    <w:rsid w:val="0068756A"/>
    <w:rsid w:val="0068779E"/>
    <w:rsid w:val="00687913"/>
    <w:rsid w:val="00687A93"/>
    <w:rsid w:val="00687BBE"/>
    <w:rsid w:val="00687C25"/>
    <w:rsid w:val="00687C94"/>
    <w:rsid w:val="00687D8F"/>
    <w:rsid w:val="006904D7"/>
    <w:rsid w:val="00690A96"/>
    <w:rsid w:val="00690B1C"/>
    <w:rsid w:val="00690D7C"/>
    <w:rsid w:val="00690F0B"/>
    <w:rsid w:val="00691042"/>
    <w:rsid w:val="00691082"/>
    <w:rsid w:val="006910AD"/>
    <w:rsid w:val="006917BC"/>
    <w:rsid w:val="00691C99"/>
    <w:rsid w:val="00691E58"/>
    <w:rsid w:val="006920D2"/>
    <w:rsid w:val="0069214D"/>
    <w:rsid w:val="00692338"/>
    <w:rsid w:val="006927F4"/>
    <w:rsid w:val="00692831"/>
    <w:rsid w:val="006928B0"/>
    <w:rsid w:val="00692977"/>
    <w:rsid w:val="00692E8A"/>
    <w:rsid w:val="00692F62"/>
    <w:rsid w:val="00692FFD"/>
    <w:rsid w:val="00693067"/>
    <w:rsid w:val="00693345"/>
    <w:rsid w:val="006933CD"/>
    <w:rsid w:val="00693654"/>
    <w:rsid w:val="00693B7C"/>
    <w:rsid w:val="00693C2C"/>
    <w:rsid w:val="00693C74"/>
    <w:rsid w:val="00693D56"/>
    <w:rsid w:val="00693DBB"/>
    <w:rsid w:val="00693DE3"/>
    <w:rsid w:val="00693F2B"/>
    <w:rsid w:val="006942A1"/>
    <w:rsid w:val="006943AB"/>
    <w:rsid w:val="0069479C"/>
    <w:rsid w:val="00694A70"/>
    <w:rsid w:val="00694B61"/>
    <w:rsid w:val="00694BAC"/>
    <w:rsid w:val="00694C84"/>
    <w:rsid w:val="00694E9F"/>
    <w:rsid w:val="00694FB4"/>
    <w:rsid w:val="006951A5"/>
    <w:rsid w:val="00695449"/>
    <w:rsid w:val="00695A69"/>
    <w:rsid w:val="00695D30"/>
    <w:rsid w:val="00695F09"/>
    <w:rsid w:val="006960F7"/>
    <w:rsid w:val="00696225"/>
    <w:rsid w:val="006962A2"/>
    <w:rsid w:val="00696A4F"/>
    <w:rsid w:val="00697028"/>
    <w:rsid w:val="0069732A"/>
    <w:rsid w:val="006976DA"/>
    <w:rsid w:val="00697726"/>
    <w:rsid w:val="0069780A"/>
    <w:rsid w:val="00697967"/>
    <w:rsid w:val="006979CA"/>
    <w:rsid w:val="00697A48"/>
    <w:rsid w:val="00697C62"/>
    <w:rsid w:val="006A0262"/>
    <w:rsid w:val="006A0817"/>
    <w:rsid w:val="006A08A2"/>
    <w:rsid w:val="006A0B7A"/>
    <w:rsid w:val="006A0CFE"/>
    <w:rsid w:val="006A0E02"/>
    <w:rsid w:val="006A1122"/>
    <w:rsid w:val="006A1419"/>
    <w:rsid w:val="006A1712"/>
    <w:rsid w:val="006A18D7"/>
    <w:rsid w:val="006A1AA4"/>
    <w:rsid w:val="006A1CD4"/>
    <w:rsid w:val="006A21C3"/>
    <w:rsid w:val="006A2685"/>
    <w:rsid w:val="006A2707"/>
    <w:rsid w:val="006A2939"/>
    <w:rsid w:val="006A2B29"/>
    <w:rsid w:val="006A2B7C"/>
    <w:rsid w:val="006A2C17"/>
    <w:rsid w:val="006A2E4E"/>
    <w:rsid w:val="006A2EB2"/>
    <w:rsid w:val="006A302B"/>
    <w:rsid w:val="006A336C"/>
    <w:rsid w:val="006A35C8"/>
    <w:rsid w:val="006A35DC"/>
    <w:rsid w:val="006A3AF9"/>
    <w:rsid w:val="006A3D7C"/>
    <w:rsid w:val="006A43AC"/>
    <w:rsid w:val="006A43BE"/>
    <w:rsid w:val="006A44E7"/>
    <w:rsid w:val="006A46C7"/>
    <w:rsid w:val="006A4724"/>
    <w:rsid w:val="006A4803"/>
    <w:rsid w:val="006A498D"/>
    <w:rsid w:val="006A4A4C"/>
    <w:rsid w:val="006A4EAC"/>
    <w:rsid w:val="006A4F21"/>
    <w:rsid w:val="006A4F36"/>
    <w:rsid w:val="006A4FC5"/>
    <w:rsid w:val="006A4FDD"/>
    <w:rsid w:val="006A562F"/>
    <w:rsid w:val="006A56B1"/>
    <w:rsid w:val="006A5769"/>
    <w:rsid w:val="006A5D3D"/>
    <w:rsid w:val="006A5DDE"/>
    <w:rsid w:val="006A61BB"/>
    <w:rsid w:val="006A61C3"/>
    <w:rsid w:val="006A624C"/>
    <w:rsid w:val="006A674E"/>
    <w:rsid w:val="006A6825"/>
    <w:rsid w:val="006A68D9"/>
    <w:rsid w:val="006A6AF2"/>
    <w:rsid w:val="006A6C5D"/>
    <w:rsid w:val="006A6C9D"/>
    <w:rsid w:val="006A6CE0"/>
    <w:rsid w:val="006A6D14"/>
    <w:rsid w:val="006A6EB9"/>
    <w:rsid w:val="006A704B"/>
    <w:rsid w:val="006A7116"/>
    <w:rsid w:val="006A74D8"/>
    <w:rsid w:val="006A74E1"/>
    <w:rsid w:val="006A7598"/>
    <w:rsid w:val="006A77C1"/>
    <w:rsid w:val="006A7BE1"/>
    <w:rsid w:val="006A7CD3"/>
    <w:rsid w:val="006A7EC4"/>
    <w:rsid w:val="006A7F98"/>
    <w:rsid w:val="006B01FE"/>
    <w:rsid w:val="006B066D"/>
    <w:rsid w:val="006B0A6C"/>
    <w:rsid w:val="006B0CA9"/>
    <w:rsid w:val="006B0CF1"/>
    <w:rsid w:val="006B0ED1"/>
    <w:rsid w:val="006B110F"/>
    <w:rsid w:val="006B126C"/>
    <w:rsid w:val="006B1560"/>
    <w:rsid w:val="006B18FD"/>
    <w:rsid w:val="006B1958"/>
    <w:rsid w:val="006B19C2"/>
    <w:rsid w:val="006B1AE9"/>
    <w:rsid w:val="006B1BA6"/>
    <w:rsid w:val="006B1C54"/>
    <w:rsid w:val="006B2095"/>
    <w:rsid w:val="006B22FD"/>
    <w:rsid w:val="006B2884"/>
    <w:rsid w:val="006B293D"/>
    <w:rsid w:val="006B2B29"/>
    <w:rsid w:val="006B2CD6"/>
    <w:rsid w:val="006B3026"/>
    <w:rsid w:val="006B3039"/>
    <w:rsid w:val="006B3247"/>
    <w:rsid w:val="006B399B"/>
    <w:rsid w:val="006B3B47"/>
    <w:rsid w:val="006B3C7B"/>
    <w:rsid w:val="006B3E11"/>
    <w:rsid w:val="006B3FAF"/>
    <w:rsid w:val="006B406E"/>
    <w:rsid w:val="006B40A8"/>
    <w:rsid w:val="006B424B"/>
    <w:rsid w:val="006B4480"/>
    <w:rsid w:val="006B45A1"/>
    <w:rsid w:val="006B48FA"/>
    <w:rsid w:val="006B502B"/>
    <w:rsid w:val="006B558B"/>
    <w:rsid w:val="006B5810"/>
    <w:rsid w:val="006B5BA0"/>
    <w:rsid w:val="006B5CA9"/>
    <w:rsid w:val="006B5CD9"/>
    <w:rsid w:val="006B5EA9"/>
    <w:rsid w:val="006B5F62"/>
    <w:rsid w:val="006B612C"/>
    <w:rsid w:val="006B662C"/>
    <w:rsid w:val="006B6799"/>
    <w:rsid w:val="006B6AB4"/>
    <w:rsid w:val="006B6B2E"/>
    <w:rsid w:val="006B6EEB"/>
    <w:rsid w:val="006B6FF6"/>
    <w:rsid w:val="006B73D3"/>
    <w:rsid w:val="006B75AF"/>
    <w:rsid w:val="006B771C"/>
    <w:rsid w:val="006B7788"/>
    <w:rsid w:val="006B789B"/>
    <w:rsid w:val="006B78A4"/>
    <w:rsid w:val="006C007A"/>
    <w:rsid w:val="006C022C"/>
    <w:rsid w:val="006C0B15"/>
    <w:rsid w:val="006C0B71"/>
    <w:rsid w:val="006C1267"/>
    <w:rsid w:val="006C14B7"/>
    <w:rsid w:val="006C159C"/>
    <w:rsid w:val="006C195E"/>
    <w:rsid w:val="006C19D7"/>
    <w:rsid w:val="006C1D4B"/>
    <w:rsid w:val="006C1DF9"/>
    <w:rsid w:val="006C1E52"/>
    <w:rsid w:val="006C217D"/>
    <w:rsid w:val="006C22CD"/>
    <w:rsid w:val="006C23D3"/>
    <w:rsid w:val="006C2511"/>
    <w:rsid w:val="006C2830"/>
    <w:rsid w:val="006C2959"/>
    <w:rsid w:val="006C30C9"/>
    <w:rsid w:val="006C31C9"/>
    <w:rsid w:val="006C3326"/>
    <w:rsid w:val="006C362D"/>
    <w:rsid w:val="006C3896"/>
    <w:rsid w:val="006C38D3"/>
    <w:rsid w:val="006C38F6"/>
    <w:rsid w:val="006C39B0"/>
    <w:rsid w:val="006C3D06"/>
    <w:rsid w:val="006C3D6C"/>
    <w:rsid w:val="006C42F4"/>
    <w:rsid w:val="006C4437"/>
    <w:rsid w:val="006C46CB"/>
    <w:rsid w:val="006C4A97"/>
    <w:rsid w:val="006C4CC5"/>
    <w:rsid w:val="006C4D4E"/>
    <w:rsid w:val="006C4DF7"/>
    <w:rsid w:val="006C4E2D"/>
    <w:rsid w:val="006C54C3"/>
    <w:rsid w:val="006C5983"/>
    <w:rsid w:val="006C5C10"/>
    <w:rsid w:val="006C633B"/>
    <w:rsid w:val="006C64F8"/>
    <w:rsid w:val="006C6CE2"/>
    <w:rsid w:val="006C6F57"/>
    <w:rsid w:val="006C716F"/>
    <w:rsid w:val="006C7778"/>
    <w:rsid w:val="006C780C"/>
    <w:rsid w:val="006C7B0F"/>
    <w:rsid w:val="006C7BAB"/>
    <w:rsid w:val="006C7C1B"/>
    <w:rsid w:val="006C7F1D"/>
    <w:rsid w:val="006C7FAF"/>
    <w:rsid w:val="006D0244"/>
    <w:rsid w:val="006D03F3"/>
    <w:rsid w:val="006D046D"/>
    <w:rsid w:val="006D05CC"/>
    <w:rsid w:val="006D06A6"/>
    <w:rsid w:val="006D090E"/>
    <w:rsid w:val="006D0E5B"/>
    <w:rsid w:val="006D0ED0"/>
    <w:rsid w:val="006D101B"/>
    <w:rsid w:val="006D1D00"/>
    <w:rsid w:val="006D1D9D"/>
    <w:rsid w:val="006D1EAD"/>
    <w:rsid w:val="006D259B"/>
    <w:rsid w:val="006D26AC"/>
    <w:rsid w:val="006D2961"/>
    <w:rsid w:val="006D2A57"/>
    <w:rsid w:val="006D2DB6"/>
    <w:rsid w:val="006D2F30"/>
    <w:rsid w:val="006D2F33"/>
    <w:rsid w:val="006D326C"/>
    <w:rsid w:val="006D37FE"/>
    <w:rsid w:val="006D381B"/>
    <w:rsid w:val="006D386B"/>
    <w:rsid w:val="006D3FF9"/>
    <w:rsid w:val="006D4057"/>
    <w:rsid w:val="006D40F6"/>
    <w:rsid w:val="006D4146"/>
    <w:rsid w:val="006D445E"/>
    <w:rsid w:val="006D4811"/>
    <w:rsid w:val="006D4821"/>
    <w:rsid w:val="006D4B3D"/>
    <w:rsid w:val="006D4C5E"/>
    <w:rsid w:val="006D4D54"/>
    <w:rsid w:val="006D50DB"/>
    <w:rsid w:val="006D53B8"/>
    <w:rsid w:val="006D544C"/>
    <w:rsid w:val="006D55B6"/>
    <w:rsid w:val="006D55E1"/>
    <w:rsid w:val="006D59BE"/>
    <w:rsid w:val="006D64A1"/>
    <w:rsid w:val="006D6948"/>
    <w:rsid w:val="006D6B40"/>
    <w:rsid w:val="006D6BDA"/>
    <w:rsid w:val="006D6F4A"/>
    <w:rsid w:val="006D6F73"/>
    <w:rsid w:val="006D6FF8"/>
    <w:rsid w:val="006D7299"/>
    <w:rsid w:val="006D75B0"/>
    <w:rsid w:val="006D7D43"/>
    <w:rsid w:val="006E057C"/>
    <w:rsid w:val="006E0664"/>
    <w:rsid w:val="006E0854"/>
    <w:rsid w:val="006E08BA"/>
    <w:rsid w:val="006E0B08"/>
    <w:rsid w:val="006E1208"/>
    <w:rsid w:val="006E1222"/>
    <w:rsid w:val="006E14F4"/>
    <w:rsid w:val="006E15ED"/>
    <w:rsid w:val="006E161F"/>
    <w:rsid w:val="006E1660"/>
    <w:rsid w:val="006E1D40"/>
    <w:rsid w:val="006E1E8E"/>
    <w:rsid w:val="006E1FB7"/>
    <w:rsid w:val="006E20EC"/>
    <w:rsid w:val="006E25E7"/>
    <w:rsid w:val="006E27E5"/>
    <w:rsid w:val="006E2E0C"/>
    <w:rsid w:val="006E3034"/>
    <w:rsid w:val="006E3094"/>
    <w:rsid w:val="006E3486"/>
    <w:rsid w:val="006E35CB"/>
    <w:rsid w:val="006E38BC"/>
    <w:rsid w:val="006E3D41"/>
    <w:rsid w:val="006E415B"/>
    <w:rsid w:val="006E48EC"/>
    <w:rsid w:val="006E48F5"/>
    <w:rsid w:val="006E4A19"/>
    <w:rsid w:val="006E4A87"/>
    <w:rsid w:val="006E4B1F"/>
    <w:rsid w:val="006E4C08"/>
    <w:rsid w:val="006E4CC8"/>
    <w:rsid w:val="006E4F7C"/>
    <w:rsid w:val="006E525D"/>
    <w:rsid w:val="006E5426"/>
    <w:rsid w:val="006E5535"/>
    <w:rsid w:val="006E5821"/>
    <w:rsid w:val="006E5A1B"/>
    <w:rsid w:val="006E5AAC"/>
    <w:rsid w:val="006E5CCF"/>
    <w:rsid w:val="006E5D0B"/>
    <w:rsid w:val="006E5DD6"/>
    <w:rsid w:val="006E5E7E"/>
    <w:rsid w:val="006E5F7C"/>
    <w:rsid w:val="006E5FB7"/>
    <w:rsid w:val="006E61F9"/>
    <w:rsid w:val="006E6329"/>
    <w:rsid w:val="006E66F3"/>
    <w:rsid w:val="006E6922"/>
    <w:rsid w:val="006E69E4"/>
    <w:rsid w:val="006E6A66"/>
    <w:rsid w:val="006E6CF6"/>
    <w:rsid w:val="006E7659"/>
    <w:rsid w:val="006E7C50"/>
    <w:rsid w:val="006F0092"/>
    <w:rsid w:val="006F015E"/>
    <w:rsid w:val="006F02EA"/>
    <w:rsid w:val="006F0581"/>
    <w:rsid w:val="006F08B2"/>
    <w:rsid w:val="006F0A7C"/>
    <w:rsid w:val="006F0CD6"/>
    <w:rsid w:val="006F0EB8"/>
    <w:rsid w:val="006F0F98"/>
    <w:rsid w:val="006F1003"/>
    <w:rsid w:val="006F12F0"/>
    <w:rsid w:val="006F1311"/>
    <w:rsid w:val="006F1991"/>
    <w:rsid w:val="006F1D59"/>
    <w:rsid w:val="006F2580"/>
    <w:rsid w:val="006F26B7"/>
    <w:rsid w:val="006F2822"/>
    <w:rsid w:val="006F2929"/>
    <w:rsid w:val="006F2EA2"/>
    <w:rsid w:val="006F2ECF"/>
    <w:rsid w:val="006F2FB5"/>
    <w:rsid w:val="006F31FC"/>
    <w:rsid w:val="006F3368"/>
    <w:rsid w:val="006F340E"/>
    <w:rsid w:val="006F34B9"/>
    <w:rsid w:val="006F3654"/>
    <w:rsid w:val="006F38FA"/>
    <w:rsid w:val="006F3BA3"/>
    <w:rsid w:val="006F3F4A"/>
    <w:rsid w:val="006F4020"/>
    <w:rsid w:val="006F45E1"/>
    <w:rsid w:val="006F4A7D"/>
    <w:rsid w:val="006F4AC4"/>
    <w:rsid w:val="006F4B96"/>
    <w:rsid w:val="006F4CB2"/>
    <w:rsid w:val="006F4EFB"/>
    <w:rsid w:val="006F4F11"/>
    <w:rsid w:val="006F52B2"/>
    <w:rsid w:val="006F56E8"/>
    <w:rsid w:val="006F5707"/>
    <w:rsid w:val="006F5745"/>
    <w:rsid w:val="006F5E47"/>
    <w:rsid w:val="006F5F21"/>
    <w:rsid w:val="006F5FDB"/>
    <w:rsid w:val="006F60B8"/>
    <w:rsid w:val="006F662C"/>
    <w:rsid w:val="006F694E"/>
    <w:rsid w:val="006F6CDE"/>
    <w:rsid w:val="006F6D29"/>
    <w:rsid w:val="006F6ED2"/>
    <w:rsid w:val="006F7233"/>
    <w:rsid w:val="006F765D"/>
    <w:rsid w:val="006F77B3"/>
    <w:rsid w:val="006F7850"/>
    <w:rsid w:val="006F7F55"/>
    <w:rsid w:val="0070053B"/>
    <w:rsid w:val="00700BAE"/>
    <w:rsid w:val="00701176"/>
    <w:rsid w:val="00701870"/>
    <w:rsid w:val="007019E8"/>
    <w:rsid w:val="00701B05"/>
    <w:rsid w:val="00701D19"/>
    <w:rsid w:val="0070205A"/>
    <w:rsid w:val="007022FD"/>
    <w:rsid w:val="007026B6"/>
    <w:rsid w:val="007027F4"/>
    <w:rsid w:val="00702987"/>
    <w:rsid w:val="00702CD3"/>
    <w:rsid w:val="00702CE8"/>
    <w:rsid w:val="0070321D"/>
    <w:rsid w:val="007032D0"/>
    <w:rsid w:val="00703716"/>
    <w:rsid w:val="00703DFB"/>
    <w:rsid w:val="00703F2F"/>
    <w:rsid w:val="0070401A"/>
    <w:rsid w:val="00704154"/>
    <w:rsid w:val="00704314"/>
    <w:rsid w:val="0070432E"/>
    <w:rsid w:val="00704349"/>
    <w:rsid w:val="00704438"/>
    <w:rsid w:val="0070447D"/>
    <w:rsid w:val="00704692"/>
    <w:rsid w:val="007048BF"/>
    <w:rsid w:val="00704B95"/>
    <w:rsid w:val="00704CD9"/>
    <w:rsid w:val="0070506C"/>
    <w:rsid w:val="0070512D"/>
    <w:rsid w:val="007058A8"/>
    <w:rsid w:val="007059BD"/>
    <w:rsid w:val="00705A63"/>
    <w:rsid w:val="00705F2D"/>
    <w:rsid w:val="00705FB1"/>
    <w:rsid w:val="00706158"/>
    <w:rsid w:val="00706185"/>
    <w:rsid w:val="007061FA"/>
    <w:rsid w:val="0070628F"/>
    <w:rsid w:val="007065A3"/>
    <w:rsid w:val="00706765"/>
    <w:rsid w:val="00706832"/>
    <w:rsid w:val="00706875"/>
    <w:rsid w:val="00706E8A"/>
    <w:rsid w:val="00706F64"/>
    <w:rsid w:val="00706FCC"/>
    <w:rsid w:val="0070710B"/>
    <w:rsid w:val="0070718F"/>
    <w:rsid w:val="00707309"/>
    <w:rsid w:val="007077FA"/>
    <w:rsid w:val="007078F6"/>
    <w:rsid w:val="007079A2"/>
    <w:rsid w:val="00707A0D"/>
    <w:rsid w:val="00707ED0"/>
    <w:rsid w:val="00707F1A"/>
    <w:rsid w:val="007101EF"/>
    <w:rsid w:val="007103B4"/>
    <w:rsid w:val="0071058F"/>
    <w:rsid w:val="0071075D"/>
    <w:rsid w:val="007107C0"/>
    <w:rsid w:val="00710A04"/>
    <w:rsid w:val="00710A1F"/>
    <w:rsid w:val="00710BB7"/>
    <w:rsid w:val="00710FEB"/>
    <w:rsid w:val="00711218"/>
    <w:rsid w:val="0071137B"/>
    <w:rsid w:val="0071146F"/>
    <w:rsid w:val="007114E0"/>
    <w:rsid w:val="007114E6"/>
    <w:rsid w:val="007117EE"/>
    <w:rsid w:val="00711900"/>
    <w:rsid w:val="0071196D"/>
    <w:rsid w:val="00711A07"/>
    <w:rsid w:val="00711D03"/>
    <w:rsid w:val="00711F2C"/>
    <w:rsid w:val="00711FB1"/>
    <w:rsid w:val="00712064"/>
    <w:rsid w:val="00712432"/>
    <w:rsid w:val="0071258C"/>
    <w:rsid w:val="00712AEC"/>
    <w:rsid w:val="00712B10"/>
    <w:rsid w:val="00712DEF"/>
    <w:rsid w:val="00712F57"/>
    <w:rsid w:val="00713054"/>
    <w:rsid w:val="007130FD"/>
    <w:rsid w:val="0071327C"/>
    <w:rsid w:val="00713405"/>
    <w:rsid w:val="007139FB"/>
    <w:rsid w:val="0071405C"/>
    <w:rsid w:val="007140BE"/>
    <w:rsid w:val="007143EC"/>
    <w:rsid w:val="007144BF"/>
    <w:rsid w:val="007144F0"/>
    <w:rsid w:val="007145C2"/>
    <w:rsid w:val="00714777"/>
    <w:rsid w:val="00714790"/>
    <w:rsid w:val="00714A14"/>
    <w:rsid w:val="00714CE0"/>
    <w:rsid w:val="00714F1C"/>
    <w:rsid w:val="00714F92"/>
    <w:rsid w:val="0071513F"/>
    <w:rsid w:val="007151B8"/>
    <w:rsid w:val="007151F6"/>
    <w:rsid w:val="007153BC"/>
    <w:rsid w:val="00715649"/>
    <w:rsid w:val="0071580D"/>
    <w:rsid w:val="0071590D"/>
    <w:rsid w:val="00715A06"/>
    <w:rsid w:val="00715C67"/>
    <w:rsid w:val="00715FC7"/>
    <w:rsid w:val="007162A2"/>
    <w:rsid w:val="007163A5"/>
    <w:rsid w:val="00716731"/>
    <w:rsid w:val="007167AF"/>
    <w:rsid w:val="007168E5"/>
    <w:rsid w:val="00716AD0"/>
    <w:rsid w:val="00716B8F"/>
    <w:rsid w:val="00716D24"/>
    <w:rsid w:val="00716F43"/>
    <w:rsid w:val="007170B7"/>
    <w:rsid w:val="007171E7"/>
    <w:rsid w:val="007173DE"/>
    <w:rsid w:val="007173E6"/>
    <w:rsid w:val="0071755F"/>
    <w:rsid w:val="007176D9"/>
    <w:rsid w:val="007178C6"/>
    <w:rsid w:val="00717CA2"/>
    <w:rsid w:val="00717DB2"/>
    <w:rsid w:val="00717DDF"/>
    <w:rsid w:val="00717EC4"/>
    <w:rsid w:val="007200C1"/>
    <w:rsid w:val="0072029A"/>
    <w:rsid w:val="0072033A"/>
    <w:rsid w:val="00720A87"/>
    <w:rsid w:val="00720F1E"/>
    <w:rsid w:val="00721139"/>
    <w:rsid w:val="0072114E"/>
    <w:rsid w:val="007212D1"/>
    <w:rsid w:val="007215F3"/>
    <w:rsid w:val="007218B0"/>
    <w:rsid w:val="00721A30"/>
    <w:rsid w:val="00721AEB"/>
    <w:rsid w:val="00721AF7"/>
    <w:rsid w:val="00721CB4"/>
    <w:rsid w:val="007221D3"/>
    <w:rsid w:val="007224CB"/>
    <w:rsid w:val="00722762"/>
    <w:rsid w:val="0072298D"/>
    <w:rsid w:val="00722A5A"/>
    <w:rsid w:val="00723058"/>
    <w:rsid w:val="0072310F"/>
    <w:rsid w:val="00723233"/>
    <w:rsid w:val="00723570"/>
    <w:rsid w:val="007236BD"/>
    <w:rsid w:val="007238D7"/>
    <w:rsid w:val="00723981"/>
    <w:rsid w:val="00724111"/>
    <w:rsid w:val="007242DF"/>
    <w:rsid w:val="00724820"/>
    <w:rsid w:val="007249B8"/>
    <w:rsid w:val="00724E6C"/>
    <w:rsid w:val="00724F36"/>
    <w:rsid w:val="00725049"/>
    <w:rsid w:val="00725190"/>
    <w:rsid w:val="007254BA"/>
    <w:rsid w:val="0072552F"/>
    <w:rsid w:val="0072562F"/>
    <w:rsid w:val="007256EA"/>
    <w:rsid w:val="007257B4"/>
    <w:rsid w:val="00725FFA"/>
    <w:rsid w:val="00726101"/>
    <w:rsid w:val="00726390"/>
    <w:rsid w:val="007263EC"/>
    <w:rsid w:val="00726A59"/>
    <w:rsid w:val="00726BB0"/>
    <w:rsid w:val="00726C25"/>
    <w:rsid w:val="00726DA1"/>
    <w:rsid w:val="00726E8D"/>
    <w:rsid w:val="00726F67"/>
    <w:rsid w:val="0072737D"/>
    <w:rsid w:val="007273DA"/>
    <w:rsid w:val="007278F1"/>
    <w:rsid w:val="00727A4C"/>
    <w:rsid w:val="00727AE4"/>
    <w:rsid w:val="00727C49"/>
    <w:rsid w:val="00727C6C"/>
    <w:rsid w:val="0073030B"/>
    <w:rsid w:val="00730C49"/>
    <w:rsid w:val="00730CF7"/>
    <w:rsid w:val="00730D75"/>
    <w:rsid w:val="00730E52"/>
    <w:rsid w:val="0073125C"/>
    <w:rsid w:val="007313C8"/>
    <w:rsid w:val="007314E0"/>
    <w:rsid w:val="0073184A"/>
    <w:rsid w:val="007318FA"/>
    <w:rsid w:val="00731D70"/>
    <w:rsid w:val="00731D92"/>
    <w:rsid w:val="00731ECA"/>
    <w:rsid w:val="00732A89"/>
    <w:rsid w:val="00732AEF"/>
    <w:rsid w:val="00732DE5"/>
    <w:rsid w:val="00732E64"/>
    <w:rsid w:val="00732F17"/>
    <w:rsid w:val="00732F82"/>
    <w:rsid w:val="0073326C"/>
    <w:rsid w:val="007339B4"/>
    <w:rsid w:val="00733DAC"/>
    <w:rsid w:val="00733DC7"/>
    <w:rsid w:val="00733E9A"/>
    <w:rsid w:val="00734183"/>
    <w:rsid w:val="00734323"/>
    <w:rsid w:val="007346B2"/>
    <w:rsid w:val="007347BB"/>
    <w:rsid w:val="00734D3D"/>
    <w:rsid w:val="0073503F"/>
    <w:rsid w:val="00735356"/>
    <w:rsid w:val="007353F1"/>
    <w:rsid w:val="00735477"/>
    <w:rsid w:val="00735BF8"/>
    <w:rsid w:val="0073610C"/>
    <w:rsid w:val="007361DB"/>
    <w:rsid w:val="00736435"/>
    <w:rsid w:val="0073644D"/>
    <w:rsid w:val="0073650A"/>
    <w:rsid w:val="00736561"/>
    <w:rsid w:val="00736958"/>
    <w:rsid w:val="00736B8B"/>
    <w:rsid w:val="00736E52"/>
    <w:rsid w:val="00737131"/>
    <w:rsid w:val="007371B8"/>
    <w:rsid w:val="007372ED"/>
    <w:rsid w:val="0073742B"/>
    <w:rsid w:val="0073753D"/>
    <w:rsid w:val="00737890"/>
    <w:rsid w:val="007379F6"/>
    <w:rsid w:val="00737A1A"/>
    <w:rsid w:val="00737B11"/>
    <w:rsid w:val="00737D58"/>
    <w:rsid w:val="00740396"/>
    <w:rsid w:val="00740631"/>
    <w:rsid w:val="00740872"/>
    <w:rsid w:val="00740A1A"/>
    <w:rsid w:val="00740A45"/>
    <w:rsid w:val="00740BE9"/>
    <w:rsid w:val="00740E88"/>
    <w:rsid w:val="00740F65"/>
    <w:rsid w:val="007413B5"/>
    <w:rsid w:val="00741401"/>
    <w:rsid w:val="00741850"/>
    <w:rsid w:val="00741877"/>
    <w:rsid w:val="00741E25"/>
    <w:rsid w:val="00741E45"/>
    <w:rsid w:val="00741F51"/>
    <w:rsid w:val="00742442"/>
    <w:rsid w:val="0074262E"/>
    <w:rsid w:val="00742A81"/>
    <w:rsid w:val="00742C2C"/>
    <w:rsid w:val="00742F52"/>
    <w:rsid w:val="007430E3"/>
    <w:rsid w:val="00743999"/>
    <w:rsid w:val="007439F8"/>
    <w:rsid w:val="00743AE7"/>
    <w:rsid w:val="00743BDE"/>
    <w:rsid w:val="00743CFC"/>
    <w:rsid w:val="007441F3"/>
    <w:rsid w:val="00744324"/>
    <w:rsid w:val="0074449C"/>
    <w:rsid w:val="0074480B"/>
    <w:rsid w:val="007449F0"/>
    <w:rsid w:val="00744E3A"/>
    <w:rsid w:val="00744EE7"/>
    <w:rsid w:val="00744F48"/>
    <w:rsid w:val="00745214"/>
    <w:rsid w:val="007458BD"/>
    <w:rsid w:val="00745BD8"/>
    <w:rsid w:val="00745C84"/>
    <w:rsid w:val="00745DE9"/>
    <w:rsid w:val="00745DF3"/>
    <w:rsid w:val="00745F58"/>
    <w:rsid w:val="007463FF"/>
    <w:rsid w:val="007467D6"/>
    <w:rsid w:val="00746FFC"/>
    <w:rsid w:val="007470C7"/>
    <w:rsid w:val="0074758C"/>
    <w:rsid w:val="0074786C"/>
    <w:rsid w:val="0074791D"/>
    <w:rsid w:val="00747964"/>
    <w:rsid w:val="007479E3"/>
    <w:rsid w:val="00747CFF"/>
    <w:rsid w:val="00747D42"/>
    <w:rsid w:val="007504ED"/>
    <w:rsid w:val="0075070E"/>
    <w:rsid w:val="007507DE"/>
    <w:rsid w:val="00750FCE"/>
    <w:rsid w:val="007510ED"/>
    <w:rsid w:val="00751503"/>
    <w:rsid w:val="007516F7"/>
    <w:rsid w:val="007516F8"/>
    <w:rsid w:val="0075186B"/>
    <w:rsid w:val="00751973"/>
    <w:rsid w:val="00751B62"/>
    <w:rsid w:val="00751B90"/>
    <w:rsid w:val="00751ECB"/>
    <w:rsid w:val="007521B5"/>
    <w:rsid w:val="007524A1"/>
    <w:rsid w:val="0075257D"/>
    <w:rsid w:val="00752731"/>
    <w:rsid w:val="00752C45"/>
    <w:rsid w:val="00752C99"/>
    <w:rsid w:val="00753427"/>
    <w:rsid w:val="0075345A"/>
    <w:rsid w:val="007535D5"/>
    <w:rsid w:val="007538D0"/>
    <w:rsid w:val="00753D3C"/>
    <w:rsid w:val="00753D56"/>
    <w:rsid w:val="00753DA0"/>
    <w:rsid w:val="00753DB4"/>
    <w:rsid w:val="00754366"/>
    <w:rsid w:val="00754517"/>
    <w:rsid w:val="00754601"/>
    <w:rsid w:val="00754688"/>
    <w:rsid w:val="007547CB"/>
    <w:rsid w:val="00754959"/>
    <w:rsid w:val="00754A0D"/>
    <w:rsid w:val="00754CD7"/>
    <w:rsid w:val="00754D84"/>
    <w:rsid w:val="007550DA"/>
    <w:rsid w:val="00755216"/>
    <w:rsid w:val="007552C7"/>
    <w:rsid w:val="007556C9"/>
    <w:rsid w:val="00755748"/>
    <w:rsid w:val="007557FD"/>
    <w:rsid w:val="00755898"/>
    <w:rsid w:val="007558C1"/>
    <w:rsid w:val="00755C04"/>
    <w:rsid w:val="00755E79"/>
    <w:rsid w:val="00755EE3"/>
    <w:rsid w:val="00755F6C"/>
    <w:rsid w:val="00756083"/>
    <w:rsid w:val="007562D6"/>
    <w:rsid w:val="0075632C"/>
    <w:rsid w:val="00756402"/>
    <w:rsid w:val="007567F0"/>
    <w:rsid w:val="007568F5"/>
    <w:rsid w:val="00756C70"/>
    <w:rsid w:val="00756CD1"/>
    <w:rsid w:val="00756D68"/>
    <w:rsid w:val="0075709E"/>
    <w:rsid w:val="007571CC"/>
    <w:rsid w:val="0075747D"/>
    <w:rsid w:val="007574BA"/>
    <w:rsid w:val="007576D2"/>
    <w:rsid w:val="007579B5"/>
    <w:rsid w:val="00757AC8"/>
    <w:rsid w:val="00757C41"/>
    <w:rsid w:val="00757CD4"/>
    <w:rsid w:val="00757D43"/>
    <w:rsid w:val="00757E6D"/>
    <w:rsid w:val="00757EF2"/>
    <w:rsid w:val="0076072A"/>
    <w:rsid w:val="00760CA6"/>
    <w:rsid w:val="00760D7F"/>
    <w:rsid w:val="0076124F"/>
    <w:rsid w:val="007612C8"/>
    <w:rsid w:val="0076154D"/>
    <w:rsid w:val="00761D66"/>
    <w:rsid w:val="00761E45"/>
    <w:rsid w:val="007621CE"/>
    <w:rsid w:val="00762261"/>
    <w:rsid w:val="007622C1"/>
    <w:rsid w:val="00762317"/>
    <w:rsid w:val="0076238C"/>
    <w:rsid w:val="00762409"/>
    <w:rsid w:val="00762490"/>
    <w:rsid w:val="0076264F"/>
    <w:rsid w:val="00762797"/>
    <w:rsid w:val="007627A5"/>
    <w:rsid w:val="007628C6"/>
    <w:rsid w:val="00762AA6"/>
    <w:rsid w:val="00762E86"/>
    <w:rsid w:val="007631BB"/>
    <w:rsid w:val="0076344E"/>
    <w:rsid w:val="0076345C"/>
    <w:rsid w:val="00763484"/>
    <w:rsid w:val="0076359E"/>
    <w:rsid w:val="00763968"/>
    <w:rsid w:val="00763CEC"/>
    <w:rsid w:val="0076428C"/>
    <w:rsid w:val="007646B7"/>
    <w:rsid w:val="00764D96"/>
    <w:rsid w:val="00764E83"/>
    <w:rsid w:val="00764ED0"/>
    <w:rsid w:val="00764F03"/>
    <w:rsid w:val="00765109"/>
    <w:rsid w:val="007652BA"/>
    <w:rsid w:val="007653F0"/>
    <w:rsid w:val="00765484"/>
    <w:rsid w:val="007654D4"/>
    <w:rsid w:val="00765551"/>
    <w:rsid w:val="00765663"/>
    <w:rsid w:val="007656E5"/>
    <w:rsid w:val="007657D5"/>
    <w:rsid w:val="0076622E"/>
    <w:rsid w:val="0076636C"/>
    <w:rsid w:val="00766565"/>
    <w:rsid w:val="00766673"/>
    <w:rsid w:val="00766A67"/>
    <w:rsid w:val="00766CB7"/>
    <w:rsid w:val="00766DF5"/>
    <w:rsid w:val="007678A7"/>
    <w:rsid w:val="00767CBF"/>
    <w:rsid w:val="00767E61"/>
    <w:rsid w:val="00770249"/>
    <w:rsid w:val="00770319"/>
    <w:rsid w:val="007708CF"/>
    <w:rsid w:val="0077095F"/>
    <w:rsid w:val="00770E49"/>
    <w:rsid w:val="00771108"/>
    <w:rsid w:val="00771223"/>
    <w:rsid w:val="007716D5"/>
    <w:rsid w:val="007718DB"/>
    <w:rsid w:val="00771C05"/>
    <w:rsid w:val="00771E52"/>
    <w:rsid w:val="00772006"/>
    <w:rsid w:val="0077210D"/>
    <w:rsid w:val="0077255D"/>
    <w:rsid w:val="0077266E"/>
    <w:rsid w:val="0077274C"/>
    <w:rsid w:val="007728AF"/>
    <w:rsid w:val="00772BA9"/>
    <w:rsid w:val="00772C1D"/>
    <w:rsid w:val="00772C2A"/>
    <w:rsid w:val="00772DA3"/>
    <w:rsid w:val="00772F4D"/>
    <w:rsid w:val="007733C7"/>
    <w:rsid w:val="0077346B"/>
    <w:rsid w:val="00773673"/>
    <w:rsid w:val="00773875"/>
    <w:rsid w:val="007738D3"/>
    <w:rsid w:val="00773F88"/>
    <w:rsid w:val="00774119"/>
    <w:rsid w:val="00774AAC"/>
    <w:rsid w:val="00774B8A"/>
    <w:rsid w:val="00774BAE"/>
    <w:rsid w:val="00774BFD"/>
    <w:rsid w:val="00774EE9"/>
    <w:rsid w:val="007759AB"/>
    <w:rsid w:val="00775CC1"/>
    <w:rsid w:val="00775CC6"/>
    <w:rsid w:val="00775CED"/>
    <w:rsid w:val="00775E5E"/>
    <w:rsid w:val="0077628B"/>
    <w:rsid w:val="007763E9"/>
    <w:rsid w:val="00776488"/>
    <w:rsid w:val="0077676B"/>
    <w:rsid w:val="007767DD"/>
    <w:rsid w:val="007769D4"/>
    <w:rsid w:val="00776E6E"/>
    <w:rsid w:val="00776F18"/>
    <w:rsid w:val="007771A5"/>
    <w:rsid w:val="00777209"/>
    <w:rsid w:val="00777211"/>
    <w:rsid w:val="0077739E"/>
    <w:rsid w:val="007773DB"/>
    <w:rsid w:val="00777453"/>
    <w:rsid w:val="0077748C"/>
    <w:rsid w:val="007775A7"/>
    <w:rsid w:val="00777626"/>
    <w:rsid w:val="00777668"/>
    <w:rsid w:val="00777883"/>
    <w:rsid w:val="00777B8A"/>
    <w:rsid w:val="00777D63"/>
    <w:rsid w:val="00777FDD"/>
    <w:rsid w:val="007805C8"/>
    <w:rsid w:val="007805FE"/>
    <w:rsid w:val="007807AA"/>
    <w:rsid w:val="00780815"/>
    <w:rsid w:val="007808B6"/>
    <w:rsid w:val="007808D1"/>
    <w:rsid w:val="00780C64"/>
    <w:rsid w:val="00780E72"/>
    <w:rsid w:val="00780FC0"/>
    <w:rsid w:val="00781049"/>
    <w:rsid w:val="007814A6"/>
    <w:rsid w:val="0078196A"/>
    <w:rsid w:val="00781A9E"/>
    <w:rsid w:val="00781BA8"/>
    <w:rsid w:val="00782064"/>
    <w:rsid w:val="007821F2"/>
    <w:rsid w:val="00782805"/>
    <w:rsid w:val="007828ED"/>
    <w:rsid w:val="007828F7"/>
    <w:rsid w:val="007829C7"/>
    <w:rsid w:val="00782A9E"/>
    <w:rsid w:val="00782B13"/>
    <w:rsid w:val="00782B14"/>
    <w:rsid w:val="00782E0B"/>
    <w:rsid w:val="007830B2"/>
    <w:rsid w:val="007833AB"/>
    <w:rsid w:val="0078353A"/>
    <w:rsid w:val="00783639"/>
    <w:rsid w:val="00783884"/>
    <w:rsid w:val="00783BAD"/>
    <w:rsid w:val="00783E71"/>
    <w:rsid w:val="00783FBA"/>
    <w:rsid w:val="007840FF"/>
    <w:rsid w:val="007841F3"/>
    <w:rsid w:val="0078450D"/>
    <w:rsid w:val="007845B8"/>
    <w:rsid w:val="0078470E"/>
    <w:rsid w:val="0078478D"/>
    <w:rsid w:val="007853B7"/>
    <w:rsid w:val="00785693"/>
    <w:rsid w:val="007858D2"/>
    <w:rsid w:val="00785997"/>
    <w:rsid w:val="00785B93"/>
    <w:rsid w:val="00785E4B"/>
    <w:rsid w:val="00785F48"/>
    <w:rsid w:val="007862E2"/>
    <w:rsid w:val="00786609"/>
    <w:rsid w:val="00786676"/>
    <w:rsid w:val="00786791"/>
    <w:rsid w:val="00786908"/>
    <w:rsid w:val="00786B46"/>
    <w:rsid w:val="00786C2D"/>
    <w:rsid w:val="00786E0F"/>
    <w:rsid w:val="007870A0"/>
    <w:rsid w:val="00787149"/>
    <w:rsid w:val="0078726C"/>
    <w:rsid w:val="007872FC"/>
    <w:rsid w:val="007874E5"/>
    <w:rsid w:val="007876BC"/>
    <w:rsid w:val="00787F7E"/>
    <w:rsid w:val="00790582"/>
    <w:rsid w:val="0079085C"/>
    <w:rsid w:val="00790B1A"/>
    <w:rsid w:val="00790B83"/>
    <w:rsid w:val="00790E40"/>
    <w:rsid w:val="00791090"/>
    <w:rsid w:val="007914E4"/>
    <w:rsid w:val="0079183C"/>
    <w:rsid w:val="00791969"/>
    <w:rsid w:val="007919FB"/>
    <w:rsid w:val="00791A9A"/>
    <w:rsid w:val="00791D71"/>
    <w:rsid w:val="00791DAC"/>
    <w:rsid w:val="00791DD7"/>
    <w:rsid w:val="00791EE9"/>
    <w:rsid w:val="00792199"/>
    <w:rsid w:val="00792343"/>
    <w:rsid w:val="00792377"/>
    <w:rsid w:val="00792385"/>
    <w:rsid w:val="007924E5"/>
    <w:rsid w:val="0079260E"/>
    <w:rsid w:val="00792662"/>
    <w:rsid w:val="007927F7"/>
    <w:rsid w:val="007928A1"/>
    <w:rsid w:val="007929BB"/>
    <w:rsid w:val="00792AFC"/>
    <w:rsid w:val="00792C54"/>
    <w:rsid w:val="00792CFA"/>
    <w:rsid w:val="00792F3F"/>
    <w:rsid w:val="0079328B"/>
    <w:rsid w:val="00793702"/>
    <w:rsid w:val="00793B20"/>
    <w:rsid w:val="00793CF6"/>
    <w:rsid w:val="00793D06"/>
    <w:rsid w:val="00793D33"/>
    <w:rsid w:val="00793EA2"/>
    <w:rsid w:val="0079400D"/>
    <w:rsid w:val="00794050"/>
    <w:rsid w:val="007941DA"/>
    <w:rsid w:val="007947A9"/>
    <w:rsid w:val="0079499F"/>
    <w:rsid w:val="00794AA0"/>
    <w:rsid w:val="00794BCE"/>
    <w:rsid w:val="00794BE3"/>
    <w:rsid w:val="00794BFA"/>
    <w:rsid w:val="00794E80"/>
    <w:rsid w:val="00794F4B"/>
    <w:rsid w:val="0079511D"/>
    <w:rsid w:val="0079531F"/>
    <w:rsid w:val="0079539E"/>
    <w:rsid w:val="00795484"/>
    <w:rsid w:val="00795706"/>
    <w:rsid w:val="00795ABE"/>
    <w:rsid w:val="00795CA6"/>
    <w:rsid w:val="00795DA8"/>
    <w:rsid w:val="00795E49"/>
    <w:rsid w:val="00795FFC"/>
    <w:rsid w:val="007961FE"/>
    <w:rsid w:val="00796240"/>
    <w:rsid w:val="00796303"/>
    <w:rsid w:val="00796732"/>
    <w:rsid w:val="007968ED"/>
    <w:rsid w:val="007969BC"/>
    <w:rsid w:val="00796A74"/>
    <w:rsid w:val="00796BA7"/>
    <w:rsid w:val="00796BB2"/>
    <w:rsid w:val="00796C1C"/>
    <w:rsid w:val="00796C29"/>
    <w:rsid w:val="00796F69"/>
    <w:rsid w:val="007972C6"/>
    <w:rsid w:val="00797338"/>
    <w:rsid w:val="00797406"/>
    <w:rsid w:val="007975CB"/>
    <w:rsid w:val="00797E91"/>
    <w:rsid w:val="007A0095"/>
    <w:rsid w:val="007A03B3"/>
    <w:rsid w:val="007A0635"/>
    <w:rsid w:val="007A0742"/>
    <w:rsid w:val="007A0812"/>
    <w:rsid w:val="007A097F"/>
    <w:rsid w:val="007A0A17"/>
    <w:rsid w:val="007A0A19"/>
    <w:rsid w:val="007A0AED"/>
    <w:rsid w:val="007A0D82"/>
    <w:rsid w:val="007A0EF7"/>
    <w:rsid w:val="007A0F5F"/>
    <w:rsid w:val="007A1162"/>
    <w:rsid w:val="007A1184"/>
    <w:rsid w:val="007A127B"/>
    <w:rsid w:val="007A16EC"/>
    <w:rsid w:val="007A17F4"/>
    <w:rsid w:val="007A1855"/>
    <w:rsid w:val="007A18F7"/>
    <w:rsid w:val="007A1BD4"/>
    <w:rsid w:val="007A1D80"/>
    <w:rsid w:val="007A1EB8"/>
    <w:rsid w:val="007A216C"/>
    <w:rsid w:val="007A2990"/>
    <w:rsid w:val="007A299F"/>
    <w:rsid w:val="007A2A62"/>
    <w:rsid w:val="007A2CD0"/>
    <w:rsid w:val="007A2F1D"/>
    <w:rsid w:val="007A3405"/>
    <w:rsid w:val="007A3457"/>
    <w:rsid w:val="007A39D4"/>
    <w:rsid w:val="007A3A04"/>
    <w:rsid w:val="007A3B5A"/>
    <w:rsid w:val="007A42DE"/>
    <w:rsid w:val="007A439C"/>
    <w:rsid w:val="007A45F9"/>
    <w:rsid w:val="007A468B"/>
    <w:rsid w:val="007A49AC"/>
    <w:rsid w:val="007A4A7F"/>
    <w:rsid w:val="007A4D6F"/>
    <w:rsid w:val="007A5021"/>
    <w:rsid w:val="007A505E"/>
    <w:rsid w:val="007A5267"/>
    <w:rsid w:val="007A5377"/>
    <w:rsid w:val="007A5759"/>
    <w:rsid w:val="007A5A02"/>
    <w:rsid w:val="007A5A9D"/>
    <w:rsid w:val="007A5C7F"/>
    <w:rsid w:val="007A5F15"/>
    <w:rsid w:val="007A618C"/>
    <w:rsid w:val="007A627C"/>
    <w:rsid w:val="007A62B6"/>
    <w:rsid w:val="007A63DA"/>
    <w:rsid w:val="007A64DB"/>
    <w:rsid w:val="007A65D4"/>
    <w:rsid w:val="007A6768"/>
    <w:rsid w:val="007A6773"/>
    <w:rsid w:val="007A6BF0"/>
    <w:rsid w:val="007A6DED"/>
    <w:rsid w:val="007A6E03"/>
    <w:rsid w:val="007A6E37"/>
    <w:rsid w:val="007A6FF7"/>
    <w:rsid w:val="007A7306"/>
    <w:rsid w:val="007A7882"/>
    <w:rsid w:val="007A7C27"/>
    <w:rsid w:val="007A7F6A"/>
    <w:rsid w:val="007B009F"/>
    <w:rsid w:val="007B062A"/>
    <w:rsid w:val="007B06FB"/>
    <w:rsid w:val="007B0E7A"/>
    <w:rsid w:val="007B0ED4"/>
    <w:rsid w:val="007B0F7F"/>
    <w:rsid w:val="007B1175"/>
    <w:rsid w:val="007B13EA"/>
    <w:rsid w:val="007B1470"/>
    <w:rsid w:val="007B163C"/>
    <w:rsid w:val="007B17D8"/>
    <w:rsid w:val="007B192B"/>
    <w:rsid w:val="007B19F1"/>
    <w:rsid w:val="007B1BB3"/>
    <w:rsid w:val="007B1E61"/>
    <w:rsid w:val="007B2203"/>
    <w:rsid w:val="007B25BF"/>
    <w:rsid w:val="007B277F"/>
    <w:rsid w:val="007B287D"/>
    <w:rsid w:val="007B2917"/>
    <w:rsid w:val="007B2973"/>
    <w:rsid w:val="007B29A9"/>
    <w:rsid w:val="007B2D08"/>
    <w:rsid w:val="007B3407"/>
    <w:rsid w:val="007B35AC"/>
    <w:rsid w:val="007B3D63"/>
    <w:rsid w:val="007B403D"/>
    <w:rsid w:val="007B404D"/>
    <w:rsid w:val="007B4222"/>
    <w:rsid w:val="007B4449"/>
    <w:rsid w:val="007B4634"/>
    <w:rsid w:val="007B4D41"/>
    <w:rsid w:val="007B4D47"/>
    <w:rsid w:val="007B53DE"/>
    <w:rsid w:val="007B544D"/>
    <w:rsid w:val="007B545E"/>
    <w:rsid w:val="007B56F6"/>
    <w:rsid w:val="007B5754"/>
    <w:rsid w:val="007B589D"/>
    <w:rsid w:val="007B5B29"/>
    <w:rsid w:val="007B5CBB"/>
    <w:rsid w:val="007B600F"/>
    <w:rsid w:val="007B6028"/>
    <w:rsid w:val="007B6616"/>
    <w:rsid w:val="007B6624"/>
    <w:rsid w:val="007B6800"/>
    <w:rsid w:val="007B72E6"/>
    <w:rsid w:val="007B7362"/>
    <w:rsid w:val="007B743C"/>
    <w:rsid w:val="007B7863"/>
    <w:rsid w:val="007B7A2D"/>
    <w:rsid w:val="007B7BC1"/>
    <w:rsid w:val="007B7CD0"/>
    <w:rsid w:val="007B7D3C"/>
    <w:rsid w:val="007C01A4"/>
    <w:rsid w:val="007C05FD"/>
    <w:rsid w:val="007C06A9"/>
    <w:rsid w:val="007C079C"/>
    <w:rsid w:val="007C0812"/>
    <w:rsid w:val="007C0A9B"/>
    <w:rsid w:val="007C0CDC"/>
    <w:rsid w:val="007C135A"/>
    <w:rsid w:val="007C1388"/>
    <w:rsid w:val="007C13F8"/>
    <w:rsid w:val="007C1458"/>
    <w:rsid w:val="007C15A5"/>
    <w:rsid w:val="007C16E6"/>
    <w:rsid w:val="007C174B"/>
    <w:rsid w:val="007C1890"/>
    <w:rsid w:val="007C1A28"/>
    <w:rsid w:val="007C1B84"/>
    <w:rsid w:val="007C1CF5"/>
    <w:rsid w:val="007C1DC2"/>
    <w:rsid w:val="007C227D"/>
    <w:rsid w:val="007C2400"/>
    <w:rsid w:val="007C2549"/>
    <w:rsid w:val="007C2633"/>
    <w:rsid w:val="007C2DF4"/>
    <w:rsid w:val="007C2DFB"/>
    <w:rsid w:val="007C2FAF"/>
    <w:rsid w:val="007C2FBC"/>
    <w:rsid w:val="007C3584"/>
    <w:rsid w:val="007C36A8"/>
    <w:rsid w:val="007C370E"/>
    <w:rsid w:val="007C37AC"/>
    <w:rsid w:val="007C3859"/>
    <w:rsid w:val="007C3FB8"/>
    <w:rsid w:val="007C4072"/>
    <w:rsid w:val="007C41D5"/>
    <w:rsid w:val="007C44F8"/>
    <w:rsid w:val="007C452E"/>
    <w:rsid w:val="007C4A38"/>
    <w:rsid w:val="007C4ADA"/>
    <w:rsid w:val="007C5023"/>
    <w:rsid w:val="007C5055"/>
    <w:rsid w:val="007C5168"/>
    <w:rsid w:val="007C5358"/>
    <w:rsid w:val="007C5528"/>
    <w:rsid w:val="007C5808"/>
    <w:rsid w:val="007C5A04"/>
    <w:rsid w:val="007C5AF2"/>
    <w:rsid w:val="007C5D0B"/>
    <w:rsid w:val="007C60A1"/>
    <w:rsid w:val="007C6476"/>
    <w:rsid w:val="007C6B3F"/>
    <w:rsid w:val="007C6D34"/>
    <w:rsid w:val="007C6E9E"/>
    <w:rsid w:val="007C7002"/>
    <w:rsid w:val="007C731B"/>
    <w:rsid w:val="007C76FB"/>
    <w:rsid w:val="007C77BC"/>
    <w:rsid w:val="007C77F0"/>
    <w:rsid w:val="007C7B3B"/>
    <w:rsid w:val="007C7D13"/>
    <w:rsid w:val="007C7E32"/>
    <w:rsid w:val="007C7ECA"/>
    <w:rsid w:val="007C7FE1"/>
    <w:rsid w:val="007D009E"/>
    <w:rsid w:val="007D00A5"/>
    <w:rsid w:val="007D0195"/>
    <w:rsid w:val="007D0338"/>
    <w:rsid w:val="007D04CB"/>
    <w:rsid w:val="007D0654"/>
    <w:rsid w:val="007D0670"/>
    <w:rsid w:val="007D0AC1"/>
    <w:rsid w:val="007D0B89"/>
    <w:rsid w:val="007D0CEF"/>
    <w:rsid w:val="007D0F27"/>
    <w:rsid w:val="007D0F42"/>
    <w:rsid w:val="007D1596"/>
    <w:rsid w:val="007D1AF7"/>
    <w:rsid w:val="007D1CB9"/>
    <w:rsid w:val="007D227C"/>
    <w:rsid w:val="007D2388"/>
    <w:rsid w:val="007D23B7"/>
    <w:rsid w:val="007D2471"/>
    <w:rsid w:val="007D2A69"/>
    <w:rsid w:val="007D2AA6"/>
    <w:rsid w:val="007D2D8A"/>
    <w:rsid w:val="007D30BB"/>
    <w:rsid w:val="007D3554"/>
    <w:rsid w:val="007D35AC"/>
    <w:rsid w:val="007D36BA"/>
    <w:rsid w:val="007D371C"/>
    <w:rsid w:val="007D3AE4"/>
    <w:rsid w:val="007D3C4E"/>
    <w:rsid w:val="007D3DCF"/>
    <w:rsid w:val="007D3F59"/>
    <w:rsid w:val="007D3FB2"/>
    <w:rsid w:val="007D40AE"/>
    <w:rsid w:val="007D4534"/>
    <w:rsid w:val="007D4579"/>
    <w:rsid w:val="007D4916"/>
    <w:rsid w:val="007D4A68"/>
    <w:rsid w:val="007D4D0C"/>
    <w:rsid w:val="007D511E"/>
    <w:rsid w:val="007D578A"/>
    <w:rsid w:val="007D57CE"/>
    <w:rsid w:val="007D5B36"/>
    <w:rsid w:val="007D5EDD"/>
    <w:rsid w:val="007D5FB3"/>
    <w:rsid w:val="007D608B"/>
    <w:rsid w:val="007D60ED"/>
    <w:rsid w:val="007D64FC"/>
    <w:rsid w:val="007D65FF"/>
    <w:rsid w:val="007D668A"/>
    <w:rsid w:val="007D67AC"/>
    <w:rsid w:val="007D6A2F"/>
    <w:rsid w:val="007D6E18"/>
    <w:rsid w:val="007D6FA9"/>
    <w:rsid w:val="007D736A"/>
    <w:rsid w:val="007D7578"/>
    <w:rsid w:val="007D75FB"/>
    <w:rsid w:val="007D7622"/>
    <w:rsid w:val="007D7685"/>
    <w:rsid w:val="007D784B"/>
    <w:rsid w:val="007D7919"/>
    <w:rsid w:val="007D7A2E"/>
    <w:rsid w:val="007D7B7E"/>
    <w:rsid w:val="007D7FA5"/>
    <w:rsid w:val="007E0070"/>
    <w:rsid w:val="007E04C8"/>
    <w:rsid w:val="007E09EE"/>
    <w:rsid w:val="007E0FCE"/>
    <w:rsid w:val="007E1017"/>
    <w:rsid w:val="007E1024"/>
    <w:rsid w:val="007E14F4"/>
    <w:rsid w:val="007E16E6"/>
    <w:rsid w:val="007E1C15"/>
    <w:rsid w:val="007E1D29"/>
    <w:rsid w:val="007E205C"/>
    <w:rsid w:val="007E233F"/>
    <w:rsid w:val="007E254D"/>
    <w:rsid w:val="007E2716"/>
    <w:rsid w:val="007E2992"/>
    <w:rsid w:val="007E2C69"/>
    <w:rsid w:val="007E2C98"/>
    <w:rsid w:val="007E2CE8"/>
    <w:rsid w:val="007E2F4A"/>
    <w:rsid w:val="007E3124"/>
    <w:rsid w:val="007E33E5"/>
    <w:rsid w:val="007E3600"/>
    <w:rsid w:val="007E3688"/>
    <w:rsid w:val="007E3902"/>
    <w:rsid w:val="007E3ACF"/>
    <w:rsid w:val="007E3D72"/>
    <w:rsid w:val="007E46BE"/>
    <w:rsid w:val="007E46E0"/>
    <w:rsid w:val="007E47D4"/>
    <w:rsid w:val="007E47F5"/>
    <w:rsid w:val="007E4935"/>
    <w:rsid w:val="007E497A"/>
    <w:rsid w:val="007E4F3F"/>
    <w:rsid w:val="007E5151"/>
    <w:rsid w:val="007E5263"/>
    <w:rsid w:val="007E5503"/>
    <w:rsid w:val="007E56BA"/>
    <w:rsid w:val="007E59AA"/>
    <w:rsid w:val="007E5AC7"/>
    <w:rsid w:val="007E5B95"/>
    <w:rsid w:val="007E5EE3"/>
    <w:rsid w:val="007E6811"/>
    <w:rsid w:val="007E6835"/>
    <w:rsid w:val="007E6B56"/>
    <w:rsid w:val="007E6B94"/>
    <w:rsid w:val="007E6C01"/>
    <w:rsid w:val="007E6C71"/>
    <w:rsid w:val="007E6DC8"/>
    <w:rsid w:val="007E6F66"/>
    <w:rsid w:val="007E70EB"/>
    <w:rsid w:val="007E7183"/>
    <w:rsid w:val="007E7260"/>
    <w:rsid w:val="007E7396"/>
    <w:rsid w:val="007E7475"/>
    <w:rsid w:val="007E75CF"/>
    <w:rsid w:val="007E7AFB"/>
    <w:rsid w:val="007E7C41"/>
    <w:rsid w:val="007F01D6"/>
    <w:rsid w:val="007F034E"/>
    <w:rsid w:val="007F0484"/>
    <w:rsid w:val="007F0591"/>
    <w:rsid w:val="007F05BD"/>
    <w:rsid w:val="007F073C"/>
    <w:rsid w:val="007F0864"/>
    <w:rsid w:val="007F0B48"/>
    <w:rsid w:val="007F0D77"/>
    <w:rsid w:val="007F11CF"/>
    <w:rsid w:val="007F1443"/>
    <w:rsid w:val="007F171D"/>
    <w:rsid w:val="007F1872"/>
    <w:rsid w:val="007F18C0"/>
    <w:rsid w:val="007F1F50"/>
    <w:rsid w:val="007F205D"/>
    <w:rsid w:val="007F206E"/>
    <w:rsid w:val="007F2204"/>
    <w:rsid w:val="007F221E"/>
    <w:rsid w:val="007F2388"/>
    <w:rsid w:val="007F27CF"/>
    <w:rsid w:val="007F2964"/>
    <w:rsid w:val="007F2A1A"/>
    <w:rsid w:val="007F2AFE"/>
    <w:rsid w:val="007F2BD0"/>
    <w:rsid w:val="007F30B4"/>
    <w:rsid w:val="007F3139"/>
    <w:rsid w:val="007F3228"/>
    <w:rsid w:val="007F373D"/>
    <w:rsid w:val="007F38C9"/>
    <w:rsid w:val="007F3903"/>
    <w:rsid w:val="007F393F"/>
    <w:rsid w:val="007F403D"/>
    <w:rsid w:val="007F40C6"/>
    <w:rsid w:val="007F42F2"/>
    <w:rsid w:val="007F4328"/>
    <w:rsid w:val="007F4609"/>
    <w:rsid w:val="007F49D8"/>
    <w:rsid w:val="007F4A4A"/>
    <w:rsid w:val="007F4C4D"/>
    <w:rsid w:val="007F4E9E"/>
    <w:rsid w:val="007F4FFD"/>
    <w:rsid w:val="007F5221"/>
    <w:rsid w:val="007F527E"/>
    <w:rsid w:val="007F52A5"/>
    <w:rsid w:val="007F52B5"/>
    <w:rsid w:val="007F536F"/>
    <w:rsid w:val="007F53F9"/>
    <w:rsid w:val="007F55F6"/>
    <w:rsid w:val="007F56F1"/>
    <w:rsid w:val="007F5700"/>
    <w:rsid w:val="007F57BA"/>
    <w:rsid w:val="007F59FB"/>
    <w:rsid w:val="007F5D64"/>
    <w:rsid w:val="007F5F89"/>
    <w:rsid w:val="007F6066"/>
    <w:rsid w:val="007F65E5"/>
    <w:rsid w:val="007F6AA6"/>
    <w:rsid w:val="007F6B08"/>
    <w:rsid w:val="007F6E14"/>
    <w:rsid w:val="007F7199"/>
    <w:rsid w:val="007F76B7"/>
    <w:rsid w:val="007F7829"/>
    <w:rsid w:val="007F7A5E"/>
    <w:rsid w:val="007F7CA5"/>
    <w:rsid w:val="00800210"/>
    <w:rsid w:val="0080021A"/>
    <w:rsid w:val="008008D7"/>
    <w:rsid w:val="00800957"/>
    <w:rsid w:val="008009BC"/>
    <w:rsid w:val="00800C50"/>
    <w:rsid w:val="00800E3D"/>
    <w:rsid w:val="00800F67"/>
    <w:rsid w:val="0080172A"/>
    <w:rsid w:val="00801779"/>
    <w:rsid w:val="008019A9"/>
    <w:rsid w:val="00801A92"/>
    <w:rsid w:val="00801AA5"/>
    <w:rsid w:val="00801BEE"/>
    <w:rsid w:val="00801BFE"/>
    <w:rsid w:val="00801D47"/>
    <w:rsid w:val="00801EAD"/>
    <w:rsid w:val="00801FFC"/>
    <w:rsid w:val="00802363"/>
    <w:rsid w:val="0080246D"/>
    <w:rsid w:val="008024DF"/>
    <w:rsid w:val="008029A6"/>
    <w:rsid w:val="00802AA0"/>
    <w:rsid w:val="00803261"/>
    <w:rsid w:val="00803281"/>
    <w:rsid w:val="00803289"/>
    <w:rsid w:val="0080348A"/>
    <w:rsid w:val="00803729"/>
    <w:rsid w:val="00803785"/>
    <w:rsid w:val="008037AE"/>
    <w:rsid w:val="008039C3"/>
    <w:rsid w:val="00803FD5"/>
    <w:rsid w:val="00804016"/>
    <w:rsid w:val="008043E6"/>
    <w:rsid w:val="008044F8"/>
    <w:rsid w:val="00804506"/>
    <w:rsid w:val="00804756"/>
    <w:rsid w:val="00804C22"/>
    <w:rsid w:val="00804C46"/>
    <w:rsid w:val="00804E0F"/>
    <w:rsid w:val="00804F16"/>
    <w:rsid w:val="00804FB7"/>
    <w:rsid w:val="008050F1"/>
    <w:rsid w:val="00805109"/>
    <w:rsid w:val="00805931"/>
    <w:rsid w:val="0080597A"/>
    <w:rsid w:val="00805DAA"/>
    <w:rsid w:val="00805E71"/>
    <w:rsid w:val="00805E81"/>
    <w:rsid w:val="00805F0C"/>
    <w:rsid w:val="008061C0"/>
    <w:rsid w:val="00806216"/>
    <w:rsid w:val="00806647"/>
    <w:rsid w:val="00806679"/>
    <w:rsid w:val="00806899"/>
    <w:rsid w:val="00806A90"/>
    <w:rsid w:val="00806BDE"/>
    <w:rsid w:val="00806D67"/>
    <w:rsid w:val="00806DAF"/>
    <w:rsid w:val="008074B9"/>
    <w:rsid w:val="00807521"/>
    <w:rsid w:val="008078EB"/>
    <w:rsid w:val="008078EF"/>
    <w:rsid w:val="00807AA7"/>
    <w:rsid w:val="00807C30"/>
    <w:rsid w:val="00807C72"/>
    <w:rsid w:val="00807EFD"/>
    <w:rsid w:val="0081052E"/>
    <w:rsid w:val="00810554"/>
    <w:rsid w:val="008105C6"/>
    <w:rsid w:val="008107CD"/>
    <w:rsid w:val="008108A9"/>
    <w:rsid w:val="008108EA"/>
    <w:rsid w:val="008109ED"/>
    <w:rsid w:val="008111A4"/>
    <w:rsid w:val="008111B8"/>
    <w:rsid w:val="008111F9"/>
    <w:rsid w:val="008112EB"/>
    <w:rsid w:val="0081181A"/>
    <w:rsid w:val="00811A61"/>
    <w:rsid w:val="00811AA6"/>
    <w:rsid w:val="00811BA9"/>
    <w:rsid w:val="00811C77"/>
    <w:rsid w:val="008121EC"/>
    <w:rsid w:val="00812877"/>
    <w:rsid w:val="008128DF"/>
    <w:rsid w:val="00812B80"/>
    <w:rsid w:val="00812F18"/>
    <w:rsid w:val="00812F89"/>
    <w:rsid w:val="00813042"/>
    <w:rsid w:val="008130CA"/>
    <w:rsid w:val="00813181"/>
    <w:rsid w:val="008133EA"/>
    <w:rsid w:val="0081342B"/>
    <w:rsid w:val="00813745"/>
    <w:rsid w:val="00813B57"/>
    <w:rsid w:val="00813BD2"/>
    <w:rsid w:val="00813D7F"/>
    <w:rsid w:val="00813E6D"/>
    <w:rsid w:val="00813F7F"/>
    <w:rsid w:val="008140E6"/>
    <w:rsid w:val="00814462"/>
    <w:rsid w:val="0081452D"/>
    <w:rsid w:val="0081458E"/>
    <w:rsid w:val="008145AA"/>
    <w:rsid w:val="00814A0B"/>
    <w:rsid w:val="00814B61"/>
    <w:rsid w:val="00814D38"/>
    <w:rsid w:val="00814E9C"/>
    <w:rsid w:val="00814F86"/>
    <w:rsid w:val="008150E6"/>
    <w:rsid w:val="0081537B"/>
    <w:rsid w:val="008154E0"/>
    <w:rsid w:val="008156C4"/>
    <w:rsid w:val="00815959"/>
    <w:rsid w:val="00815B7E"/>
    <w:rsid w:val="00815D87"/>
    <w:rsid w:val="00816077"/>
    <w:rsid w:val="008160C5"/>
    <w:rsid w:val="008160D1"/>
    <w:rsid w:val="00816173"/>
    <w:rsid w:val="008164BA"/>
    <w:rsid w:val="008168E8"/>
    <w:rsid w:val="0081695B"/>
    <w:rsid w:val="00816D56"/>
    <w:rsid w:val="00816F25"/>
    <w:rsid w:val="00816F4E"/>
    <w:rsid w:val="0081705F"/>
    <w:rsid w:val="00817371"/>
    <w:rsid w:val="00817501"/>
    <w:rsid w:val="008177DF"/>
    <w:rsid w:val="00817833"/>
    <w:rsid w:val="00817A15"/>
    <w:rsid w:val="00817AC3"/>
    <w:rsid w:val="00817BEB"/>
    <w:rsid w:val="00817BF8"/>
    <w:rsid w:val="00817C38"/>
    <w:rsid w:val="008200EC"/>
    <w:rsid w:val="008201C3"/>
    <w:rsid w:val="008201FB"/>
    <w:rsid w:val="00820735"/>
    <w:rsid w:val="00820AE6"/>
    <w:rsid w:val="00820BC7"/>
    <w:rsid w:val="00820CE6"/>
    <w:rsid w:val="00820E47"/>
    <w:rsid w:val="008211CE"/>
    <w:rsid w:val="00821231"/>
    <w:rsid w:val="008219F6"/>
    <w:rsid w:val="00821A6E"/>
    <w:rsid w:val="00821D23"/>
    <w:rsid w:val="0082296C"/>
    <w:rsid w:val="00822B39"/>
    <w:rsid w:val="00822C9A"/>
    <w:rsid w:val="00822E36"/>
    <w:rsid w:val="00822FC0"/>
    <w:rsid w:val="008233B4"/>
    <w:rsid w:val="0082369F"/>
    <w:rsid w:val="00823844"/>
    <w:rsid w:val="0082389C"/>
    <w:rsid w:val="00823A92"/>
    <w:rsid w:val="00823AC9"/>
    <w:rsid w:val="00823C3C"/>
    <w:rsid w:val="00823D29"/>
    <w:rsid w:val="008241C5"/>
    <w:rsid w:val="00824258"/>
    <w:rsid w:val="00824360"/>
    <w:rsid w:val="008245B9"/>
    <w:rsid w:val="008247A2"/>
    <w:rsid w:val="00824FBB"/>
    <w:rsid w:val="008253B0"/>
    <w:rsid w:val="008253B3"/>
    <w:rsid w:val="008255B7"/>
    <w:rsid w:val="00825755"/>
    <w:rsid w:val="00825857"/>
    <w:rsid w:val="0082591F"/>
    <w:rsid w:val="00825D83"/>
    <w:rsid w:val="00825E7F"/>
    <w:rsid w:val="00826008"/>
    <w:rsid w:val="008260D6"/>
    <w:rsid w:val="00826526"/>
    <w:rsid w:val="00826764"/>
    <w:rsid w:val="00826AD8"/>
    <w:rsid w:val="00826B13"/>
    <w:rsid w:val="00826D6B"/>
    <w:rsid w:val="00826DDD"/>
    <w:rsid w:val="00826FB2"/>
    <w:rsid w:val="008270C5"/>
    <w:rsid w:val="00827191"/>
    <w:rsid w:val="008273D1"/>
    <w:rsid w:val="008275A1"/>
    <w:rsid w:val="008278DB"/>
    <w:rsid w:val="008279AE"/>
    <w:rsid w:val="00827AA3"/>
    <w:rsid w:val="00827AE4"/>
    <w:rsid w:val="00827D35"/>
    <w:rsid w:val="00827EBE"/>
    <w:rsid w:val="00827F3E"/>
    <w:rsid w:val="00830218"/>
    <w:rsid w:val="00830348"/>
    <w:rsid w:val="00830364"/>
    <w:rsid w:val="00830748"/>
    <w:rsid w:val="00830A12"/>
    <w:rsid w:val="00830AEB"/>
    <w:rsid w:val="00830C4A"/>
    <w:rsid w:val="00830CEE"/>
    <w:rsid w:val="00831066"/>
    <w:rsid w:val="0083107B"/>
    <w:rsid w:val="00831219"/>
    <w:rsid w:val="00831238"/>
    <w:rsid w:val="008312EC"/>
    <w:rsid w:val="0083150E"/>
    <w:rsid w:val="008319B8"/>
    <w:rsid w:val="00831B8B"/>
    <w:rsid w:val="00831D2C"/>
    <w:rsid w:val="00831DB8"/>
    <w:rsid w:val="008320BF"/>
    <w:rsid w:val="00832265"/>
    <w:rsid w:val="0083226B"/>
    <w:rsid w:val="00832C0E"/>
    <w:rsid w:val="00832D45"/>
    <w:rsid w:val="00833055"/>
    <w:rsid w:val="008331F7"/>
    <w:rsid w:val="00833250"/>
    <w:rsid w:val="0083336E"/>
    <w:rsid w:val="00833474"/>
    <w:rsid w:val="00833969"/>
    <w:rsid w:val="00833B19"/>
    <w:rsid w:val="00833BA0"/>
    <w:rsid w:val="00833C6C"/>
    <w:rsid w:val="00833EB5"/>
    <w:rsid w:val="00833EDC"/>
    <w:rsid w:val="00834158"/>
    <w:rsid w:val="00834273"/>
    <w:rsid w:val="008342D0"/>
    <w:rsid w:val="008346BF"/>
    <w:rsid w:val="00834775"/>
    <w:rsid w:val="00834A03"/>
    <w:rsid w:val="00834AC5"/>
    <w:rsid w:val="00834BB7"/>
    <w:rsid w:val="00834E21"/>
    <w:rsid w:val="008353FB"/>
    <w:rsid w:val="008359E7"/>
    <w:rsid w:val="00835C0F"/>
    <w:rsid w:val="00835E0F"/>
    <w:rsid w:val="00835E9E"/>
    <w:rsid w:val="008360A6"/>
    <w:rsid w:val="008364F3"/>
    <w:rsid w:val="008366FD"/>
    <w:rsid w:val="008367A3"/>
    <w:rsid w:val="008367D6"/>
    <w:rsid w:val="00837B14"/>
    <w:rsid w:val="00837D08"/>
    <w:rsid w:val="00840196"/>
    <w:rsid w:val="00840380"/>
    <w:rsid w:val="008404CE"/>
    <w:rsid w:val="008406A3"/>
    <w:rsid w:val="00840C30"/>
    <w:rsid w:val="00840DD1"/>
    <w:rsid w:val="00840F6B"/>
    <w:rsid w:val="00840F6D"/>
    <w:rsid w:val="00841068"/>
    <w:rsid w:val="0084152A"/>
    <w:rsid w:val="00841732"/>
    <w:rsid w:val="00841CFD"/>
    <w:rsid w:val="008420FA"/>
    <w:rsid w:val="0084230F"/>
    <w:rsid w:val="008424AC"/>
    <w:rsid w:val="008429C0"/>
    <w:rsid w:val="00842FCC"/>
    <w:rsid w:val="00843334"/>
    <w:rsid w:val="008433D8"/>
    <w:rsid w:val="00843534"/>
    <w:rsid w:val="008435C5"/>
    <w:rsid w:val="0084389D"/>
    <w:rsid w:val="00843989"/>
    <w:rsid w:val="00843A2C"/>
    <w:rsid w:val="00843B63"/>
    <w:rsid w:val="00843D5B"/>
    <w:rsid w:val="0084404C"/>
    <w:rsid w:val="0084440C"/>
    <w:rsid w:val="008444A4"/>
    <w:rsid w:val="008450F8"/>
    <w:rsid w:val="008451C8"/>
    <w:rsid w:val="0084523B"/>
    <w:rsid w:val="00845D68"/>
    <w:rsid w:val="00845F27"/>
    <w:rsid w:val="00845FB9"/>
    <w:rsid w:val="0084602C"/>
    <w:rsid w:val="00846031"/>
    <w:rsid w:val="0084604E"/>
    <w:rsid w:val="008461F6"/>
    <w:rsid w:val="008463A6"/>
    <w:rsid w:val="00846692"/>
    <w:rsid w:val="008469BD"/>
    <w:rsid w:val="00846B5A"/>
    <w:rsid w:val="00846B5B"/>
    <w:rsid w:val="00846DED"/>
    <w:rsid w:val="00846F75"/>
    <w:rsid w:val="008472B1"/>
    <w:rsid w:val="00847454"/>
    <w:rsid w:val="00847647"/>
    <w:rsid w:val="00847B67"/>
    <w:rsid w:val="00847F62"/>
    <w:rsid w:val="008504D2"/>
    <w:rsid w:val="00850593"/>
    <w:rsid w:val="0085059B"/>
    <w:rsid w:val="00850722"/>
    <w:rsid w:val="00850844"/>
    <w:rsid w:val="0085084D"/>
    <w:rsid w:val="008508E2"/>
    <w:rsid w:val="00850D8A"/>
    <w:rsid w:val="00850DA3"/>
    <w:rsid w:val="008513AB"/>
    <w:rsid w:val="0085151B"/>
    <w:rsid w:val="00851568"/>
    <w:rsid w:val="008516C5"/>
    <w:rsid w:val="00851820"/>
    <w:rsid w:val="0085241F"/>
    <w:rsid w:val="00852450"/>
    <w:rsid w:val="0085262B"/>
    <w:rsid w:val="008527A1"/>
    <w:rsid w:val="00852897"/>
    <w:rsid w:val="00852A42"/>
    <w:rsid w:val="00852ADA"/>
    <w:rsid w:val="00852BAE"/>
    <w:rsid w:val="00852D44"/>
    <w:rsid w:val="00852DCD"/>
    <w:rsid w:val="00852E92"/>
    <w:rsid w:val="00853D43"/>
    <w:rsid w:val="008545A2"/>
    <w:rsid w:val="008546C9"/>
    <w:rsid w:val="00854A53"/>
    <w:rsid w:val="00854B6B"/>
    <w:rsid w:val="00854EFA"/>
    <w:rsid w:val="00855003"/>
    <w:rsid w:val="00855125"/>
    <w:rsid w:val="0085531A"/>
    <w:rsid w:val="00855387"/>
    <w:rsid w:val="00855460"/>
    <w:rsid w:val="00855901"/>
    <w:rsid w:val="00855A27"/>
    <w:rsid w:val="00855A2D"/>
    <w:rsid w:val="00855D66"/>
    <w:rsid w:val="00855EAA"/>
    <w:rsid w:val="00855FE4"/>
    <w:rsid w:val="0085601E"/>
    <w:rsid w:val="0085603F"/>
    <w:rsid w:val="00856268"/>
    <w:rsid w:val="008563AF"/>
    <w:rsid w:val="008564D5"/>
    <w:rsid w:val="00856595"/>
    <w:rsid w:val="00856854"/>
    <w:rsid w:val="0085695E"/>
    <w:rsid w:val="00856CC8"/>
    <w:rsid w:val="00856F15"/>
    <w:rsid w:val="00856F48"/>
    <w:rsid w:val="00856F73"/>
    <w:rsid w:val="00856FAE"/>
    <w:rsid w:val="0085712F"/>
    <w:rsid w:val="008572C6"/>
    <w:rsid w:val="008573BF"/>
    <w:rsid w:val="00857A01"/>
    <w:rsid w:val="00857A5D"/>
    <w:rsid w:val="00857F5F"/>
    <w:rsid w:val="00860166"/>
    <w:rsid w:val="008601BB"/>
    <w:rsid w:val="00860601"/>
    <w:rsid w:val="008608B4"/>
    <w:rsid w:val="00860994"/>
    <w:rsid w:val="00860C86"/>
    <w:rsid w:val="00861127"/>
    <w:rsid w:val="00861288"/>
    <w:rsid w:val="00861466"/>
    <w:rsid w:val="0086167D"/>
    <w:rsid w:val="00861A9B"/>
    <w:rsid w:val="008620A1"/>
    <w:rsid w:val="00862239"/>
    <w:rsid w:val="008622EF"/>
    <w:rsid w:val="00862641"/>
    <w:rsid w:val="00862823"/>
    <w:rsid w:val="00862983"/>
    <w:rsid w:val="00862A71"/>
    <w:rsid w:val="00863033"/>
    <w:rsid w:val="00863114"/>
    <w:rsid w:val="00863282"/>
    <w:rsid w:val="00863854"/>
    <w:rsid w:val="00863AB6"/>
    <w:rsid w:val="00863D07"/>
    <w:rsid w:val="00863E09"/>
    <w:rsid w:val="00864268"/>
    <w:rsid w:val="00864443"/>
    <w:rsid w:val="00864527"/>
    <w:rsid w:val="008646AD"/>
    <w:rsid w:val="00864CA3"/>
    <w:rsid w:val="0086506D"/>
    <w:rsid w:val="00865112"/>
    <w:rsid w:val="00865337"/>
    <w:rsid w:val="00865390"/>
    <w:rsid w:val="008659EE"/>
    <w:rsid w:val="00865BFB"/>
    <w:rsid w:val="0086608B"/>
    <w:rsid w:val="0086673C"/>
    <w:rsid w:val="00866756"/>
    <w:rsid w:val="00867154"/>
    <w:rsid w:val="00867155"/>
    <w:rsid w:val="0086722F"/>
    <w:rsid w:val="00867241"/>
    <w:rsid w:val="00867573"/>
    <w:rsid w:val="00867728"/>
    <w:rsid w:val="0086777A"/>
    <w:rsid w:val="00867B4C"/>
    <w:rsid w:val="00867D7E"/>
    <w:rsid w:val="00867E62"/>
    <w:rsid w:val="00867EAD"/>
    <w:rsid w:val="00867FC3"/>
    <w:rsid w:val="008700C2"/>
    <w:rsid w:val="00870229"/>
    <w:rsid w:val="0087064E"/>
    <w:rsid w:val="008708B0"/>
    <w:rsid w:val="00870AA3"/>
    <w:rsid w:val="00870F40"/>
    <w:rsid w:val="00870FD5"/>
    <w:rsid w:val="00871143"/>
    <w:rsid w:val="008711D1"/>
    <w:rsid w:val="00871280"/>
    <w:rsid w:val="008713B3"/>
    <w:rsid w:val="00871AE9"/>
    <w:rsid w:val="00871F39"/>
    <w:rsid w:val="008720BF"/>
    <w:rsid w:val="008724C9"/>
    <w:rsid w:val="008724EB"/>
    <w:rsid w:val="0087256B"/>
    <w:rsid w:val="00872A6F"/>
    <w:rsid w:val="00872AF5"/>
    <w:rsid w:val="00872B9E"/>
    <w:rsid w:val="00872F93"/>
    <w:rsid w:val="008732C2"/>
    <w:rsid w:val="00873352"/>
    <w:rsid w:val="008733A1"/>
    <w:rsid w:val="0087359F"/>
    <w:rsid w:val="008737F4"/>
    <w:rsid w:val="00873860"/>
    <w:rsid w:val="00873992"/>
    <w:rsid w:val="00873B5B"/>
    <w:rsid w:val="00873D4F"/>
    <w:rsid w:val="00873E4A"/>
    <w:rsid w:val="00873EF9"/>
    <w:rsid w:val="00873FCE"/>
    <w:rsid w:val="008743E4"/>
    <w:rsid w:val="0087452C"/>
    <w:rsid w:val="00874541"/>
    <w:rsid w:val="00874677"/>
    <w:rsid w:val="0087469E"/>
    <w:rsid w:val="00874875"/>
    <w:rsid w:val="00874E7F"/>
    <w:rsid w:val="00874EA0"/>
    <w:rsid w:val="008750FE"/>
    <w:rsid w:val="00875158"/>
    <w:rsid w:val="008751C6"/>
    <w:rsid w:val="008752B6"/>
    <w:rsid w:val="008754B3"/>
    <w:rsid w:val="008757D8"/>
    <w:rsid w:val="00875B7B"/>
    <w:rsid w:val="00875DFF"/>
    <w:rsid w:val="00876049"/>
    <w:rsid w:val="008765CD"/>
    <w:rsid w:val="008765F7"/>
    <w:rsid w:val="0087667B"/>
    <w:rsid w:val="00876745"/>
    <w:rsid w:val="008767B0"/>
    <w:rsid w:val="00876837"/>
    <w:rsid w:val="0087683E"/>
    <w:rsid w:val="00876B28"/>
    <w:rsid w:val="00876C5C"/>
    <w:rsid w:val="00876CC3"/>
    <w:rsid w:val="00876F71"/>
    <w:rsid w:val="0087732E"/>
    <w:rsid w:val="00877572"/>
    <w:rsid w:val="00877DCD"/>
    <w:rsid w:val="0088001D"/>
    <w:rsid w:val="008800F2"/>
    <w:rsid w:val="008801CD"/>
    <w:rsid w:val="008801E5"/>
    <w:rsid w:val="00880543"/>
    <w:rsid w:val="00880775"/>
    <w:rsid w:val="0088078B"/>
    <w:rsid w:val="00880A78"/>
    <w:rsid w:val="00880A97"/>
    <w:rsid w:val="00880DC2"/>
    <w:rsid w:val="00880F85"/>
    <w:rsid w:val="00881078"/>
    <w:rsid w:val="008810CA"/>
    <w:rsid w:val="00881254"/>
    <w:rsid w:val="008814AD"/>
    <w:rsid w:val="0088159C"/>
    <w:rsid w:val="008815A2"/>
    <w:rsid w:val="008817AC"/>
    <w:rsid w:val="008818D0"/>
    <w:rsid w:val="00881A82"/>
    <w:rsid w:val="00881C04"/>
    <w:rsid w:val="00881C4C"/>
    <w:rsid w:val="00882269"/>
    <w:rsid w:val="0088242F"/>
    <w:rsid w:val="0088256F"/>
    <w:rsid w:val="00882783"/>
    <w:rsid w:val="00882884"/>
    <w:rsid w:val="00882918"/>
    <w:rsid w:val="00882C1D"/>
    <w:rsid w:val="00883137"/>
    <w:rsid w:val="008832E7"/>
    <w:rsid w:val="00883496"/>
    <w:rsid w:val="00883910"/>
    <w:rsid w:val="00883BF7"/>
    <w:rsid w:val="00883FF1"/>
    <w:rsid w:val="00884180"/>
    <w:rsid w:val="008841AC"/>
    <w:rsid w:val="008841CC"/>
    <w:rsid w:val="008843AA"/>
    <w:rsid w:val="008844F7"/>
    <w:rsid w:val="00884543"/>
    <w:rsid w:val="008845D2"/>
    <w:rsid w:val="00884936"/>
    <w:rsid w:val="008849D4"/>
    <w:rsid w:val="00884A14"/>
    <w:rsid w:val="00884A70"/>
    <w:rsid w:val="00884C3E"/>
    <w:rsid w:val="00884C67"/>
    <w:rsid w:val="00884F6B"/>
    <w:rsid w:val="008850D4"/>
    <w:rsid w:val="0088553C"/>
    <w:rsid w:val="008856BC"/>
    <w:rsid w:val="00885C65"/>
    <w:rsid w:val="00885FBD"/>
    <w:rsid w:val="0088600E"/>
    <w:rsid w:val="00886226"/>
    <w:rsid w:val="00886397"/>
    <w:rsid w:val="00886600"/>
    <w:rsid w:val="00886640"/>
    <w:rsid w:val="008866E4"/>
    <w:rsid w:val="00886FDE"/>
    <w:rsid w:val="008870BE"/>
    <w:rsid w:val="0088772D"/>
    <w:rsid w:val="0088797C"/>
    <w:rsid w:val="00887A70"/>
    <w:rsid w:val="00887CAB"/>
    <w:rsid w:val="00887E48"/>
    <w:rsid w:val="0089006F"/>
    <w:rsid w:val="008900D9"/>
    <w:rsid w:val="00890245"/>
    <w:rsid w:val="0089059C"/>
    <w:rsid w:val="00890B36"/>
    <w:rsid w:val="0089105B"/>
    <w:rsid w:val="0089109B"/>
    <w:rsid w:val="00891130"/>
    <w:rsid w:val="008913EE"/>
    <w:rsid w:val="00891520"/>
    <w:rsid w:val="008917F3"/>
    <w:rsid w:val="00891B7B"/>
    <w:rsid w:val="00891D01"/>
    <w:rsid w:val="00891D65"/>
    <w:rsid w:val="00891EEF"/>
    <w:rsid w:val="008921AB"/>
    <w:rsid w:val="008921BB"/>
    <w:rsid w:val="00892601"/>
    <w:rsid w:val="00892627"/>
    <w:rsid w:val="00892752"/>
    <w:rsid w:val="00892A7F"/>
    <w:rsid w:val="00892F81"/>
    <w:rsid w:val="0089303D"/>
    <w:rsid w:val="008930BE"/>
    <w:rsid w:val="008937BC"/>
    <w:rsid w:val="0089381D"/>
    <w:rsid w:val="00893A12"/>
    <w:rsid w:val="00893B71"/>
    <w:rsid w:val="00893EDE"/>
    <w:rsid w:val="00894168"/>
    <w:rsid w:val="008943C8"/>
    <w:rsid w:val="008946CC"/>
    <w:rsid w:val="0089470A"/>
    <w:rsid w:val="00894759"/>
    <w:rsid w:val="008947E6"/>
    <w:rsid w:val="00894BF9"/>
    <w:rsid w:val="00894D13"/>
    <w:rsid w:val="0089510E"/>
    <w:rsid w:val="0089572E"/>
    <w:rsid w:val="00895765"/>
    <w:rsid w:val="008959D3"/>
    <w:rsid w:val="00895AE2"/>
    <w:rsid w:val="00895D7C"/>
    <w:rsid w:val="00895D88"/>
    <w:rsid w:val="00895E77"/>
    <w:rsid w:val="00895EB7"/>
    <w:rsid w:val="00895F3F"/>
    <w:rsid w:val="00895F86"/>
    <w:rsid w:val="00896163"/>
    <w:rsid w:val="00896423"/>
    <w:rsid w:val="008966F4"/>
    <w:rsid w:val="00896840"/>
    <w:rsid w:val="00896A79"/>
    <w:rsid w:val="00896FCB"/>
    <w:rsid w:val="00897049"/>
    <w:rsid w:val="00897095"/>
    <w:rsid w:val="0089747E"/>
    <w:rsid w:val="0089760A"/>
    <w:rsid w:val="0089761D"/>
    <w:rsid w:val="008977D0"/>
    <w:rsid w:val="00897B3F"/>
    <w:rsid w:val="00897D0E"/>
    <w:rsid w:val="00897D93"/>
    <w:rsid w:val="00897E2D"/>
    <w:rsid w:val="008A02AE"/>
    <w:rsid w:val="008A0341"/>
    <w:rsid w:val="008A06AC"/>
    <w:rsid w:val="008A0729"/>
    <w:rsid w:val="008A0A21"/>
    <w:rsid w:val="008A0F06"/>
    <w:rsid w:val="008A0F75"/>
    <w:rsid w:val="008A1365"/>
    <w:rsid w:val="008A163B"/>
    <w:rsid w:val="008A195D"/>
    <w:rsid w:val="008A1CDF"/>
    <w:rsid w:val="008A1E25"/>
    <w:rsid w:val="008A207C"/>
    <w:rsid w:val="008A232B"/>
    <w:rsid w:val="008A2349"/>
    <w:rsid w:val="008A2488"/>
    <w:rsid w:val="008A2528"/>
    <w:rsid w:val="008A28BA"/>
    <w:rsid w:val="008A2912"/>
    <w:rsid w:val="008A296D"/>
    <w:rsid w:val="008A2A6C"/>
    <w:rsid w:val="008A2BF2"/>
    <w:rsid w:val="008A2CC8"/>
    <w:rsid w:val="008A2D2B"/>
    <w:rsid w:val="008A2E8B"/>
    <w:rsid w:val="008A2E93"/>
    <w:rsid w:val="008A30F6"/>
    <w:rsid w:val="008A323F"/>
    <w:rsid w:val="008A37A4"/>
    <w:rsid w:val="008A37E4"/>
    <w:rsid w:val="008A37F3"/>
    <w:rsid w:val="008A382D"/>
    <w:rsid w:val="008A390F"/>
    <w:rsid w:val="008A3C50"/>
    <w:rsid w:val="008A3D9F"/>
    <w:rsid w:val="008A40E4"/>
    <w:rsid w:val="008A445C"/>
    <w:rsid w:val="008A4469"/>
    <w:rsid w:val="008A4599"/>
    <w:rsid w:val="008A48E6"/>
    <w:rsid w:val="008A4B66"/>
    <w:rsid w:val="008A4D8B"/>
    <w:rsid w:val="008A554A"/>
    <w:rsid w:val="008A56A1"/>
    <w:rsid w:val="008A583E"/>
    <w:rsid w:val="008A60FB"/>
    <w:rsid w:val="008A67A6"/>
    <w:rsid w:val="008A682E"/>
    <w:rsid w:val="008A695F"/>
    <w:rsid w:val="008A6AF6"/>
    <w:rsid w:val="008A6C0B"/>
    <w:rsid w:val="008A6E58"/>
    <w:rsid w:val="008A7512"/>
    <w:rsid w:val="008A752C"/>
    <w:rsid w:val="008A770C"/>
    <w:rsid w:val="008A7735"/>
    <w:rsid w:val="008A7D4C"/>
    <w:rsid w:val="008A7DB0"/>
    <w:rsid w:val="008A7E06"/>
    <w:rsid w:val="008B026A"/>
    <w:rsid w:val="008B02B8"/>
    <w:rsid w:val="008B0444"/>
    <w:rsid w:val="008B083D"/>
    <w:rsid w:val="008B0A8A"/>
    <w:rsid w:val="008B0CD5"/>
    <w:rsid w:val="008B0DD7"/>
    <w:rsid w:val="008B0F99"/>
    <w:rsid w:val="008B0F9A"/>
    <w:rsid w:val="008B1341"/>
    <w:rsid w:val="008B1709"/>
    <w:rsid w:val="008B18BC"/>
    <w:rsid w:val="008B1912"/>
    <w:rsid w:val="008B1A98"/>
    <w:rsid w:val="008B1C01"/>
    <w:rsid w:val="008B2163"/>
    <w:rsid w:val="008B232E"/>
    <w:rsid w:val="008B282B"/>
    <w:rsid w:val="008B29F6"/>
    <w:rsid w:val="008B2A66"/>
    <w:rsid w:val="008B2CCB"/>
    <w:rsid w:val="008B2D88"/>
    <w:rsid w:val="008B2DF2"/>
    <w:rsid w:val="008B30F9"/>
    <w:rsid w:val="008B31E4"/>
    <w:rsid w:val="008B328B"/>
    <w:rsid w:val="008B339D"/>
    <w:rsid w:val="008B345B"/>
    <w:rsid w:val="008B381D"/>
    <w:rsid w:val="008B38AB"/>
    <w:rsid w:val="008B3919"/>
    <w:rsid w:val="008B396E"/>
    <w:rsid w:val="008B3A69"/>
    <w:rsid w:val="008B3AF5"/>
    <w:rsid w:val="008B4624"/>
    <w:rsid w:val="008B4863"/>
    <w:rsid w:val="008B510F"/>
    <w:rsid w:val="008B5173"/>
    <w:rsid w:val="008B53C6"/>
    <w:rsid w:val="008B590B"/>
    <w:rsid w:val="008B5A81"/>
    <w:rsid w:val="008B5C20"/>
    <w:rsid w:val="008B5E01"/>
    <w:rsid w:val="008B6010"/>
    <w:rsid w:val="008B6047"/>
    <w:rsid w:val="008B64E1"/>
    <w:rsid w:val="008B695E"/>
    <w:rsid w:val="008B6BF1"/>
    <w:rsid w:val="008B6EFB"/>
    <w:rsid w:val="008B73FF"/>
    <w:rsid w:val="008B764E"/>
    <w:rsid w:val="008B7802"/>
    <w:rsid w:val="008B7A2B"/>
    <w:rsid w:val="008B7AE8"/>
    <w:rsid w:val="008B7CFC"/>
    <w:rsid w:val="008B7D2B"/>
    <w:rsid w:val="008B7D8A"/>
    <w:rsid w:val="008B7EC5"/>
    <w:rsid w:val="008C035F"/>
    <w:rsid w:val="008C0414"/>
    <w:rsid w:val="008C0514"/>
    <w:rsid w:val="008C067A"/>
    <w:rsid w:val="008C0923"/>
    <w:rsid w:val="008C0ACF"/>
    <w:rsid w:val="008C1723"/>
    <w:rsid w:val="008C18AA"/>
    <w:rsid w:val="008C198A"/>
    <w:rsid w:val="008C1C11"/>
    <w:rsid w:val="008C1CEB"/>
    <w:rsid w:val="008C1D21"/>
    <w:rsid w:val="008C1DF0"/>
    <w:rsid w:val="008C1E91"/>
    <w:rsid w:val="008C1EA1"/>
    <w:rsid w:val="008C1EE8"/>
    <w:rsid w:val="008C1FC3"/>
    <w:rsid w:val="008C200A"/>
    <w:rsid w:val="008C2048"/>
    <w:rsid w:val="008C25BD"/>
    <w:rsid w:val="008C2633"/>
    <w:rsid w:val="008C270F"/>
    <w:rsid w:val="008C2ADF"/>
    <w:rsid w:val="008C2BC2"/>
    <w:rsid w:val="008C2C2F"/>
    <w:rsid w:val="008C2CAC"/>
    <w:rsid w:val="008C2FBB"/>
    <w:rsid w:val="008C3009"/>
    <w:rsid w:val="008C340C"/>
    <w:rsid w:val="008C3504"/>
    <w:rsid w:val="008C3871"/>
    <w:rsid w:val="008C3DFB"/>
    <w:rsid w:val="008C40D1"/>
    <w:rsid w:val="008C4307"/>
    <w:rsid w:val="008C4635"/>
    <w:rsid w:val="008C4E22"/>
    <w:rsid w:val="008C4EA6"/>
    <w:rsid w:val="008C5039"/>
    <w:rsid w:val="008C5357"/>
    <w:rsid w:val="008C5A6E"/>
    <w:rsid w:val="008C5B34"/>
    <w:rsid w:val="008C5FFB"/>
    <w:rsid w:val="008C6019"/>
    <w:rsid w:val="008C607A"/>
    <w:rsid w:val="008C6092"/>
    <w:rsid w:val="008C6D54"/>
    <w:rsid w:val="008C6EAA"/>
    <w:rsid w:val="008C6FD5"/>
    <w:rsid w:val="008C75E2"/>
    <w:rsid w:val="008C7D13"/>
    <w:rsid w:val="008D0008"/>
    <w:rsid w:val="008D0201"/>
    <w:rsid w:val="008D028E"/>
    <w:rsid w:val="008D030A"/>
    <w:rsid w:val="008D05DB"/>
    <w:rsid w:val="008D0953"/>
    <w:rsid w:val="008D0CE3"/>
    <w:rsid w:val="008D0FBB"/>
    <w:rsid w:val="008D1078"/>
    <w:rsid w:val="008D10B2"/>
    <w:rsid w:val="008D118F"/>
    <w:rsid w:val="008D1494"/>
    <w:rsid w:val="008D15B8"/>
    <w:rsid w:val="008D1616"/>
    <w:rsid w:val="008D170D"/>
    <w:rsid w:val="008D18E9"/>
    <w:rsid w:val="008D1A6F"/>
    <w:rsid w:val="008D1BB5"/>
    <w:rsid w:val="008D1CA6"/>
    <w:rsid w:val="008D20AE"/>
    <w:rsid w:val="008D21A2"/>
    <w:rsid w:val="008D2944"/>
    <w:rsid w:val="008D294A"/>
    <w:rsid w:val="008D2ECE"/>
    <w:rsid w:val="008D32CD"/>
    <w:rsid w:val="008D348F"/>
    <w:rsid w:val="008D34F0"/>
    <w:rsid w:val="008D36A3"/>
    <w:rsid w:val="008D3879"/>
    <w:rsid w:val="008D3939"/>
    <w:rsid w:val="008D3D49"/>
    <w:rsid w:val="008D3D96"/>
    <w:rsid w:val="008D3E45"/>
    <w:rsid w:val="008D4476"/>
    <w:rsid w:val="008D4494"/>
    <w:rsid w:val="008D46A0"/>
    <w:rsid w:val="008D485D"/>
    <w:rsid w:val="008D4924"/>
    <w:rsid w:val="008D4B79"/>
    <w:rsid w:val="008D4CAA"/>
    <w:rsid w:val="008D56E7"/>
    <w:rsid w:val="008D5BFF"/>
    <w:rsid w:val="008D5DD1"/>
    <w:rsid w:val="008D6A23"/>
    <w:rsid w:val="008D6A56"/>
    <w:rsid w:val="008D6B68"/>
    <w:rsid w:val="008D6B85"/>
    <w:rsid w:val="008D6C9D"/>
    <w:rsid w:val="008D70C6"/>
    <w:rsid w:val="008D7108"/>
    <w:rsid w:val="008D71A6"/>
    <w:rsid w:val="008D74E2"/>
    <w:rsid w:val="008D7654"/>
    <w:rsid w:val="008D78EA"/>
    <w:rsid w:val="008D7AB6"/>
    <w:rsid w:val="008D7AE0"/>
    <w:rsid w:val="008D7C21"/>
    <w:rsid w:val="008D7E9A"/>
    <w:rsid w:val="008E01BA"/>
    <w:rsid w:val="008E0258"/>
    <w:rsid w:val="008E0581"/>
    <w:rsid w:val="008E0955"/>
    <w:rsid w:val="008E0A73"/>
    <w:rsid w:val="008E0B55"/>
    <w:rsid w:val="008E0D0F"/>
    <w:rsid w:val="008E109F"/>
    <w:rsid w:val="008E12C2"/>
    <w:rsid w:val="008E13F7"/>
    <w:rsid w:val="008E140D"/>
    <w:rsid w:val="008E1691"/>
    <w:rsid w:val="008E19ED"/>
    <w:rsid w:val="008E1ACB"/>
    <w:rsid w:val="008E1D7A"/>
    <w:rsid w:val="008E1FF8"/>
    <w:rsid w:val="008E203C"/>
    <w:rsid w:val="008E2042"/>
    <w:rsid w:val="008E2119"/>
    <w:rsid w:val="008E21E1"/>
    <w:rsid w:val="008E2549"/>
    <w:rsid w:val="008E25F7"/>
    <w:rsid w:val="008E26E5"/>
    <w:rsid w:val="008E27DB"/>
    <w:rsid w:val="008E294D"/>
    <w:rsid w:val="008E2B31"/>
    <w:rsid w:val="008E2CF2"/>
    <w:rsid w:val="008E2D34"/>
    <w:rsid w:val="008E2E93"/>
    <w:rsid w:val="008E2F32"/>
    <w:rsid w:val="008E34D9"/>
    <w:rsid w:val="008E36DF"/>
    <w:rsid w:val="008E36FA"/>
    <w:rsid w:val="008E38CC"/>
    <w:rsid w:val="008E38D9"/>
    <w:rsid w:val="008E3E65"/>
    <w:rsid w:val="008E406A"/>
    <w:rsid w:val="008E4110"/>
    <w:rsid w:val="008E413A"/>
    <w:rsid w:val="008E42B2"/>
    <w:rsid w:val="008E4892"/>
    <w:rsid w:val="008E4A37"/>
    <w:rsid w:val="008E4F2E"/>
    <w:rsid w:val="008E4F95"/>
    <w:rsid w:val="008E5298"/>
    <w:rsid w:val="008E5550"/>
    <w:rsid w:val="008E55E6"/>
    <w:rsid w:val="008E5612"/>
    <w:rsid w:val="008E56AA"/>
    <w:rsid w:val="008E570A"/>
    <w:rsid w:val="008E5A61"/>
    <w:rsid w:val="008E5AC9"/>
    <w:rsid w:val="008E5BEC"/>
    <w:rsid w:val="008E5C35"/>
    <w:rsid w:val="008E5CD6"/>
    <w:rsid w:val="008E6017"/>
    <w:rsid w:val="008E626C"/>
    <w:rsid w:val="008E65DA"/>
    <w:rsid w:val="008E6670"/>
    <w:rsid w:val="008E66FB"/>
    <w:rsid w:val="008E6E5C"/>
    <w:rsid w:val="008E6EB0"/>
    <w:rsid w:val="008E6F3D"/>
    <w:rsid w:val="008E6FB2"/>
    <w:rsid w:val="008E71E4"/>
    <w:rsid w:val="008E74FE"/>
    <w:rsid w:val="008E7629"/>
    <w:rsid w:val="008E772B"/>
    <w:rsid w:val="008E7827"/>
    <w:rsid w:val="008E791B"/>
    <w:rsid w:val="008E79C4"/>
    <w:rsid w:val="008E7CAB"/>
    <w:rsid w:val="008E7D03"/>
    <w:rsid w:val="008E7FBF"/>
    <w:rsid w:val="008F0197"/>
    <w:rsid w:val="008F02F8"/>
    <w:rsid w:val="008F03DC"/>
    <w:rsid w:val="008F0507"/>
    <w:rsid w:val="008F0751"/>
    <w:rsid w:val="008F08A6"/>
    <w:rsid w:val="008F0988"/>
    <w:rsid w:val="008F09E9"/>
    <w:rsid w:val="008F0B34"/>
    <w:rsid w:val="008F0C98"/>
    <w:rsid w:val="008F110F"/>
    <w:rsid w:val="008F11BA"/>
    <w:rsid w:val="008F14A6"/>
    <w:rsid w:val="008F17A4"/>
    <w:rsid w:val="008F180A"/>
    <w:rsid w:val="008F1DEF"/>
    <w:rsid w:val="008F20F0"/>
    <w:rsid w:val="008F236F"/>
    <w:rsid w:val="008F23BB"/>
    <w:rsid w:val="008F2581"/>
    <w:rsid w:val="008F25DF"/>
    <w:rsid w:val="008F2642"/>
    <w:rsid w:val="008F29A1"/>
    <w:rsid w:val="008F2A62"/>
    <w:rsid w:val="008F2A9A"/>
    <w:rsid w:val="008F2FE8"/>
    <w:rsid w:val="008F32EC"/>
    <w:rsid w:val="008F3461"/>
    <w:rsid w:val="008F36B0"/>
    <w:rsid w:val="008F37F3"/>
    <w:rsid w:val="008F3CFE"/>
    <w:rsid w:val="008F3D08"/>
    <w:rsid w:val="008F3E3D"/>
    <w:rsid w:val="008F3ECF"/>
    <w:rsid w:val="008F45D0"/>
    <w:rsid w:val="008F4C00"/>
    <w:rsid w:val="008F4C67"/>
    <w:rsid w:val="008F4D7D"/>
    <w:rsid w:val="008F4FA7"/>
    <w:rsid w:val="008F54B0"/>
    <w:rsid w:val="008F55E3"/>
    <w:rsid w:val="008F589D"/>
    <w:rsid w:val="008F5A49"/>
    <w:rsid w:val="008F62B3"/>
    <w:rsid w:val="008F63DE"/>
    <w:rsid w:val="008F65DD"/>
    <w:rsid w:val="008F6732"/>
    <w:rsid w:val="008F6843"/>
    <w:rsid w:val="008F687A"/>
    <w:rsid w:val="008F6A18"/>
    <w:rsid w:val="008F6BA6"/>
    <w:rsid w:val="008F7218"/>
    <w:rsid w:val="008F74FF"/>
    <w:rsid w:val="008F7549"/>
    <w:rsid w:val="008F75C7"/>
    <w:rsid w:val="008F76D5"/>
    <w:rsid w:val="008F7A7D"/>
    <w:rsid w:val="008F7CF8"/>
    <w:rsid w:val="008F7E59"/>
    <w:rsid w:val="00900175"/>
    <w:rsid w:val="00900262"/>
    <w:rsid w:val="00900360"/>
    <w:rsid w:val="00900F01"/>
    <w:rsid w:val="00901062"/>
    <w:rsid w:val="0090111B"/>
    <w:rsid w:val="00901AB4"/>
    <w:rsid w:val="00901C19"/>
    <w:rsid w:val="00901C68"/>
    <w:rsid w:val="00901C6D"/>
    <w:rsid w:val="00901DBD"/>
    <w:rsid w:val="0090295F"/>
    <w:rsid w:val="00902A42"/>
    <w:rsid w:val="00902AF5"/>
    <w:rsid w:val="00902C6D"/>
    <w:rsid w:val="00902FB3"/>
    <w:rsid w:val="00903079"/>
    <w:rsid w:val="00903A71"/>
    <w:rsid w:val="00903E08"/>
    <w:rsid w:val="00903EAF"/>
    <w:rsid w:val="00903ED7"/>
    <w:rsid w:val="00904281"/>
    <w:rsid w:val="009043B4"/>
    <w:rsid w:val="009043C2"/>
    <w:rsid w:val="009043FF"/>
    <w:rsid w:val="009045FC"/>
    <w:rsid w:val="00904611"/>
    <w:rsid w:val="009046BB"/>
    <w:rsid w:val="00904820"/>
    <w:rsid w:val="00904E6C"/>
    <w:rsid w:val="00904FE2"/>
    <w:rsid w:val="009051EC"/>
    <w:rsid w:val="00905385"/>
    <w:rsid w:val="00905441"/>
    <w:rsid w:val="009055B4"/>
    <w:rsid w:val="009057C0"/>
    <w:rsid w:val="00905941"/>
    <w:rsid w:val="00905ACF"/>
    <w:rsid w:val="00905B23"/>
    <w:rsid w:val="00905D1A"/>
    <w:rsid w:val="00905D57"/>
    <w:rsid w:val="00905D6B"/>
    <w:rsid w:val="00906090"/>
    <w:rsid w:val="009060FD"/>
    <w:rsid w:val="0090613C"/>
    <w:rsid w:val="00906484"/>
    <w:rsid w:val="009067D8"/>
    <w:rsid w:val="00906A57"/>
    <w:rsid w:val="00906A95"/>
    <w:rsid w:val="00906B2E"/>
    <w:rsid w:val="00906E86"/>
    <w:rsid w:val="009070C5"/>
    <w:rsid w:val="00907416"/>
    <w:rsid w:val="00907A40"/>
    <w:rsid w:val="00907DA8"/>
    <w:rsid w:val="009100B0"/>
    <w:rsid w:val="00910858"/>
    <w:rsid w:val="00910A9A"/>
    <w:rsid w:val="00910DD1"/>
    <w:rsid w:val="00910DF6"/>
    <w:rsid w:val="00910EAF"/>
    <w:rsid w:val="00911100"/>
    <w:rsid w:val="009111A4"/>
    <w:rsid w:val="00911372"/>
    <w:rsid w:val="009113FE"/>
    <w:rsid w:val="00911597"/>
    <w:rsid w:val="009115CE"/>
    <w:rsid w:val="0091163A"/>
    <w:rsid w:val="00911B11"/>
    <w:rsid w:val="00911BE1"/>
    <w:rsid w:val="00911E7D"/>
    <w:rsid w:val="0091229A"/>
    <w:rsid w:val="009124C5"/>
    <w:rsid w:val="00912503"/>
    <w:rsid w:val="00912771"/>
    <w:rsid w:val="009128C6"/>
    <w:rsid w:val="00912F20"/>
    <w:rsid w:val="00913254"/>
    <w:rsid w:val="00913317"/>
    <w:rsid w:val="009134EB"/>
    <w:rsid w:val="00913A1C"/>
    <w:rsid w:val="00913C0E"/>
    <w:rsid w:val="00913CA8"/>
    <w:rsid w:val="00913EE0"/>
    <w:rsid w:val="00914146"/>
    <w:rsid w:val="0091414C"/>
    <w:rsid w:val="0091415E"/>
    <w:rsid w:val="00914184"/>
    <w:rsid w:val="009144E7"/>
    <w:rsid w:val="009145BE"/>
    <w:rsid w:val="009148F6"/>
    <w:rsid w:val="00914B8F"/>
    <w:rsid w:val="00914D71"/>
    <w:rsid w:val="009151A1"/>
    <w:rsid w:val="00915536"/>
    <w:rsid w:val="009156FB"/>
    <w:rsid w:val="00915766"/>
    <w:rsid w:val="00915A9B"/>
    <w:rsid w:val="00915DBB"/>
    <w:rsid w:val="00916210"/>
    <w:rsid w:val="00916220"/>
    <w:rsid w:val="009163A9"/>
    <w:rsid w:val="00916975"/>
    <w:rsid w:val="00916992"/>
    <w:rsid w:val="00916A10"/>
    <w:rsid w:val="00916E0E"/>
    <w:rsid w:val="009170A3"/>
    <w:rsid w:val="009172C7"/>
    <w:rsid w:val="009172DA"/>
    <w:rsid w:val="0091779C"/>
    <w:rsid w:val="009177BA"/>
    <w:rsid w:val="009178B4"/>
    <w:rsid w:val="00917AF4"/>
    <w:rsid w:val="00917CB8"/>
    <w:rsid w:val="00917CC1"/>
    <w:rsid w:val="00917CE3"/>
    <w:rsid w:val="00917DCD"/>
    <w:rsid w:val="00917E90"/>
    <w:rsid w:val="00917F12"/>
    <w:rsid w:val="00920539"/>
    <w:rsid w:val="009206A0"/>
    <w:rsid w:val="00920866"/>
    <w:rsid w:val="0092098F"/>
    <w:rsid w:val="009209B7"/>
    <w:rsid w:val="00920B89"/>
    <w:rsid w:val="009212F5"/>
    <w:rsid w:val="0092130F"/>
    <w:rsid w:val="009213B7"/>
    <w:rsid w:val="0092148B"/>
    <w:rsid w:val="0092163E"/>
    <w:rsid w:val="009218E2"/>
    <w:rsid w:val="00921C04"/>
    <w:rsid w:val="00921E17"/>
    <w:rsid w:val="00921E7A"/>
    <w:rsid w:val="00922283"/>
    <w:rsid w:val="009224D0"/>
    <w:rsid w:val="009226C2"/>
    <w:rsid w:val="00922A93"/>
    <w:rsid w:val="00922B71"/>
    <w:rsid w:val="00922C5F"/>
    <w:rsid w:val="00922CFE"/>
    <w:rsid w:val="00922D5B"/>
    <w:rsid w:val="00922FEC"/>
    <w:rsid w:val="0092334F"/>
    <w:rsid w:val="00923353"/>
    <w:rsid w:val="009235E4"/>
    <w:rsid w:val="00923AC7"/>
    <w:rsid w:val="00923ACD"/>
    <w:rsid w:val="00923B7D"/>
    <w:rsid w:val="00923CE5"/>
    <w:rsid w:val="00923D54"/>
    <w:rsid w:val="00923FB1"/>
    <w:rsid w:val="00924211"/>
    <w:rsid w:val="009244B1"/>
    <w:rsid w:val="00924927"/>
    <w:rsid w:val="00924DC2"/>
    <w:rsid w:val="00924E21"/>
    <w:rsid w:val="0092568F"/>
    <w:rsid w:val="009256B1"/>
    <w:rsid w:val="0092578B"/>
    <w:rsid w:val="0092587E"/>
    <w:rsid w:val="0092608A"/>
    <w:rsid w:val="00926779"/>
    <w:rsid w:val="009269AB"/>
    <w:rsid w:val="00927271"/>
    <w:rsid w:val="00927498"/>
    <w:rsid w:val="0092794B"/>
    <w:rsid w:val="00927AE0"/>
    <w:rsid w:val="00930080"/>
    <w:rsid w:val="00930578"/>
    <w:rsid w:val="00930898"/>
    <w:rsid w:val="009308E2"/>
    <w:rsid w:val="00930AA0"/>
    <w:rsid w:val="00930E6D"/>
    <w:rsid w:val="00930F51"/>
    <w:rsid w:val="009314A6"/>
    <w:rsid w:val="00931645"/>
    <w:rsid w:val="00931AB7"/>
    <w:rsid w:val="00931CD8"/>
    <w:rsid w:val="00932115"/>
    <w:rsid w:val="00932374"/>
    <w:rsid w:val="00932C22"/>
    <w:rsid w:val="00932C24"/>
    <w:rsid w:val="00932D8F"/>
    <w:rsid w:val="00933236"/>
    <w:rsid w:val="009335A1"/>
    <w:rsid w:val="009337BE"/>
    <w:rsid w:val="009337CD"/>
    <w:rsid w:val="00933BEC"/>
    <w:rsid w:val="00933D70"/>
    <w:rsid w:val="0093419E"/>
    <w:rsid w:val="00934969"/>
    <w:rsid w:val="00934971"/>
    <w:rsid w:val="00934F9A"/>
    <w:rsid w:val="00934FDD"/>
    <w:rsid w:val="00935252"/>
    <w:rsid w:val="009352AF"/>
    <w:rsid w:val="009352CF"/>
    <w:rsid w:val="00935461"/>
    <w:rsid w:val="00935A35"/>
    <w:rsid w:val="00935E72"/>
    <w:rsid w:val="00935EE9"/>
    <w:rsid w:val="009360B5"/>
    <w:rsid w:val="009360D5"/>
    <w:rsid w:val="009360F3"/>
    <w:rsid w:val="0093661B"/>
    <w:rsid w:val="009368E1"/>
    <w:rsid w:val="009368F2"/>
    <w:rsid w:val="00936910"/>
    <w:rsid w:val="00936A25"/>
    <w:rsid w:val="00936A43"/>
    <w:rsid w:val="00936EF9"/>
    <w:rsid w:val="00936F7A"/>
    <w:rsid w:val="009375A7"/>
    <w:rsid w:val="009377AB"/>
    <w:rsid w:val="00937819"/>
    <w:rsid w:val="00937AA4"/>
    <w:rsid w:val="00937C52"/>
    <w:rsid w:val="00937E59"/>
    <w:rsid w:val="00940134"/>
    <w:rsid w:val="0094019D"/>
    <w:rsid w:val="009401A1"/>
    <w:rsid w:val="009401F0"/>
    <w:rsid w:val="009406F2"/>
    <w:rsid w:val="009408F1"/>
    <w:rsid w:val="00940F0A"/>
    <w:rsid w:val="00941591"/>
    <w:rsid w:val="00941605"/>
    <w:rsid w:val="009417B8"/>
    <w:rsid w:val="00941A43"/>
    <w:rsid w:val="00941F38"/>
    <w:rsid w:val="0094211F"/>
    <w:rsid w:val="00942178"/>
    <w:rsid w:val="009421FA"/>
    <w:rsid w:val="009422D7"/>
    <w:rsid w:val="009422F0"/>
    <w:rsid w:val="00942378"/>
    <w:rsid w:val="00942504"/>
    <w:rsid w:val="0094261B"/>
    <w:rsid w:val="00942E0B"/>
    <w:rsid w:val="0094342F"/>
    <w:rsid w:val="00943468"/>
    <w:rsid w:val="00943558"/>
    <w:rsid w:val="00943A26"/>
    <w:rsid w:val="00943CA8"/>
    <w:rsid w:val="009440BC"/>
    <w:rsid w:val="00944176"/>
    <w:rsid w:val="00944645"/>
    <w:rsid w:val="0094464D"/>
    <w:rsid w:val="009446C8"/>
    <w:rsid w:val="00944977"/>
    <w:rsid w:val="00944C95"/>
    <w:rsid w:val="00944F9B"/>
    <w:rsid w:val="00944FA9"/>
    <w:rsid w:val="009452D0"/>
    <w:rsid w:val="0094567C"/>
    <w:rsid w:val="009459A4"/>
    <w:rsid w:val="00945F28"/>
    <w:rsid w:val="00946048"/>
    <w:rsid w:val="0094626F"/>
    <w:rsid w:val="0094628A"/>
    <w:rsid w:val="0094635D"/>
    <w:rsid w:val="0094641D"/>
    <w:rsid w:val="0094699A"/>
    <w:rsid w:val="00946AAA"/>
    <w:rsid w:val="00946EA5"/>
    <w:rsid w:val="00946EAA"/>
    <w:rsid w:val="009470AB"/>
    <w:rsid w:val="00947155"/>
    <w:rsid w:val="00947403"/>
    <w:rsid w:val="00947B20"/>
    <w:rsid w:val="00947B8C"/>
    <w:rsid w:val="00947FF2"/>
    <w:rsid w:val="009506F2"/>
    <w:rsid w:val="00950741"/>
    <w:rsid w:val="009508EB"/>
    <w:rsid w:val="009509D5"/>
    <w:rsid w:val="00950F35"/>
    <w:rsid w:val="00951579"/>
    <w:rsid w:val="009518D1"/>
    <w:rsid w:val="00951B42"/>
    <w:rsid w:val="00951F25"/>
    <w:rsid w:val="00951FED"/>
    <w:rsid w:val="00952251"/>
    <w:rsid w:val="00952C5D"/>
    <w:rsid w:val="00953304"/>
    <w:rsid w:val="00953557"/>
    <w:rsid w:val="00953897"/>
    <w:rsid w:val="009538EA"/>
    <w:rsid w:val="00953B76"/>
    <w:rsid w:val="00953E88"/>
    <w:rsid w:val="0095404E"/>
    <w:rsid w:val="0095421E"/>
    <w:rsid w:val="00954448"/>
    <w:rsid w:val="009550D9"/>
    <w:rsid w:val="0095510E"/>
    <w:rsid w:val="00955254"/>
    <w:rsid w:val="00955670"/>
    <w:rsid w:val="009556E4"/>
    <w:rsid w:val="0095577C"/>
    <w:rsid w:val="009558D1"/>
    <w:rsid w:val="00955A20"/>
    <w:rsid w:val="00955DDD"/>
    <w:rsid w:val="00955EB8"/>
    <w:rsid w:val="0095649C"/>
    <w:rsid w:val="0095675E"/>
    <w:rsid w:val="00956AF0"/>
    <w:rsid w:val="00956C75"/>
    <w:rsid w:val="00956E29"/>
    <w:rsid w:val="00956E9A"/>
    <w:rsid w:val="0095706A"/>
    <w:rsid w:val="0095710E"/>
    <w:rsid w:val="0095726C"/>
    <w:rsid w:val="0095728A"/>
    <w:rsid w:val="00957317"/>
    <w:rsid w:val="00957443"/>
    <w:rsid w:val="00957756"/>
    <w:rsid w:val="00957CC5"/>
    <w:rsid w:val="00957D85"/>
    <w:rsid w:val="00960293"/>
    <w:rsid w:val="009604DF"/>
    <w:rsid w:val="009607F0"/>
    <w:rsid w:val="00960A60"/>
    <w:rsid w:val="00960B3A"/>
    <w:rsid w:val="00960B8D"/>
    <w:rsid w:val="00960BF0"/>
    <w:rsid w:val="00960C23"/>
    <w:rsid w:val="00960C6D"/>
    <w:rsid w:val="00960CED"/>
    <w:rsid w:val="0096112D"/>
    <w:rsid w:val="00961348"/>
    <w:rsid w:val="009614E5"/>
    <w:rsid w:val="0096171F"/>
    <w:rsid w:val="00961815"/>
    <w:rsid w:val="009618B6"/>
    <w:rsid w:val="00961BC3"/>
    <w:rsid w:val="00961D2D"/>
    <w:rsid w:val="00961E6A"/>
    <w:rsid w:val="00961F1B"/>
    <w:rsid w:val="009624D8"/>
    <w:rsid w:val="00962AA8"/>
    <w:rsid w:val="00962B93"/>
    <w:rsid w:val="00962F6A"/>
    <w:rsid w:val="00962FB1"/>
    <w:rsid w:val="0096300A"/>
    <w:rsid w:val="00963035"/>
    <w:rsid w:val="00963473"/>
    <w:rsid w:val="0096356F"/>
    <w:rsid w:val="00963D61"/>
    <w:rsid w:val="009640A2"/>
    <w:rsid w:val="00964443"/>
    <w:rsid w:val="009646E3"/>
    <w:rsid w:val="009647D5"/>
    <w:rsid w:val="009648EC"/>
    <w:rsid w:val="00964AD3"/>
    <w:rsid w:val="00964C12"/>
    <w:rsid w:val="00964CD8"/>
    <w:rsid w:val="00964DEB"/>
    <w:rsid w:val="009652A6"/>
    <w:rsid w:val="0096556B"/>
    <w:rsid w:val="0096571C"/>
    <w:rsid w:val="00965721"/>
    <w:rsid w:val="00965797"/>
    <w:rsid w:val="009659E7"/>
    <w:rsid w:val="00965A36"/>
    <w:rsid w:val="00965DAA"/>
    <w:rsid w:val="00965ED8"/>
    <w:rsid w:val="00966266"/>
    <w:rsid w:val="00966317"/>
    <w:rsid w:val="009663CB"/>
    <w:rsid w:val="00966534"/>
    <w:rsid w:val="009665EF"/>
    <w:rsid w:val="0096666C"/>
    <w:rsid w:val="009666F7"/>
    <w:rsid w:val="009669CC"/>
    <w:rsid w:val="00966B98"/>
    <w:rsid w:val="00966CE2"/>
    <w:rsid w:val="00966CFD"/>
    <w:rsid w:val="00966DF2"/>
    <w:rsid w:val="00966EB2"/>
    <w:rsid w:val="00966ED0"/>
    <w:rsid w:val="009672E5"/>
    <w:rsid w:val="0096754F"/>
    <w:rsid w:val="009676E2"/>
    <w:rsid w:val="00967787"/>
    <w:rsid w:val="00967B4E"/>
    <w:rsid w:val="00967BCD"/>
    <w:rsid w:val="00967D18"/>
    <w:rsid w:val="00967F99"/>
    <w:rsid w:val="00970160"/>
    <w:rsid w:val="00970531"/>
    <w:rsid w:val="00970561"/>
    <w:rsid w:val="00970B42"/>
    <w:rsid w:val="00970BEF"/>
    <w:rsid w:val="00971724"/>
    <w:rsid w:val="0097178D"/>
    <w:rsid w:val="00971E26"/>
    <w:rsid w:val="00972918"/>
    <w:rsid w:val="00972928"/>
    <w:rsid w:val="00972C54"/>
    <w:rsid w:val="00972DAD"/>
    <w:rsid w:val="00972E56"/>
    <w:rsid w:val="00973667"/>
    <w:rsid w:val="00973DEE"/>
    <w:rsid w:val="00973EE5"/>
    <w:rsid w:val="00973F1D"/>
    <w:rsid w:val="00973F65"/>
    <w:rsid w:val="00974262"/>
    <w:rsid w:val="009742CD"/>
    <w:rsid w:val="00974616"/>
    <w:rsid w:val="0097477F"/>
    <w:rsid w:val="00974A88"/>
    <w:rsid w:val="00975158"/>
    <w:rsid w:val="00975181"/>
    <w:rsid w:val="0097549F"/>
    <w:rsid w:val="009754AD"/>
    <w:rsid w:val="009755D1"/>
    <w:rsid w:val="0097567F"/>
    <w:rsid w:val="009757EA"/>
    <w:rsid w:val="00975B13"/>
    <w:rsid w:val="00975BDC"/>
    <w:rsid w:val="00975C60"/>
    <w:rsid w:val="00975CA7"/>
    <w:rsid w:val="00975EC3"/>
    <w:rsid w:val="009761D2"/>
    <w:rsid w:val="00976207"/>
    <w:rsid w:val="00976311"/>
    <w:rsid w:val="009765DE"/>
    <w:rsid w:val="00976766"/>
    <w:rsid w:val="00976A0B"/>
    <w:rsid w:val="00976B6A"/>
    <w:rsid w:val="00976D53"/>
    <w:rsid w:val="00976D87"/>
    <w:rsid w:val="00976E69"/>
    <w:rsid w:val="00976E8F"/>
    <w:rsid w:val="00976F5C"/>
    <w:rsid w:val="00977083"/>
    <w:rsid w:val="009772BB"/>
    <w:rsid w:val="009773E4"/>
    <w:rsid w:val="0097748A"/>
    <w:rsid w:val="00977527"/>
    <w:rsid w:val="00977711"/>
    <w:rsid w:val="009777D1"/>
    <w:rsid w:val="00977BA2"/>
    <w:rsid w:val="00977F8F"/>
    <w:rsid w:val="00977FD8"/>
    <w:rsid w:val="009800BB"/>
    <w:rsid w:val="00980130"/>
    <w:rsid w:val="009801F4"/>
    <w:rsid w:val="0098052F"/>
    <w:rsid w:val="009805E1"/>
    <w:rsid w:val="009807AA"/>
    <w:rsid w:val="00980823"/>
    <w:rsid w:val="009808B8"/>
    <w:rsid w:val="00980972"/>
    <w:rsid w:val="009809A0"/>
    <w:rsid w:val="00980EC4"/>
    <w:rsid w:val="00981477"/>
    <w:rsid w:val="00981809"/>
    <w:rsid w:val="00982296"/>
    <w:rsid w:val="00982790"/>
    <w:rsid w:val="00983149"/>
    <w:rsid w:val="0098341C"/>
    <w:rsid w:val="009834B6"/>
    <w:rsid w:val="0098370D"/>
    <w:rsid w:val="00983CCF"/>
    <w:rsid w:val="00983E48"/>
    <w:rsid w:val="00983E7C"/>
    <w:rsid w:val="00984291"/>
    <w:rsid w:val="009842B1"/>
    <w:rsid w:val="009843F6"/>
    <w:rsid w:val="00984472"/>
    <w:rsid w:val="00984502"/>
    <w:rsid w:val="0098464A"/>
    <w:rsid w:val="00984788"/>
    <w:rsid w:val="00984830"/>
    <w:rsid w:val="009849B1"/>
    <w:rsid w:val="00984C97"/>
    <w:rsid w:val="00984D2B"/>
    <w:rsid w:val="00984F81"/>
    <w:rsid w:val="00985019"/>
    <w:rsid w:val="00985085"/>
    <w:rsid w:val="0098540F"/>
    <w:rsid w:val="009854DA"/>
    <w:rsid w:val="00985710"/>
    <w:rsid w:val="00985773"/>
    <w:rsid w:val="00985F0E"/>
    <w:rsid w:val="00985FC7"/>
    <w:rsid w:val="00986167"/>
    <w:rsid w:val="0098666C"/>
    <w:rsid w:val="0098666E"/>
    <w:rsid w:val="009868FB"/>
    <w:rsid w:val="009869A7"/>
    <w:rsid w:val="00986D04"/>
    <w:rsid w:val="00986DCA"/>
    <w:rsid w:val="00986F48"/>
    <w:rsid w:val="00987039"/>
    <w:rsid w:val="0098707C"/>
    <w:rsid w:val="00987149"/>
    <w:rsid w:val="00987508"/>
    <w:rsid w:val="009876B2"/>
    <w:rsid w:val="00987929"/>
    <w:rsid w:val="00987B39"/>
    <w:rsid w:val="00987C32"/>
    <w:rsid w:val="00987F3E"/>
    <w:rsid w:val="0099012A"/>
    <w:rsid w:val="00990208"/>
    <w:rsid w:val="0099020A"/>
    <w:rsid w:val="009905FC"/>
    <w:rsid w:val="0099060F"/>
    <w:rsid w:val="00990657"/>
    <w:rsid w:val="0099065F"/>
    <w:rsid w:val="00990AC4"/>
    <w:rsid w:val="00990ECC"/>
    <w:rsid w:val="00991413"/>
    <w:rsid w:val="0099142C"/>
    <w:rsid w:val="00991B34"/>
    <w:rsid w:val="00991B8A"/>
    <w:rsid w:val="00991BA6"/>
    <w:rsid w:val="00991E56"/>
    <w:rsid w:val="0099201C"/>
    <w:rsid w:val="00992121"/>
    <w:rsid w:val="009925EF"/>
    <w:rsid w:val="00992E43"/>
    <w:rsid w:val="00992FBA"/>
    <w:rsid w:val="0099311C"/>
    <w:rsid w:val="009931E9"/>
    <w:rsid w:val="009932C9"/>
    <w:rsid w:val="0099355A"/>
    <w:rsid w:val="00993587"/>
    <w:rsid w:val="009937C1"/>
    <w:rsid w:val="00993A22"/>
    <w:rsid w:val="00993B12"/>
    <w:rsid w:val="00993B43"/>
    <w:rsid w:val="00993C1B"/>
    <w:rsid w:val="00993E77"/>
    <w:rsid w:val="00993FDF"/>
    <w:rsid w:val="00994310"/>
    <w:rsid w:val="0099441B"/>
    <w:rsid w:val="00994744"/>
    <w:rsid w:val="009947E8"/>
    <w:rsid w:val="009947EF"/>
    <w:rsid w:val="00994AB5"/>
    <w:rsid w:val="00994AF0"/>
    <w:rsid w:val="00994BE2"/>
    <w:rsid w:val="00994CC3"/>
    <w:rsid w:val="00995114"/>
    <w:rsid w:val="00995251"/>
    <w:rsid w:val="00995452"/>
    <w:rsid w:val="009956AB"/>
    <w:rsid w:val="009957D8"/>
    <w:rsid w:val="0099588D"/>
    <w:rsid w:val="00995937"/>
    <w:rsid w:val="0099595E"/>
    <w:rsid w:val="00995BB0"/>
    <w:rsid w:val="00995C0F"/>
    <w:rsid w:val="00995D4E"/>
    <w:rsid w:val="00995DDC"/>
    <w:rsid w:val="00995EFD"/>
    <w:rsid w:val="00995FAA"/>
    <w:rsid w:val="009961DB"/>
    <w:rsid w:val="00996289"/>
    <w:rsid w:val="009962C2"/>
    <w:rsid w:val="00996339"/>
    <w:rsid w:val="009966FE"/>
    <w:rsid w:val="0099674B"/>
    <w:rsid w:val="009967AF"/>
    <w:rsid w:val="0099680E"/>
    <w:rsid w:val="0099693F"/>
    <w:rsid w:val="009969A5"/>
    <w:rsid w:val="00996BF2"/>
    <w:rsid w:val="00996EC9"/>
    <w:rsid w:val="009975EE"/>
    <w:rsid w:val="00997934"/>
    <w:rsid w:val="00997AC5"/>
    <w:rsid w:val="00997B3B"/>
    <w:rsid w:val="00997CB2"/>
    <w:rsid w:val="00997FA3"/>
    <w:rsid w:val="00997FA4"/>
    <w:rsid w:val="009A0586"/>
    <w:rsid w:val="009A06B1"/>
    <w:rsid w:val="009A0979"/>
    <w:rsid w:val="009A101F"/>
    <w:rsid w:val="009A1098"/>
    <w:rsid w:val="009A11C1"/>
    <w:rsid w:val="009A133A"/>
    <w:rsid w:val="009A135F"/>
    <w:rsid w:val="009A1624"/>
    <w:rsid w:val="009A195C"/>
    <w:rsid w:val="009A1A24"/>
    <w:rsid w:val="009A1FF4"/>
    <w:rsid w:val="009A288E"/>
    <w:rsid w:val="009A3461"/>
    <w:rsid w:val="009A379C"/>
    <w:rsid w:val="009A3B0B"/>
    <w:rsid w:val="009A3B2A"/>
    <w:rsid w:val="009A3DEC"/>
    <w:rsid w:val="009A41EE"/>
    <w:rsid w:val="009A4264"/>
    <w:rsid w:val="009A43B0"/>
    <w:rsid w:val="009A4413"/>
    <w:rsid w:val="009A44B1"/>
    <w:rsid w:val="009A4592"/>
    <w:rsid w:val="009A51BD"/>
    <w:rsid w:val="009A5570"/>
    <w:rsid w:val="009A565A"/>
    <w:rsid w:val="009A56CF"/>
    <w:rsid w:val="009A57F2"/>
    <w:rsid w:val="009A5C0E"/>
    <w:rsid w:val="009A5EB6"/>
    <w:rsid w:val="009A5F97"/>
    <w:rsid w:val="009A5FCD"/>
    <w:rsid w:val="009A60E7"/>
    <w:rsid w:val="009A616F"/>
    <w:rsid w:val="009A6728"/>
    <w:rsid w:val="009A6853"/>
    <w:rsid w:val="009A6BFB"/>
    <w:rsid w:val="009A6C5D"/>
    <w:rsid w:val="009A6C91"/>
    <w:rsid w:val="009A6CBA"/>
    <w:rsid w:val="009A6D88"/>
    <w:rsid w:val="009A6DC4"/>
    <w:rsid w:val="009A6EC6"/>
    <w:rsid w:val="009A6FF1"/>
    <w:rsid w:val="009A7111"/>
    <w:rsid w:val="009A711F"/>
    <w:rsid w:val="009A724D"/>
    <w:rsid w:val="009A7316"/>
    <w:rsid w:val="009A737A"/>
    <w:rsid w:val="009A796F"/>
    <w:rsid w:val="009A79D7"/>
    <w:rsid w:val="009A7B93"/>
    <w:rsid w:val="009A7F0C"/>
    <w:rsid w:val="009B0102"/>
    <w:rsid w:val="009B02D2"/>
    <w:rsid w:val="009B0605"/>
    <w:rsid w:val="009B0777"/>
    <w:rsid w:val="009B0944"/>
    <w:rsid w:val="009B116E"/>
    <w:rsid w:val="009B13D5"/>
    <w:rsid w:val="009B147C"/>
    <w:rsid w:val="009B154E"/>
    <w:rsid w:val="009B163E"/>
    <w:rsid w:val="009B1746"/>
    <w:rsid w:val="009B17CE"/>
    <w:rsid w:val="009B18ED"/>
    <w:rsid w:val="009B1D10"/>
    <w:rsid w:val="009B1EA1"/>
    <w:rsid w:val="009B1EDF"/>
    <w:rsid w:val="009B20F0"/>
    <w:rsid w:val="009B22EE"/>
    <w:rsid w:val="009B2471"/>
    <w:rsid w:val="009B28E9"/>
    <w:rsid w:val="009B2D61"/>
    <w:rsid w:val="009B2DF6"/>
    <w:rsid w:val="009B2F27"/>
    <w:rsid w:val="009B30E9"/>
    <w:rsid w:val="009B3233"/>
    <w:rsid w:val="009B3740"/>
    <w:rsid w:val="009B3788"/>
    <w:rsid w:val="009B388B"/>
    <w:rsid w:val="009B38B3"/>
    <w:rsid w:val="009B3912"/>
    <w:rsid w:val="009B39EB"/>
    <w:rsid w:val="009B4257"/>
    <w:rsid w:val="009B437D"/>
    <w:rsid w:val="009B45A5"/>
    <w:rsid w:val="009B4690"/>
    <w:rsid w:val="009B49EA"/>
    <w:rsid w:val="009B4D99"/>
    <w:rsid w:val="009B507F"/>
    <w:rsid w:val="009B52BD"/>
    <w:rsid w:val="009B52EC"/>
    <w:rsid w:val="009B5ABA"/>
    <w:rsid w:val="009B5C4B"/>
    <w:rsid w:val="009B5D79"/>
    <w:rsid w:val="009B5E0C"/>
    <w:rsid w:val="009B5E1F"/>
    <w:rsid w:val="009B6339"/>
    <w:rsid w:val="009B64A1"/>
    <w:rsid w:val="009B65E4"/>
    <w:rsid w:val="009B662B"/>
    <w:rsid w:val="009B6879"/>
    <w:rsid w:val="009B6C76"/>
    <w:rsid w:val="009B6DD5"/>
    <w:rsid w:val="009B7052"/>
    <w:rsid w:val="009B7089"/>
    <w:rsid w:val="009B7318"/>
    <w:rsid w:val="009B73BA"/>
    <w:rsid w:val="009B79C7"/>
    <w:rsid w:val="009B7ECC"/>
    <w:rsid w:val="009C0055"/>
    <w:rsid w:val="009C020A"/>
    <w:rsid w:val="009C020B"/>
    <w:rsid w:val="009C04B3"/>
    <w:rsid w:val="009C0672"/>
    <w:rsid w:val="009C0772"/>
    <w:rsid w:val="009C079A"/>
    <w:rsid w:val="009C08D3"/>
    <w:rsid w:val="009C08F0"/>
    <w:rsid w:val="009C0C9E"/>
    <w:rsid w:val="009C1007"/>
    <w:rsid w:val="009C1114"/>
    <w:rsid w:val="009C12E2"/>
    <w:rsid w:val="009C1BE9"/>
    <w:rsid w:val="009C1C98"/>
    <w:rsid w:val="009C1C9C"/>
    <w:rsid w:val="009C1D89"/>
    <w:rsid w:val="009C1F40"/>
    <w:rsid w:val="009C2315"/>
    <w:rsid w:val="009C2468"/>
    <w:rsid w:val="009C2743"/>
    <w:rsid w:val="009C2A21"/>
    <w:rsid w:val="009C2C4D"/>
    <w:rsid w:val="009C2CEC"/>
    <w:rsid w:val="009C2E57"/>
    <w:rsid w:val="009C30D7"/>
    <w:rsid w:val="009C3600"/>
    <w:rsid w:val="009C386C"/>
    <w:rsid w:val="009C39A9"/>
    <w:rsid w:val="009C3E9C"/>
    <w:rsid w:val="009C3EC3"/>
    <w:rsid w:val="009C3FF9"/>
    <w:rsid w:val="009C4079"/>
    <w:rsid w:val="009C4700"/>
    <w:rsid w:val="009C4C96"/>
    <w:rsid w:val="009C4E21"/>
    <w:rsid w:val="009C53C1"/>
    <w:rsid w:val="009C5634"/>
    <w:rsid w:val="009C581B"/>
    <w:rsid w:val="009C5964"/>
    <w:rsid w:val="009C5ACB"/>
    <w:rsid w:val="009C5D15"/>
    <w:rsid w:val="009C5E03"/>
    <w:rsid w:val="009C6225"/>
    <w:rsid w:val="009C673E"/>
    <w:rsid w:val="009C6862"/>
    <w:rsid w:val="009C697E"/>
    <w:rsid w:val="009C6A28"/>
    <w:rsid w:val="009C6A2F"/>
    <w:rsid w:val="009C6C73"/>
    <w:rsid w:val="009C6E83"/>
    <w:rsid w:val="009C6EBE"/>
    <w:rsid w:val="009C6ED9"/>
    <w:rsid w:val="009C6EF0"/>
    <w:rsid w:val="009C7141"/>
    <w:rsid w:val="009C7407"/>
    <w:rsid w:val="009C754E"/>
    <w:rsid w:val="009C78A1"/>
    <w:rsid w:val="009C7D4D"/>
    <w:rsid w:val="009D067F"/>
    <w:rsid w:val="009D070B"/>
    <w:rsid w:val="009D0A74"/>
    <w:rsid w:val="009D0CC7"/>
    <w:rsid w:val="009D0D1A"/>
    <w:rsid w:val="009D0D70"/>
    <w:rsid w:val="009D131F"/>
    <w:rsid w:val="009D1372"/>
    <w:rsid w:val="009D1463"/>
    <w:rsid w:val="009D1726"/>
    <w:rsid w:val="009D1BBC"/>
    <w:rsid w:val="009D1ECB"/>
    <w:rsid w:val="009D201F"/>
    <w:rsid w:val="009D226D"/>
    <w:rsid w:val="009D22E2"/>
    <w:rsid w:val="009D2307"/>
    <w:rsid w:val="009D2453"/>
    <w:rsid w:val="009D3132"/>
    <w:rsid w:val="009D3174"/>
    <w:rsid w:val="009D324D"/>
    <w:rsid w:val="009D370F"/>
    <w:rsid w:val="009D3C06"/>
    <w:rsid w:val="009D3E4A"/>
    <w:rsid w:val="009D408A"/>
    <w:rsid w:val="009D4614"/>
    <w:rsid w:val="009D4689"/>
    <w:rsid w:val="009D4B7A"/>
    <w:rsid w:val="009D4C05"/>
    <w:rsid w:val="009D5028"/>
    <w:rsid w:val="009D5058"/>
    <w:rsid w:val="009D51E5"/>
    <w:rsid w:val="009D528D"/>
    <w:rsid w:val="009D542C"/>
    <w:rsid w:val="009D5966"/>
    <w:rsid w:val="009D59B4"/>
    <w:rsid w:val="009D6025"/>
    <w:rsid w:val="009D6156"/>
    <w:rsid w:val="009D6294"/>
    <w:rsid w:val="009D637A"/>
    <w:rsid w:val="009D693A"/>
    <w:rsid w:val="009D6AB2"/>
    <w:rsid w:val="009D71A1"/>
    <w:rsid w:val="009D7634"/>
    <w:rsid w:val="009D78AC"/>
    <w:rsid w:val="009D78C8"/>
    <w:rsid w:val="009E01B0"/>
    <w:rsid w:val="009E01FB"/>
    <w:rsid w:val="009E0290"/>
    <w:rsid w:val="009E0548"/>
    <w:rsid w:val="009E064D"/>
    <w:rsid w:val="009E0A10"/>
    <w:rsid w:val="009E0B00"/>
    <w:rsid w:val="009E0E14"/>
    <w:rsid w:val="009E0EA9"/>
    <w:rsid w:val="009E0F10"/>
    <w:rsid w:val="009E0F44"/>
    <w:rsid w:val="009E1532"/>
    <w:rsid w:val="009E161B"/>
    <w:rsid w:val="009E1623"/>
    <w:rsid w:val="009E16CF"/>
    <w:rsid w:val="009E17AE"/>
    <w:rsid w:val="009E1AB4"/>
    <w:rsid w:val="009E1F02"/>
    <w:rsid w:val="009E208C"/>
    <w:rsid w:val="009E20B1"/>
    <w:rsid w:val="009E21B0"/>
    <w:rsid w:val="009E22BE"/>
    <w:rsid w:val="009E26D8"/>
    <w:rsid w:val="009E2883"/>
    <w:rsid w:val="009E2A91"/>
    <w:rsid w:val="009E2BA2"/>
    <w:rsid w:val="009E2D72"/>
    <w:rsid w:val="009E2EA2"/>
    <w:rsid w:val="009E2F0E"/>
    <w:rsid w:val="009E3165"/>
    <w:rsid w:val="009E3317"/>
    <w:rsid w:val="009E3458"/>
    <w:rsid w:val="009E3519"/>
    <w:rsid w:val="009E41A5"/>
    <w:rsid w:val="009E444B"/>
    <w:rsid w:val="009E4678"/>
    <w:rsid w:val="009E4742"/>
    <w:rsid w:val="009E484B"/>
    <w:rsid w:val="009E4CCC"/>
    <w:rsid w:val="009E5015"/>
    <w:rsid w:val="009E51AA"/>
    <w:rsid w:val="009E567F"/>
    <w:rsid w:val="009E56D4"/>
    <w:rsid w:val="009E56DF"/>
    <w:rsid w:val="009E56FE"/>
    <w:rsid w:val="009E5D0F"/>
    <w:rsid w:val="009E6492"/>
    <w:rsid w:val="009E6599"/>
    <w:rsid w:val="009E66C4"/>
    <w:rsid w:val="009E6740"/>
    <w:rsid w:val="009E6996"/>
    <w:rsid w:val="009E6A1A"/>
    <w:rsid w:val="009E6C3D"/>
    <w:rsid w:val="009E6DC5"/>
    <w:rsid w:val="009E6E57"/>
    <w:rsid w:val="009E6F06"/>
    <w:rsid w:val="009E7038"/>
    <w:rsid w:val="009E729F"/>
    <w:rsid w:val="009E7724"/>
    <w:rsid w:val="009E78D7"/>
    <w:rsid w:val="009E7FA3"/>
    <w:rsid w:val="009F06FC"/>
    <w:rsid w:val="009F0949"/>
    <w:rsid w:val="009F0B2F"/>
    <w:rsid w:val="009F0C83"/>
    <w:rsid w:val="009F0CEE"/>
    <w:rsid w:val="009F0DE9"/>
    <w:rsid w:val="009F1074"/>
    <w:rsid w:val="009F1149"/>
    <w:rsid w:val="009F138D"/>
    <w:rsid w:val="009F1722"/>
    <w:rsid w:val="009F1B58"/>
    <w:rsid w:val="009F1F58"/>
    <w:rsid w:val="009F216F"/>
    <w:rsid w:val="009F21EF"/>
    <w:rsid w:val="009F23B3"/>
    <w:rsid w:val="009F23E3"/>
    <w:rsid w:val="009F24C1"/>
    <w:rsid w:val="009F2A0D"/>
    <w:rsid w:val="009F2B73"/>
    <w:rsid w:val="009F30F2"/>
    <w:rsid w:val="009F32CC"/>
    <w:rsid w:val="009F3341"/>
    <w:rsid w:val="009F34B2"/>
    <w:rsid w:val="009F36DE"/>
    <w:rsid w:val="009F377A"/>
    <w:rsid w:val="009F37FF"/>
    <w:rsid w:val="009F3E32"/>
    <w:rsid w:val="009F46E1"/>
    <w:rsid w:val="009F49E7"/>
    <w:rsid w:val="009F4C42"/>
    <w:rsid w:val="009F4D9F"/>
    <w:rsid w:val="009F4E2A"/>
    <w:rsid w:val="009F5047"/>
    <w:rsid w:val="009F527F"/>
    <w:rsid w:val="009F55AA"/>
    <w:rsid w:val="009F57FE"/>
    <w:rsid w:val="009F5916"/>
    <w:rsid w:val="009F6052"/>
    <w:rsid w:val="009F6A57"/>
    <w:rsid w:val="009F6ACA"/>
    <w:rsid w:val="009F6BD8"/>
    <w:rsid w:val="009F6E05"/>
    <w:rsid w:val="009F71CE"/>
    <w:rsid w:val="009F7666"/>
    <w:rsid w:val="009F76C3"/>
    <w:rsid w:val="009F78E3"/>
    <w:rsid w:val="009F78FF"/>
    <w:rsid w:val="009F7A55"/>
    <w:rsid w:val="009F7A60"/>
    <w:rsid w:val="009F7CB2"/>
    <w:rsid w:val="009F7EC2"/>
    <w:rsid w:val="00A00101"/>
    <w:rsid w:val="00A00314"/>
    <w:rsid w:val="00A003BE"/>
    <w:rsid w:val="00A006C9"/>
    <w:rsid w:val="00A0080A"/>
    <w:rsid w:val="00A00FB0"/>
    <w:rsid w:val="00A01151"/>
    <w:rsid w:val="00A0157E"/>
    <w:rsid w:val="00A01A6F"/>
    <w:rsid w:val="00A01D40"/>
    <w:rsid w:val="00A01F47"/>
    <w:rsid w:val="00A01FA9"/>
    <w:rsid w:val="00A01FD0"/>
    <w:rsid w:val="00A023ED"/>
    <w:rsid w:val="00A02820"/>
    <w:rsid w:val="00A02A3C"/>
    <w:rsid w:val="00A02CAA"/>
    <w:rsid w:val="00A033B9"/>
    <w:rsid w:val="00A039FE"/>
    <w:rsid w:val="00A03B5D"/>
    <w:rsid w:val="00A03C19"/>
    <w:rsid w:val="00A03C58"/>
    <w:rsid w:val="00A03D02"/>
    <w:rsid w:val="00A03FF9"/>
    <w:rsid w:val="00A040F2"/>
    <w:rsid w:val="00A0413B"/>
    <w:rsid w:val="00A041D5"/>
    <w:rsid w:val="00A044C0"/>
    <w:rsid w:val="00A04770"/>
    <w:rsid w:val="00A04830"/>
    <w:rsid w:val="00A048E1"/>
    <w:rsid w:val="00A04C63"/>
    <w:rsid w:val="00A04CEB"/>
    <w:rsid w:val="00A04D9E"/>
    <w:rsid w:val="00A05310"/>
    <w:rsid w:val="00A05722"/>
    <w:rsid w:val="00A057FA"/>
    <w:rsid w:val="00A05E79"/>
    <w:rsid w:val="00A05EAD"/>
    <w:rsid w:val="00A05F3E"/>
    <w:rsid w:val="00A0615A"/>
    <w:rsid w:val="00A0623D"/>
    <w:rsid w:val="00A06358"/>
    <w:rsid w:val="00A0698F"/>
    <w:rsid w:val="00A06C23"/>
    <w:rsid w:val="00A06DC4"/>
    <w:rsid w:val="00A078A0"/>
    <w:rsid w:val="00A07B7A"/>
    <w:rsid w:val="00A07C4A"/>
    <w:rsid w:val="00A07C5D"/>
    <w:rsid w:val="00A07CCD"/>
    <w:rsid w:val="00A1060C"/>
    <w:rsid w:val="00A10619"/>
    <w:rsid w:val="00A106F0"/>
    <w:rsid w:val="00A108B1"/>
    <w:rsid w:val="00A10972"/>
    <w:rsid w:val="00A10C5E"/>
    <w:rsid w:val="00A10C78"/>
    <w:rsid w:val="00A10D7F"/>
    <w:rsid w:val="00A10F53"/>
    <w:rsid w:val="00A10FE6"/>
    <w:rsid w:val="00A1103C"/>
    <w:rsid w:val="00A1116D"/>
    <w:rsid w:val="00A11192"/>
    <w:rsid w:val="00A112B6"/>
    <w:rsid w:val="00A1151F"/>
    <w:rsid w:val="00A115A2"/>
    <w:rsid w:val="00A11876"/>
    <w:rsid w:val="00A1197C"/>
    <w:rsid w:val="00A1198A"/>
    <w:rsid w:val="00A11AD5"/>
    <w:rsid w:val="00A11BC5"/>
    <w:rsid w:val="00A11C11"/>
    <w:rsid w:val="00A11DBC"/>
    <w:rsid w:val="00A12329"/>
    <w:rsid w:val="00A1244D"/>
    <w:rsid w:val="00A12599"/>
    <w:rsid w:val="00A1289A"/>
    <w:rsid w:val="00A129A7"/>
    <w:rsid w:val="00A129A8"/>
    <w:rsid w:val="00A129F6"/>
    <w:rsid w:val="00A12A62"/>
    <w:rsid w:val="00A12B0F"/>
    <w:rsid w:val="00A12C74"/>
    <w:rsid w:val="00A12EBB"/>
    <w:rsid w:val="00A12FB4"/>
    <w:rsid w:val="00A13026"/>
    <w:rsid w:val="00A1327B"/>
    <w:rsid w:val="00A1328A"/>
    <w:rsid w:val="00A13404"/>
    <w:rsid w:val="00A1355A"/>
    <w:rsid w:val="00A139D3"/>
    <w:rsid w:val="00A13A70"/>
    <w:rsid w:val="00A13F46"/>
    <w:rsid w:val="00A140B0"/>
    <w:rsid w:val="00A140B7"/>
    <w:rsid w:val="00A14418"/>
    <w:rsid w:val="00A14495"/>
    <w:rsid w:val="00A144A8"/>
    <w:rsid w:val="00A14506"/>
    <w:rsid w:val="00A146AC"/>
    <w:rsid w:val="00A14712"/>
    <w:rsid w:val="00A14870"/>
    <w:rsid w:val="00A1492E"/>
    <w:rsid w:val="00A14973"/>
    <w:rsid w:val="00A14B1E"/>
    <w:rsid w:val="00A14DEA"/>
    <w:rsid w:val="00A14FF0"/>
    <w:rsid w:val="00A150D2"/>
    <w:rsid w:val="00A15102"/>
    <w:rsid w:val="00A154CB"/>
    <w:rsid w:val="00A1577C"/>
    <w:rsid w:val="00A157F4"/>
    <w:rsid w:val="00A159E9"/>
    <w:rsid w:val="00A15BDE"/>
    <w:rsid w:val="00A15D1A"/>
    <w:rsid w:val="00A15ED4"/>
    <w:rsid w:val="00A16141"/>
    <w:rsid w:val="00A163C7"/>
    <w:rsid w:val="00A16513"/>
    <w:rsid w:val="00A165A3"/>
    <w:rsid w:val="00A16E49"/>
    <w:rsid w:val="00A16EEA"/>
    <w:rsid w:val="00A16F8C"/>
    <w:rsid w:val="00A170C8"/>
    <w:rsid w:val="00A1719A"/>
    <w:rsid w:val="00A17265"/>
    <w:rsid w:val="00A17468"/>
    <w:rsid w:val="00A175BE"/>
    <w:rsid w:val="00A176BA"/>
    <w:rsid w:val="00A17968"/>
    <w:rsid w:val="00A17C66"/>
    <w:rsid w:val="00A17F89"/>
    <w:rsid w:val="00A201F8"/>
    <w:rsid w:val="00A2023A"/>
    <w:rsid w:val="00A203EF"/>
    <w:rsid w:val="00A2052E"/>
    <w:rsid w:val="00A2074E"/>
    <w:rsid w:val="00A20823"/>
    <w:rsid w:val="00A20A0E"/>
    <w:rsid w:val="00A20BB4"/>
    <w:rsid w:val="00A21183"/>
    <w:rsid w:val="00A21688"/>
    <w:rsid w:val="00A21723"/>
    <w:rsid w:val="00A21C77"/>
    <w:rsid w:val="00A21D1C"/>
    <w:rsid w:val="00A21FD4"/>
    <w:rsid w:val="00A22342"/>
    <w:rsid w:val="00A22621"/>
    <w:rsid w:val="00A2269F"/>
    <w:rsid w:val="00A22B36"/>
    <w:rsid w:val="00A22BA8"/>
    <w:rsid w:val="00A23040"/>
    <w:rsid w:val="00A230DD"/>
    <w:rsid w:val="00A232A6"/>
    <w:rsid w:val="00A234F8"/>
    <w:rsid w:val="00A236AB"/>
    <w:rsid w:val="00A2393A"/>
    <w:rsid w:val="00A240FB"/>
    <w:rsid w:val="00A2417B"/>
    <w:rsid w:val="00A24330"/>
    <w:rsid w:val="00A2489C"/>
    <w:rsid w:val="00A2491D"/>
    <w:rsid w:val="00A24CDC"/>
    <w:rsid w:val="00A253CA"/>
    <w:rsid w:val="00A25544"/>
    <w:rsid w:val="00A25563"/>
    <w:rsid w:val="00A25589"/>
    <w:rsid w:val="00A2570D"/>
    <w:rsid w:val="00A25CB5"/>
    <w:rsid w:val="00A25D83"/>
    <w:rsid w:val="00A25E74"/>
    <w:rsid w:val="00A25EA7"/>
    <w:rsid w:val="00A25F37"/>
    <w:rsid w:val="00A26457"/>
    <w:rsid w:val="00A264C0"/>
    <w:rsid w:val="00A26CDF"/>
    <w:rsid w:val="00A273E5"/>
    <w:rsid w:val="00A27472"/>
    <w:rsid w:val="00A2754C"/>
    <w:rsid w:val="00A2772E"/>
    <w:rsid w:val="00A27879"/>
    <w:rsid w:val="00A27961"/>
    <w:rsid w:val="00A27996"/>
    <w:rsid w:val="00A27B63"/>
    <w:rsid w:val="00A27B80"/>
    <w:rsid w:val="00A27BD1"/>
    <w:rsid w:val="00A27E39"/>
    <w:rsid w:val="00A27FCC"/>
    <w:rsid w:val="00A301E6"/>
    <w:rsid w:val="00A30535"/>
    <w:rsid w:val="00A30C09"/>
    <w:rsid w:val="00A30CF3"/>
    <w:rsid w:val="00A30D60"/>
    <w:rsid w:val="00A30DE0"/>
    <w:rsid w:val="00A30E2D"/>
    <w:rsid w:val="00A314C7"/>
    <w:rsid w:val="00A31765"/>
    <w:rsid w:val="00A3189F"/>
    <w:rsid w:val="00A31961"/>
    <w:rsid w:val="00A31BAF"/>
    <w:rsid w:val="00A31D5E"/>
    <w:rsid w:val="00A31F53"/>
    <w:rsid w:val="00A322D0"/>
    <w:rsid w:val="00A3240B"/>
    <w:rsid w:val="00A3242F"/>
    <w:rsid w:val="00A326E8"/>
    <w:rsid w:val="00A32991"/>
    <w:rsid w:val="00A32A92"/>
    <w:rsid w:val="00A32EA1"/>
    <w:rsid w:val="00A330B3"/>
    <w:rsid w:val="00A330FC"/>
    <w:rsid w:val="00A33546"/>
    <w:rsid w:val="00A335C3"/>
    <w:rsid w:val="00A33633"/>
    <w:rsid w:val="00A33F8D"/>
    <w:rsid w:val="00A34236"/>
    <w:rsid w:val="00A34417"/>
    <w:rsid w:val="00A34469"/>
    <w:rsid w:val="00A34652"/>
    <w:rsid w:val="00A349C0"/>
    <w:rsid w:val="00A34C14"/>
    <w:rsid w:val="00A3510B"/>
    <w:rsid w:val="00A3546B"/>
    <w:rsid w:val="00A3556D"/>
    <w:rsid w:val="00A35659"/>
    <w:rsid w:val="00A35794"/>
    <w:rsid w:val="00A35A04"/>
    <w:rsid w:val="00A35B7D"/>
    <w:rsid w:val="00A35EC1"/>
    <w:rsid w:val="00A35FF6"/>
    <w:rsid w:val="00A36715"/>
    <w:rsid w:val="00A36804"/>
    <w:rsid w:val="00A3681B"/>
    <w:rsid w:val="00A369AF"/>
    <w:rsid w:val="00A36C8B"/>
    <w:rsid w:val="00A36C90"/>
    <w:rsid w:val="00A36CA7"/>
    <w:rsid w:val="00A36EFC"/>
    <w:rsid w:val="00A371AC"/>
    <w:rsid w:val="00A376F1"/>
    <w:rsid w:val="00A37706"/>
    <w:rsid w:val="00A37864"/>
    <w:rsid w:val="00A37914"/>
    <w:rsid w:val="00A37932"/>
    <w:rsid w:val="00A37EFB"/>
    <w:rsid w:val="00A401C3"/>
    <w:rsid w:val="00A402EA"/>
    <w:rsid w:val="00A40424"/>
    <w:rsid w:val="00A4054D"/>
    <w:rsid w:val="00A4067C"/>
    <w:rsid w:val="00A40773"/>
    <w:rsid w:val="00A4184E"/>
    <w:rsid w:val="00A41893"/>
    <w:rsid w:val="00A4189D"/>
    <w:rsid w:val="00A419C5"/>
    <w:rsid w:val="00A41BB1"/>
    <w:rsid w:val="00A42072"/>
    <w:rsid w:val="00A420ED"/>
    <w:rsid w:val="00A42288"/>
    <w:rsid w:val="00A42595"/>
    <w:rsid w:val="00A42874"/>
    <w:rsid w:val="00A428C5"/>
    <w:rsid w:val="00A43014"/>
    <w:rsid w:val="00A43163"/>
    <w:rsid w:val="00A43834"/>
    <w:rsid w:val="00A439BA"/>
    <w:rsid w:val="00A43A8B"/>
    <w:rsid w:val="00A43DA5"/>
    <w:rsid w:val="00A43E9A"/>
    <w:rsid w:val="00A43EFE"/>
    <w:rsid w:val="00A442B5"/>
    <w:rsid w:val="00A447BC"/>
    <w:rsid w:val="00A44884"/>
    <w:rsid w:val="00A44BA4"/>
    <w:rsid w:val="00A44C0A"/>
    <w:rsid w:val="00A44C1F"/>
    <w:rsid w:val="00A44D26"/>
    <w:rsid w:val="00A44D84"/>
    <w:rsid w:val="00A44EA8"/>
    <w:rsid w:val="00A451E0"/>
    <w:rsid w:val="00A4537A"/>
    <w:rsid w:val="00A455FA"/>
    <w:rsid w:val="00A45602"/>
    <w:rsid w:val="00A45808"/>
    <w:rsid w:val="00A45E9D"/>
    <w:rsid w:val="00A46043"/>
    <w:rsid w:val="00A46139"/>
    <w:rsid w:val="00A4627D"/>
    <w:rsid w:val="00A46455"/>
    <w:rsid w:val="00A4681B"/>
    <w:rsid w:val="00A46A8A"/>
    <w:rsid w:val="00A46E34"/>
    <w:rsid w:val="00A46EF5"/>
    <w:rsid w:val="00A46F71"/>
    <w:rsid w:val="00A471B3"/>
    <w:rsid w:val="00A4721B"/>
    <w:rsid w:val="00A475E5"/>
    <w:rsid w:val="00A4780C"/>
    <w:rsid w:val="00A478FF"/>
    <w:rsid w:val="00A479F3"/>
    <w:rsid w:val="00A47A94"/>
    <w:rsid w:val="00A47B8C"/>
    <w:rsid w:val="00A47D45"/>
    <w:rsid w:val="00A47FB6"/>
    <w:rsid w:val="00A503F2"/>
    <w:rsid w:val="00A505B9"/>
    <w:rsid w:val="00A509C4"/>
    <w:rsid w:val="00A50DE0"/>
    <w:rsid w:val="00A50F25"/>
    <w:rsid w:val="00A51255"/>
    <w:rsid w:val="00A51285"/>
    <w:rsid w:val="00A51433"/>
    <w:rsid w:val="00A5154E"/>
    <w:rsid w:val="00A51619"/>
    <w:rsid w:val="00A52530"/>
    <w:rsid w:val="00A52735"/>
    <w:rsid w:val="00A5274D"/>
    <w:rsid w:val="00A527D6"/>
    <w:rsid w:val="00A528D3"/>
    <w:rsid w:val="00A52A31"/>
    <w:rsid w:val="00A52BDF"/>
    <w:rsid w:val="00A52E49"/>
    <w:rsid w:val="00A53247"/>
    <w:rsid w:val="00A53978"/>
    <w:rsid w:val="00A53AF3"/>
    <w:rsid w:val="00A53EEA"/>
    <w:rsid w:val="00A53F59"/>
    <w:rsid w:val="00A540BC"/>
    <w:rsid w:val="00A5430A"/>
    <w:rsid w:val="00A549B7"/>
    <w:rsid w:val="00A54AC3"/>
    <w:rsid w:val="00A54D46"/>
    <w:rsid w:val="00A54FA0"/>
    <w:rsid w:val="00A5506C"/>
    <w:rsid w:val="00A55248"/>
    <w:rsid w:val="00A55281"/>
    <w:rsid w:val="00A5534A"/>
    <w:rsid w:val="00A554B1"/>
    <w:rsid w:val="00A556AF"/>
    <w:rsid w:val="00A5572D"/>
    <w:rsid w:val="00A558F3"/>
    <w:rsid w:val="00A55B33"/>
    <w:rsid w:val="00A55EB6"/>
    <w:rsid w:val="00A55FDA"/>
    <w:rsid w:val="00A56564"/>
    <w:rsid w:val="00A56CE6"/>
    <w:rsid w:val="00A56D81"/>
    <w:rsid w:val="00A56D9A"/>
    <w:rsid w:val="00A57164"/>
    <w:rsid w:val="00A571C5"/>
    <w:rsid w:val="00A57218"/>
    <w:rsid w:val="00A573D9"/>
    <w:rsid w:val="00A576B3"/>
    <w:rsid w:val="00A578AA"/>
    <w:rsid w:val="00A57CF3"/>
    <w:rsid w:val="00A57D58"/>
    <w:rsid w:val="00A6060D"/>
    <w:rsid w:val="00A607BA"/>
    <w:rsid w:val="00A60806"/>
    <w:rsid w:val="00A608DF"/>
    <w:rsid w:val="00A60AF3"/>
    <w:rsid w:val="00A60C7C"/>
    <w:rsid w:val="00A60DE6"/>
    <w:rsid w:val="00A611F8"/>
    <w:rsid w:val="00A6131E"/>
    <w:rsid w:val="00A6175F"/>
    <w:rsid w:val="00A618BA"/>
    <w:rsid w:val="00A61C30"/>
    <w:rsid w:val="00A620AA"/>
    <w:rsid w:val="00A62142"/>
    <w:rsid w:val="00A62173"/>
    <w:rsid w:val="00A62380"/>
    <w:rsid w:val="00A6296D"/>
    <w:rsid w:val="00A629CD"/>
    <w:rsid w:val="00A62ACC"/>
    <w:rsid w:val="00A63254"/>
    <w:rsid w:val="00A633EF"/>
    <w:rsid w:val="00A636FD"/>
    <w:rsid w:val="00A6389F"/>
    <w:rsid w:val="00A63D57"/>
    <w:rsid w:val="00A63F49"/>
    <w:rsid w:val="00A64356"/>
    <w:rsid w:val="00A6436F"/>
    <w:rsid w:val="00A6448A"/>
    <w:rsid w:val="00A64608"/>
    <w:rsid w:val="00A649B2"/>
    <w:rsid w:val="00A64A03"/>
    <w:rsid w:val="00A64FD0"/>
    <w:rsid w:val="00A650F3"/>
    <w:rsid w:val="00A6561F"/>
    <w:rsid w:val="00A657FD"/>
    <w:rsid w:val="00A658D4"/>
    <w:rsid w:val="00A65B73"/>
    <w:rsid w:val="00A65C66"/>
    <w:rsid w:val="00A65E03"/>
    <w:rsid w:val="00A65E3C"/>
    <w:rsid w:val="00A66258"/>
    <w:rsid w:val="00A662D0"/>
    <w:rsid w:val="00A662DC"/>
    <w:rsid w:val="00A662FE"/>
    <w:rsid w:val="00A66411"/>
    <w:rsid w:val="00A66615"/>
    <w:rsid w:val="00A66C91"/>
    <w:rsid w:val="00A66D45"/>
    <w:rsid w:val="00A6707E"/>
    <w:rsid w:val="00A670BF"/>
    <w:rsid w:val="00A6716D"/>
    <w:rsid w:val="00A67D06"/>
    <w:rsid w:val="00A700E9"/>
    <w:rsid w:val="00A70253"/>
    <w:rsid w:val="00A70427"/>
    <w:rsid w:val="00A70993"/>
    <w:rsid w:val="00A70FF1"/>
    <w:rsid w:val="00A71DD0"/>
    <w:rsid w:val="00A71DE4"/>
    <w:rsid w:val="00A71EC1"/>
    <w:rsid w:val="00A71FE4"/>
    <w:rsid w:val="00A72443"/>
    <w:rsid w:val="00A7260F"/>
    <w:rsid w:val="00A72BA8"/>
    <w:rsid w:val="00A72BC6"/>
    <w:rsid w:val="00A72D98"/>
    <w:rsid w:val="00A72DE7"/>
    <w:rsid w:val="00A72FA6"/>
    <w:rsid w:val="00A730F4"/>
    <w:rsid w:val="00A73401"/>
    <w:rsid w:val="00A7346A"/>
    <w:rsid w:val="00A734A3"/>
    <w:rsid w:val="00A73923"/>
    <w:rsid w:val="00A73A5C"/>
    <w:rsid w:val="00A73AB2"/>
    <w:rsid w:val="00A73C50"/>
    <w:rsid w:val="00A73DB2"/>
    <w:rsid w:val="00A74C88"/>
    <w:rsid w:val="00A74E46"/>
    <w:rsid w:val="00A74E4F"/>
    <w:rsid w:val="00A750BD"/>
    <w:rsid w:val="00A75161"/>
    <w:rsid w:val="00A75295"/>
    <w:rsid w:val="00A759E0"/>
    <w:rsid w:val="00A75AF5"/>
    <w:rsid w:val="00A75D99"/>
    <w:rsid w:val="00A75EEB"/>
    <w:rsid w:val="00A7630C"/>
    <w:rsid w:val="00A7637E"/>
    <w:rsid w:val="00A76408"/>
    <w:rsid w:val="00A76600"/>
    <w:rsid w:val="00A7661D"/>
    <w:rsid w:val="00A7694F"/>
    <w:rsid w:val="00A76B50"/>
    <w:rsid w:val="00A76DEE"/>
    <w:rsid w:val="00A76E6D"/>
    <w:rsid w:val="00A76E85"/>
    <w:rsid w:val="00A76E9F"/>
    <w:rsid w:val="00A76F1C"/>
    <w:rsid w:val="00A770A5"/>
    <w:rsid w:val="00A77295"/>
    <w:rsid w:val="00A773A3"/>
    <w:rsid w:val="00A77708"/>
    <w:rsid w:val="00A7770D"/>
    <w:rsid w:val="00A77803"/>
    <w:rsid w:val="00A779FF"/>
    <w:rsid w:val="00A77B02"/>
    <w:rsid w:val="00A77CBF"/>
    <w:rsid w:val="00A77DBD"/>
    <w:rsid w:val="00A77EE5"/>
    <w:rsid w:val="00A77F2A"/>
    <w:rsid w:val="00A80204"/>
    <w:rsid w:val="00A8040A"/>
    <w:rsid w:val="00A804C4"/>
    <w:rsid w:val="00A80675"/>
    <w:rsid w:val="00A80799"/>
    <w:rsid w:val="00A80FBE"/>
    <w:rsid w:val="00A810C3"/>
    <w:rsid w:val="00A813DB"/>
    <w:rsid w:val="00A817CD"/>
    <w:rsid w:val="00A818EB"/>
    <w:rsid w:val="00A8232A"/>
    <w:rsid w:val="00A8249F"/>
    <w:rsid w:val="00A825C4"/>
    <w:rsid w:val="00A82677"/>
    <w:rsid w:val="00A826BA"/>
    <w:rsid w:val="00A82C40"/>
    <w:rsid w:val="00A82C89"/>
    <w:rsid w:val="00A82E37"/>
    <w:rsid w:val="00A830AF"/>
    <w:rsid w:val="00A83142"/>
    <w:rsid w:val="00A8326D"/>
    <w:rsid w:val="00A8360E"/>
    <w:rsid w:val="00A83840"/>
    <w:rsid w:val="00A838B7"/>
    <w:rsid w:val="00A83A71"/>
    <w:rsid w:val="00A83AAE"/>
    <w:rsid w:val="00A83CDF"/>
    <w:rsid w:val="00A83E2D"/>
    <w:rsid w:val="00A83E9F"/>
    <w:rsid w:val="00A83F24"/>
    <w:rsid w:val="00A84152"/>
    <w:rsid w:val="00A84667"/>
    <w:rsid w:val="00A846A9"/>
    <w:rsid w:val="00A84913"/>
    <w:rsid w:val="00A84AF8"/>
    <w:rsid w:val="00A84D4D"/>
    <w:rsid w:val="00A84E39"/>
    <w:rsid w:val="00A85338"/>
    <w:rsid w:val="00A85412"/>
    <w:rsid w:val="00A8592A"/>
    <w:rsid w:val="00A85AD4"/>
    <w:rsid w:val="00A85B17"/>
    <w:rsid w:val="00A85BFA"/>
    <w:rsid w:val="00A85D7A"/>
    <w:rsid w:val="00A86004"/>
    <w:rsid w:val="00A860BD"/>
    <w:rsid w:val="00A8619A"/>
    <w:rsid w:val="00A86302"/>
    <w:rsid w:val="00A8659D"/>
    <w:rsid w:val="00A867AF"/>
    <w:rsid w:val="00A86838"/>
    <w:rsid w:val="00A86982"/>
    <w:rsid w:val="00A86AC7"/>
    <w:rsid w:val="00A87010"/>
    <w:rsid w:val="00A87168"/>
    <w:rsid w:val="00A872AA"/>
    <w:rsid w:val="00A8734B"/>
    <w:rsid w:val="00A87475"/>
    <w:rsid w:val="00A87AD2"/>
    <w:rsid w:val="00A87B37"/>
    <w:rsid w:val="00A87B5A"/>
    <w:rsid w:val="00A90100"/>
    <w:rsid w:val="00A90304"/>
    <w:rsid w:val="00A9035F"/>
    <w:rsid w:val="00A90496"/>
    <w:rsid w:val="00A905A8"/>
    <w:rsid w:val="00A90717"/>
    <w:rsid w:val="00A90772"/>
    <w:rsid w:val="00A9081C"/>
    <w:rsid w:val="00A90F88"/>
    <w:rsid w:val="00A90FAC"/>
    <w:rsid w:val="00A91164"/>
    <w:rsid w:val="00A91443"/>
    <w:rsid w:val="00A9158A"/>
    <w:rsid w:val="00A918C7"/>
    <w:rsid w:val="00A91D29"/>
    <w:rsid w:val="00A91F35"/>
    <w:rsid w:val="00A91FA2"/>
    <w:rsid w:val="00A92141"/>
    <w:rsid w:val="00A9230E"/>
    <w:rsid w:val="00A924D6"/>
    <w:rsid w:val="00A9255F"/>
    <w:rsid w:val="00A9259B"/>
    <w:rsid w:val="00A92738"/>
    <w:rsid w:val="00A92789"/>
    <w:rsid w:val="00A929AA"/>
    <w:rsid w:val="00A929F3"/>
    <w:rsid w:val="00A92A99"/>
    <w:rsid w:val="00A92FE3"/>
    <w:rsid w:val="00A9339A"/>
    <w:rsid w:val="00A93429"/>
    <w:rsid w:val="00A93871"/>
    <w:rsid w:val="00A939F4"/>
    <w:rsid w:val="00A93C3C"/>
    <w:rsid w:val="00A93E80"/>
    <w:rsid w:val="00A946EF"/>
    <w:rsid w:val="00A947BE"/>
    <w:rsid w:val="00A94A7E"/>
    <w:rsid w:val="00A94DD9"/>
    <w:rsid w:val="00A94DF6"/>
    <w:rsid w:val="00A95349"/>
    <w:rsid w:val="00A955D1"/>
    <w:rsid w:val="00A957BB"/>
    <w:rsid w:val="00A95AA9"/>
    <w:rsid w:val="00A95B05"/>
    <w:rsid w:val="00A95C1A"/>
    <w:rsid w:val="00A95E74"/>
    <w:rsid w:val="00A95FD8"/>
    <w:rsid w:val="00A962B7"/>
    <w:rsid w:val="00A96533"/>
    <w:rsid w:val="00A96567"/>
    <w:rsid w:val="00A9665D"/>
    <w:rsid w:val="00A96B21"/>
    <w:rsid w:val="00A96E0A"/>
    <w:rsid w:val="00A96F8D"/>
    <w:rsid w:val="00A96F8F"/>
    <w:rsid w:val="00A9757D"/>
    <w:rsid w:val="00A97683"/>
    <w:rsid w:val="00A97A18"/>
    <w:rsid w:val="00A97B54"/>
    <w:rsid w:val="00A97C93"/>
    <w:rsid w:val="00A97F4D"/>
    <w:rsid w:val="00AA006F"/>
    <w:rsid w:val="00AA04D7"/>
    <w:rsid w:val="00AA07C7"/>
    <w:rsid w:val="00AA081D"/>
    <w:rsid w:val="00AA0A94"/>
    <w:rsid w:val="00AA0ABE"/>
    <w:rsid w:val="00AA0AF8"/>
    <w:rsid w:val="00AA1586"/>
    <w:rsid w:val="00AA1753"/>
    <w:rsid w:val="00AA1763"/>
    <w:rsid w:val="00AA1E11"/>
    <w:rsid w:val="00AA2410"/>
    <w:rsid w:val="00AA2566"/>
    <w:rsid w:val="00AA276B"/>
    <w:rsid w:val="00AA27C5"/>
    <w:rsid w:val="00AA2AB9"/>
    <w:rsid w:val="00AA2E47"/>
    <w:rsid w:val="00AA2F01"/>
    <w:rsid w:val="00AA2F68"/>
    <w:rsid w:val="00AA39C1"/>
    <w:rsid w:val="00AA3AD0"/>
    <w:rsid w:val="00AA3BB7"/>
    <w:rsid w:val="00AA3DC1"/>
    <w:rsid w:val="00AA43FE"/>
    <w:rsid w:val="00AA45BE"/>
    <w:rsid w:val="00AA4980"/>
    <w:rsid w:val="00AA49A8"/>
    <w:rsid w:val="00AA4B3B"/>
    <w:rsid w:val="00AA4C9C"/>
    <w:rsid w:val="00AA5159"/>
    <w:rsid w:val="00AA52C5"/>
    <w:rsid w:val="00AA55C8"/>
    <w:rsid w:val="00AA5682"/>
    <w:rsid w:val="00AA56EA"/>
    <w:rsid w:val="00AA5917"/>
    <w:rsid w:val="00AA5928"/>
    <w:rsid w:val="00AA5B72"/>
    <w:rsid w:val="00AA5C17"/>
    <w:rsid w:val="00AA5DBB"/>
    <w:rsid w:val="00AA5FA3"/>
    <w:rsid w:val="00AA6237"/>
    <w:rsid w:val="00AA62B7"/>
    <w:rsid w:val="00AA631E"/>
    <w:rsid w:val="00AA63B9"/>
    <w:rsid w:val="00AA6D39"/>
    <w:rsid w:val="00AA6F7E"/>
    <w:rsid w:val="00AA6FEB"/>
    <w:rsid w:val="00AA7123"/>
    <w:rsid w:val="00AA7293"/>
    <w:rsid w:val="00AA7666"/>
    <w:rsid w:val="00AA7681"/>
    <w:rsid w:val="00AA774E"/>
    <w:rsid w:val="00AA7802"/>
    <w:rsid w:val="00AA7FB3"/>
    <w:rsid w:val="00AA7FDD"/>
    <w:rsid w:val="00AB025D"/>
    <w:rsid w:val="00AB037C"/>
    <w:rsid w:val="00AB0525"/>
    <w:rsid w:val="00AB0806"/>
    <w:rsid w:val="00AB0887"/>
    <w:rsid w:val="00AB0CDC"/>
    <w:rsid w:val="00AB0D69"/>
    <w:rsid w:val="00AB117B"/>
    <w:rsid w:val="00AB11CB"/>
    <w:rsid w:val="00AB1404"/>
    <w:rsid w:val="00AB1944"/>
    <w:rsid w:val="00AB1ABB"/>
    <w:rsid w:val="00AB1C4E"/>
    <w:rsid w:val="00AB1C8A"/>
    <w:rsid w:val="00AB26A9"/>
    <w:rsid w:val="00AB2828"/>
    <w:rsid w:val="00AB2901"/>
    <w:rsid w:val="00AB2CF1"/>
    <w:rsid w:val="00AB2D5B"/>
    <w:rsid w:val="00AB2E83"/>
    <w:rsid w:val="00AB30DC"/>
    <w:rsid w:val="00AB31FA"/>
    <w:rsid w:val="00AB3341"/>
    <w:rsid w:val="00AB3360"/>
    <w:rsid w:val="00AB35BC"/>
    <w:rsid w:val="00AB36FE"/>
    <w:rsid w:val="00AB38BA"/>
    <w:rsid w:val="00AB39E5"/>
    <w:rsid w:val="00AB3A3A"/>
    <w:rsid w:val="00AB3B0B"/>
    <w:rsid w:val="00AB3C94"/>
    <w:rsid w:val="00AB3D4B"/>
    <w:rsid w:val="00AB3D9D"/>
    <w:rsid w:val="00AB3EFB"/>
    <w:rsid w:val="00AB41B5"/>
    <w:rsid w:val="00AB4228"/>
    <w:rsid w:val="00AB4275"/>
    <w:rsid w:val="00AB44C5"/>
    <w:rsid w:val="00AB48A6"/>
    <w:rsid w:val="00AB490B"/>
    <w:rsid w:val="00AB4A44"/>
    <w:rsid w:val="00AB504E"/>
    <w:rsid w:val="00AB53F5"/>
    <w:rsid w:val="00AB57CB"/>
    <w:rsid w:val="00AB5862"/>
    <w:rsid w:val="00AB5A11"/>
    <w:rsid w:val="00AB5A24"/>
    <w:rsid w:val="00AB6449"/>
    <w:rsid w:val="00AB657D"/>
    <w:rsid w:val="00AB67A9"/>
    <w:rsid w:val="00AB6B98"/>
    <w:rsid w:val="00AB77BE"/>
    <w:rsid w:val="00AB7B78"/>
    <w:rsid w:val="00AB7B7E"/>
    <w:rsid w:val="00AB7D1E"/>
    <w:rsid w:val="00AC0041"/>
    <w:rsid w:val="00AC0123"/>
    <w:rsid w:val="00AC0494"/>
    <w:rsid w:val="00AC0797"/>
    <w:rsid w:val="00AC0B21"/>
    <w:rsid w:val="00AC0C6D"/>
    <w:rsid w:val="00AC14DB"/>
    <w:rsid w:val="00AC1709"/>
    <w:rsid w:val="00AC1A4D"/>
    <w:rsid w:val="00AC1AC0"/>
    <w:rsid w:val="00AC1B00"/>
    <w:rsid w:val="00AC1F20"/>
    <w:rsid w:val="00AC20AD"/>
    <w:rsid w:val="00AC22A7"/>
    <w:rsid w:val="00AC22DC"/>
    <w:rsid w:val="00AC2394"/>
    <w:rsid w:val="00AC2558"/>
    <w:rsid w:val="00AC25CA"/>
    <w:rsid w:val="00AC2724"/>
    <w:rsid w:val="00AC2727"/>
    <w:rsid w:val="00AC2758"/>
    <w:rsid w:val="00AC2EFD"/>
    <w:rsid w:val="00AC36BB"/>
    <w:rsid w:val="00AC36F9"/>
    <w:rsid w:val="00AC3730"/>
    <w:rsid w:val="00AC3A57"/>
    <w:rsid w:val="00AC3A6B"/>
    <w:rsid w:val="00AC3B5B"/>
    <w:rsid w:val="00AC3CD0"/>
    <w:rsid w:val="00AC3D2D"/>
    <w:rsid w:val="00AC4034"/>
    <w:rsid w:val="00AC4050"/>
    <w:rsid w:val="00AC4099"/>
    <w:rsid w:val="00AC40A5"/>
    <w:rsid w:val="00AC427D"/>
    <w:rsid w:val="00AC4304"/>
    <w:rsid w:val="00AC4A48"/>
    <w:rsid w:val="00AC4AA5"/>
    <w:rsid w:val="00AC4B7E"/>
    <w:rsid w:val="00AC4BC6"/>
    <w:rsid w:val="00AC4C35"/>
    <w:rsid w:val="00AC504B"/>
    <w:rsid w:val="00AC5451"/>
    <w:rsid w:val="00AC5576"/>
    <w:rsid w:val="00AC5720"/>
    <w:rsid w:val="00AC5D21"/>
    <w:rsid w:val="00AC5D59"/>
    <w:rsid w:val="00AC5DC7"/>
    <w:rsid w:val="00AC5DFE"/>
    <w:rsid w:val="00AC60B4"/>
    <w:rsid w:val="00AC62CD"/>
    <w:rsid w:val="00AC641A"/>
    <w:rsid w:val="00AC65E5"/>
    <w:rsid w:val="00AC6691"/>
    <w:rsid w:val="00AC6A8A"/>
    <w:rsid w:val="00AC6A9A"/>
    <w:rsid w:val="00AC73E1"/>
    <w:rsid w:val="00AC7883"/>
    <w:rsid w:val="00AC7FCB"/>
    <w:rsid w:val="00AD01E7"/>
    <w:rsid w:val="00AD0291"/>
    <w:rsid w:val="00AD03DD"/>
    <w:rsid w:val="00AD0615"/>
    <w:rsid w:val="00AD06EA"/>
    <w:rsid w:val="00AD0711"/>
    <w:rsid w:val="00AD0784"/>
    <w:rsid w:val="00AD08D5"/>
    <w:rsid w:val="00AD0971"/>
    <w:rsid w:val="00AD0976"/>
    <w:rsid w:val="00AD0A60"/>
    <w:rsid w:val="00AD0C96"/>
    <w:rsid w:val="00AD1236"/>
    <w:rsid w:val="00AD12F4"/>
    <w:rsid w:val="00AD16F0"/>
    <w:rsid w:val="00AD1815"/>
    <w:rsid w:val="00AD1DFD"/>
    <w:rsid w:val="00AD1E94"/>
    <w:rsid w:val="00AD23D9"/>
    <w:rsid w:val="00AD2431"/>
    <w:rsid w:val="00AD2795"/>
    <w:rsid w:val="00AD2C8C"/>
    <w:rsid w:val="00AD2D9E"/>
    <w:rsid w:val="00AD2F8D"/>
    <w:rsid w:val="00AD315B"/>
    <w:rsid w:val="00AD331E"/>
    <w:rsid w:val="00AD3AF2"/>
    <w:rsid w:val="00AD3B32"/>
    <w:rsid w:val="00AD3DC2"/>
    <w:rsid w:val="00AD4244"/>
    <w:rsid w:val="00AD437E"/>
    <w:rsid w:val="00AD45CD"/>
    <w:rsid w:val="00AD4944"/>
    <w:rsid w:val="00AD4C77"/>
    <w:rsid w:val="00AD4D77"/>
    <w:rsid w:val="00AD4E65"/>
    <w:rsid w:val="00AD56FB"/>
    <w:rsid w:val="00AD595A"/>
    <w:rsid w:val="00AD5B63"/>
    <w:rsid w:val="00AD5D0A"/>
    <w:rsid w:val="00AD5D33"/>
    <w:rsid w:val="00AD5E26"/>
    <w:rsid w:val="00AD5E54"/>
    <w:rsid w:val="00AD6250"/>
    <w:rsid w:val="00AD6490"/>
    <w:rsid w:val="00AD64C0"/>
    <w:rsid w:val="00AD64D2"/>
    <w:rsid w:val="00AD6777"/>
    <w:rsid w:val="00AD692B"/>
    <w:rsid w:val="00AD6A1C"/>
    <w:rsid w:val="00AD716D"/>
    <w:rsid w:val="00AD798C"/>
    <w:rsid w:val="00AD7DB6"/>
    <w:rsid w:val="00AD7EFD"/>
    <w:rsid w:val="00AE0198"/>
    <w:rsid w:val="00AE01D8"/>
    <w:rsid w:val="00AE02DB"/>
    <w:rsid w:val="00AE041F"/>
    <w:rsid w:val="00AE0930"/>
    <w:rsid w:val="00AE0CDC"/>
    <w:rsid w:val="00AE0DDD"/>
    <w:rsid w:val="00AE0FD0"/>
    <w:rsid w:val="00AE1230"/>
    <w:rsid w:val="00AE1A7E"/>
    <w:rsid w:val="00AE1A95"/>
    <w:rsid w:val="00AE1C22"/>
    <w:rsid w:val="00AE1D7A"/>
    <w:rsid w:val="00AE1EEC"/>
    <w:rsid w:val="00AE24F8"/>
    <w:rsid w:val="00AE2A20"/>
    <w:rsid w:val="00AE2D8C"/>
    <w:rsid w:val="00AE2D95"/>
    <w:rsid w:val="00AE2FB4"/>
    <w:rsid w:val="00AE321F"/>
    <w:rsid w:val="00AE32D5"/>
    <w:rsid w:val="00AE34D9"/>
    <w:rsid w:val="00AE3878"/>
    <w:rsid w:val="00AE38B7"/>
    <w:rsid w:val="00AE398F"/>
    <w:rsid w:val="00AE3A37"/>
    <w:rsid w:val="00AE4377"/>
    <w:rsid w:val="00AE4985"/>
    <w:rsid w:val="00AE5075"/>
    <w:rsid w:val="00AE56F4"/>
    <w:rsid w:val="00AE577E"/>
    <w:rsid w:val="00AE57AD"/>
    <w:rsid w:val="00AE5839"/>
    <w:rsid w:val="00AE5BD1"/>
    <w:rsid w:val="00AE5DF5"/>
    <w:rsid w:val="00AE5F6A"/>
    <w:rsid w:val="00AE6021"/>
    <w:rsid w:val="00AE612C"/>
    <w:rsid w:val="00AE61B6"/>
    <w:rsid w:val="00AE6674"/>
    <w:rsid w:val="00AE679B"/>
    <w:rsid w:val="00AE6998"/>
    <w:rsid w:val="00AE6ABA"/>
    <w:rsid w:val="00AE6CFE"/>
    <w:rsid w:val="00AE6D62"/>
    <w:rsid w:val="00AE7563"/>
    <w:rsid w:val="00AE79DC"/>
    <w:rsid w:val="00AE79E4"/>
    <w:rsid w:val="00AE7B35"/>
    <w:rsid w:val="00AE7C2E"/>
    <w:rsid w:val="00AE7D16"/>
    <w:rsid w:val="00AE7D22"/>
    <w:rsid w:val="00AE7E85"/>
    <w:rsid w:val="00AF05F4"/>
    <w:rsid w:val="00AF0618"/>
    <w:rsid w:val="00AF0BE0"/>
    <w:rsid w:val="00AF0CBA"/>
    <w:rsid w:val="00AF0E10"/>
    <w:rsid w:val="00AF0E4C"/>
    <w:rsid w:val="00AF0F39"/>
    <w:rsid w:val="00AF1073"/>
    <w:rsid w:val="00AF145C"/>
    <w:rsid w:val="00AF1608"/>
    <w:rsid w:val="00AF1635"/>
    <w:rsid w:val="00AF1B4F"/>
    <w:rsid w:val="00AF1C9D"/>
    <w:rsid w:val="00AF1D0E"/>
    <w:rsid w:val="00AF1EA6"/>
    <w:rsid w:val="00AF219E"/>
    <w:rsid w:val="00AF2398"/>
    <w:rsid w:val="00AF2649"/>
    <w:rsid w:val="00AF2723"/>
    <w:rsid w:val="00AF273F"/>
    <w:rsid w:val="00AF29BC"/>
    <w:rsid w:val="00AF29CF"/>
    <w:rsid w:val="00AF2F62"/>
    <w:rsid w:val="00AF3131"/>
    <w:rsid w:val="00AF36D3"/>
    <w:rsid w:val="00AF3BF5"/>
    <w:rsid w:val="00AF3EAF"/>
    <w:rsid w:val="00AF4108"/>
    <w:rsid w:val="00AF4378"/>
    <w:rsid w:val="00AF464D"/>
    <w:rsid w:val="00AF4657"/>
    <w:rsid w:val="00AF4B0C"/>
    <w:rsid w:val="00AF4B94"/>
    <w:rsid w:val="00AF4C40"/>
    <w:rsid w:val="00AF4C47"/>
    <w:rsid w:val="00AF4E97"/>
    <w:rsid w:val="00AF4FE2"/>
    <w:rsid w:val="00AF5505"/>
    <w:rsid w:val="00AF5649"/>
    <w:rsid w:val="00AF5720"/>
    <w:rsid w:val="00AF5739"/>
    <w:rsid w:val="00AF596B"/>
    <w:rsid w:val="00AF59EB"/>
    <w:rsid w:val="00AF5CBE"/>
    <w:rsid w:val="00AF5E4E"/>
    <w:rsid w:val="00AF5F8B"/>
    <w:rsid w:val="00AF6184"/>
    <w:rsid w:val="00AF6AB7"/>
    <w:rsid w:val="00AF6BEC"/>
    <w:rsid w:val="00AF7048"/>
    <w:rsid w:val="00AF7742"/>
    <w:rsid w:val="00AF7744"/>
    <w:rsid w:val="00AF7C6A"/>
    <w:rsid w:val="00B0010B"/>
    <w:rsid w:val="00B00302"/>
    <w:rsid w:val="00B0032C"/>
    <w:rsid w:val="00B00497"/>
    <w:rsid w:val="00B0054D"/>
    <w:rsid w:val="00B00AD1"/>
    <w:rsid w:val="00B00ADB"/>
    <w:rsid w:val="00B00B60"/>
    <w:rsid w:val="00B00C19"/>
    <w:rsid w:val="00B00CE6"/>
    <w:rsid w:val="00B00D1C"/>
    <w:rsid w:val="00B013C7"/>
    <w:rsid w:val="00B01456"/>
    <w:rsid w:val="00B015EE"/>
    <w:rsid w:val="00B01754"/>
    <w:rsid w:val="00B01903"/>
    <w:rsid w:val="00B01AF7"/>
    <w:rsid w:val="00B01B90"/>
    <w:rsid w:val="00B01BC0"/>
    <w:rsid w:val="00B01D4C"/>
    <w:rsid w:val="00B01F5E"/>
    <w:rsid w:val="00B02161"/>
    <w:rsid w:val="00B02209"/>
    <w:rsid w:val="00B02338"/>
    <w:rsid w:val="00B02747"/>
    <w:rsid w:val="00B027F5"/>
    <w:rsid w:val="00B030BB"/>
    <w:rsid w:val="00B031A8"/>
    <w:rsid w:val="00B037AB"/>
    <w:rsid w:val="00B03806"/>
    <w:rsid w:val="00B03E13"/>
    <w:rsid w:val="00B041A4"/>
    <w:rsid w:val="00B041FA"/>
    <w:rsid w:val="00B043B2"/>
    <w:rsid w:val="00B045AB"/>
    <w:rsid w:val="00B047B0"/>
    <w:rsid w:val="00B0488E"/>
    <w:rsid w:val="00B04ACD"/>
    <w:rsid w:val="00B04BAB"/>
    <w:rsid w:val="00B04BD3"/>
    <w:rsid w:val="00B04E66"/>
    <w:rsid w:val="00B051A1"/>
    <w:rsid w:val="00B054DF"/>
    <w:rsid w:val="00B0574F"/>
    <w:rsid w:val="00B05AEA"/>
    <w:rsid w:val="00B05D89"/>
    <w:rsid w:val="00B05F0F"/>
    <w:rsid w:val="00B05F89"/>
    <w:rsid w:val="00B0600E"/>
    <w:rsid w:val="00B0627C"/>
    <w:rsid w:val="00B06314"/>
    <w:rsid w:val="00B066B4"/>
    <w:rsid w:val="00B068F5"/>
    <w:rsid w:val="00B06C5D"/>
    <w:rsid w:val="00B06F48"/>
    <w:rsid w:val="00B0718B"/>
    <w:rsid w:val="00B0767A"/>
    <w:rsid w:val="00B0774A"/>
    <w:rsid w:val="00B077BD"/>
    <w:rsid w:val="00B0792B"/>
    <w:rsid w:val="00B07BC5"/>
    <w:rsid w:val="00B07CD2"/>
    <w:rsid w:val="00B1016B"/>
    <w:rsid w:val="00B1049E"/>
    <w:rsid w:val="00B104DC"/>
    <w:rsid w:val="00B1063C"/>
    <w:rsid w:val="00B1083B"/>
    <w:rsid w:val="00B10867"/>
    <w:rsid w:val="00B11046"/>
    <w:rsid w:val="00B11258"/>
    <w:rsid w:val="00B1135E"/>
    <w:rsid w:val="00B1152B"/>
    <w:rsid w:val="00B11866"/>
    <w:rsid w:val="00B119C5"/>
    <w:rsid w:val="00B11B91"/>
    <w:rsid w:val="00B11DAE"/>
    <w:rsid w:val="00B11EA0"/>
    <w:rsid w:val="00B1204E"/>
    <w:rsid w:val="00B121B7"/>
    <w:rsid w:val="00B12324"/>
    <w:rsid w:val="00B126FD"/>
    <w:rsid w:val="00B12749"/>
    <w:rsid w:val="00B128AF"/>
    <w:rsid w:val="00B12939"/>
    <w:rsid w:val="00B12C06"/>
    <w:rsid w:val="00B12F13"/>
    <w:rsid w:val="00B12FF8"/>
    <w:rsid w:val="00B1307C"/>
    <w:rsid w:val="00B1325D"/>
    <w:rsid w:val="00B1329E"/>
    <w:rsid w:val="00B132C3"/>
    <w:rsid w:val="00B132E7"/>
    <w:rsid w:val="00B13588"/>
    <w:rsid w:val="00B139A7"/>
    <w:rsid w:val="00B13B22"/>
    <w:rsid w:val="00B13D45"/>
    <w:rsid w:val="00B13EE3"/>
    <w:rsid w:val="00B13F84"/>
    <w:rsid w:val="00B14288"/>
    <w:rsid w:val="00B14347"/>
    <w:rsid w:val="00B1459C"/>
    <w:rsid w:val="00B14ABE"/>
    <w:rsid w:val="00B14B20"/>
    <w:rsid w:val="00B14BED"/>
    <w:rsid w:val="00B1508C"/>
    <w:rsid w:val="00B15136"/>
    <w:rsid w:val="00B151B4"/>
    <w:rsid w:val="00B156A9"/>
    <w:rsid w:val="00B156FE"/>
    <w:rsid w:val="00B1592E"/>
    <w:rsid w:val="00B15B8F"/>
    <w:rsid w:val="00B15ED1"/>
    <w:rsid w:val="00B1604B"/>
    <w:rsid w:val="00B1632A"/>
    <w:rsid w:val="00B163DB"/>
    <w:rsid w:val="00B165E0"/>
    <w:rsid w:val="00B16697"/>
    <w:rsid w:val="00B16719"/>
    <w:rsid w:val="00B16768"/>
    <w:rsid w:val="00B16841"/>
    <w:rsid w:val="00B16862"/>
    <w:rsid w:val="00B1696A"/>
    <w:rsid w:val="00B16B99"/>
    <w:rsid w:val="00B17142"/>
    <w:rsid w:val="00B175B9"/>
    <w:rsid w:val="00B176B4"/>
    <w:rsid w:val="00B17757"/>
    <w:rsid w:val="00B1790D"/>
    <w:rsid w:val="00B17F3F"/>
    <w:rsid w:val="00B17F48"/>
    <w:rsid w:val="00B200BE"/>
    <w:rsid w:val="00B20194"/>
    <w:rsid w:val="00B206B5"/>
    <w:rsid w:val="00B2092C"/>
    <w:rsid w:val="00B20A47"/>
    <w:rsid w:val="00B20C82"/>
    <w:rsid w:val="00B20D2E"/>
    <w:rsid w:val="00B20E5C"/>
    <w:rsid w:val="00B20E99"/>
    <w:rsid w:val="00B20E9D"/>
    <w:rsid w:val="00B210AD"/>
    <w:rsid w:val="00B21315"/>
    <w:rsid w:val="00B218E1"/>
    <w:rsid w:val="00B219FD"/>
    <w:rsid w:val="00B21AC0"/>
    <w:rsid w:val="00B21B82"/>
    <w:rsid w:val="00B221AD"/>
    <w:rsid w:val="00B225CE"/>
    <w:rsid w:val="00B228DD"/>
    <w:rsid w:val="00B229A4"/>
    <w:rsid w:val="00B22CF0"/>
    <w:rsid w:val="00B22F65"/>
    <w:rsid w:val="00B2329F"/>
    <w:rsid w:val="00B2330A"/>
    <w:rsid w:val="00B2363B"/>
    <w:rsid w:val="00B236A2"/>
    <w:rsid w:val="00B2382B"/>
    <w:rsid w:val="00B23889"/>
    <w:rsid w:val="00B23942"/>
    <w:rsid w:val="00B23A3A"/>
    <w:rsid w:val="00B2409D"/>
    <w:rsid w:val="00B243E2"/>
    <w:rsid w:val="00B24420"/>
    <w:rsid w:val="00B24452"/>
    <w:rsid w:val="00B24477"/>
    <w:rsid w:val="00B244CD"/>
    <w:rsid w:val="00B247B8"/>
    <w:rsid w:val="00B24840"/>
    <w:rsid w:val="00B24CDF"/>
    <w:rsid w:val="00B24E10"/>
    <w:rsid w:val="00B250E2"/>
    <w:rsid w:val="00B253AF"/>
    <w:rsid w:val="00B25670"/>
    <w:rsid w:val="00B258D0"/>
    <w:rsid w:val="00B258FF"/>
    <w:rsid w:val="00B25D6C"/>
    <w:rsid w:val="00B25F03"/>
    <w:rsid w:val="00B26011"/>
    <w:rsid w:val="00B261D4"/>
    <w:rsid w:val="00B2624D"/>
    <w:rsid w:val="00B262F5"/>
    <w:rsid w:val="00B26985"/>
    <w:rsid w:val="00B26B48"/>
    <w:rsid w:val="00B26DC2"/>
    <w:rsid w:val="00B26FAB"/>
    <w:rsid w:val="00B271D5"/>
    <w:rsid w:val="00B271DC"/>
    <w:rsid w:val="00B272B0"/>
    <w:rsid w:val="00B27303"/>
    <w:rsid w:val="00B27457"/>
    <w:rsid w:val="00B27679"/>
    <w:rsid w:val="00B27827"/>
    <w:rsid w:val="00B27977"/>
    <w:rsid w:val="00B279DB"/>
    <w:rsid w:val="00B27F55"/>
    <w:rsid w:val="00B3013A"/>
    <w:rsid w:val="00B30346"/>
    <w:rsid w:val="00B303CD"/>
    <w:rsid w:val="00B304E6"/>
    <w:rsid w:val="00B3054B"/>
    <w:rsid w:val="00B3058C"/>
    <w:rsid w:val="00B30723"/>
    <w:rsid w:val="00B30A9B"/>
    <w:rsid w:val="00B30C71"/>
    <w:rsid w:val="00B30C7E"/>
    <w:rsid w:val="00B30DD3"/>
    <w:rsid w:val="00B31585"/>
    <w:rsid w:val="00B31599"/>
    <w:rsid w:val="00B31A72"/>
    <w:rsid w:val="00B31E07"/>
    <w:rsid w:val="00B31E82"/>
    <w:rsid w:val="00B32658"/>
    <w:rsid w:val="00B327B0"/>
    <w:rsid w:val="00B329E4"/>
    <w:rsid w:val="00B32D2C"/>
    <w:rsid w:val="00B32F69"/>
    <w:rsid w:val="00B33260"/>
    <w:rsid w:val="00B34690"/>
    <w:rsid w:val="00B34D4C"/>
    <w:rsid w:val="00B34DB0"/>
    <w:rsid w:val="00B35158"/>
    <w:rsid w:val="00B35CDD"/>
    <w:rsid w:val="00B35D22"/>
    <w:rsid w:val="00B35D76"/>
    <w:rsid w:val="00B3658A"/>
    <w:rsid w:val="00B36AC3"/>
    <w:rsid w:val="00B36EA9"/>
    <w:rsid w:val="00B37215"/>
    <w:rsid w:val="00B37369"/>
    <w:rsid w:val="00B374BF"/>
    <w:rsid w:val="00B3765A"/>
    <w:rsid w:val="00B376A9"/>
    <w:rsid w:val="00B3795C"/>
    <w:rsid w:val="00B379E9"/>
    <w:rsid w:val="00B37B75"/>
    <w:rsid w:val="00B37C88"/>
    <w:rsid w:val="00B40085"/>
    <w:rsid w:val="00B400CB"/>
    <w:rsid w:val="00B40728"/>
    <w:rsid w:val="00B40878"/>
    <w:rsid w:val="00B40C3A"/>
    <w:rsid w:val="00B40F4C"/>
    <w:rsid w:val="00B412D7"/>
    <w:rsid w:val="00B41303"/>
    <w:rsid w:val="00B4157F"/>
    <w:rsid w:val="00B4165A"/>
    <w:rsid w:val="00B41676"/>
    <w:rsid w:val="00B41942"/>
    <w:rsid w:val="00B41AF0"/>
    <w:rsid w:val="00B41B94"/>
    <w:rsid w:val="00B41CC2"/>
    <w:rsid w:val="00B41CCE"/>
    <w:rsid w:val="00B41EA1"/>
    <w:rsid w:val="00B42172"/>
    <w:rsid w:val="00B428FA"/>
    <w:rsid w:val="00B4296F"/>
    <w:rsid w:val="00B42ADA"/>
    <w:rsid w:val="00B42CD1"/>
    <w:rsid w:val="00B43194"/>
    <w:rsid w:val="00B4357B"/>
    <w:rsid w:val="00B439FF"/>
    <w:rsid w:val="00B43B72"/>
    <w:rsid w:val="00B43B82"/>
    <w:rsid w:val="00B43C64"/>
    <w:rsid w:val="00B43CBD"/>
    <w:rsid w:val="00B43DB7"/>
    <w:rsid w:val="00B43FAB"/>
    <w:rsid w:val="00B43FB2"/>
    <w:rsid w:val="00B43FCC"/>
    <w:rsid w:val="00B441DF"/>
    <w:rsid w:val="00B444D2"/>
    <w:rsid w:val="00B44654"/>
    <w:rsid w:val="00B44925"/>
    <w:rsid w:val="00B449B8"/>
    <w:rsid w:val="00B44D20"/>
    <w:rsid w:val="00B44DE9"/>
    <w:rsid w:val="00B44EA1"/>
    <w:rsid w:val="00B4507D"/>
    <w:rsid w:val="00B45428"/>
    <w:rsid w:val="00B454EE"/>
    <w:rsid w:val="00B4551E"/>
    <w:rsid w:val="00B456B6"/>
    <w:rsid w:val="00B457FD"/>
    <w:rsid w:val="00B45942"/>
    <w:rsid w:val="00B45F4D"/>
    <w:rsid w:val="00B4632F"/>
    <w:rsid w:val="00B463B7"/>
    <w:rsid w:val="00B46488"/>
    <w:rsid w:val="00B4666C"/>
    <w:rsid w:val="00B467C8"/>
    <w:rsid w:val="00B46A31"/>
    <w:rsid w:val="00B472BE"/>
    <w:rsid w:val="00B47840"/>
    <w:rsid w:val="00B47DD0"/>
    <w:rsid w:val="00B47EB9"/>
    <w:rsid w:val="00B50035"/>
    <w:rsid w:val="00B502E3"/>
    <w:rsid w:val="00B503F5"/>
    <w:rsid w:val="00B50DBF"/>
    <w:rsid w:val="00B50E53"/>
    <w:rsid w:val="00B512AB"/>
    <w:rsid w:val="00B5149A"/>
    <w:rsid w:val="00B517D3"/>
    <w:rsid w:val="00B52673"/>
    <w:rsid w:val="00B528B8"/>
    <w:rsid w:val="00B52CCD"/>
    <w:rsid w:val="00B52DF7"/>
    <w:rsid w:val="00B53149"/>
    <w:rsid w:val="00B53179"/>
    <w:rsid w:val="00B531F6"/>
    <w:rsid w:val="00B533E6"/>
    <w:rsid w:val="00B5358C"/>
    <w:rsid w:val="00B535A6"/>
    <w:rsid w:val="00B535CB"/>
    <w:rsid w:val="00B53E72"/>
    <w:rsid w:val="00B5445D"/>
    <w:rsid w:val="00B5460E"/>
    <w:rsid w:val="00B5493D"/>
    <w:rsid w:val="00B54A6C"/>
    <w:rsid w:val="00B54C1C"/>
    <w:rsid w:val="00B55071"/>
    <w:rsid w:val="00B5536D"/>
    <w:rsid w:val="00B553DB"/>
    <w:rsid w:val="00B553E6"/>
    <w:rsid w:val="00B55420"/>
    <w:rsid w:val="00B554C6"/>
    <w:rsid w:val="00B5578B"/>
    <w:rsid w:val="00B55D72"/>
    <w:rsid w:val="00B565C8"/>
    <w:rsid w:val="00B566AA"/>
    <w:rsid w:val="00B56B16"/>
    <w:rsid w:val="00B56D91"/>
    <w:rsid w:val="00B56DBB"/>
    <w:rsid w:val="00B57992"/>
    <w:rsid w:val="00B579A3"/>
    <w:rsid w:val="00B57FA5"/>
    <w:rsid w:val="00B60136"/>
    <w:rsid w:val="00B60196"/>
    <w:rsid w:val="00B602F3"/>
    <w:rsid w:val="00B60307"/>
    <w:rsid w:val="00B60805"/>
    <w:rsid w:val="00B60B06"/>
    <w:rsid w:val="00B60C7F"/>
    <w:rsid w:val="00B60C9A"/>
    <w:rsid w:val="00B60F41"/>
    <w:rsid w:val="00B61010"/>
    <w:rsid w:val="00B61274"/>
    <w:rsid w:val="00B6130C"/>
    <w:rsid w:val="00B61B09"/>
    <w:rsid w:val="00B61D97"/>
    <w:rsid w:val="00B61DEF"/>
    <w:rsid w:val="00B6207A"/>
    <w:rsid w:val="00B6212E"/>
    <w:rsid w:val="00B626DF"/>
    <w:rsid w:val="00B6280F"/>
    <w:rsid w:val="00B62AC4"/>
    <w:rsid w:val="00B62ACF"/>
    <w:rsid w:val="00B62B14"/>
    <w:rsid w:val="00B62C38"/>
    <w:rsid w:val="00B63367"/>
    <w:rsid w:val="00B633B8"/>
    <w:rsid w:val="00B63654"/>
    <w:rsid w:val="00B6380A"/>
    <w:rsid w:val="00B63915"/>
    <w:rsid w:val="00B63E2F"/>
    <w:rsid w:val="00B64043"/>
    <w:rsid w:val="00B640A0"/>
    <w:rsid w:val="00B643E0"/>
    <w:rsid w:val="00B644FF"/>
    <w:rsid w:val="00B64561"/>
    <w:rsid w:val="00B647B5"/>
    <w:rsid w:val="00B64C65"/>
    <w:rsid w:val="00B650DC"/>
    <w:rsid w:val="00B6513F"/>
    <w:rsid w:val="00B65513"/>
    <w:rsid w:val="00B65DF6"/>
    <w:rsid w:val="00B660C3"/>
    <w:rsid w:val="00B66189"/>
    <w:rsid w:val="00B66539"/>
    <w:rsid w:val="00B66981"/>
    <w:rsid w:val="00B66985"/>
    <w:rsid w:val="00B669F3"/>
    <w:rsid w:val="00B66B2F"/>
    <w:rsid w:val="00B66BB4"/>
    <w:rsid w:val="00B66C23"/>
    <w:rsid w:val="00B66CC9"/>
    <w:rsid w:val="00B66EEE"/>
    <w:rsid w:val="00B6700E"/>
    <w:rsid w:val="00B670D0"/>
    <w:rsid w:val="00B671BC"/>
    <w:rsid w:val="00B67394"/>
    <w:rsid w:val="00B67418"/>
    <w:rsid w:val="00B67460"/>
    <w:rsid w:val="00B67501"/>
    <w:rsid w:val="00B67562"/>
    <w:rsid w:val="00B678FC"/>
    <w:rsid w:val="00B679E0"/>
    <w:rsid w:val="00B67CDB"/>
    <w:rsid w:val="00B67F82"/>
    <w:rsid w:val="00B70408"/>
    <w:rsid w:val="00B70824"/>
    <w:rsid w:val="00B70BD4"/>
    <w:rsid w:val="00B70C4F"/>
    <w:rsid w:val="00B71099"/>
    <w:rsid w:val="00B71180"/>
    <w:rsid w:val="00B71197"/>
    <w:rsid w:val="00B711EB"/>
    <w:rsid w:val="00B7149F"/>
    <w:rsid w:val="00B714A0"/>
    <w:rsid w:val="00B715D1"/>
    <w:rsid w:val="00B716CE"/>
    <w:rsid w:val="00B717F0"/>
    <w:rsid w:val="00B71CD3"/>
    <w:rsid w:val="00B72032"/>
    <w:rsid w:val="00B720DB"/>
    <w:rsid w:val="00B72245"/>
    <w:rsid w:val="00B722FF"/>
    <w:rsid w:val="00B72308"/>
    <w:rsid w:val="00B7256B"/>
    <w:rsid w:val="00B726CC"/>
    <w:rsid w:val="00B726E5"/>
    <w:rsid w:val="00B72940"/>
    <w:rsid w:val="00B72DC6"/>
    <w:rsid w:val="00B73006"/>
    <w:rsid w:val="00B73037"/>
    <w:rsid w:val="00B73376"/>
    <w:rsid w:val="00B735CA"/>
    <w:rsid w:val="00B73747"/>
    <w:rsid w:val="00B737AF"/>
    <w:rsid w:val="00B73DB9"/>
    <w:rsid w:val="00B73F62"/>
    <w:rsid w:val="00B743FF"/>
    <w:rsid w:val="00B744FB"/>
    <w:rsid w:val="00B7454E"/>
    <w:rsid w:val="00B74595"/>
    <w:rsid w:val="00B746DD"/>
    <w:rsid w:val="00B74730"/>
    <w:rsid w:val="00B748C9"/>
    <w:rsid w:val="00B74B51"/>
    <w:rsid w:val="00B74CE9"/>
    <w:rsid w:val="00B74D5B"/>
    <w:rsid w:val="00B74F42"/>
    <w:rsid w:val="00B74F68"/>
    <w:rsid w:val="00B74F76"/>
    <w:rsid w:val="00B75074"/>
    <w:rsid w:val="00B750C6"/>
    <w:rsid w:val="00B752EB"/>
    <w:rsid w:val="00B753D5"/>
    <w:rsid w:val="00B75683"/>
    <w:rsid w:val="00B7576A"/>
    <w:rsid w:val="00B75912"/>
    <w:rsid w:val="00B75BF8"/>
    <w:rsid w:val="00B75C80"/>
    <w:rsid w:val="00B75D0E"/>
    <w:rsid w:val="00B75D53"/>
    <w:rsid w:val="00B75F1C"/>
    <w:rsid w:val="00B7612F"/>
    <w:rsid w:val="00B76181"/>
    <w:rsid w:val="00B762BB"/>
    <w:rsid w:val="00B764C9"/>
    <w:rsid w:val="00B7667B"/>
    <w:rsid w:val="00B768A5"/>
    <w:rsid w:val="00B76958"/>
    <w:rsid w:val="00B76B74"/>
    <w:rsid w:val="00B76FB1"/>
    <w:rsid w:val="00B77133"/>
    <w:rsid w:val="00B771A6"/>
    <w:rsid w:val="00B779EA"/>
    <w:rsid w:val="00B77C35"/>
    <w:rsid w:val="00B77C69"/>
    <w:rsid w:val="00B77E54"/>
    <w:rsid w:val="00B77F89"/>
    <w:rsid w:val="00B800B3"/>
    <w:rsid w:val="00B805EE"/>
    <w:rsid w:val="00B80785"/>
    <w:rsid w:val="00B8079F"/>
    <w:rsid w:val="00B80913"/>
    <w:rsid w:val="00B80B6D"/>
    <w:rsid w:val="00B80CD3"/>
    <w:rsid w:val="00B80EA6"/>
    <w:rsid w:val="00B8175E"/>
    <w:rsid w:val="00B819D4"/>
    <w:rsid w:val="00B81BA0"/>
    <w:rsid w:val="00B81E68"/>
    <w:rsid w:val="00B81EAD"/>
    <w:rsid w:val="00B822F0"/>
    <w:rsid w:val="00B82586"/>
    <w:rsid w:val="00B8354E"/>
    <w:rsid w:val="00B8377A"/>
    <w:rsid w:val="00B837DC"/>
    <w:rsid w:val="00B83B6A"/>
    <w:rsid w:val="00B83BA0"/>
    <w:rsid w:val="00B83D40"/>
    <w:rsid w:val="00B83E12"/>
    <w:rsid w:val="00B83F6D"/>
    <w:rsid w:val="00B83F81"/>
    <w:rsid w:val="00B841BB"/>
    <w:rsid w:val="00B842E1"/>
    <w:rsid w:val="00B845CB"/>
    <w:rsid w:val="00B847C4"/>
    <w:rsid w:val="00B8480F"/>
    <w:rsid w:val="00B84970"/>
    <w:rsid w:val="00B84BBD"/>
    <w:rsid w:val="00B84CB0"/>
    <w:rsid w:val="00B84D30"/>
    <w:rsid w:val="00B84EC1"/>
    <w:rsid w:val="00B850C5"/>
    <w:rsid w:val="00B8516D"/>
    <w:rsid w:val="00B852E5"/>
    <w:rsid w:val="00B85529"/>
    <w:rsid w:val="00B85536"/>
    <w:rsid w:val="00B85827"/>
    <w:rsid w:val="00B8584C"/>
    <w:rsid w:val="00B859AE"/>
    <w:rsid w:val="00B85A46"/>
    <w:rsid w:val="00B8613F"/>
    <w:rsid w:val="00B861D6"/>
    <w:rsid w:val="00B8655F"/>
    <w:rsid w:val="00B86903"/>
    <w:rsid w:val="00B86976"/>
    <w:rsid w:val="00B86C5D"/>
    <w:rsid w:val="00B86D7A"/>
    <w:rsid w:val="00B86E59"/>
    <w:rsid w:val="00B86F07"/>
    <w:rsid w:val="00B8716B"/>
    <w:rsid w:val="00B8733A"/>
    <w:rsid w:val="00B87737"/>
    <w:rsid w:val="00B8796F"/>
    <w:rsid w:val="00B87F45"/>
    <w:rsid w:val="00B9053A"/>
    <w:rsid w:val="00B9057B"/>
    <w:rsid w:val="00B9097A"/>
    <w:rsid w:val="00B90AE5"/>
    <w:rsid w:val="00B90C51"/>
    <w:rsid w:val="00B91237"/>
    <w:rsid w:val="00B912BC"/>
    <w:rsid w:val="00B91438"/>
    <w:rsid w:val="00B9152E"/>
    <w:rsid w:val="00B91610"/>
    <w:rsid w:val="00B91631"/>
    <w:rsid w:val="00B9164F"/>
    <w:rsid w:val="00B91751"/>
    <w:rsid w:val="00B91B07"/>
    <w:rsid w:val="00B91B0E"/>
    <w:rsid w:val="00B91EF8"/>
    <w:rsid w:val="00B91FDE"/>
    <w:rsid w:val="00B92193"/>
    <w:rsid w:val="00B9279C"/>
    <w:rsid w:val="00B92B84"/>
    <w:rsid w:val="00B92B88"/>
    <w:rsid w:val="00B92BC6"/>
    <w:rsid w:val="00B92C05"/>
    <w:rsid w:val="00B92D01"/>
    <w:rsid w:val="00B92DA3"/>
    <w:rsid w:val="00B92F1A"/>
    <w:rsid w:val="00B9317F"/>
    <w:rsid w:val="00B93253"/>
    <w:rsid w:val="00B9329B"/>
    <w:rsid w:val="00B93305"/>
    <w:rsid w:val="00B93784"/>
    <w:rsid w:val="00B938C6"/>
    <w:rsid w:val="00B93C99"/>
    <w:rsid w:val="00B93D2B"/>
    <w:rsid w:val="00B93DD2"/>
    <w:rsid w:val="00B93FE5"/>
    <w:rsid w:val="00B94103"/>
    <w:rsid w:val="00B9423A"/>
    <w:rsid w:val="00B9447A"/>
    <w:rsid w:val="00B94595"/>
    <w:rsid w:val="00B945C3"/>
    <w:rsid w:val="00B945E1"/>
    <w:rsid w:val="00B94C04"/>
    <w:rsid w:val="00B94C92"/>
    <w:rsid w:val="00B94CBB"/>
    <w:rsid w:val="00B94F60"/>
    <w:rsid w:val="00B9558D"/>
    <w:rsid w:val="00B96040"/>
    <w:rsid w:val="00B96076"/>
    <w:rsid w:val="00B96161"/>
    <w:rsid w:val="00B961CB"/>
    <w:rsid w:val="00B961E8"/>
    <w:rsid w:val="00B965E7"/>
    <w:rsid w:val="00B967D7"/>
    <w:rsid w:val="00B96892"/>
    <w:rsid w:val="00B96C15"/>
    <w:rsid w:val="00B96C1C"/>
    <w:rsid w:val="00B96CBF"/>
    <w:rsid w:val="00B96F55"/>
    <w:rsid w:val="00B97179"/>
    <w:rsid w:val="00B97197"/>
    <w:rsid w:val="00B97487"/>
    <w:rsid w:val="00B975AC"/>
    <w:rsid w:val="00B97832"/>
    <w:rsid w:val="00B9792A"/>
    <w:rsid w:val="00B97BAA"/>
    <w:rsid w:val="00B97F31"/>
    <w:rsid w:val="00B97F74"/>
    <w:rsid w:val="00BA027D"/>
    <w:rsid w:val="00BA02F9"/>
    <w:rsid w:val="00BA03EE"/>
    <w:rsid w:val="00BA099C"/>
    <w:rsid w:val="00BA0B71"/>
    <w:rsid w:val="00BA0C2E"/>
    <w:rsid w:val="00BA0D69"/>
    <w:rsid w:val="00BA0F7D"/>
    <w:rsid w:val="00BA1017"/>
    <w:rsid w:val="00BA10E0"/>
    <w:rsid w:val="00BA15E2"/>
    <w:rsid w:val="00BA17F0"/>
    <w:rsid w:val="00BA180F"/>
    <w:rsid w:val="00BA1A8A"/>
    <w:rsid w:val="00BA1ABE"/>
    <w:rsid w:val="00BA22FE"/>
    <w:rsid w:val="00BA236D"/>
    <w:rsid w:val="00BA26A8"/>
    <w:rsid w:val="00BA29BE"/>
    <w:rsid w:val="00BA2B98"/>
    <w:rsid w:val="00BA2CBB"/>
    <w:rsid w:val="00BA2DF3"/>
    <w:rsid w:val="00BA2E8A"/>
    <w:rsid w:val="00BA3229"/>
    <w:rsid w:val="00BA338B"/>
    <w:rsid w:val="00BA33DF"/>
    <w:rsid w:val="00BA349F"/>
    <w:rsid w:val="00BA3A31"/>
    <w:rsid w:val="00BA3B3D"/>
    <w:rsid w:val="00BA3C8A"/>
    <w:rsid w:val="00BA3DBD"/>
    <w:rsid w:val="00BA3F31"/>
    <w:rsid w:val="00BA4376"/>
    <w:rsid w:val="00BA4517"/>
    <w:rsid w:val="00BA477F"/>
    <w:rsid w:val="00BA4B18"/>
    <w:rsid w:val="00BA4B6B"/>
    <w:rsid w:val="00BA4B9F"/>
    <w:rsid w:val="00BA4BEB"/>
    <w:rsid w:val="00BA4EEC"/>
    <w:rsid w:val="00BA542A"/>
    <w:rsid w:val="00BA54BE"/>
    <w:rsid w:val="00BA59DE"/>
    <w:rsid w:val="00BA5A2C"/>
    <w:rsid w:val="00BA5B93"/>
    <w:rsid w:val="00BA5E1C"/>
    <w:rsid w:val="00BA5E1F"/>
    <w:rsid w:val="00BA5ECE"/>
    <w:rsid w:val="00BA617D"/>
    <w:rsid w:val="00BA62F3"/>
    <w:rsid w:val="00BA6404"/>
    <w:rsid w:val="00BA69F2"/>
    <w:rsid w:val="00BA6A55"/>
    <w:rsid w:val="00BA6B60"/>
    <w:rsid w:val="00BA6D04"/>
    <w:rsid w:val="00BA6D49"/>
    <w:rsid w:val="00BA76E8"/>
    <w:rsid w:val="00BB006D"/>
    <w:rsid w:val="00BB015D"/>
    <w:rsid w:val="00BB01CA"/>
    <w:rsid w:val="00BB0253"/>
    <w:rsid w:val="00BB08BC"/>
    <w:rsid w:val="00BB0D87"/>
    <w:rsid w:val="00BB10A4"/>
    <w:rsid w:val="00BB1279"/>
    <w:rsid w:val="00BB17A9"/>
    <w:rsid w:val="00BB1827"/>
    <w:rsid w:val="00BB19E2"/>
    <w:rsid w:val="00BB1B18"/>
    <w:rsid w:val="00BB1BE0"/>
    <w:rsid w:val="00BB21F9"/>
    <w:rsid w:val="00BB2299"/>
    <w:rsid w:val="00BB23C2"/>
    <w:rsid w:val="00BB28A5"/>
    <w:rsid w:val="00BB2AE1"/>
    <w:rsid w:val="00BB2AF9"/>
    <w:rsid w:val="00BB2B38"/>
    <w:rsid w:val="00BB2D22"/>
    <w:rsid w:val="00BB2F15"/>
    <w:rsid w:val="00BB3B3A"/>
    <w:rsid w:val="00BB3B3D"/>
    <w:rsid w:val="00BB3D3E"/>
    <w:rsid w:val="00BB3E3C"/>
    <w:rsid w:val="00BB3E5F"/>
    <w:rsid w:val="00BB41B1"/>
    <w:rsid w:val="00BB4B9D"/>
    <w:rsid w:val="00BB4E67"/>
    <w:rsid w:val="00BB4ED8"/>
    <w:rsid w:val="00BB5037"/>
    <w:rsid w:val="00BB51F3"/>
    <w:rsid w:val="00BB52CF"/>
    <w:rsid w:val="00BB59C3"/>
    <w:rsid w:val="00BB5A44"/>
    <w:rsid w:val="00BB5B58"/>
    <w:rsid w:val="00BB5BE8"/>
    <w:rsid w:val="00BB5EB6"/>
    <w:rsid w:val="00BB5F45"/>
    <w:rsid w:val="00BB6011"/>
    <w:rsid w:val="00BB630B"/>
    <w:rsid w:val="00BB6445"/>
    <w:rsid w:val="00BB6487"/>
    <w:rsid w:val="00BB6588"/>
    <w:rsid w:val="00BB67C9"/>
    <w:rsid w:val="00BB69A7"/>
    <w:rsid w:val="00BB6B6E"/>
    <w:rsid w:val="00BB6BBB"/>
    <w:rsid w:val="00BB6EDC"/>
    <w:rsid w:val="00BB6FD6"/>
    <w:rsid w:val="00BB715C"/>
    <w:rsid w:val="00BB7291"/>
    <w:rsid w:val="00BB7B1F"/>
    <w:rsid w:val="00BB7C33"/>
    <w:rsid w:val="00BC002D"/>
    <w:rsid w:val="00BC00DA"/>
    <w:rsid w:val="00BC010B"/>
    <w:rsid w:val="00BC028C"/>
    <w:rsid w:val="00BC02B9"/>
    <w:rsid w:val="00BC030F"/>
    <w:rsid w:val="00BC0334"/>
    <w:rsid w:val="00BC04D0"/>
    <w:rsid w:val="00BC05D2"/>
    <w:rsid w:val="00BC06D4"/>
    <w:rsid w:val="00BC0CDB"/>
    <w:rsid w:val="00BC0D4F"/>
    <w:rsid w:val="00BC0E16"/>
    <w:rsid w:val="00BC0F97"/>
    <w:rsid w:val="00BC120E"/>
    <w:rsid w:val="00BC1481"/>
    <w:rsid w:val="00BC1736"/>
    <w:rsid w:val="00BC1756"/>
    <w:rsid w:val="00BC1CFA"/>
    <w:rsid w:val="00BC1CFC"/>
    <w:rsid w:val="00BC1EE6"/>
    <w:rsid w:val="00BC1EEB"/>
    <w:rsid w:val="00BC1F19"/>
    <w:rsid w:val="00BC1F32"/>
    <w:rsid w:val="00BC2070"/>
    <w:rsid w:val="00BC2100"/>
    <w:rsid w:val="00BC2316"/>
    <w:rsid w:val="00BC2717"/>
    <w:rsid w:val="00BC2A22"/>
    <w:rsid w:val="00BC2B4F"/>
    <w:rsid w:val="00BC2BA1"/>
    <w:rsid w:val="00BC3119"/>
    <w:rsid w:val="00BC357C"/>
    <w:rsid w:val="00BC3EFE"/>
    <w:rsid w:val="00BC3F40"/>
    <w:rsid w:val="00BC4122"/>
    <w:rsid w:val="00BC41DD"/>
    <w:rsid w:val="00BC4322"/>
    <w:rsid w:val="00BC4474"/>
    <w:rsid w:val="00BC44AF"/>
    <w:rsid w:val="00BC4585"/>
    <w:rsid w:val="00BC464A"/>
    <w:rsid w:val="00BC4AEF"/>
    <w:rsid w:val="00BC4D30"/>
    <w:rsid w:val="00BC4DF9"/>
    <w:rsid w:val="00BC4E53"/>
    <w:rsid w:val="00BC5006"/>
    <w:rsid w:val="00BC5514"/>
    <w:rsid w:val="00BC556D"/>
    <w:rsid w:val="00BC5B75"/>
    <w:rsid w:val="00BC5E37"/>
    <w:rsid w:val="00BC5EF6"/>
    <w:rsid w:val="00BC654A"/>
    <w:rsid w:val="00BC668D"/>
    <w:rsid w:val="00BC66B9"/>
    <w:rsid w:val="00BC6965"/>
    <w:rsid w:val="00BC6B30"/>
    <w:rsid w:val="00BC6B56"/>
    <w:rsid w:val="00BC6C55"/>
    <w:rsid w:val="00BC6F36"/>
    <w:rsid w:val="00BC70FA"/>
    <w:rsid w:val="00BC736A"/>
    <w:rsid w:val="00BC73E7"/>
    <w:rsid w:val="00BC7BD5"/>
    <w:rsid w:val="00BC7D81"/>
    <w:rsid w:val="00BD0034"/>
    <w:rsid w:val="00BD01C0"/>
    <w:rsid w:val="00BD0514"/>
    <w:rsid w:val="00BD0614"/>
    <w:rsid w:val="00BD0791"/>
    <w:rsid w:val="00BD08FA"/>
    <w:rsid w:val="00BD0934"/>
    <w:rsid w:val="00BD0B6F"/>
    <w:rsid w:val="00BD0BCA"/>
    <w:rsid w:val="00BD0C54"/>
    <w:rsid w:val="00BD0DE7"/>
    <w:rsid w:val="00BD1093"/>
    <w:rsid w:val="00BD112D"/>
    <w:rsid w:val="00BD12D3"/>
    <w:rsid w:val="00BD1426"/>
    <w:rsid w:val="00BD18F4"/>
    <w:rsid w:val="00BD1DA8"/>
    <w:rsid w:val="00BD2054"/>
    <w:rsid w:val="00BD2183"/>
    <w:rsid w:val="00BD2223"/>
    <w:rsid w:val="00BD2235"/>
    <w:rsid w:val="00BD25B3"/>
    <w:rsid w:val="00BD2856"/>
    <w:rsid w:val="00BD28FD"/>
    <w:rsid w:val="00BD303E"/>
    <w:rsid w:val="00BD30D8"/>
    <w:rsid w:val="00BD30F3"/>
    <w:rsid w:val="00BD3595"/>
    <w:rsid w:val="00BD38ED"/>
    <w:rsid w:val="00BD398B"/>
    <w:rsid w:val="00BD3B26"/>
    <w:rsid w:val="00BD3C78"/>
    <w:rsid w:val="00BD42AD"/>
    <w:rsid w:val="00BD458E"/>
    <w:rsid w:val="00BD4A92"/>
    <w:rsid w:val="00BD4ADE"/>
    <w:rsid w:val="00BD4AE4"/>
    <w:rsid w:val="00BD4C59"/>
    <w:rsid w:val="00BD507D"/>
    <w:rsid w:val="00BD525C"/>
    <w:rsid w:val="00BD5613"/>
    <w:rsid w:val="00BD5D4A"/>
    <w:rsid w:val="00BD5E0F"/>
    <w:rsid w:val="00BD60C3"/>
    <w:rsid w:val="00BD6513"/>
    <w:rsid w:val="00BD690C"/>
    <w:rsid w:val="00BD707D"/>
    <w:rsid w:val="00BD75FA"/>
    <w:rsid w:val="00BD776D"/>
    <w:rsid w:val="00BD779C"/>
    <w:rsid w:val="00BD7817"/>
    <w:rsid w:val="00BD7C34"/>
    <w:rsid w:val="00BE01A4"/>
    <w:rsid w:val="00BE01B3"/>
    <w:rsid w:val="00BE06AF"/>
    <w:rsid w:val="00BE071F"/>
    <w:rsid w:val="00BE07B0"/>
    <w:rsid w:val="00BE0883"/>
    <w:rsid w:val="00BE0994"/>
    <w:rsid w:val="00BE0BE4"/>
    <w:rsid w:val="00BE0EF4"/>
    <w:rsid w:val="00BE1192"/>
    <w:rsid w:val="00BE1441"/>
    <w:rsid w:val="00BE15C0"/>
    <w:rsid w:val="00BE1735"/>
    <w:rsid w:val="00BE1959"/>
    <w:rsid w:val="00BE1CAD"/>
    <w:rsid w:val="00BE21CB"/>
    <w:rsid w:val="00BE22C0"/>
    <w:rsid w:val="00BE2362"/>
    <w:rsid w:val="00BE29C3"/>
    <w:rsid w:val="00BE29D1"/>
    <w:rsid w:val="00BE2A46"/>
    <w:rsid w:val="00BE2AE8"/>
    <w:rsid w:val="00BE31CF"/>
    <w:rsid w:val="00BE321B"/>
    <w:rsid w:val="00BE3366"/>
    <w:rsid w:val="00BE338E"/>
    <w:rsid w:val="00BE354A"/>
    <w:rsid w:val="00BE35EF"/>
    <w:rsid w:val="00BE3867"/>
    <w:rsid w:val="00BE40DE"/>
    <w:rsid w:val="00BE4650"/>
    <w:rsid w:val="00BE4692"/>
    <w:rsid w:val="00BE4A5A"/>
    <w:rsid w:val="00BE4A87"/>
    <w:rsid w:val="00BE4BBF"/>
    <w:rsid w:val="00BE4C46"/>
    <w:rsid w:val="00BE4EE9"/>
    <w:rsid w:val="00BE4FD3"/>
    <w:rsid w:val="00BE4FED"/>
    <w:rsid w:val="00BE5523"/>
    <w:rsid w:val="00BE5B74"/>
    <w:rsid w:val="00BE5E53"/>
    <w:rsid w:val="00BE6351"/>
    <w:rsid w:val="00BE6419"/>
    <w:rsid w:val="00BE6784"/>
    <w:rsid w:val="00BE67C2"/>
    <w:rsid w:val="00BE6B85"/>
    <w:rsid w:val="00BE6E0B"/>
    <w:rsid w:val="00BE6F3C"/>
    <w:rsid w:val="00BE6FA6"/>
    <w:rsid w:val="00BE7201"/>
    <w:rsid w:val="00BE72D7"/>
    <w:rsid w:val="00BE72EB"/>
    <w:rsid w:val="00BE74AF"/>
    <w:rsid w:val="00BE753F"/>
    <w:rsid w:val="00BE764C"/>
    <w:rsid w:val="00BE78C0"/>
    <w:rsid w:val="00BE7ADC"/>
    <w:rsid w:val="00BE7BEF"/>
    <w:rsid w:val="00BE7F53"/>
    <w:rsid w:val="00BE7F7E"/>
    <w:rsid w:val="00BE7FDB"/>
    <w:rsid w:val="00BF01C7"/>
    <w:rsid w:val="00BF0AE4"/>
    <w:rsid w:val="00BF0D98"/>
    <w:rsid w:val="00BF1322"/>
    <w:rsid w:val="00BF1540"/>
    <w:rsid w:val="00BF17B7"/>
    <w:rsid w:val="00BF1899"/>
    <w:rsid w:val="00BF1A9B"/>
    <w:rsid w:val="00BF1C22"/>
    <w:rsid w:val="00BF2117"/>
    <w:rsid w:val="00BF21D0"/>
    <w:rsid w:val="00BF2331"/>
    <w:rsid w:val="00BF2572"/>
    <w:rsid w:val="00BF2DB3"/>
    <w:rsid w:val="00BF321F"/>
    <w:rsid w:val="00BF3796"/>
    <w:rsid w:val="00BF39FC"/>
    <w:rsid w:val="00BF3C36"/>
    <w:rsid w:val="00BF3C66"/>
    <w:rsid w:val="00BF3CA6"/>
    <w:rsid w:val="00BF3F56"/>
    <w:rsid w:val="00BF41CD"/>
    <w:rsid w:val="00BF41ED"/>
    <w:rsid w:val="00BF471C"/>
    <w:rsid w:val="00BF48CA"/>
    <w:rsid w:val="00BF49F7"/>
    <w:rsid w:val="00BF5430"/>
    <w:rsid w:val="00BF5576"/>
    <w:rsid w:val="00BF56A5"/>
    <w:rsid w:val="00BF56CA"/>
    <w:rsid w:val="00BF5729"/>
    <w:rsid w:val="00BF573B"/>
    <w:rsid w:val="00BF5895"/>
    <w:rsid w:val="00BF5F11"/>
    <w:rsid w:val="00BF5FBC"/>
    <w:rsid w:val="00BF61D8"/>
    <w:rsid w:val="00BF6338"/>
    <w:rsid w:val="00BF64C5"/>
    <w:rsid w:val="00BF6573"/>
    <w:rsid w:val="00BF6819"/>
    <w:rsid w:val="00BF6922"/>
    <w:rsid w:val="00BF6E19"/>
    <w:rsid w:val="00BF6F38"/>
    <w:rsid w:val="00BF795F"/>
    <w:rsid w:val="00BF79E7"/>
    <w:rsid w:val="00BF7BC9"/>
    <w:rsid w:val="00C0057C"/>
    <w:rsid w:val="00C00AF9"/>
    <w:rsid w:val="00C00F66"/>
    <w:rsid w:val="00C00F9D"/>
    <w:rsid w:val="00C010CE"/>
    <w:rsid w:val="00C015CC"/>
    <w:rsid w:val="00C01A1F"/>
    <w:rsid w:val="00C01AB8"/>
    <w:rsid w:val="00C01B9C"/>
    <w:rsid w:val="00C01D5B"/>
    <w:rsid w:val="00C024CA"/>
    <w:rsid w:val="00C027D9"/>
    <w:rsid w:val="00C02BB8"/>
    <w:rsid w:val="00C02F0F"/>
    <w:rsid w:val="00C02F52"/>
    <w:rsid w:val="00C03019"/>
    <w:rsid w:val="00C0337B"/>
    <w:rsid w:val="00C03415"/>
    <w:rsid w:val="00C034C2"/>
    <w:rsid w:val="00C0353D"/>
    <w:rsid w:val="00C0374B"/>
    <w:rsid w:val="00C037DE"/>
    <w:rsid w:val="00C0392E"/>
    <w:rsid w:val="00C03CF9"/>
    <w:rsid w:val="00C04063"/>
    <w:rsid w:val="00C044F9"/>
    <w:rsid w:val="00C0473D"/>
    <w:rsid w:val="00C048DE"/>
    <w:rsid w:val="00C05196"/>
    <w:rsid w:val="00C05627"/>
    <w:rsid w:val="00C0575A"/>
    <w:rsid w:val="00C05774"/>
    <w:rsid w:val="00C058A4"/>
    <w:rsid w:val="00C05DA4"/>
    <w:rsid w:val="00C05E90"/>
    <w:rsid w:val="00C06987"/>
    <w:rsid w:val="00C0698D"/>
    <w:rsid w:val="00C06C49"/>
    <w:rsid w:val="00C06DB0"/>
    <w:rsid w:val="00C070E5"/>
    <w:rsid w:val="00C07319"/>
    <w:rsid w:val="00C073B8"/>
    <w:rsid w:val="00C0745F"/>
    <w:rsid w:val="00C07628"/>
    <w:rsid w:val="00C07B56"/>
    <w:rsid w:val="00C07EA4"/>
    <w:rsid w:val="00C07EF7"/>
    <w:rsid w:val="00C07FB9"/>
    <w:rsid w:val="00C1008E"/>
    <w:rsid w:val="00C100DE"/>
    <w:rsid w:val="00C102D0"/>
    <w:rsid w:val="00C10937"/>
    <w:rsid w:val="00C10979"/>
    <w:rsid w:val="00C10A5B"/>
    <w:rsid w:val="00C10B80"/>
    <w:rsid w:val="00C10C24"/>
    <w:rsid w:val="00C10DBF"/>
    <w:rsid w:val="00C1145B"/>
    <w:rsid w:val="00C11662"/>
    <w:rsid w:val="00C11944"/>
    <w:rsid w:val="00C11DDA"/>
    <w:rsid w:val="00C11EC5"/>
    <w:rsid w:val="00C11F91"/>
    <w:rsid w:val="00C11FCD"/>
    <w:rsid w:val="00C120C9"/>
    <w:rsid w:val="00C12114"/>
    <w:rsid w:val="00C122C6"/>
    <w:rsid w:val="00C124CC"/>
    <w:rsid w:val="00C12695"/>
    <w:rsid w:val="00C127AA"/>
    <w:rsid w:val="00C1295E"/>
    <w:rsid w:val="00C132DA"/>
    <w:rsid w:val="00C13FBD"/>
    <w:rsid w:val="00C1439E"/>
    <w:rsid w:val="00C1473E"/>
    <w:rsid w:val="00C14CF5"/>
    <w:rsid w:val="00C14DFF"/>
    <w:rsid w:val="00C1503C"/>
    <w:rsid w:val="00C15119"/>
    <w:rsid w:val="00C1523D"/>
    <w:rsid w:val="00C152B1"/>
    <w:rsid w:val="00C153D0"/>
    <w:rsid w:val="00C1544A"/>
    <w:rsid w:val="00C159F8"/>
    <w:rsid w:val="00C15BC6"/>
    <w:rsid w:val="00C15EED"/>
    <w:rsid w:val="00C1647B"/>
    <w:rsid w:val="00C1649C"/>
    <w:rsid w:val="00C166A4"/>
    <w:rsid w:val="00C16AC5"/>
    <w:rsid w:val="00C17175"/>
    <w:rsid w:val="00C17313"/>
    <w:rsid w:val="00C174D1"/>
    <w:rsid w:val="00C17572"/>
    <w:rsid w:val="00C17DB3"/>
    <w:rsid w:val="00C2066D"/>
    <w:rsid w:val="00C2098B"/>
    <w:rsid w:val="00C20A40"/>
    <w:rsid w:val="00C20ADF"/>
    <w:rsid w:val="00C20C6C"/>
    <w:rsid w:val="00C20EA4"/>
    <w:rsid w:val="00C218BD"/>
    <w:rsid w:val="00C21A18"/>
    <w:rsid w:val="00C21D63"/>
    <w:rsid w:val="00C22158"/>
    <w:rsid w:val="00C22228"/>
    <w:rsid w:val="00C22733"/>
    <w:rsid w:val="00C227A4"/>
    <w:rsid w:val="00C228D5"/>
    <w:rsid w:val="00C22ABB"/>
    <w:rsid w:val="00C22C33"/>
    <w:rsid w:val="00C22DC2"/>
    <w:rsid w:val="00C22F55"/>
    <w:rsid w:val="00C230B9"/>
    <w:rsid w:val="00C2326C"/>
    <w:rsid w:val="00C2354A"/>
    <w:rsid w:val="00C2355D"/>
    <w:rsid w:val="00C239A8"/>
    <w:rsid w:val="00C23BAD"/>
    <w:rsid w:val="00C24482"/>
    <w:rsid w:val="00C247A3"/>
    <w:rsid w:val="00C2488B"/>
    <w:rsid w:val="00C24A06"/>
    <w:rsid w:val="00C24ED0"/>
    <w:rsid w:val="00C24FB7"/>
    <w:rsid w:val="00C24FC5"/>
    <w:rsid w:val="00C252AC"/>
    <w:rsid w:val="00C252D8"/>
    <w:rsid w:val="00C255B5"/>
    <w:rsid w:val="00C25857"/>
    <w:rsid w:val="00C25895"/>
    <w:rsid w:val="00C25949"/>
    <w:rsid w:val="00C25A2B"/>
    <w:rsid w:val="00C25E99"/>
    <w:rsid w:val="00C2603E"/>
    <w:rsid w:val="00C262A8"/>
    <w:rsid w:val="00C265D3"/>
    <w:rsid w:val="00C26769"/>
    <w:rsid w:val="00C26816"/>
    <w:rsid w:val="00C2683C"/>
    <w:rsid w:val="00C26B46"/>
    <w:rsid w:val="00C26B4E"/>
    <w:rsid w:val="00C26BCC"/>
    <w:rsid w:val="00C26BFF"/>
    <w:rsid w:val="00C26D28"/>
    <w:rsid w:val="00C26F00"/>
    <w:rsid w:val="00C26F52"/>
    <w:rsid w:val="00C2722E"/>
    <w:rsid w:val="00C2737C"/>
    <w:rsid w:val="00C27B06"/>
    <w:rsid w:val="00C27FB5"/>
    <w:rsid w:val="00C30056"/>
    <w:rsid w:val="00C30627"/>
    <w:rsid w:val="00C30632"/>
    <w:rsid w:val="00C30688"/>
    <w:rsid w:val="00C3078E"/>
    <w:rsid w:val="00C30833"/>
    <w:rsid w:val="00C308B2"/>
    <w:rsid w:val="00C30A19"/>
    <w:rsid w:val="00C30AD6"/>
    <w:rsid w:val="00C30D6F"/>
    <w:rsid w:val="00C30FE8"/>
    <w:rsid w:val="00C31161"/>
    <w:rsid w:val="00C31429"/>
    <w:rsid w:val="00C31563"/>
    <w:rsid w:val="00C31C2D"/>
    <w:rsid w:val="00C32066"/>
    <w:rsid w:val="00C32462"/>
    <w:rsid w:val="00C32645"/>
    <w:rsid w:val="00C32882"/>
    <w:rsid w:val="00C32B09"/>
    <w:rsid w:val="00C3305C"/>
    <w:rsid w:val="00C33803"/>
    <w:rsid w:val="00C338B5"/>
    <w:rsid w:val="00C3393B"/>
    <w:rsid w:val="00C3407D"/>
    <w:rsid w:val="00C34545"/>
    <w:rsid w:val="00C34574"/>
    <w:rsid w:val="00C346BC"/>
    <w:rsid w:val="00C348C3"/>
    <w:rsid w:val="00C34920"/>
    <w:rsid w:val="00C34CEB"/>
    <w:rsid w:val="00C34DCC"/>
    <w:rsid w:val="00C34DE3"/>
    <w:rsid w:val="00C34F3B"/>
    <w:rsid w:val="00C350FF"/>
    <w:rsid w:val="00C35294"/>
    <w:rsid w:val="00C3566F"/>
    <w:rsid w:val="00C35801"/>
    <w:rsid w:val="00C35851"/>
    <w:rsid w:val="00C35A7A"/>
    <w:rsid w:val="00C35AA9"/>
    <w:rsid w:val="00C35C06"/>
    <w:rsid w:val="00C35F63"/>
    <w:rsid w:val="00C36235"/>
    <w:rsid w:val="00C36335"/>
    <w:rsid w:val="00C36673"/>
    <w:rsid w:val="00C367E4"/>
    <w:rsid w:val="00C36946"/>
    <w:rsid w:val="00C36BF3"/>
    <w:rsid w:val="00C37089"/>
    <w:rsid w:val="00C3728A"/>
    <w:rsid w:val="00C37518"/>
    <w:rsid w:val="00C37785"/>
    <w:rsid w:val="00C37909"/>
    <w:rsid w:val="00C379B9"/>
    <w:rsid w:val="00C37B34"/>
    <w:rsid w:val="00C37C1B"/>
    <w:rsid w:val="00C37D43"/>
    <w:rsid w:val="00C37EDD"/>
    <w:rsid w:val="00C40163"/>
    <w:rsid w:val="00C402B9"/>
    <w:rsid w:val="00C402D3"/>
    <w:rsid w:val="00C404BE"/>
    <w:rsid w:val="00C40609"/>
    <w:rsid w:val="00C40822"/>
    <w:rsid w:val="00C40F2F"/>
    <w:rsid w:val="00C41247"/>
    <w:rsid w:val="00C41311"/>
    <w:rsid w:val="00C41491"/>
    <w:rsid w:val="00C417B8"/>
    <w:rsid w:val="00C42011"/>
    <w:rsid w:val="00C420FD"/>
    <w:rsid w:val="00C42158"/>
    <w:rsid w:val="00C425AC"/>
    <w:rsid w:val="00C42ABD"/>
    <w:rsid w:val="00C42F6A"/>
    <w:rsid w:val="00C432A0"/>
    <w:rsid w:val="00C43517"/>
    <w:rsid w:val="00C435F4"/>
    <w:rsid w:val="00C4369B"/>
    <w:rsid w:val="00C438FD"/>
    <w:rsid w:val="00C4397E"/>
    <w:rsid w:val="00C43A95"/>
    <w:rsid w:val="00C43BC9"/>
    <w:rsid w:val="00C43E52"/>
    <w:rsid w:val="00C43F31"/>
    <w:rsid w:val="00C44117"/>
    <w:rsid w:val="00C443E5"/>
    <w:rsid w:val="00C44BAA"/>
    <w:rsid w:val="00C44C53"/>
    <w:rsid w:val="00C44D79"/>
    <w:rsid w:val="00C44FC4"/>
    <w:rsid w:val="00C44FDB"/>
    <w:rsid w:val="00C45314"/>
    <w:rsid w:val="00C45731"/>
    <w:rsid w:val="00C4590D"/>
    <w:rsid w:val="00C459BC"/>
    <w:rsid w:val="00C45A09"/>
    <w:rsid w:val="00C461B5"/>
    <w:rsid w:val="00C46449"/>
    <w:rsid w:val="00C46505"/>
    <w:rsid w:val="00C4655E"/>
    <w:rsid w:val="00C46599"/>
    <w:rsid w:val="00C465B2"/>
    <w:rsid w:val="00C46936"/>
    <w:rsid w:val="00C46A51"/>
    <w:rsid w:val="00C46DBA"/>
    <w:rsid w:val="00C475CC"/>
    <w:rsid w:val="00C47691"/>
    <w:rsid w:val="00C47881"/>
    <w:rsid w:val="00C47B4B"/>
    <w:rsid w:val="00C47DBD"/>
    <w:rsid w:val="00C47F29"/>
    <w:rsid w:val="00C50093"/>
    <w:rsid w:val="00C50227"/>
    <w:rsid w:val="00C50734"/>
    <w:rsid w:val="00C50850"/>
    <w:rsid w:val="00C50927"/>
    <w:rsid w:val="00C509B9"/>
    <w:rsid w:val="00C50AF0"/>
    <w:rsid w:val="00C50BB6"/>
    <w:rsid w:val="00C50C8C"/>
    <w:rsid w:val="00C50CCD"/>
    <w:rsid w:val="00C50DDA"/>
    <w:rsid w:val="00C511A2"/>
    <w:rsid w:val="00C51210"/>
    <w:rsid w:val="00C51517"/>
    <w:rsid w:val="00C51560"/>
    <w:rsid w:val="00C515B0"/>
    <w:rsid w:val="00C518AF"/>
    <w:rsid w:val="00C51B03"/>
    <w:rsid w:val="00C51D41"/>
    <w:rsid w:val="00C51DD5"/>
    <w:rsid w:val="00C51F10"/>
    <w:rsid w:val="00C51F79"/>
    <w:rsid w:val="00C523F6"/>
    <w:rsid w:val="00C526F2"/>
    <w:rsid w:val="00C532A3"/>
    <w:rsid w:val="00C53363"/>
    <w:rsid w:val="00C53544"/>
    <w:rsid w:val="00C535C2"/>
    <w:rsid w:val="00C535F6"/>
    <w:rsid w:val="00C537CF"/>
    <w:rsid w:val="00C53801"/>
    <w:rsid w:val="00C53982"/>
    <w:rsid w:val="00C53BFE"/>
    <w:rsid w:val="00C53E17"/>
    <w:rsid w:val="00C53FBA"/>
    <w:rsid w:val="00C54107"/>
    <w:rsid w:val="00C54155"/>
    <w:rsid w:val="00C541CE"/>
    <w:rsid w:val="00C5436E"/>
    <w:rsid w:val="00C54B13"/>
    <w:rsid w:val="00C54EE0"/>
    <w:rsid w:val="00C54F4F"/>
    <w:rsid w:val="00C55085"/>
    <w:rsid w:val="00C5533D"/>
    <w:rsid w:val="00C553C4"/>
    <w:rsid w:val="00C55990"/>
    <w:rsid w:val="00C55B14"/>
    <w:rsid w:val="00C55D6C"/>
    <w:rsid w:val="00C55E50"/>
    <w:rsid w:val="00C562F0"/>
    <w:rsid w:val="00C5637C"/>
    <w:rsid w:val="00C565B9"/>
    <w:rsid w:val="00C5677E"/>
    <w:rsid w:val="00C56A9A"/>
    <w:rsid w:val="00C56B5C"/>
    <w:rsid w:val="00C56B99"/>
    <w:rsid w:val="00C56BEF"/>
    <w:rsid w:val="00C56E94"/>
    <w:rsid w:val="00C56FBD"/>
    <w:rsid w:val="00C5706C"/>
    <w:rsid w:val="00C57111"/>
    <w:rsid w:val="00C571DB"/>
    <w:rsid w:val="00C5743E"/>
    <w:rsid w:val="00C57793"/>
    <w:rsid w:val="00C57B1C"/>
    <w:rsid w:val="00C60465"/>
    <w:rsid w:val="00C608A3"/>
    <w:rsid w:val="00C61042"/>
    <w:rsid w:val="00C6105E"/>
    <w:rsid w:val="00C612EF"/>
    <w:rsid w:val="00C61469"/>
    <w:rsid w:val="00C616F7"/>
    <w:rsid w:val="00C61A15"/>
    <w:rsid w:val="00C61C99"/>
    <w:rsid w:val="00C61D29"/>
    <w:rsid w:val="00C61DD6"/>
    <w:rsid w:val="00C61ED1"/>
    <w:rsid w:val="00C61FA0"/>
    <w:rsid w:val="00C62022"/>
    <w:rsid w:val="00C621A1"/>
    <w:rsid w:val="00C621B6"/>
    <w:rsid w:val="00C6224F"/>
    <w:rsid w:val="00C625F7"/>
    <w:rsid w:val="00C62884"/>
    <w:rsid w:val="00C62C88"/>
    <w:rsid w:val="00C62C8D"/>
    <w:rsid w:val="00C62E94"/>
    <w:rsid w:val="00C6314D"/>
    <w:rsid w:val="00C63479"/>
    <w:rsid w:val="00C638B3"/>
    <w:rsid w:val="00C63949"/>
    <w:rsid w:val="00C6409D"/>
    <w:rsid w:val="00C64430"/>
    <w:rsid w:val="00C644CA"/>
    <w:rsid w:val="00C64586"/>
    <w:rsid w:val="00C64767"/>
    <w:rsid w:val="00C648B0"/>
    <w:rsid w:val="00C6525E"/>
    <w:rsid w:val="00C652E9"/>
    <w:rsid w:val="00C65490"/>
    <w:rsid w:val="00C6557D"/>
    <w:rsid w:val="00C655A7"/>
    <w:rsid w:val="00C65767"/>
    <w:rsid w:val="00C65D69"/>
    <w:rsid w:val="00C65F96"/>
    <w:rsid w:val="00C660DC"/>
    <w:rsid w:val="00C665D7"/>
    <w:rsid w:val="00C66745"/>
    <w:rsid w:val="00C66CF0"/>
    <w:rsid w:val="00C67127"/>
    <w:rsid w:val="00C6723A"/>
    <w:rsid w:val="00C67389"/>
    <w:rsid w:val="00C67475"/>
    <w:rsid w:val="00C674A3"/>
    <w:rsid w:val="00C675EC"/>
    <w:rsid w:val="00C6760E"/>
    <w:rsid w:val="00C67A8F"/>
    <w:rsid w:val="00C67BA6"/>
    <w:rsid w:val="00C67BC3"/>
    <w:rsid w:val="00C67CBC"/>
    <w:rsid w:val="00C67CC4"/>
    <w:rsid w:val="00C67D70"/>
    <w:rsid w:val="00C67F02"/>
    <w:rsid w:val="00C7006B"/>
    <w:rsid w:val="00C70327"/>
    <w:rsid w:val="00C7032B"/>
    <w:rsid w:val="00C70333"/>
    <w:rsid w:val="00C70550"/>
    <w:rsid w:val="00C70902"/>
    <w:rsid w:val="00C70A16"/>
    <w:rsid w:val="00C70CB4"/>
    <w:rsid w:val="00C70E5D"/>
    <w:rsid w:val="00C70F03"/>
    <w:rsid w:val="00C711C2"/>
    <w:rsid w:val="00C71381"/>
    <w:rsid w:val="00C71581"/>
    <w:rsid w:val="00C716C9"/>
    <w:rsid w:val="00C719C3"/>
    <w:rsid w:val="00C71A6B"/>
    <w:rsid w:val="00C71DD7"/>
    <w:rsid w:val="00C72442"/>
    <w:rsid w:val="00C726F9"/>
    <w:rsid w:val="00C72726"/>
    <w:rsid w:val="00C727E2"/>
    <w:rsid w:val="00C72815"/>
    <w:rsid w:val="00C72B4F"/>
    <w:rsid w:val="00C73204"/>
    <w:rsid w:val="00C73289"/>
    <w:rsid w:val="00C7364E"/>
    <w:rsid w:val="00C736B5"/>
    <w:rsid w:val="00C737D0"/>
    <w:rsid w:val="00C73AF9"/>
    <w:rsid w:val="00C73BA1"/>
    <w:rsid w:val="00C73EE9"/>
    <w:rsid w:val="00C741BA"/>
    <w:rsid w:val="00C747BE"/>
    <w:rsid w:val="00C74A25"/>
    <w:rsid w:val="00C74C38"/>
    <w:rsid w:val="00C75229"/>
    <w:rsid w:val="00C7580A"/>
    <w:rsid w:val="00C75CE4"/>
    <w:rsid w:val="00C75DC2"/>
    <w:rsid w:val="00C760EA"/>
    <w:rsid w:val="00C76135"/>
    <w:rsid w:val="00C7640F"/>
    <w:rsid w:val="00C7653C"/>
    <w:rsid w:val="00C766C8"/>
    <w:rsid w:val="00C769C6"/>
    <w:rsid w:val="00C76ED0"/>
    <w:rsid w:val="00C7700B"/>
    <w:rsid w:val="00C770C8"/>
    <w:rsid w:val="00C77144"/>
    <w:rsid w:val="00C77183"/>
    <w:rsid w:val="00C771EE"/>
    <w:rsid w:val="00C775AF"/>
    <w:rsid w:val="00C77790"/>
    <w:rsid w:val="00C778C2"/>
    <w:rsid w:val="00C77A2E"/>
    <w:rsid w:val="00C77A90"/>
    <w:rsid w:val="00C77E53"/>
    <w:rsid w:val="00C80024"/>
    <w:rsid w:val="00C80318"/>
    <w:rsid w:val="00C804AD"/>
    <w:rsid w:val="00C804E3"/>
    <w:rsid w:val="00C806D3"/>
    <w:rsid w:val="00C8073A"/>
    <w:rsid w:val="00C80A34"/>
    <w:rsid w:val="00C80BB8"/>
    <w:rsid w:val="00C80BFB"/>
    <w:rsid w:val="00C80C37"/>
    <w:rsid w:val="00C80C79"/>
    <w:rsid w:val="00C80C9A"/>
    <w:rsid w:val="00C80CF1"/>
    <w:rsid w:val="00C80F5C"/>
    <w:rsid w:val="00C81010"/>
    <w:rsid w:val="00C813A8"/>
    <w:rsid w:val="00C813C5"/>
    <w:rsid w:val="00C815C2"/>
    <w:rsid w:val="00C81CC7"/>
    <w:rsid w:val="00C81EC1"/>
    <w:rsid w:val="00C8231F"/>
    <w:rsid w:val="00C824F7"/>
    <w:rsid w:val="00C82BD5"/>
    <w:rsid w:val="00C82E29"/>
    <w:rsid w:val="00C82E92"/>
    <w:rsid w:val="00C82FFB"/>
    <w:rsid w:val="00C833FD"/>
    <w:rsid w:val="00C8352C"/>
    <w:rsid w:val="00C83A1C"/>
    <w:rsid w:val="00C83AC5"/>
    <w:rsid w:val="00C83BE9"/>
    <w:rsid w:val="00C83CE0"/>
    <w:rsid w:val="00C83CEB"/>
    <w:rsid w:val="00C83FC9"/>
    <w:rsid w:val="00C8450E"/>
    <w:rsid w:val="00C845D9"/>
    <w:rsid w:val="00C845FC"/>
    <w:rsid w:val="00C84660"/>
    <w:rsid w:val="00C84838"/>
    <w:rsid w:val="00C84868"/>
    <w:rsid w:val="00C8492C"/>
    <w:rsid w:val="00C849B8"/>
    <w:rsid w:val="00C85181"/>
    <w:rsid w:val="00C85269"/>
    <w:rsid w:val="00C85290"/>
    <w:rsid w:val="00C85471"/>
    <w:rsid w:val="00C854DA"/>
    <w:rsid w:val="00C857A1"/>
    <w:rsid w:val="00C85A28"/>
    <w:rsid w:val="00C85CBB"/>
    <w:rsid w:val="00C85D86"/>
    <w:rsid w:val="00C85EAD"/>
    <w:rsid w:val="00C860B4"/>
    <w:rsid w:val="00C861FC"/>
    <w:rsid w:val="00C8659B"/>
    <w:rsid w:val="00C86CD7"/>
    <w:rsid w:val="00C86E36"/>
    <w:rsid w:val="00C86F06"/>
    <w:rsid w:val="00C8747E"/>
    <w:rsid w:val="00C879CA"/>
    <w:rsid w:val="00C87AA8"/>
    <w:rsid w:val="00C87B40"/>
    <w:rsid w:val="00C87CE1"/>
    <w:rsid w:val="00C87DE6"/>
    <w:rsid w:val="00C87F06"/>
    <w:rsid w:val="00C87FEC"/>
    <w:rsid w:val="00C9021A"/>
    <w:rsid w:val="00C9026E"/>
    <w:rsid w:val="00C902AF"/>
    <w:rsid w:val="00C90407"/>
    <w:rsid w:val="00C904C8"/>
    <w:rsid w:val="00C90845"/>
    <w:rsid w:val="00C90C8C"/>
    <w:rsid w:val="00C915DE"/>
    <w:rsid w:val="00C919F5"/>
    <w:rsid w:val="00C92571"/>
    <w:rsid w:val="00C929DA"/>
    <w:rsid w:val="00C92C96"/>
    <w:rsid w:val="00C92D04"/>
    <w:rsid w:val="00C92D75"/>
    <w:rsid w:val="00C92E01"/>
    <w:rsid w:val="00C92E5B"/>
    <w:rsid w:val="00C92F95"/>
    <w:rsid w:val="00C93109"/>
    <w:rsid w:val="00C936C0"/>
    <w:rsid w:val="00C9398D"/>
    <w:rsid w:val="00C93CB7"/>
    <w:rsid w:val="00C93E4E"/>
    <w:rsid w:val="00C94056"/>
    <w:rsid w:val="00C941B3"/>
    <w:rsid w:val="00C9425D"/>
    <w:rsid w:val="00C94286"/>
    <w:rsid w:val="00C9447A"/>
    <w:rsid w:val="00C94603"/>
    <w:rsid w:val="00C94698"/>
    <w:rsid w:val="00C94AE5"/>
    <w:rsid w:val="00C94B1A"/>
    <w:rsid w:val="00C94C76"/>
    <w:rsid w:val="00C94F34"/>
    <w:rsid w:val="00C94FBC"/>
    <w:rsid w:val="00C953BE"/>
    <w:rsid w:val="00C95661"/>
    <w:rsid w:val="00C95730"/>
    <w:rsid w:val="00C9588E"/>
    <w:rsid w:val="00C9599A"/>
    <w:rsid w:val="00C95A08"/>
    <w:rsid w:val="00C95E74"/>
    <w:rsid w:val="00C95F3B"/>
    <w:rsid w:val="00C95F96"/>
    <w:rsid w:val="00C96661"/>
    <w:rsid w:val="00C9682D"/>
    <w:rsid w:val="00C968BD"/>
    <w:rsid w:val="00C96C79"/>
    <w:rsid w:val="00C96F34"/>
    <w:rsid w:val="00C971AF"/>
    <w:rsid w:val="00C9727A"/>
    <w:rsid w:val="00C975CC"/>
    <w:rsid w:val="00C97D50"/>
    <w:rsid w:val="00C97F1D"/>
    <w:rsid w:val="00C97F75"/>
    <w:rsid w:val="00CA0052"/>
    <w:rsid w:val="00CA0189"/>
    <w:rsid w:val="00CA0407"/>
    <w:rsid w:val="00CA0513"/>
    <w:rsid w:val="00CA06BA"/>
    <w:rsid w:val="00CA08DA"/>
    <w:rsid w:val="00CA0A69"/>
    <w:rsid w:val="00CA0D51"/>
    <w:rsid w:val="00CA0FD4"/>
    <w:rsid w:val="00CA1247"/>
    <w:rsid w:val="00CA1609"/>
    <w:rsid w:val="00CA16B2"/>
    <w:rsid w:val="00CA1A12"/>
    <w:rsid w:val="00CA1B83"/>
    <w:rsid w:val="00CA1FEE"/>
    <w:rsid w:val="00CA204C"/>
    <w:rsid w:val="00CA215B"/>
    <w:rsid w:val="00CA21F2"/>
    <w:rsid w:val="00CA2213"/>
    <w:rsid w:val="00CA223F"/>
    <w:rsid w:val="00CA22A4"/>
    <w:rsid w:val="00CA252C"/>
    <w:rsid w:val="00CA26C8"/>
    <w:rsid w:val="00CA2736"/>
    <w:rsid w:val="00CA275A"/>
    <w:rsid w:val="00CA2B65"/>
    <w:rsid w:val="00CA2E1B"/>
    <w:rsid w:val="00CA2F3F"/>
    <w:rsid w:val="00CA324D"/>
    <w:rsid w:val="00CA3612"/>
    <w:rsid w:val="00CA3759"/>
    <w:rsid w:val="00CA38F4"/>
    <w:rsid w:val="00CA3D0C"/>
    <w:rsid w:val="00CA3DF5"/>
    <w:rsid w:val="00CA3FFC"/>
    <w:rsid w:val="00CA40DA"/>
    <w:rsid w:val="00CA4A7D"/>
    <w:rsid w:val="00CA507D"/>
    <w:rsid w:val="00CA509A"/>
    <w:rsid w:val="00CA51FA"/>
    <w:rsid w:val="00CA5360"/>
    <w:rsid w:val="00CA5420"/>
    <w:rsid w:val="00CA5438"/>
    <w:rsid w:val="00CA5AB2"/>
    <w:rsid w:val="00CA5AC6"/>
    <w:rsid w:val="00CA5C8B"/>
    <w:rsid w:val="00CA5CFA"/>
    <w:rsid w:val="00CA5F41"/>
    <w:rsid w:val="00CA6014"/>
    <w:rsid w:val="00CA6448"/>
    <w:rsid w:val="00CA6E79"/>
    <w:rsid w:val="00CA7558"/>
    <w:rsid w:val="00CA755C"/>
    <w:rsid w:val="00CA765A"/>
    <w:rsid w:val="00CA7974"/>
    <w:rsid w:val="00CA7CE7"/>
    <w:rsid w:val="00CA7D02"/>
    <w:rsid w:val="00CA7E38"/>
    <w:rsid w:val="00CB039C"/>
    <w:rsid w:val="00CB03CC"/>
    <w:rsid w:val="00CB04E6"/>
    <w:rsid w:val="00CB0897"/>
    <w:rsid w:val="00CB08BD"/>
    <w:rsid w:val="00CB0B3F"/>
    <w:rsid w:val="00CB0F0E"/>
    <w:rsid w:val="00CB176D"/>
    <w:rsid w:val="00CB1815"/>
    <w:rsid w:val="00CB19F4"/>
    <w:rsid w:val="00CB1CB6"/>
    <w:rsid w:val="00CB1E59"/>
    <w:rsid w:val="00CB23B5"/>
    <w:rsid w:val="00CB2510"/>
    <w:rsid w:val="00CB2631"/>
    <w:rsid w:val="00CB2B31"/>
    <w:rsid w:val="00CB2B78"/>
    <w:rsid w:val="00CB2BDE"/>
    <w:rsid w:val="00CB2FD0"/>
    <w:rsid w:val="00CB3199"/>
    <w:rsid w:val="00CB4366"/>
    <w:rsid w:val="00CB43D6"/>
    <w:rsid w:val="00CB43DC"/>
    <w:rsid w:val="00CB4792"/>
    <w:rsid w:val="00CB4797"/>
    <w:rsid w:val="00CB4850"/>
    <w:rsid w:val="00CB4A09"/>
    <w:rsid w:val="00CB4ADC"/>
    <w:rsid w:val="00CB4D68"/>
    <w:rsid w:val="00CB4DC9"/>
    <w:rsid w:val="00CB4E30"/>
    <w:rsid w:val="00CB5111"/>
    <w:rsid w:val="00CB55C2"/>
    <w:rsid w:val="00CB565F"/>
    <w:rsid w:val="00CB566F"/>
    <w:rsid w:val="00CB58F1"/>
    <w:rsid w:val="00CB5A20"/>
    <w:rsid w:val="00CB5A79"/>
    <w:rsid w:val="00CB5B6E"/>
    <w:rsid w:val="00CB5C6E"/>
    <w:rsid w:val="00CB5CB1"/>
    <w:rsid w:val="00CB5D87"/>
    <w:rsid w:val="00CB5DD1"/>
    <w:rsid w:val="00CB5E36"/>
    <w:rsid w:val="00CB5ECA"/>
    <w:rsid w:val="00CB6120"/>
    <w:rsid w:val="00CB630E"/>
    <w:rsid w:val="00CB6376"/>
    <w:rsid w:val="00CB63B3"/>
    <w:rsid w:val="00CB65C7"/>
    <w:rsid w:val="00CB668B"/>
    <w:rsid w:val="00CB66A7"/>
    <w:rsid w:val="00CB692C"/>
    <w:rsid w:val="00CB6ADD"/>
    <w:rsid w:val="00CB6E70"/>
    <w:rsid w:val="00CB7437"/>
    <w:rsid w:val="00CB75EB"/>
    <w:rsid w:val="00CB77DC"/>
    <w:rsid w:val="00CB78C5"/>
    <w:rsid w:val="00CC0149"/>
    <w:rsid w:val="00CC0191"/>
    <w:rsid w:val="00CC03E9"/>
    <w:rsid w:val="00CC0587"/>
    <w:rsid w:val="00CC06EA"/>
    <w:rsid w:val="00CC0CF5"/>
    <w:rsid w:val="00CC0D33"/>
    <w:rsid w:val="00CC0DC5"/>
    <w:rsid w:val="00CC0E1D"/>
    <w:rsid w:val="00CC0E9C"/>
    <w:rsid w:val="00CC0F57"/>
    <w:rsid w:val="00CC1273"/>
    <w:rsid w:val="00CC1804"/>
    <w:rsid w:val="00CC189E"/>
    <w:rsid w:val="00CC1B17"/>
    <w:rsid w:val="00CC1EF1"/>
    <w:rsid w:val="00CC203D"/>
    <w:rsid w:val="00CC2099"/>
    <w:rsid w:val="00CC27D9"/>
    <w:rsid w:val="00CC2BB7"/>
    <w:rsid w:val="00CC2C3A"/>
    <w:rsid w:val="00CC2CF0"/>
    <w:rsid w:val="00CC3004"/>
    <w:rsid w:val="00CC3131"/>
    <w:rsid w:val="00CC3241"/>
    <w:rsid w:val="00CC373C"/>
    <w:rsid w:val="00CC3D7D"/>
    <w:rsid w:val="00CC3E2B"/>
    <w:rsid w:val="00CC41B1"/>
    <w:rsid w:val="00CC4214"/>
    <w:rsid w:val="00CC433E"/>
    <w:rsid w:val="00CC4526"/>
    <w:rsid w:val="00CC4774"/>
    <w:rsid w:val="00CC482C"/>
    <w:rsid w:val="00CC4A83"/>
    <w:rsid w:val="00CC4BB8"/>
    <w:rsid w:val="00CC4CA7"/>
    <w:rsid w:val="00CC4CBB"/>
    <w:rsid w:val="00CC4E5B"/>
    <w:rsid w:val="00CC4F4F"/>
    <w:rsid w:val="00CC5016"/>
    <w:rsid w:val="00CC5019"/>
    <w:rsid w:val="00CC5904"/>
    <w:rsid w:val="00CC5929"/>
    <w:rsid w:val="00CC5D20"/>
    <w:rsid w:val="00CC5D60"/>
    <w:rsid w:val="00CC5E41"/>
    <w:rsid w:val="00CC60A5"/>
    <w:rsid w:val="00CC60CB"/>
    <w:rsid w:val="00CC69CF"/>
    <w:rsid w:val="00CC6BD8"/>
    <w:rsid w:val="00CC6CEA"/>
    <w:rsid w:val="00CC6E19"/>
    <w:rsid w:val="00CC6F53"/>
    <w:rsid w:val="00CC715E"/>
    <w:rsid w:val="00CC7482"/>
    <w:rsid w:val="00CC7635"/>
    <w:rsid w:val="00CC784D"/>
    <w:rsid w:val="00CC788B"/>
    <w:rsid w:val="00CC788E"/>
    <w:rsid w:val="00CC78F5"/>
    <w:rsid w:val="00CC7B3D"/>
    <w:rsid w:val="00CC7CE5"/>
    <w:rsid w:val="00CD0189"/>
    <w:rsid w:val="00CD0289"/>
    <w:rsid w:val="00CD05B9"/>
    <w:rsid w:val="00CD0B50"/>
    <w:rsid w:val="00CD0CA0"/>
    <w:rsid w:val="00CD10A4"/>
    <w:rsid w:val="00CD1241"/>
    <w:rsid w:val="00CD1724"/>
    <w:rsid w:val="00CD1E93"/>
    <w:rsid w:val="00CD1FFE"/>
    <w:rsid w:val="00CD2063"/>
    <w:rsid w:val="00CD2099"/>
    <w:rsid w:val="00CD20F8"/>
    <w:rsid w:val="00CD21B9"/>
    <w:rsid w:val="00CD2288"/>
    <w:rsid w:val="00CD231D"/>
    <w:rsid w:val="00CD255C"/>
    <w:rsid w:val="00CD265F"/>
    <w:rsid w:val="00CD271F"/>
    <w:rsid w:val="00CD2C50"/>
    <w:rsid w:val="00CD2C75"/>
    <w:rsid w:val="00CD2DD7"/>
    <w:rsid w:val="00CD2E4D"/>
    <w:rsid w:val="00CD30A3"/>
    <w:rsid w:val="00CD30EE"/>
    <w:rsid w:val="00CD31C7"/>
    <w:rsid w:val="00CD343B"/>
    <w:rsid w:val="00CD37FC"/>
    <w:rsid w:val="00CD3C16"/>
    <w:rsid w:val="00CD3D0F"/>
    <w:rsid w:val="00CD3DA3"/>
    <w:rsid w:val="00CD3DD9"/>
    <w:rsid w:val="00CD3E53"/>
    <w:rsid w:val="00CD3EF8"/>
    <w:rsid w:val="00CD427C"/>
    <w:rsid w:val="00CD4379"/>
    <w:rsid w:val="00CD44C0"/>
    <w:rsid w:val="00CD4504"/>
    <w:rsid w:val="00CD46EA"/>
    <w:rsid w:val="00CD48E0"/>
    <w:rsid w:val="00CD4B8A"/>
    <w:rsid w:val="00CD4CCD"/>
    <w:rsid w:val="00CD4FA8"/>
    <w:rsid w:val="00CD58A6"/>
    <w:rsid w:val="00CD5FE3"/>
    <w:rsid w:val="00CD6021"/>
    <w:rsid w:val="00CD6584"/>
    <w:rsid w:val="00CD67D2"/>
    <w:rsid w:val="00CD68E8"/>
    <w:rsid w:val="00CD6A28"/>
    <w:rsid w:val="00CD6A43"/>
    <w:rsid w:val="00CD6A72"/>
    <w:rsid w:val="00CD6C66"/>
    <w:rsid w:val="00CD6EE3"/>
    <w:rsid w:val="00CD6F3B"/>
    <w:rsid w:val="00CD6F85"/>
    <w:rsid w:val="00CD70B0"/>
    <w:rsid w:val="00CD72FE"/>
    <w:rsid w:val="00CD78EF"/>
    <w:rsid w:val="00CD796B"/>
    <w:rsid w:val="00CD7B87"/>
    <w:rsid w:val="00CD7BB6"/>
    <w:rsid w:val="00CD7D08"/>
    <w:rsid w:val="00CE00CF"/>
    <w:rsid w:val="00CE0520"/>
    <w:rsid w:val="00CE0689"/>
    <w:rsid w:val="00CE0839"/>
    <w:rsid w:val="00CE0C8F"/>
    <w:rsid w:val="00CE1383"/>
    <w:rsid w:val="00CE140A"/>
    <w:rsid w:val="00CE1507"/>
    <w:rsid w:val="00CE16A9"/>
    <w:rsid w:val="00CE16D5"/>
    <w:rsid w:val="00CE1899"/>
    <w:rsid w:val="00CE19D2"/>
    <w:rsid w:val="00CE1A21"/>
    <w:rsid w:val="00CE1C2B"/>
    <w:rsid w:val="00CE2345"/>
    <w:rsid w:val="00CE266E"/>
    <w:rsid w:val="00CE2685"/>
    <w:rsid w:val="00CE26CB"/>
    <w:rsid w:val="00CE274D"/>
    <w:rsid w:val="00CE27C8"/>
    <w:rsid w:val="00CE2AC4"/>
    <w:rsid w:val="00CE2CF9"/>
    <w:rsid w:val="00CE3011"/>
    <w:rsid w:val="00CE32C5"/>
    <w:rsid w:val="00CE3388"/>
    <w:rsid w:val="00CE3811"/>
    <w:rsid w:val="00CE397D"/>
    <w:rsid w:val="00CE3999"/>
    <w:rsid w:val="00CE39FC"/>
    <w:rsid w:val="00CE3AC3"/>
    <w:rsid w:val="00CE3E8F"/>
    <w:rsid w:val="00CE3EA6"/>
    <w:rsid w:val="00CE3F38"/>
    <w:rsid w:val="00CE4092"/>
    <w:rsid w:val="00CE4188"/>
    <w:rsid w:val="00CE46C1"/>
    <w:rsid w:val="00CE47C7"/>
    <w:rsid w:val="00CE5072"/>
    <w:rsid w:val="00CE558B"/>
    <w:rsid w:val="00CE55DB"/>
    <w:rsid w:val="00CE5AD7"/>
    <w:rsid w:val="00CE5CC1"/>
    <w:rsid w:val="00CE6147"/>
    <w:rsid w:val="00CE6690"/>
    <w:rsid w:val="00CE675F"/>
    <w:rsid w:val="00CE6AF7"/>
    <w:rsid w:val="00CE6B6E"/>
    <w:rsid w:val="00CE6D5B"/>
    <w:rsid w:val="00CE714C"/>
    <w:rsid w:val="00CE7319"/>
    <w:rsid w:val="00CE7349"/>
    <w:rsid w:val="00CE7DA9"/>
    <w:rsid w:val="00CE7F8B"/>
    <w:rsid w:val="00CF0255"/>
    <w:rsid w:val="00CF0354"/>
    <w:rsid w:val="00CF0B36"/>
    <w:rsid w:val="00CF0D16"/>
    <w:rsid w:val="00CF0E08"/>
    <w:rsid w:val="00CF0E57"/>
    <w:rsid w:val="00CF0ECE"/>
    <w:rsid w:val="00CF1027"/>
    <w:rsid w:val="00CF1030"/>
    <w:rsid w:val="00CF17C1"/>
    <w:rsid w:val="00CF1A67"/>
    <w:rsid w:val="00CF242C"/>
    <w:rsid w:val="00CF257A"/>
    <w:rsid w:val="00CF264A"/>
    <w:rsid w:val="00CF2906"/>
    <w:rsid w:val="00CF291B"/>
    <w:rsid w:val="00CF29AB"/>
    <w:rsid w:val="00CF2A2D"/>
    <w:rsid w:val="00CF2D96"/>
    <w:rsid w:val="00CF2E84"/>
    <w:rsid w:val="00CF2F19"/>
    <w:rsid w:val="00CF331E"/>
    <w:rsid w:val="00CF3598"/>
    <w:rsid w:val="00CF35DC"/>
    <w:rsid w:val="00CF386B"/>
    <w:rsid w:val="00CF39C3"/>
    <w:rsid w:val="00CF3A86"/>
    <w:rsid w:val="00CF3B67"/>
    <w:rsid w:val="00CF3BA3"/>
    <w:rsid w:val="00CF3BFE"/>
    <w:rsid w:val="00CF3DE9"/>
    <w:rsid w:val="00CF43F4"/>
    <w:rsid w:val="00CF47FF"/>
    <w:rsid w:val="00CF4A29"/>
    <w:rsid w:val="00CF4A77"/>
    <w:rsid w:val="00CF4D8B"/>
    <w:rsid w:val="00CF4E24"/>
    <w:rsid w:val="00CF5053"/>
    <w:rsid w:val="00CF5554"/>
    <w:rsid w:val="00CF55CE"/>
    <w:rsid w:val="00CF5C9D"/>
    <w:rsid w:val="00CF5D1B"/>
    <w:rsid w:val="00CF6284"/>
    <w:rsid w:val="00CF6598"/>
    <w:rsid w:val="00CF65CA"/>
    <w:rsid w:val="00CF6778"/>
    <w:rsid w:val="00CF6933"/>
    <w:rsid w:val="00CF6B0B"/>
    <w:rsid w:val="00CF6B0C"/>
    <w:rsid w:val="00CF6B76"/>
    <w:rsid w:val="00CF6C01"/>
    <w:rsid w:val="00CF6D04"/>
    <w:rsid w:val="00CF6D18"/>
    <w:rsid w:val="00CF6DA0"/>
    <w:rsid w:val="00CF6FE2"/>
    <w:rsid w:val="00CF70AB"/>
    <w:rsid w:val="00CF730B"/>
    <w:rsid w:val="00CF745E"/>
    <w:rsid w:val="00CF7A4E"/>
    <w:rsid w:val="00CF7B6C"/>
    <w:rsid w:val="00CF7D25"/>
    <w:rsid w:val="00CF7E3A"/>
    <w:rsid w:val="00CF7E69"/>
    <w:rsid w:val="00CF7F3A"/>
    <w:rsid w:val="00D00221"/>
    <w:rsid w:val="00D00257"/>
    <w:rsid w:val="00D00265"/>
    <w:rsid w:val="00D005D1"/>
    <w:rsid w:val="00D007D7"/>
    <w:rsid w:val="00D00B84"/>
    <w:rsid w:val="00D00E0A"/>
    <w:rsid w:val="00D00E3E"/>
    <w:rsid w:val="00D00EB7"/>
    <w:rsid w:val="00D00F68"/>
    <w:rsid w:val="00D01137"/>
    <w:rsid w:val="00D01437"/>
    <w:rsid w:val="00D016F2"/>
    <w:rsid w:val="00D01A1D"/>
    <w:rsid w:val="00D01B64"/>
    <w:rsid w:val="00D01C11"/>
    <w:rsid w:val="00D01CAC"/>
    <w:rsid w:val="00D01D54"/>
    <w:rsid w:val="00D01E45"/>
    <w:rsid w:val="00D02543"/>
    <w:rsid w:val="00D02A26"/>
    <w:rsid w:val="00D02C5E"/>
    <w:rsid w:val="00D02E55"/>
    <w:rsid w:val="00D03700"/>
    <w:rsid w:val="00D0383A"/>
    <w:rsid w:val="00D03940"/>
    <w:rsid w:val="00D039AE"/>
    <w:rsid w:val="00D03C28"/>
    <w:rsid w:val="00D03C48"/>
    <w:rsid w:val="00D03CB0"/>
    <w:rsid w:val="00D03D2A"/>
    <w:rsid w:val="00D0413D"/>
    <w:rsid w:val="00D0416D"/>
    <w:rsid w:val="00D04182"/>
    <w:rsid w:val="00D048D9"/>
    <w:rsid w:val="00D04E73"/>
    <w:rsid w:val="00D04F9B"/>
    <w:rsid w:val="00D0535F"/>
    <w:rsid w:val="00D0536A"/>
    <w:rsid w:val="00D05A55"/>
    <w:rsid w:val="00D061E5"/>
    <w:rsid w:val="00D06341"/>
    <w:rsid w:val="00D06A11"/>
    <w:rsid w:val="00D06B1A"/>
    <w:rsid w:val="00D06D81"/>
    <w:rsid w:val="00D06E7B"/>
    <w:rsid w:val="00D06F0D"/>
    <w:rsid w:val="00D06FDD"/>
    <w:rsid w:val="00D070A0"/>
    <w:rsid w:val="00D0714E"/>
    <w:rsid w:val="00D07176"/>
    <w:rsid w:val="00D0764F"/>
    <w:rsid w:val="00D076EE"/>
    <w:rsid w:val="00D07980"/>
    <w:rsid w:val="00D07A64"/>
    <w:rsid w:val="00D07B9D"/>
    <w:rsid w:val="00D07D96"/>
    <w:rsid w:val="00D07ECC"/>
    <w:rsid w:val="00D07FB4"/>
    <w:rsid w:val="00D101B1"/>
    <w:rsid w:val="00D104E6"/>
    <w:rsid w:val="00D10BF3"/>
    <w:rsid w:val="00D10C3C"/>
    <w:rsid w:val="00D10D2E"/>
    <w:rsid w:val="00D10D4E"/>
    <w:rsid w:val="00D10E60"/>
    <w:rsid w:val="00D11486"/>
    <w:rsid w:val="00D11622"/>
    <w:rsid w:val="00D11750"/>
    <w:rsid w:val="00D1176F"/>
    <w:rsid w:val="00D1190F"/>
    <w:rsid w:val="00D11989"/>
    <w:rsid w:val="00D11AF3"/>
    <w:rsid w:val="00D11F1A"/>
    <w:rsid w:val="00D12600"/>
    <w:rsid w:val="00D12CD6"/>
    <w:rsid w:val="00D12D19"/>
    <w:rsid w:val="00D12D9C"/>
    <w:rsid w:val="00D12E5F"/>
    <w:rsid w:val="00D12F5B"/>
    <w:rsid w:val="00D13063"/>
    <w:rsid w:val="00D13396"/>
    <w:rsid w:val="00D13431"/>
    <w:rsid w:val="00D1394B"/>
    <w:rsid w:val="00D13F20"/>
    <w:rsid w:val="00D13FEF"/>
    <w:rsid w:val="00D14396"/>
    <w:rsid w:val="00D143F6"/>
    <w:rsid w:val="00D14444"/>
    <w:rsid w:val="00D144BC"/>
    <w:rsid w:val="00D1459F"/>
    <w:rsid w:val="00D147D7"/>
    <w:rsid w:val="00D14889"/>
    <w:rsid w:val="00D14B69"/>
    <w:rsid w:val="00D14CE8"/>
    <w:rsid w:val="00D15024"/>
    <w:rsid w:val="00D153EB"/>
    <w:rsid w:val="00D1549D"/>
    <w:rsid w:val="00D157B7"/>
    <w:rsid w:val="00D1593C"/>
    <w:rsid w:val="00D15BBF"/>
    <w:rsid w:val="00D15C30"/>
    <w:rsid w:val="00D15C97"/>
    <w:rsid w:val="00D15DDC"/>
    <w:rsid w:val="00D16196"/>
    <w:rsid w:val="00D1659A"/>
    <w:rsid w:val="00D166F6"/>
    <w:rsid w:val="00D16AA6"/>
    <w:rsid w:val="00D16AAE"/>
    <w:rsid w:val="00D16B45"/>
    <w:rsid w:val="00D16C61"/>
    <w:rsid w:val="00D16CB7"/>
    <w:rsid w:val="00D17007"/>
    <w:rsid w:val="00D17031"/>
    <w:rsid w:val="00D175CB"/>
    <w:rsid w:val="00D17A1D"/>
    <w:rsid w:val="00D17C2B"/>
    <w:rsid w:val="00D17E98"/>
    <w:rsid w:val="00D2020A"/>
    <w:rsid w:val="00D202DF"/>
    <w:rsid w:val="00D2036B"/>
    <w:rsid w:val="00D20495"/>
    <w:rsid w:val="00D204A5"/>
    <w:rsid w:val="00D204BE"/>
    <w:rsid w:val="00D20648"/>
    <w:rsid w:val="00D20AAA"/>
    <w:rsid w:val="00D20B16"/>
    <w:rsid w:val="00D20BBB"/>
    <w:rsid w:val="00D20BC8"/>
    <w:rsid w:val="00D20EA1"/>
    <w:rsid w:val="00D212AB"/>
    <w:rsid w:val="00D212D6"/>
    <w:rsid w:val="00D212E4"/>
    <w:rsid w:val="00D21744"/>
    <w:rsid w:val="00D2194D"/>
    <w:rsid w:val="00D21AF5"/>
    <w:rsid w:val="00D21B2F"/>
    <w:rsid w:val="00D21D0C"/>
    <w:rsid w:val="00D21D8D"/>
    <w:rsid w:val="00D222DE"/>
    <w:rsid w:val="00D2252D"/>
    <w:rsid w:val="00D226E1"/>
    <w:rsid w:val="00D22712"/>
    <w:rsid w:val="00D2282E"/>
    <w:rsid w:val="00D2288A"/>
    <w:rsid w:val="00D22982"/>
    <w:rsid w:val="00D22FF5"/>
    <w:rsid w:val="00D23064"/>
    <w:rsid w:val="00D231AE"/>
    <w:rsid w:val="00D231F9"/>
    <w:rsid w:val="00D23274"/>
    <w:rsid w:val="00D233E6"/>
    <w:rsid w:val="00D2340D"/>
    <w:rsid w:val="00D236D5"/>
    <w:rsid w:val="00D23769"/>
    <w:rsid w:val="00D23953"/>
    <w:rsid w:val="00D239FE"/>
    <w:rsid w:val="00D23CC4"/>
    <w:rsid w:val="00D23D25"/>
    <w:rsid w:val="00D23DC9"/>
    <w:rsid w:val="00D23E9C"/>
    <w:rsid w:val="00D23EC8"/>
    <w:rsid w:val="00D23F20"/>
    <w:rsid w:val="00D24507"/>
    <w:rsid w:val="00D24717"/>
    <w:rsid w:val="00D2491F"/>
    <w:rsid w:val="00D24A07"/>
    <w:rsid w:val="00D24B87"/>
    <w:rsid w:val="00D250B9"/>
    <w:rsid w:val="00D2542D"/>
    <w:rsid w:val="00D254CF"/>
    <w:rsid w:val="00D2550C"/>
    <w:rsid w:val="00D25704"/>
    <w:rsid w:val="00D25956"/>
    <w:rsid w:val="00D25BD9"/>
    <w:rsid w:val="00D25BFC"/>
    <w:rsid w:val="00D25F29"/>
    <w:rsid w:val="00D25F39"/>
    <w:rsid w:val="00D262DD"/>
    <w:rsid w:val="00D262FC"/>
    <w:rsid w:val="00D26448"/>
    <w:rsid w:val="00D26610"/>
    <w:rsid w:val="00D26847"/>
    <w:rsid w:val="00D269E7"/>
    <w:rsid w:val="00D26A04"/>
    <w:rsid w:val="00D26E8B"/>
    <w:rsid w:val="00D26E99"/>
    <w:rsid w:val="00D26F98"/>
    <w:rsid w:val="00D270B9"/>
    <w:rsid w:val="00D2758E"/>
    <w:rsid w:val="00D276DF"/>
    <w:rsid w:val="00D27AB3"/>
    <w:rsid w:val="00D27BAF"/>
    <w:rsid w:val="00D27E42"/>
    <w:rsid w:val="00D27E98"/>
    <w:rsid w:val="00D27ED1"/>
    <w:rsid w:val="00D27F35"/>
    <w:rsid w:val="00D3043B"/>
    <w:rsid w:val="00D304A1"/>
    <w:rsid w:val="00D30580"/>
    <w:rsid w:val="00D3059B"/>
    <w:rsid w:val="00D30686"/>
    <w:rsid w:val="00D306FC"/>
    <w:rsid w:val="00D30C8C"/>
    <w:rsid w:val="00D30D7F"/>
    <w:rsid w:val="00D31077"/>
    <w:rsid w:val="00D31180"/>
    <w:rsid w:val="00D31540"/>
    <w:rsid w:val="00D319E0"/>
    <w:rsid w:val="00D31AB7"/>
    <w:rsid w:val="00D31C0B"/>
    <w:rsid w:val="00D31E63"/>
    <w:rsid w:val="00D32003"/>
    <w:rsid w:val="00D32041"/>
    <w:rsid w:val="00D3262B"/>
    <w:rsid w:val="00D32693"/>
    <w:rsid w:val="00D3296F"/>
    <w:rsid w:val="00D32B7B"/>
    <w:rsid w:val="00D32D72"/>
    <w:rsid w:val="00D32E00"/>
    <w:rsid w:val="00D331E3"/>
    <w:rsid w:val="00D33545"/>
    <w:rsid w:val="00D335E5"/>
    <w:rsid w:val="00D33617"/>
    <w:rsid w:val="00D33D9B"/>
    <w:rsid w:val="00D33E28"/>
    <w:rsid w:val="00D33E41"/>
    <w:rsid w:val="00D33F72"/>
    <w:rsid w:val="00D34036"/>
    <w:rsid w:val="00D34141"/>
    <w:rsid w:val="00D342E4"/>
    <w:rsid w:val="00D346F0"/>
    <w:rsid w:val="00D348A6"/>
    <w:rsid w:val="00D34EFC"/>
    <w:rsid w:val="00D34F01"/>
    <w:rsid w:val="00D35021"/>
    <w:rsid w:val="00D3522A"/>
    <w:rsid w:val="00D35529"/>
    <w:rsid w:val="00D356EC"/>
    <w:rsid w:val="00D35A21"/>
    <w:rsid w:val="00D35C98"/>
    <w:rsid w:val="00D35F56"/>
    <w:rsid w:val="00D361B8"/>
    <w:rsid w:val="00D365AF"/>
    <w:rsid w:val="00D3666B"/>
    <w:rsid w:val="00D367B9"/>
    <w:rsid w:val="00D36836"/>
    <w:rsid w:val="00D36857"/>
    <w:rsid w:val="00D372DD"/>
    <w:rsid w:val="00D3731E"/>
    <w:rsid w:val="00D3782E"/>
    <w:rsid w:val="00D37A71"/>
    <w:rsid w:val="00D37CA9"/>
    <w:rsid w:val="00D37EE9"/>
    <w:rsid w:val="00D4000D"/>
    <w:rsid w:val="00D40108"/>
    <w:rsid w:val="00D40256"/>
    <w:rsid w:val="00D4028D"/>
    <w:rsid w:val="00D4086C"/>
    <w:rsid w:val="00D40D52"/>
    <w:rsid w:val="00D40D65"/>
    <w:rsid w:val="00D40E72"/>
    <w:rsid w:val="00D41333"/>
    <w:rsid w:val="00D413BE"/>
    <w:rsid w:val="00D41696"/>
    <w:rsid w:val="00D41745"/>
    <w:rsid w:val="00D41A65"/>
    <w:rsid w:val="00D41D51"/>
    <w:rsid w:val="00D42310"/>
    <w:rsid w:val="00D42708"/>
    <w:rsid w:val="00D42751"/>
    <w:rsid w:val="00D42A86"/>
    <w:rsid w:val="00D42AE3"/>
    <w:rsid w:val="00D42BBA"/>
    <w:rsid w:val="00D42CB9"/>
    <w:rsid w:val="00D42D01"/>
    <w:rsid w:val="00D42E59"/>
    <w:rsid w:val="00D43053"/>
    <w:rsid w:val="00D432EE"/>
    <w:rsid w:val="00D43333"/>
    <w:rsid w:val="00D434C3"/>
    <w:rsid w:val="00D43931"/>
    <w:rsid w:val="00D43BDB"/>
    <w:rsid w:val="00D442FB"/>
    <w:rsid w:val="00D444B8"/>
    <w:rsid w:val="00D446F5"/>
    <w:rsid w:val="00D4490F"/>
    <w:rsid w:val="00D44964"/>
    <w:rsid w:val="00D44E2A"/>
    <w:rsid w:val="00D450D1"/>
    <w:rsid w:val="00D455A5"/>
    <w:rsid w:val="00D4568F"/>
    <w:rsid w:val="00D45D98"/>
    <w:rsid w:val="00D463DC"/>
    <w:rsid w:val="00D46501"/>
    <w:rsid w:val="00D46519"/>
    <w:rsid w:val="00D46789"/>
    <w:rsid w:val="00D46B25"/>
    <w:rsid w:val="00D46CD9"/>
    <w:rsid w:val="00D46EB9"/>
    <w:rsid w:val="00D470EC"/>
    <w:rsid w:val="00D4767A"/>
    <w:rsid w:val="00D4784C"/>
    <w:rsid w:val="00D4797F"/>
    <w:rsid w:val="00D47BC6"/>
    <w:rsid w:val="00D47F30"/>
    <w:rsid w:val="00D47F50"/>
    <w:rsid w:val="00D501EB"/>
    <w:rsid w:val="00D50207"/>
    <w:rsid w:val="00D50353"/>
    <w:rsid w:val="00D50398"/>
    <w:rsid w:val="00D5059B"/>
    <w:rsid w:val="00D506A2"/>
    <w:rsid w:val="00D50839"/>
    <w:rsid w:val="00D50B6A"/>
    <w:rsid w:val="00D50C25"/>
    <w:rsid w:val="00D50E26"/>
    <w:rsid w:val="00D50F88"/>
    <w:rsid w:val="00D5137B"/>
    <w:rsid w:val="00D5138C"/>
    <w:rsid w:val="00D513D1"/>
    <w:rsid w:val="00D51820"/>
    <w:rsid w:val="00D51B53"/>
    <w:rsid w:val="00D51E74"/>
    <w:rsid w:val="00D51E98"/>
    <w:rsid w:val="00D5200E"/>
    <w:rsid w:val="00D522B5"/>
    <w:rsid w:val="00D52354"/>
    <w:rsid w:val="00D52626"/>
    <w:rsid w:val="00D52836"/>
    <w:rsid w:val="00D52962"/>
    <w:rsid w:val="00D52BE9"/>
    <w:rsid w:val="00D52ED4"/>
    <w:rsid w:val="00D5303D"/>
    <w:rsid w:val="00D53060"/>
    <w:rsid w:val="00D53598"/>
    <w:rsid w:val="00D539B9"/>
    <w:rsid w:val="00D53D90"/>
    <w:rsid w:val="00D53DAB"/>
    <w:rsid w:val="00D54197"/>
    <w:rsid w:val="00D541F4"/>
    <w:rsid w:val="00D54227"/>
    <w:rsid w:val="00D54237"/>
    <w:rsid w:val="00D54512"/>
    <w:rsid w:val="00D5455D"/>
    <w:rsid w:val="00D54589"/>
    <w:rsid w:val="00D545F7"/>
    <w:rsid w:val="00D546C5"/>
    <w:rsid w:val="00D549F4"/>
    <w:rsid w:val="00D54ABF"/>
    <w:rsid w:val="00D554CD"/>
    <w:rsid w:val="00D5552C"/>
    <w:rsid w:val="00D55BF3"/>
    <w:rsid w:val="00D55C3C"/>
    <w:rsid w:val="00D55C47"/>
    <w:rsid w:val="00D55CBC"/>
    <w:rsid w:val="00D55CC2"/>
    <w:rsid w:val="00D567DB"/>
    <w:rsid w:val="00D56933"/>
    <w:rsid w:val="00D56E88"/>
    <w:rsid w:val="00D571B1"/>
    <w:rsid w:val="00D5721B"/>
    <w:rsid w:val="00D572AD"/>
    <w:rsid w:val="00D5752B"/>
    <w:rsid w:val="00D57719"/>
    <w:rsid w:val="00D57847"/>
    <w:rsid w:val="00D57D04"/>
    <w:rsid w:val="00D57D6D"/>
    <w:rsid w:val="00D60046"/>
    <w:rsid w:val="00D600D1"/>
    <w:rsid w:val="00D60174"/>
    <w:rsid w:val="00D60384"/>
    <w:rsid w:val="00D605E1"/>
    <w:rsid w:val="00D6075B"/>
    <w:rsid w:val="00D60A08"/>
    <w:rsid w:val="00D60A40"/>
    <w:rsid w:val="00D60CBA"/>
    <w:rsid w:val="00D60DD1"/>
    <w:rsid w:val="00D60E97"/>
    <w:rsid w:val="00D614C0"/>
    <w:rsid w:val="00D61AF0"/>
    <w:rsid w:val="00D620B0"/>
    <w:rsid w:val="00D621F1"/>
    <w:rsid w:val="00D62219"/>
    <w:rsid w:val="00D623EE"/>
    <w:rsid w:val="00D62679"/>
    <w:rsid w:val="00D62847"/>
    <w:rsid w:val="00D629B7"/>
    <w:rsid w:val="00D63379"/>
    <w:rsid w:val="00D6370C"/>
    <w:rsid w:val="00D63950"/>
    <w:rsid w:val="00D63E93"/>
    <w:rsid w:val="00D640AD"/>
    <w:rsid w:val="00D6418B"/>
    <w:rsid w:val="00D641B8"/>
    <w:rsid w:val="00D6422C"/>
    <w:rsid w:val="00D64436"/>
    <w:rsid w:val="00D6460B"/>
    <w:rsid w:val="00D646C5"/>
    <w:rsid w:val="00D64753"/>
    <w:rsid w:val="00D648C0"/>
    <w:rsid w:val="00D6497E"/>
    <w:rsid w:val="00D64F92"/>
    <w:rsid w:val="00D65136"/>
    <w:rsid w:val="00D65260"/>
    <w:rsid w:val="00D653BA"/>
    <w:rsid w:val="00D65779"/>
    <w:rsid w:val="00D65952"/>
    <w:rsid w:val="00D65BEB"/>
    <w:rsid w:val="00D65DD6"/>
    <w:rsid w:val="00D65F5D"/>
    <w:rsid w:val="00D6625E"/>
    <w:rsid w:val="00D6664D"/>
    <w:rsid w:val="00D66729"/>
    <w:rsid w:val="00D66741"/>
    <w:rsid w:val="00D66798"/>
    <w:rsid w:val="00D66C9F"/>
    <w:rsid w:val="00D66CF8"/>
    <w:rsid w:val="00D66D5B"/>
    <w:rsid w:val="00D66FD3"/>
    <w:rsid w:val="00D67562"/>
    <w:rsid w:val="00D67739"/>
    <w:rsid w:val="00D67EEE"/>
    <w:rsid w:val="00D701FF"/>
    <w:rsid w:val="00D70244"/>
    <w:rsid w:val="00D7048E"/>
    <w:rsid w:val="00D70681"/>
    <w:rsid w:val="00D70761"/>
    <w:rsid w:val="00D70885"/>
    <w:rsid w:val="00D70971"/>
    <w:rsid w:val="00D70B6B"/>
    <w:rsid w:val="00D712A1"/>
    <w:rsid w:val="00D715B5"/>
    <w:rsid w:val="00D7197E"/>
    <w:rsid w:val="00D71C73"/>
    <w:rsid w:val="00D71E25"/>
    <w:rsid w:val="00D71E79"/>
    <w:rsid w:val="00D71FFB"/>
    <w:rsid w:val="00D72159"/>
    <w:rsid w:val="00D7220F"/>
    <w:rsid w:val="00D727E2"/>
    <w:rsid w:val="00D72A3A"/>
    <w:rsid w:val="00D72BFE"/>
    <w:rsid w:val="00D72C1E"/>
    <w:rsid w:val="00D72E88"/>
    <w:rsid w:val="00D7312E"/>
    <w:rsid w:val="00D7378C"/>
    <w:rsid w:val="00D73D64"/>
    <w:rsid w:val="00D73E72"/>
    <w:rsid w:val="00D745DF"/>
    <w:rsid w:val="00D748A2"/>
    <w:rsid w:val="00D74C6E"/>
    <w:rsid w:val="00D750B3"/>
    <w:rsid w:val="00D75275"/>
    <w:rsid w:val="00D752C9"/>
    <w:rsid w:val="00D7585B"/>
    <w:rsid w:val="00D75943"/>
    <w:rsid w:val="00D7594E"/>
    <w:rsid w:val="00D75A09"/>
    <w:rsid w:val="00D75F48"/>
    <w:rsid w:val="00D760F3"/>
    <w:rsid w:val="00D762F8"/>
    <w:rsid w:val="00D76338"/>
    <w:rsid w:val="00D763C8"/>
    <w:rsid w:val="00D7641E"/>
    <w:rsid w:val="00D76A85"/>
    <w:rsid w:val="00D76D0B"/>
    <w:rsid w:val="00D76D3D"/>
    <w:rsid w:val="00D76FCF"/>
    <w:rsid w:val="00D770B6"/>
    <w:rsid w:val="00D77273"/>
    <w:rsid w:val="00D772FF"/>
    <w:rsid w:val="00D776C9"/>
    <w:rsid w:val="00D77976"/>
    <w:rsid w:val="00D7797C"/>
    <w:rsid w:val="00D77BE6"/>
    <w:rsid w:val="00D77C86"/>
    <w:rsid w:val="00D8025C"/>
    <w:rsid w:val="00D802C8"/>
    <w:rsid w:val="00D8044D"/>
    <w:rsid w:val="00D8071B"/>
    <w:rsid w:val="00D80845"/>
    <w:rsid w:val="00D80A27"/>
    <w:rsid w:val="00D80A53"/>
    <w:rsid w:val="00D80D56"/>
    <w:rsid w:val="00D80E81"/>
    <w:rsid w:val="00D81008"/>
    <w:rsid w:val="00D815BD"/>
    <w:rsid w:val="00D81B35"/>
    <w:rsid w:val="00D81C50"/>
    <w:rsid w:val="00D81DEB"/>
    <w:rsid w:val="00D8203D"/>
    <w:rsid w:val="00D8206F"/>
    <w:rsid w:val="00D8248C"/>
    <w:rsid w:val="00D824B1"/>
    <w:rsid w:val="00D8258D"/>
    <w:rsid w:val="00D826EB"/>
    <w:rsid w:val="00D82926"/>
    <w:rsid w:val="00D82D44"/>
    <w:rsid w:val="00D82F18"/>
    <w:rsid w:val="00D8306F"/>
    <w:rsid w:val="00D833D4"/>
    <w:rsid w:val="00D834AB"/>
    <w:rsid w:val="00D83659"/>
    <w:rsid w:val="00D83766"/>
    <w:rsid w:val="00D83A13"/>
    <w:rsid w:val="00D83BC4"/>
    <w:rsid w:val="00D83E2D"/>
    <w:rsid w:val="00D840EB"/>
    <w:rsid w:val="00D84123"/>
    <w:rsid w:val="00D84A68"/>
    <w:rsid w:val="00D84D27"/>
    <w:rsid w:val="00D84EFA"/>
    <w:rsid w:val="00D84EFB"/>
    <w:rsid w:val="00D84FD7"/>
    <w:rsid w:val="00D8501A"/>
    <w:rsid w:val="00D85059"/>
    <w:rsid w:val="00D851CD"/>
    <w:rsid w:val="00D8537B"/>
    <w:rsid w:val="00D8544E"/>
    <w:rsid w:val="00D85670"/>
    <w:rsid w:val="00D85934"/>
    <w:rsid w:val="00D85CD2"/>
    <w:rsid w:val="00D85D06"/>
    <w:rsid w:val="00D8640C"/>
    <w:rsid w:val="00D867C0"/>
    <w:rsid w:val="00D868AC"/>
    <w:rsid w:val="00D8692E"/>
    <w:rsid w:val="00D869E1"/>
    <w:rsid w:val="00D86B2D"/>
    <w:rsid w:val="00D8718E"/>
    <w:rsid w:val="00D873E1"/>
    <w:rsid w:val="00D8754B"/>
    <w:rsid w:val="00D87856"/>
    <w:rsid w:val="00D87F29"/>
    <w:rsid w:val="00D87F47"/>
    <w:rsid w:val="00D900D8"/>
    <w:rsid w:val="00D90460"/>
    <w:rsid w:val="00D90667"/>
    <w:rsid w:val="00D907FF"/>
    <w:rsid w:val="00D9085F"/>
    <w:rsid w:val="00D90927"/>
    <w:rsid w:val="00D90941"/>
    <w:rsid w:val="00D9098E"/>
    <w:rsid w:val="00D90C0E"/>
    <w:rsid w:val="00D910E5"/>
    <w:rsid w:val="00D91100"/>
    <w:rsid w:val="00D9112E"/>
    <w:rsid w:val="00D91237"/>
    <w:rsid w:val="00D912DD"/>
    <w:rsid w:val="00D917F7"/>
    <w:rsid w:val="00D91864"/>
    <w:rsid w:val="00D918DB"/>
    <w:rsid w:val="00D91A18"/>
    <w:rsid w:val="00D91B62"/>
    <w:rsid w:val="00D91B85"/>
    <w:rsid w:val="00D91C2A"/>
    <w:rsid w:val="00D91C55"/>
    <w:rsid w:val="00D91DA0"/>
    <w:rsid w:val="00D92227"/>
    <w:rsid w:val="00D92275"/>
    <w:rsid w:val="00D92382"/>
    <w:rsid w:val="00D9259A"/>
    <w:rsid w:val="00D925EC"/>
    <w:rsid w:val="00D92666"/>
    <w:rsid w:val="00D929D2"/>
    <w:rsid w:val="00D92B97"/>
    <w:rsid w:val="00D92C6A"/>
    <w:rsid w:val="00D92EE4"/>
    <w:rsid w:val="00D93030"/>
    <w:rsid w:val="00D93117"/>
    <w:rsid w:val="00D93501"/>
    <w:rsid w:val="00D9351D"/>
    <w:rsid w:val="00D935BE"/>
    <w:rsid w:val="00D93A02"/>
    <w:rsid w:val="00D93A21"/>
    <w:rsid w:val="00D93D24"/>
    <w:rsid w:val="00D9415D"/>
    <w:rsid w:val="00D94184"/>
    <w:rsid w:val="00D941CE"/>
    <w:rsid w:val="00D94378"/>
    <w:rsid w:val="00D94504"/>
    <w:rsid w:val="00D94B0C"/>
    <w:rsid w:val="00D94B3C"/>
    <w:rsid w:val="00D94B92"/>
    <w:rsid w:val="00D950BE"/>
    <w:rsid w:val="00D95598"/>
    <w:rsid w:val="00D9594D"/>
    <w:rsid w:val="00D96311"/>
    <w:rsid w:val="00D96381"/>
    <w:rsid w:val="00D96382"/>
    <w:rsid w:val="00D96439"/>
    <w:rsid w:val="00D967E4"/>
    <w:rsid w:val="00D968B8"/>
    <w:rsid w:val="00D970B7"/>
    <w:rsid w:val="00D973D0"/>
    <w:rsid w:val="00D975B7"/>
    <w:rsid w:val="00D9797C"/>
    <w:rsid w:val="00D97987"/>
    <w:rsid w:val="00D979D5"/>
    <w:rsid w:val="00D97A88"/>
    <w:rsid w:val="00D97A93"/>
    <w:rsid w:val="00D97AAC"/>
    <w:rsid w:val="00D97AEB"/>
    <w:rsid w:val="00D97CBE"/>
    <w:rsid w:val="00DA01FE"/>
    <w:rsid w:val="00DA04D2"/>
    <w:rsid w:val="00DA0753"/>
    <w:rsid w:val="00DA087A"/>
    <w:rsid w:val="00DA08A9"/>
    <w:rsid w:val="00DA131B"/>
    <w:rsid w:val="00DA13BE"/>
    <w:rsid w:val="00DA160B"/>
    <w:rsid w:val="00DA1B66"/>
    <w:rsid w:val="00DA1E3D"/>
    <w:rsid w:val="00DA1F76"/>
    <w:rsid w:val="00DA22F7"/>
    <w:rsid w:val="00DA23ED"/>
    <w:rsid w:val="00DA2B97"/>
    <w:rsid w:val="00DA2BB6"/>
    <w:rsid w:val="00DA2E20"/>
    <w:rsid w:val="00DA30FC"/>
    <w:rsid w:val="00DA3145"/>
    <w:rsid w:val="00DA35CA"/>
    <w:rsid w:val="00DA35F8"/>
    <w:rsid w:val="00DA3A84"/>
    <w:rsid w:val="00DA3BEF"/>
    <w:rsid w:val="00DA3F0C"/>
    <w:rsid w:val="00DA4120"/>
    <w:rsid w:val="00DA4332"/>
    <w:rsid w:val="00DA441B"/>
    <w:rsid w:val="00DA487F"/>
    <w:rsid w:val="00DA48A0"/>
    <w:rsid w:val="00DA4A6E"/>
    <w:rsid w:val="00DA4C04"/>
    <w:rsid w:val="00DA4E41"/>
    <w:rsid w:val="00DA4EB7"/>
    <w:rsid w:val="00DA50E3"/>
    <w:rsid w:val="00DA522D"/>
    <w:rsid w:val="00DA5734"/>
    <w:rsid w:val="00DA587F"/>
    <w:rsid w:val="00DA5A8B"/>
    <w:rsid w:val="00DA5C4F"/>
    <w:rsid w:val="00DA603F"/>
    <w:rsid w:val="00DA6730"/>
    <w:rsid w:val="00DA696F"/>
    <w:rsid w:val="00DA69BF"/>
    <w:rsid w:val="00DA6AD0"/>
    <w:rsid w:val="00DA6C42"/>
    <w:rsid w:val="00DA70DA"/>
    <w:rsid w:val="00DA7277"/>
    <w:rsid w:val="00DA7326"/>
    <w:rsid w:val="00DA76C6"/>
    <w:rsid w:val="00DA77CE"/>
    <w:rsid w:val="00DA7889"/>
    <w:rsid w:val="00DA7ADB"/>
    <w:rsid w:val="00DA7D10"/>
    <w:rsid w:val="00DB05D8"/>
    <w:rsid w:val="00DB0712"/>
    <w:rsid w:val="00DB077B"/>
    <w:rsid w:val="00DB0833"/>
    <w:rsid w:val="00DB08D7"/>
    <w:rsid w:val="00DB0A00"/>
    <w:rsid w:val="00DB0AA8"/>
    <w:rsid w:val="00DB11BC"/>
    <w:rsid w:val="00DB1257"/>
    <w:rsid w:val="00DB1639"/>
    <w:rsid w:val="00DB1683"/>
    <w:rsid w:val="00DB1803"/>
    <w:rsid w:val="00DB18C3"/>
    <w:rsid w:val="00DB1F40"/>
    <w:rsid w:val="00DB2024"/>
    <w:rsid w:val="00DB224D"/>
    <w:rsid w:val="00DB230C"/>
    <w:rsid w:val="00DB23CC"/>
    <w:rsid w:val="00DB2405"/>
    <w:rsid w:val="00DB25F8"/>
    <w:rsid w:val="00DB25FA"/>
    <w:rsid w:val="00DB2794"/>
    <w:rsid w:val="00DB2896"/>
    <w:rsid w:val="00DB28EC"/>
    <w:rsid w:val="00DB2D41"/>
    <w:rsid w:val="00DB2EE1"/>
    <w:rsid w:val="00DB3255"/>
    <w:rsid w:val="00DB3421"/>
    <w:rsid w:val="00DB3549"/>
    <w:rsid w:val="00DB369B"/>
    <w:rsid w:val="00DB376E"/>
    <w:rsid w:val="00DB3BFB"/>
    <w:rsid w:val="00DB3C0A"/>
    <w:rsid w:val="00DB3D7F"/>
    <w:rsid w:val="00DB40B4"/>
    <w:rsid w:val="00DB41F7"/>
    <w:rsid w:val="00DB4452"/>
    <w:rsid w:val="00DB4990"/>
    <w:rsid w:val="00DB4B3B"/>
    <w:rsid w:val="00DB536D"/>
    <w:rsid w:val="00DB5555"/>
    <w:rsid w:val="00DB5991"/>
    <w:rsid w:val="00DB5A96"/>
    <w:rsid w:val="00DB5BF8"/>
    <w:rsid w:val="00DB61CF"/>
    <w:rsid w:val="00DB66B3"/>
    <w:rsid w:val="00DB6A28"/>
    <w:rsid w:val="00DB6D67"/>
    <w:rsid w:val="00DB6E94"/>
    <w:rsid w:val="00DB6EE7"/>
    <w:rsid w:val="00DB73F7"/>
    <w:rsid w:val="00DB79A3"/>
    <w:rsid w:val="00DB7AD1"/>
    <w:rsid w:val="00DB7D74"/>
    <w:rsid w:val="00DC0030"/>
    <w:rsid w:val="00DC0B29"/>
    <w:rsid w:val="00DC0BD9"/>
    <w:rsid w:val="00DC0E8E"/>
    <w:rsid w:val="00DC131A"/>
    <w:rsid w:val="00DC1688"/>
    <w:rsid w:val="00DC16A8"/>
    <w:rsid w:val="00DC1D28"/>
    <w:rsid w:val="00DC1FE5"/>
    <w:rsid w:val="00DC21C3"/>
    <w:rsid w:val="00DC21DF"/>
    <w:rsid w:val="00DC2325"/>
    <w:rsid w:val="00DC24E4"/>
    <w:rsid w:val="00DC250D"/>
    <w:rsid w:val="00DC292A"/>
    <w:rsid w:val="00DC3401"/>
    <w:rsid w:val="00DC358C"/>
    <w:rsid w:val="00DC36DF"/>
    <w:rsid w:val="00DC392D"/>
    <w:rsid w:val="00DC4022"/>
    <w:rsid w:val="00DC40BA"/>
    <w:rsid w:val="00DC4526"/>
    <w:rsid w:val="00DC45E1"/>
    <w:rsid w:val="00DC45F3"/>
    <w:rsid w:val="00DC47DF"/>
    <w:rsid w:val="00DC4A3F"/>
    <w:rsid w:val="00DC5195"/>
    <w:rsid w:val="00DC57CD"/>
    <w:rsid w:val="00DC5C04"/>
    <w:rsid w:val="00DC5DA6"/>
    <w:rsid w:val="00DC5E42"/>
    <w:rsid w:val="00DC604C"/>
    <w:rsid w:val="00DC6229"/>
    <w:rsid w:val="00DC65DD"/>
    <w:rsid w:val="00DC66C3"/>
    <w:rsid w:val="00DC6C37"/>
    <w:rsid w:val="00DC6C85"/>
    <w:rsid w:val="00DC6D41"/>
    <w:rsid w:val="00DC6F2E"/>
    <w:rsid w:val="00DC70A4"/>
    <w:rsid w:val="00DC7287"/>
    <w:rsid w:val="00DC740E"/>
    <w:rsid w:val="00DC7466"/>
    <w:rsid w:val="00DC7626"/>
    <w:rsid w:val="00DC7C2B"/>
    <w:rsid w:val="00DC7CD9"/>
    <w:rsid w:val="00DC7D8B"/>
    <w:rsid w:val="00DC7DB3"/>
    <w:rsid w:val="00DC7E1F"/>
    <w:rsid w:val="00DC7F87"/>
    <w:rsid w:val="00DD002B"/>
    <w:rsid w:val="00DD044A"/>
    <w:rsid w:val="00DD05AD"/>
    <w:rsid w:val="00DD08EE"/>
    <w:rsid w:val="00DD1059"/>
    <w:rsid w:val="00DD11B3"/>
    <w:rsid w:val="00DD126F"/>
    <w:rsid w:val="00DD145A"/>
    <w:rsid w:val="00DD15AA"/>
    <w:rsid w:val="00DD1645"/>
    <w:rsid w:val="00DD1662"/>
    <w:rsid w:val="00DD1744"/>
    <w:rsid w:val="00DD17CF"/>
    <w:rsid w:val="00DD1812"/>
    <w:rsid w:val="00DD1AAE"/>
    <w:rsid w:val="00DD1C09"/>
    <w:rsid w:val="00DD217C"/>
    <w:rsid w:val="00DD24BE"/>
    <w:rsid w:val="00DD2640"/>
    <w:rsid w:val="00DD2BEC"/>
    <w:rsid w:val="00DD2C11"/>
    <w:rsid w:val="00DD2D75"/>
    <w:rsid w:val="00DD2DF1"/>
    <w:rsid w:val="00DD2ED9"/>
    <w:rsid w:val="00DD3276"/>
    <w:rsid w:val="00DD349E"/>
    <w:rsid w:val="00DD371D"/>
    <w:rsid w:val="00DD3817"/>
    <w:rsid w:val="00DD388E"/>
    <w:rsid w:val="00DD3DDB"/>
    <w:rsid w:val="00DD3F10"/>
    <w:rsid w:val="00DD426E"/>
    <w:rsid w:val="00DD4464"/>
    <w:rsid w:val="00DD4F90"/>
    <w:rsid w:val="00DD50C2"/>
    <w:rsid w:val="00DD53B9"/>
    <w:rsid w:val="00DD53BE"/>
    <w:rsid w:val="00DD53E0"/>
    <w:rsid w:val="00DD54E3"/>
    <w:rsid w:val="00DD5561"/>
    <w:rsid w:val="00DD5829"/>
    <w:rsid w:val="00DD5A82"/>
    <w:rsid w:val="00DD628F"/>
    <w:rsid w:val="00DD62CC"/>
    <w:rsid w:val="00DD6704"/>
    <w:rsid w:val="00DD6A82"/>
    <w:rsid w:val="00DD71F5"/>
    <w:rsid w:val="00DD755B"/>
    <w:rsid w:val="00DD77F3"/>
    <w:rsid w:val="00DD7850"/>
    <w:rsid w:val="00DD798E"/>
    <w:rsid w:val="00DD7F8D"/>
    <w:rsid w:val="00DE0271"/>
    <w:rsid w:val="00DE0913"/>
    <w:rsid w:val="00DE0C28"/>
    <w:rsid w:val="00DE0D63"/>
    <w:rsid w:val="00DE0DCE"/>
    <w:rsid w:val="00DE0ECF"/>
    <w:rsid w:val="00DE1C7D"/>
    <w:rsid w:val="00DE1F66"/>
    <w:rsid w:val="00DE2113"/>
    <w:rsid w:val="00DE236D"/>
    <w:rsid w:val="00DE2765"/>
    <w:rsid w:val="00DE31E4"/>
    <w:rsid w:val="00DE32D3"/>
    <w:rsid w:val="00DE3334"/>
    <w:rsid w:val="00DE343B"/>
    <w:rsid w:val="00DE362D"/>
    <w:rsid w:val="00DE3BE1"/>
    <w:rsid w:val="00DE3E2F"/>
    <w:rsid w:val="00DE3E98"/>
    <w:rsid w:val="00DE3FC1"/>
    <w:rsid w:val="00DE4387"/>
    <w:rsid w:val="00DE474D"/>
    <w:rsid w:val="00DE4798"/>
    <w:rsid w:val="00DE4F8F"/>
    <w:rsid w:val="00DE505A"/>
    <w:rsid w:val="00DE5083"/>
    <w:rsid w:val="00DE518D"/>
    <w:rsid w:val="00DE5270"/>
    <w:rsid w:val="00DE52AE"/>
    <w:rsid w:val="00DE5321"/>
    <w:rsid w:val="00DE5689"/>
    <w:rsid w:val="00DE58F8"/>
    <w:rsid w:val="00DE5A47"/>
    <w:rsid w:val="00DE5B15"/>
    <w:rsid w:val="00DE5C1C"/>
    <w:rsid w:val="00DE5F4B"/>
    <w:rsid w:val="00DE600F"/>
    <w:rsid w:val="00DE6582"/>
    <w:rsid w:val="00DE6D91"/>
    <w:rsid w:val="00DE71EE"/>
    <w:rsid w:val="00DE7523"/>
    <w:rsid w:val="00DE7A88"/>
    <w:rsid w:val="00DE7F41"/>
    <w:rsid w:val="00DE7FCF"/>
    <w:rsid w:val="00DF0200"/>
    <w:rsid w:val="00DF028A"/>
    <w:rsid w:val="00DF06EF"/>
    <w:rsid w:val="00DF07DB"/>
    <w:rsid w:val="00DF0B31"/>
    <w:rsid w:val="00DF0CC7"/>
    <w:rsid w:val="00DF15FB"/>
    <w:rsid w:val="00DF196D"/>
    <w:rsid w:val="00DF1E7C"/>
    <w:rsid w:val="00DF203A"/>
    <w:rsid w:val="00DF2133"/>
    <w:rsid w:val="00DF2160"/>
    <w:rsid w:val="00DF21F8"/>
    <w:rsid w:val="00DF2223"/>
    <w:rsid w:val="00DF228C"/>
    <w:rsid w:val="00DF23AC"/>
    <w:rsid w:val="00DF27DA"/>
    <w:rsid w:val="00DF3203"/>
    <w:rsid w:val="00DF335F"/>
    <w:rsid w:val="00DF338E"/>
    <w:rsid w:val="00DF366C"/>
    <w:rsid w:val="00DF3A5E"/>
    <w:rsid w:val="00DF3B17"/>
    <w:rsid w:val="00DF3BFD"/>
    <w:rsid w:val="00DF3DA9"/>
    <w:rsid w:val="00DF3E45"/>
    <w:rsid w:val="00DF428A"/>
    <w:rsid w:val="00DF46A6"/>
    <w:rsid w:val="00DF493A"/>
    <w:rsid w:val="00DF4AFF"/>
    <w:rsid w:val="00DF4E00"/>
    <w:rsid w:val="00DF4E03"/>
    <w:rsid w:val="00DF4ECE"/>
    <w:rsid w:val="00DF4F1B"/>
    <w:rsid w:val="00DF50A0"/>
    <w:rsid w:val="00DF51FC"/>
    <w:rsid w:val="00DF5510"/>
    <w:rsid w:val="00DF5770"/>
    <w:rsid w:val="00DF5A67"/>
    <w:rsid w:val="00DF5AE9"/>
    <w:rsid w:val="00DF5B8F"/>
    <w:rsid w:val="00DF5D6C"/>
    <w:rsid w:val="00DF6073"/>
    <w:rsid w:val="00DF639B"/>
    <w:rsid w:val="00DF63AE"/>
    <w:rsid w:val="00DF63C6"/>
    <w:rsid w:val="00DF6484"/>
    <w:rsid w:val="00DF64AE"/>
    <w:rsid w:val="00DF6509"/>
    <w:rsid w:val="00DF7084"/>
    <w:rsid w:val="00DF7225"/>
    <w:rsid w:val="00DF7695"/>
    <w:rsid w:val="00DF77DC"/>
    <w:rsid w:val="00DF77DE"/>
    <w:rsid w:val="00DF7BD7"/>
    <w:rsid w:val="00DF7D39"/>
    <w:rsid w:val="00E001A7"/>
    <w:rsid w:val="00E007D6"/>
    <w:rsid w:val="00E0083C"/>
    <w:rsid w:val="00E00AFE"/>
    <w:rsid w:val="00E00C23"/>
    <w:rsid w:val="00E00EE4"/>
    <w:rsid w:val="00E00FDC"/>
    <w:rsid w:val="00E01289"/>
    <w:rsid w:val="00E014D8"/>
    <w:rsid w:val="00E0179D"/>
    <w:rsid w:val="00E019B6"/>
    <w:rsid w:val="00E01A8F"/>
    <w:rsid w:val="00E01AC1"/>
    <w:rsid w:val="00E020CF"/>
    <w:rsid w:val="00E021B7"/>
    <w:rsid w:val="00E021C0"/>
    <w:rsid w:val="00E02261"/>
    <w:rsid w:val="00E024D4"/>
    <w:rsid w:val="00E02D19"/>
    <w:rsid w:val="00E02E04"/>
    <w:rsid w:val="00E02F52"/>
    <w:rsid w:val="00E03216"/>
    <w:rsid w:val="00E0335E"/>
    <w:rsid w:val="00E03379"/>
    <w:rsid w:val="00E03744"/>
    <w:rsid w:val="00E038CB"/>
    <w:rsid w:val="00E03CBB"/>
    <w:rsid w:val="00E03F88"/>
    <w:rsid w:val="00E04480"/>
    <w:rsid w:val="00E0462E"/>
    <w:rsid w:val="00E0468F"/>
    <w:rsid w:val="00E049D5"/>
    <w:rsid w:val="00E04B77"/>
    <w:rsid w:val="00E04B88"/>
    <w:rsid w:val="00E050F4"/>
    <w:rsid w:val="00E051EE"/>
    <w:rsid w:val="00E052C8"/>
    <w:rsid w:val="00E05506"/>
    <w:rsid w:val="00E0563E"/>
    <w:rsid w:val="00E05778"/>
    <w:rsid w:val="00E059E3"/>
    <w:rsid w:val="00E05D93"/>
    <w:rsid w:val="00E06163"/>
    <w:rsid w:val="00E06656"/>
    <w:rsid w:val="00E06A31"/>
    <w:rsid w:val="00E06C37"/>
    <w:rsid w:val="00E06DAC"/>
    <w:rsid w:val="00E06EDB"/>
    <w:rsid w:val="00E06FF8"/>
    <w:rsid w:val="00E0751E"/>
    <w:rsid w:val="00E0755D"/>
    <w:rsid w:val="00E07607"/>
    <w:rsid w:val="00E07899"/>
    <w:rsid w:val="00E078B3"/>
    <w:rsid w:val="00E07A0F"/>
    <w:rsid w:val="00E07B41"/>
    <w:rsid w:val="00E07DC5"/>
    <w:rsid w:val="00E10344"/>
    <w:rsid w:val="00E1037F"/>
    <w:rsid w:val="00E103DD"/>
    <w:rsid w:val="00E10626"/>
    <w:rsid w:val="00E10679"/>
    <w:rsid w:val="00E10CEA"/>
    <w:rsid w:val="00E10EB1"/>
    <w:rsid w:val="00E113FD"/>
    <w:rsid w:val="00E11646"/>
    <w:rsid w:val="00E116CA"/>
    <w:rsid w:val="00E117E7"/>
    <w:rsid w:val="00E1196E"/>
    <w:rsid w:val="00E119EB"/>
    <w:rsid w:val="00E11EA8"/>
    <w:rsid w:val="00E120FC"/>
    <w:rsid w:val="00E1215A"/>
    <w:rsid w:val="00E1224F"/>
    <w:rsid w:val="00E12255"/>
    <w:rsid w:val="00E126CC"/>
    <w:rsid w:val="00E12705"/>
    <w:rsid w:val="00E128BE"/>
    <w:rsid w:val="00E128D4"/>
    <w:rsid w:val="00E128D8"/>
    <w:rsid w:val="00E128E1"/>
    <w:rsid w:val="00E12905"/>
    <w:rsid w:val="00E12B20"/>
    <w:rsid w:val="00E13164"/>
    <w:rsid w:val="00E132C8"/>
    <w:rsid w:val="00E1346F"/>
    <w:rsid w:val="00E13947"/>
    <w:rsid w:val="00E1404B"/>
    <w:rsid w:val="00E14128"/>
    <w:rsid w:val="00E146B1"/>
    <w:rsid w:val="00E148E9"/>
    <w:rsid w:val="00E14A2D"/>
    <w:rsid w:val="00E14DC1"/>
    <w:rsid w:val="00E15174"/>
    <w:rsid w:val="00E1521B"/>
    <w:rsid w:val="00E15385"/>
    <w:rsid w:val="00E157BD"/>
    <w:rsid w:val="00E15895"/>
    <w:rsid w:val="00E1597C"/>
    <w:rsid w:val="00E15A71"/>
    <w:rsid w:val="00E15C2E"/>
    <w:rsid w:val="00E16003"/>
    <w:rsid w:val="00E16015"/>
    <w:rsid w:val="00E160C2"/>
    <w:rsid w:val="00E161C3"/>
    <w:rsid w:val="00E16302"/>
    <w:rsid w:val="00E1698C"/>
    <w:rsid w:val="00E1715B"/>
    <w:rsid w:val="00E173CA"/>
    <w:rsid w:val="00E1780E"/>
    <w:rsid w:val="00E178C8"/>
    <w:rsid w:val="00E17AC4"/>
    <w:rsid w:val="00E17BA5"/>
    <w:rsid w:val="00E17C9D"/>
    <w:rsid w:val="00E17E09"/>
    <w:rsid w:val="00E17E0F"/>
    <w:rsid w:val="00E17F06"/>
    <w:rsid w:val="00E202FC"/>
    <w:rsid w:val="00E202FE"/>
    <w:rsid w:val="00E204AD"/>
    <w:rsid w:val="00E2077D"/>
    <w:rsid w:val="00E20975"/>
    <w:rsid w:val="00E209E7"/>
    <w:rsid w:val="00E20AFB"/>
    <w:rsid w:val="00E20C55"/>
    <w:rsid w:val="00E20F80"/>
    <w:rsid w:val="00E2111A"/>
    <w:rsid w:val="00E2149B"/>
    <w:rsid w:val="00E214E1"/>
    <w:rsid w:val="00E216CB"/>
    <w:rsid w:val="00E217E6"/>
    <w:rsid w:val="00E21DAA"/>
    <w:rsid w:val="00E224DC"/>
    <w:rsid w:val="00E22A31"/>
    <w:rsid w:val="00E22B7F"/>
    <w:rsid w:val="00E22D0A"/>
    <w:rsid w:val="00E22D43"/>
    <w:rsid w:val="00E2300F"/>
    <w:rsid w:val="00E230E9"/>
    <w:rsid w:val="00E232E7"/>
    <w:rsid w:val="00E234CF"/>
    <w:rsid w:val="00E23740"/>
    <w:rsid w:val="00E23C65"/>
    <w:rsid w:val="00E23F46"/>
    <w:rsid w:val="00E24228"/>
    <w:rsid w:val="00E2489E"/>
    <w:rsid w:val="00E24D0F"/>
    <w:rsid w:val="00E24DC5"/>
    <w:rsid w:val="00E24E04"/>
    <w:rsid w:val="00E24EE3"/>
    <w:rsid w:val="00E255CC"/>
    <w:rsid w:val="00E2581B"/>
    <w:rsid w:val="00E259E9"/>
    <w:rsid w:val="00E25AD8"/>
    <w:rsid w:val="00E25B96"/>
    <w:rsid w:val="00E25D04"/>
    <w:rsid w:val="00E25E30"/>
    <w:rsid w:val="00E25FC5"/>
    <w:rsid w:val="00E26129"/>
    <w:rsid w:val="00E2617F"/>
    <w:rsid w:val="00E26294"/>
    <w:rsid w:val="00E263F7"/>
    <w:rsid w:val="00E2685A"/>
    <w:rsid w:val="00E26982"/>
    <w:rsid w:val="00E269C8"/>
    <w:rsid w:val="00E26CE8"/>
    <w:rsid w:val="00E26EC0"/>
    <w:rsid w:val="00E26EFF"/>
    <w:rsid w:val="00E26F59"/>
    <w:rsid w:val="00E271BF"/>
    <w:rsid w:val="00E27310"/>
    <w:rsid w:val="00E27759"/>
    <w:rsid w:val="00E27874"/>
    <w:rsid w:val="00E27BB4"/>
    <w:rsid w:val="00E27CAA"/>
    <w:rsid w:val="00E27DB5"/>
    <w:rsid w:val="00E27E22"/>
    <w:rsid w:val="00E27FFD"/>
    <w:rsid w:val="00E300AE"/>
    <w:rsid w:val="00E307D2"/>
    <w:rsid w:val="00E308C0"/>
    <w:rsid w:val="00E309F2"/>
    <w:rsid w:val="00E30AE4"/>
    <w:rsid w:val="00E30B25"/>
    <w:rsid w:val="00E30BD2"/>
    <w:rsid w:val="00E310F3"/>
    <w:rsid w:val="00E31415"/>
    <w:rsid w:val="00E31543"/>
    <w:rsid w:val="00E3159D"/>
    <w:rsid w:val="00E31954"/>
    <w:rsid w:val="00E3196C"/>
    <w:rsid w:val="00E319B5"/>
    <w:rsid w:val="00E31BA9"/>
    <w:rsid w:val="00E31BF4"/>
    <w:rsid w:val="00E31EAF"/>
    <w:rsid w:val="00E31FCD"/>
    <w:rsid w:val="00E321D6"/>
    <w:rsid w:val="00E3240F"/>
    <w:rsid w:val="00E32435"/>
    <w:rsid w:val="00E327E6"/>
    <w:rsid w:val="00E32844"/>
    <w:rsid w:val="00E32871"/>
    <w:rsid w:val="00E3296C"/>
    <w:rsid w:val="00E32B62"/>
    <w:rsid w:val="00E32B73"/>
    <w:rsid w:val="00E32DEF"/>
    <w:rsid w:val="00E32EDB"/>
    <w:rsid w:val="00E32FE1"/>
    <w:rsid w:val="00E33185"/>
    <w:rsid w:val="00E331E1"/>
    <w:rsid w:val="00E33472"/>
    <w:rsid w:val="00E335BC"/>
    <w:rsid w:val="00E33A0E"/>
    <w:rsid w:val="00E33A33"/>
    <w:rsid w:val="00E33B53"/>
    <w:rsid w:val="00E33D1A"/>
    <w:rsid w:val="00E33EBA"/>
    <w:rsid w:val="00E34029"/>
    <w:rsid w:val="00E34704"/>
    <w:rsid w:val="00E348CE"/>
    <w:rsid w:val="00E349A1"/>
    <w:rsid w:val="00E349B1"/>
    <w:rsid w:val="00E34A0A"/>
    <w:rsid w:val="00E34A4B"/>
    <w:rsid w:val="00E34D6A"/>
    <w:rsid w:val="00E34EEB"/>
    <w:rsid w:val="00E34FE0"/>
    <w:rsid w:val="00E3511C"/>
    <w:rsid w:val="00E35159"/>
    <w:rsid w:val="00E351F0"/>
    <w:rsid w:val="00E354B0"/>
    <w:rsid w:val="00E354C2"/>
    <w:rsid w:val="00E3552D"/>
    <w:rsid w:val="00E35966"/>
    <w:rsid w:val="00E359D5"/>
    <w:rsid w:val="00E35A61"/>
    <w:rsid w:val="00E35ADD"/>
    <w:rsid w:val="00E35CD9"/>
    <w:rsid w:val="00E35F9D"/>
    <w:rsid w:val="00E35FDA"/>
    <w:rsid w:val="00E3601F"/>
    <w:rsid w:val="00E36224"/>
    <w:rsid w:val="00E36286"/>
    <w:rsid w:val="00E36371"/>
    <w:rsid w:val="00E36458"/>
    <w:rsid w:val="00E366CC"/>
    <w:rsid w:val="00E36979"/>
    <w:rsid w:val="00E36AC2"/>
    <w:rsid w:val="00E3753A"/>
    <w:rsid w:val="00E37556"/>
    <w:rsid w:val="00E375DD"/>
    <w:rsid w:val="00E3781B"/>
    <w:rsid w:val="00E37957"/>
    <w:rsid w:val="00E3797F"/>
    <w:rsid w:val="00E37DC2"/>
    <w:rsid w:val="00E37E00"/>
    <w:rsid w:val="00E37E61"/>
    <w:rsid w:val="00E404F3"/>
    <w:rsid w:val="00E4070D"/>
    <w:rsid w:val="00E40763"/>
    <w:rsid w:val="00E407F7"/>
    <w:rsid w:val="00E40884"/>
    <w:rsid w:val="00E40971"/>
    <w:rsid w:val="00E40CA0"/>
    <w:rsid w:val="00E40CC3"/>
    <w:rsid w:val="00E40CE3"/>
    <w:rsid w:val="00E40D10"/>
    <w:rsid w:val="00E40F85"/>
    <w:rsid w:val="00E414FC"/>
    <w:rsid w:val="00E4157F"/>
    <w:rsid w:val="00E4188D"/>
    <w:rsid w:val="00E41A5A"/>
    <w:rsid w:val="00E41CCD"/>
    <w:rsid w:val="00E41DD6"/>
    <w:rsid w:val="00E41FDB"/>
    <w:rsid w:val="00E422A5"/>
    <w:rsid w:val="00E42607"/>
    <w:rsid w:val="00E42A90"/>
    <w:rsid w:val="00E42B1E"/>
    <w:rsid w:val="00E42B74"/>
    <w:rsid w:val="00E42C1B"/>
    <w:rsid w:val="00E42C3D"/>
    <w:rsid w:val="00E42EBA"/>
    <w:rsid w:val="00E434B7"/>
    <w:rsid w:val="00E43676"/>
    <w:rsid w:val="00E437B0"/>
    <w:rsid w:val="00E43957"/>
    <w:rsid w:val="00E43A8C"/>
    <w:rsid w:val="00E43C01"/>
    <w:rsid w:val="00E43CB6"/>
    <w:rsid w:val="00E442AD"/>
    <w:rsid w:val="00E44394"/>
    <w:rsid w:val="00E445FE"/>
    <w:rsid w:val="00E4465C"/>
    <w:rsid w:val="00E4470E"/>
    <w:rsid w:val="00E447AD"/>
    <w:rsid w:val="00E449C4"/>
    <w:rsid w:val="00E44A24"/>
    <w:rsid w:val="00E44A53"/>
    <w:rsid w:val="00E44D0B"/>
    <w:rsid w:val="00E450BC"/>
    <w:rsid w:val="00E45311"/>
    <w:rsid w:val="00E457C2"/>
    <w:rsid w:val="00E4588B"/>
    <w:rsid w:val="00E46376"/>
    <w:rsid w:val="00E46485"/>
    <w:rsid w:val="00E466E5"/>
    <w:rsid w:val="00E46A43"/>
    <w:rsid w:val="00E46AAE"/>
    <w:rsid w:val="00E46C52"/>
    <w:rsid w:val="00E46F64"/>
    <w:rsid w:val="00E4701F"/>
    <w:rsid w:val="00E4717A"/>
    <w:rsid w:val="00E477D0"/>
    <w:rsid w:val="00E478AF"/>
    <w:rsid w:val="00E479DB"/>
    <w:rsid w:val="00E47FBA"/>
    <w:rsid w:val="00E5023B"/>
    <w:rsid w:val="00E50579"/>
    <w:rsid w:val="00E50837"/>
    <w:rsid w:val="00E510B5"/>
    <w:rsid w:val="00E514A9"/>
    <w:rsid w:val="00E516E0"/>
    <w:rsid w:val="00E51904"/>
    <w:rsid w:val="00E51C2D"/>
    <w:rsid w:val="00E51D36"/>
    <w:rsid w:val="00E51F85"/>
    <w:rsid w:val="00E5219B"/>
    <w:rsid w:val="00E525BC"/>
    <w:rsid w:val="00E5264E"/>
    <w:rsid w:val="00E52657"/>
    <w:rsid w:val="00E52DAB"/>
    <w:rsid w:val="00E53042"/>
    <w:rsid w:val="00E536FC"/>
    <w:rsid w:val="00E537B0"/>
    <w:rsid w:val="00E5381C"/>
    <w:rsid w:val="00E538C4"/>
    <w:rsid w:val="00E53915"/>
    <w:rsid w:val="00E539F3"/>
    <w:rsid w:val="00E53B47"/>
    <w:rsid w:val="00E53BB8"/>
    <w:rsid w:val="00E53C87"/>
    <w:rsid w:val="00E53C8E"/>
    <w:rsid w:val="00E53F4E"/>
    <w:rsid w:val="00E53FEA"/>
    <w:rsid w:val="00E54064"/>
    <w:rsid w:val="00E54356"/>
    <w:rsid w:val="00E54632"/>
    <w:rsid w:val="00E54670"/>
    <w:rsid w:val="00E547B5"/>
    <w:rsid w:val="00E54DDC"/>
    <w:rsid w:val="00E54F53"/>
    <w:rsid w:val="00E5508D"/>
    <w:rsid w:val="00E55575"/>
    <w:rsid w:val="00E5567F"/>
    <w:rsid w:val="00E55BDB"/>
    <w:rsid w:val="00E5608E"/>
    <w:rsid w:val="00E5610B"/>
    <w:rsid w:val="00E56150"/>
    <w:rsid w:val="00E56212"/>
    <w:rsid w:val="00E56273"/>
    <w:rsid w:val="00E565F1"/>
    <w:rsid w:val="00E567EC"/>
    <w:rsid w:val="00E56C0F"/>
    <w:rsid w:val="00E56FBC"/>
    <w:rsid w:val="00E570A1"/>
    <w:rsid w:val="00E57823"/>
    <w:rsid w:val="00E57977"/>
    <w:rsid w:val="00E5798E"/>
    <w:rsid w:val="00E57AB9"/>
    <w:rsid w:val="00E57EBB"/>
    <w:rsid w:val="00E57F59"/>
    <w:rsid w:val="00E60071"/>
    <w:rsid w:val="00E6015A"/>
    <w:rsid w:val="00E606B9"/>
    <w:rsid w:val="00E60773"/>
    <w:rsid w:val="00E60A14"/>
    <w:rsid w:val="00E60ABD"/>
    <w:rsid w:val="00E60C26"/>
    <w:rsid w:val="00E60CBE"/>
    <w:rsid w:val="00E60F3D"/>
    <w:rsid w:val="00E60F40"/>
    <w:rsid w:val="00E612A1"/>
    <w:rsid w:val="00E614CD"/>
    <w:rsid w:val="00E615C0"/>
    <w:rsid w:val="00E615FA"/>
    <w:rsid w:val="00E61998"/>
    <w:rsid w:val="00E61BC1"/>
    <w:rsid w:val="00E61E3A"/>
    <w:rsid w:val="00E61E3F"/>
    <w:rsid w:val="00E62300"/>
    <w:rsid w:val="00E6243E"/>
    <w:rsid w:val="00E628B9"/>
    <w:rsid w:val="00E62B23"/>
    <w:rsid w:val="00E62DDE"/>
    <w:rsid w:val="00E62EBD"/>
    <w:rsid w:val="00E6309F"/>
    <w:rsid w:val="00E6328E"/>
    <w:rsid w:val="00E633D1"/>
    <w:rsid w:val="00E633FA"/>
    <w:rsid w:val="00E63490"/>
    <w:rsid w:val="00E634B4"/>
    <w:rsid w:val="00E63506"/>
    <w:rsid w:val="00E63609"/>
    <w:rsid w:val="00E636AA"/>
    <w:rsid w:val="00E63AC4"/>
    <w:rsid w:val="00E63AE1"/>
    <w:rsid w:val="00E63C31"/>
    <w:rsid w:val="00E63E52"/>
    <w:rsid w:val="00E64369"/>
    <w:rsid w:val="00E6442B"/>
    <w:rsid w:val="00E644B4"/>
    <w:rsid w:val="00E649ED"/>
    <w:rsid w:val="00E64B50"/>
    <w:rsid w:val="00E65303"/>
    <w:rsid w:val="00E6556D"/>
    <w:rsid w:val="00E659B2"/>
    <w:rsid w:val="00E65A6E"/>
    <w:rsid w:val="00E65C99"/>
    <w:rsid w:val="00E66303"/>
    <w:rsid w:val="00E66467"/>
    <w:rsid w:val="00E66496"/>
    <w:rsid w:val="00E66792"/>
    <w:rsid w:val="00E667D3"/>
    <w:rsid w:val="00E6685C"/>
    <w:rsid w:val="00E66889"/>
    <w:rsid w:val="00E6723E"/>
    <w:rsid w:val="00E672D8"/>
    <w:rsid w:val="00E67628"/>
    <w:rsid w:val="00E67701"/>
    <w:rsid w:val="00E6773E"/>
    <w:rsid w:val="00E678DA"/>
    <w:rsid w:val="00E67EAA"/>
    <w:rsid w:val="00E70130"/>
    <w:rsid w:val="00E7049A"/>
    <w:rsid w:val="00E70514"/>
    <w:rsid w:val="00E70ABC"/>
    <w:rsid w:val="00E70AEB"/>
    <w:rsid w:val="00E70DD1"/>
    <w:rsid w:val="00E70EDA"/>
    <w:rsid w:val="00E70FEE"/>
    <w:rsid w:val="00E710FC"/>
    <w:rsid w:val="00E7117D"/>
    <w:rsid w:val="00E7171D"/>
    <w:rsid w:val="00E71721"/>
    <w:rsid w:val="00E717EA"/>
    <w:rsid w:val="00E71C45"/>
    <w:rsid w:val="00E71C4F"/>
    <w:rsid w:val="00E71C7D"/>
    <w:rsid w:val="00E71CE8"/>
    <w:rsid w:val="00E7206D"/>
    <w:rsid w:val="00E724C6"/>
    <w:rsid w:val="00E72594"/>
    <w:rsid w:val="00E728DC"/>
    <w:rsid w:val="00E72D0D"/>
    <w:rsid w:val="00E732F6"/>
    <w:rsid w:val="00E73A5B"/>
    <w:rsid w:val="00E73B20"/>
    <w:rsid w:val="00E740CE"/>
    <w:rsid w:val="00E741D9"/>
    <w:rsid w:val="00E74397"/>
    <w:rsid w:val="00E7461A"/>
    <w:rsid w:val="00E74ADD"/>
    <w:rsid w:val="00E74AF0"/>
    <w:rsid w:val="00E755A4"/>
    <w:rsid w:val="00E75883"/>
    <w:rsid w:val="00E75CAF"/>
    <w:rsid w:val="00E75EFA"/>
    <w:rsid w:val="00E760FF"/>
    <w:rsid w:val="00E762CF"/>
    <w:rsid w:val="00E762F6"/>
    <w:rsid w:val="00E76443"/>
    <w:rsid w:val="00E768B2"/>
    <w:rsid w:val="00E76A7F"/>
    <w:rsid w:val="00E76A91"/>
    <w:rsid w:val="00E76BCE"/>
    <w:rsid w:val="00E76E68"/>
    <w:rsid w:val="00E76FDC"/>
    <w:rsid w:val="00E77096"/>
    <w:rsid w:val="00E7724A"/>
    <w:rsid w:val="00E772A3"/>
    <w:rsid w:val="00E77328"/>
    <w:rsid w:val="00E7741B"/>
    <w:rsid w:val="00E77429"/>
    <w:rsid w:val="00E77470"/>
    <w:rsid w:val="00E7771F"/>
    <w:rsid w:val="00E77BC8"/>
    <w:rsid w:val="00E77E18"/>
    <w:rsid w:val="00E8030F"/>
    <w:rsid w:val="00E80611"/>
    <w:rsid w:val="00E80621"/>
    <w:rsid w:val="00E807A6"/>
    <w:rsid w:val="00E807FE"/>
    <w:rsid w:val="00E8091E"/>
    <w:rsid w:val="00E809D6"/>
    <w:rsid w:val="00E80EAA"/>
    <w:rsid w:val="00E80FF0"/>
    <w:rsid w:val="00E814CB"/>
    <w:rsid w:val="00E8197E"/>
    <w:rsid w:val="00E81AB7"/>
    <w:rsid w:val="00E81CEC"/>
    <w:rsid w:val="00E81FBF"/>
    <w:rsid w:val="00E82327"/>
    <w:rsid w:val="00E823D0"/>
    <w:rsid w:val="00E82506"/>
    <w:rsid w:val="00E82510"/>
    <w:rsid w:val="00E827AE"/>
    <w:rsid w:val="00E82C56"/>
    <w:rsid w:val="00E832F0"/>
    <w:rsid w:val="00E83A72"/>
    <w:rsid w:val="00E83C77"/>
    <w:rsid w:val="00E83F78"/>
    <w:rsid w:val="00E84258"/>
    <w:rsid w:val="00E842C1"/>
    <w:rsid w:val="00E84329"/>
    <w:rsid w:val="00E84508"/>
    <w:rsid w:val="00E8478D"/>
    <w:rsid w:val="00E84874"/>
    <w:rsid w:val="00E84DE0"/>
    <w:rsid w:val="00E84FB9"/>
    <w:rsid w:val="00E8565A"/>
    <w:rsid w:val="00E856AA"/>
    <w:rsid w:val="00E856B2"/>
    <w:rsid w:val="00E856C7"/>
    <w:rsid w:val="00E85806"/>
    <w:rsid w:val="00E85A87"/>
    <w:rsid w:val="00E85F26"/>
    <w:rsid w:val="00E8604C"/>
    <w:rsid w:val="00E862C3"/>
    <w:rsid w:val="00E868DB"/>
    <w:rsid w:val="00E87244"/>
    <w:rsid w:val="00E8724B"/>
    <w:rsid w:val="00E879BC"/>
    <w:rsid w:val="00E87F1D"/>
    <w:rsid w:val="00E900E7"/>
    <w:rsid w:val="00E90295"/>
    <w:rsid w:val="00E903D4"/>
    <w:rsid w:val="00E9081C"/>
    <w:rsid w:val="00E9091E"/>
    <w:rsid w:val="00E90968"/>
    <w:rsid w:val="00E90A6A"/>
    <w:rsid w:val="00E90F62"/>
    <w:rsid w:val="00E913B3"/>
    <w:rsid w:val="00E915AC"/>
    <w:rsid w:val="00E9160C"/>
    <w:rsid w:val="00E9171E"/>
    <w:rsid w:val="00E91771"/>
    <w:rsid w:val="00E91775"/>
    <w:rsid w:val="00E917C9"/>
    <w:rsid w:val="00E919AF"/>
    <w:rsid w:val="00E91F19"/>
    <w:rsid w:val="00E91F74"/>
    <w:rsid w:val="00E920FA"/>
    <w:rsid w:val="00E9237C"/>
    <w:rsid w:val="00E92385"/>
    <w:rsid w:val="00E926C0"/>
    <w:rsid w:val="00E92717"/>
    <w:rsid w:val="00E927A4"/>
    <w:rsid w:val="00E9281C"/>
    <w:rsid w:val="00E92918"/>
    <w:rsid w:val="00E92A50"/>
    <w:rsid w:val="00E92DB9"/>
    <w:rsid w:val="00E92E93"/>
    <w:rsid w:val="00E9314A"/>
    <w:rsid w:val="00E932F4"/>
    <w:rsid w:val="00E933B7"/>
    <w:rsid w:val="00E93482"/>
    <w:rsid w:val="00E93530"/>
    <w:rsid w:val="00E93767"/>
    <w:rsid w:val="00E939FF"/>
    <w:rsid w:val="00E93AF8"/>
    <w:rsid w:val="00E93FEF"/>
    <w:rsid w:val="00E94176"/>
    <w:rsid w:val="00E94611"/>
    <w:rsid w:val="00E9483D"/>
    <w:rsid w:val="00E94AA1"/>
    <w:rsid w:val="00E94C32"/>
    <w:rsid w:val="00E94CB1"/>
    <w:rsid w:val="00E94FB9"/>
    <w:rsid w:val="00E951F5"/>
    <w:rsid w:val="00E9523A"/>
    <w:rsid w:val="00E95394"/>
    <w:rsid w:val="00E95413"/>
    <w:rsid w:val="00E959F7"/>
    <w:rsid w:val="00E96318"/>
    <w:rsid w:val="00E96635"/>
    <w:rsid w:val="00E96B33"/>
    <w:rsid w:val="00E96B75"/>
    <w:rsid w:val="00E96C32"/>
    <w:rsid w:val="00E96CCB"/>
    <w:rsid w:val="00E96D45"/>
    <w:rsid w:val="00E96FAF"/>
    <w:rsid w:val="00E9702C"/>
    <w:rsid w:val="00E97318"/>
    <w:rsid w:val="00E97E3D"/>
    <w:rsid w:val="00E97F11"/>
    <w:rsid w:val="00E97FD5"/>
    <w:rsid w:val="00EA00AD"/>
    <w:rsid w:val="00EA00CF"/>
    <w:rsid w:val="00EA0DD5"/>
    <w:rsid w:val="00EA0FD3"/>
    <w:rsid w:val="00EA108A"/>
    <w:rsid w:val="00EA1200"/>
    <w:rsid w:val="00EA12EB"/>
    <w:rsid w:val="00EA12FF"/>
    <w:rsid w:val="00EA1390"/>
    <w:rsid w:val="00EA142D"/>
    <w:rsid w:val="00EA1558"/>
    <w:rsid w:val="00EA164E"/>
    <w:rsid w:val="00EA1886"/>
    <w:rsid w:val="00EA1CD2"/>
    <w:rsid w:val="00EA1D9E"/>
    <w:rsid w:val="00EA2266"/>
    <w:rsid w:val="00EA2273"/>
    <w:rsid w:val="00EA229B"/>
    <w:rsid w:val="00EA251E"/>
    <w:rsid w:val="00EA2547"/>
    <w:rsid w:val="00EA2667"/>
    <w:rsid w:val="00EA299F"/>
    <w:rsid w:val="00EA2DBD"/>
    <w:rsid w:val="00EA2DF9"/>
    <w:rsid w:val="00EA337B"/>
    <w:rsid w:val="00EA34A3"/>
    <w:rsid w:val="00EA3531"/>
    <w:rsid w:val="00EA361C"/>
    <w:rsid w:val="00EA3787"/>
    <w:rsid w:val="00EA3792"/>
    <w:rsid w:val="00EA38A0"/>
    <w:rsid w:val="00EA3A0D"/>
    <w:rsid w:val="00EA3BB9"/>
    <w:rsid w:val="00EA3E63"/>
    <w:rsid w:val="00EA3F1D"/>
    <w:rsid w:val="00EA3F89"/>
    <w:rsid w:val="00EA4062"/>
    <w:rsid w:val="00EA43F3"/>
    <w:rsid w:val="00EA4482"/>
    <w:rsid w:val="00EA4802"/>
    <w:rsid w:val="00EA484F"/>
    <w:rsid w:val="00EA4C69"/>
    <w:rsid w:val="00EA4CEE"/>
    <w:rsid w:val="00EA4E3E"/>
    <w:rsid w:val="00EA4E5B"/>
    <w:rsid w:val="00EA4E8B"/>
    <w:rsid w:val="00EA5901"/>
    <w:rsid w:val="00EA5B8D"/>
    <w:rsid w:val="00EA6AE5"/>
    <w:rsid w:val="00EA6B39"/>
    <w:rsid w:val="00EA6BE9"/>
    <w:rsid w:val="00EA6DC5"/>
    <w:rsid w:val="00EA70DE"/>
    <w:rsid w:val="00EA76F6"/>
    <w:rsid w:val="00EA7C45"/>
    <w:rsid w:val="00EA7DCC"/>
    <w:rsid w:val="00EA7E23"/>
    <w:rsid w:val="00EB0761"/>
    <w:rsid w:val="00EB0C6F"/>
    <w:rsid w:val="00EB116B"/>
    <w:rsid w:val="00EB12EC"/>
    <w:rsid w:val="00EB137B"/>
    <w:rsid w:val="00EB1510"/>
    <w:rsid w:val="00EB1A8A"/>
    <w:rsid w:val="00EB1D8B"/>
    <w:rsid w:val="00EB1E2D"/>
    <w:rsid w:val="00EB2215"/>
    <w:rsid w:val="00EB22FF"/>
    <w:rsid w:val="00EB24B6"/>
    <w:rsid w:val="00EB2591"/>
    <w:rsid w:val="00EB28C2"/>
    <w:rsid w:val="00EB2AE5"/>
    <w:rsid w:val="00EB2C37"/>
    <w:rsid w:val="00EB2D6D"/>
    <w:rsid w:val="00EB303D"/>
    <w:rsid w:val="00EB339D"/>
    <w:rsid w:val="00EB35B3"/>
    <w:rsid w:val="00EB3664"/>
    <w:rsid w:val="00EB37B5"/>
    <w:rsid w:val="00EB3BB0"/>
    <w:rsid w:val="00EB3C4A"/>
    <w:rsid w:val="00EB431F"/>
    <w:rsid w:val="00EB46DE"/>
    <w:rsid w:val="00EB4878"/>
    <w:rsid w:val="00EB49BC"/>
    <w:rsid w:val="00EB4B72"/>
    <w:rsid w:val="00EB4BB1"/>
    <w:rsid w:val="00EB4C86"/>
    <w:rsid w:val="00EB4FD4"/>
    <w:rsid w:val="00EB527E"/>
    <w:rsid w:val="00EB56F6"/>
    <w:rsid w:val="00EB5834"/>
    <w:rsid w:val="00EB5BCC"/>
    <w:rsid w:val="00EB5F44"/>
    <w:rsid w:val="00EB5F6A"/>
    <w:rsid w:val="00EB5FED"/>
    <w:rsid w:val="00EB61B3"/>
    <w:rsid w:val="00EB6538"/>
    <w:rsid w:val="00EB655D"/>
    <w:rsid w:val="00EB70E5"/>
    <w:rsid w:val="00EB73BD"/>
    <w:rsid w:val="00EB74D1"/>
    <w:rsid w:val="00EB75B4"/>
    <w:rsid w:val="00EC01AF"/>
    <w:rsid w:val="00EC02BD"/>
    <w:rsid w:val="00EC05FC"/>
    <w:rsid w:val="00EC0645"/>
    <w:rsid w:val="00EC06A6"/>
    <w:rsid w:val="00EC0960"/>
    <w:rsid w:val="00EC0AB1"/>
    <w:rsid w:val="00EC1065"/>
    <w:rsid w:val="00EC10F4"/>
    <w:rsid w:val="00EC1E19"/>
    <w:rsid w:val="00EC201E"/>
    <w:rsid w:val="00EC2079"/>
    <w:rsid w:val="00EC2308"/>
    <w:rsid w:val="00EC2727"/>
    <w:rsid w:val="00EC2893"/>
    <w:rsid w:val="00EC2938"/>
    <w:rsid w:val="00EC2B81"/>
    <w:rsid w:val="00EC2D16"/>
    <w:rsid w:val="00EC2D23"/>
    <w:rsid w:val="00EC2F8F"/>
    <w:rsid w:val="00EC3162"/>
    <w:rsid w:val="00EC31DF"/>
    <w:rsid w:val="00EC3470"/>
    <w:rsid w:val="00EC36F3"/>
    <w:rsid w:val="00EC38C0"/>
    <w:rsid w:val="00EC4106"/>
    <w:rsid w:val="00EC42CE"/>
    <w:rsid w:val="00EC441C"/>
    <w:rsid w:val="00EC4916"/>
    <w:rsid w:val="00EC4A75"/>
    <w:rsid w:val="00EC4C5D"/>
    <w:rsid w:val="00EC4ED8"/>
    <w:rsid w:val="00EC50D4"/>
    <w:rsid w:val="00EC525A"/>
    <w:rsid w:val="00EC5287"/>
    <w:rsid w:val="00EC5679"/>
    <w:rsid w:val="00EC5847"/>
    <w:rsid w:val="00EC58D4"/>
    <w:rsid w:val="00EC59AF"/>
    <w:rsid w:val="00EC5C32"/>
    <w:rsid w:val="00EC6298"/>
    <w:rsid w:val="00EC6487"/>
    <w:rsid w:val="00EC6815"/>
    <w:rsid w:val="00EC6841"/>
    <w:rsid w:val="00EC688D"/>
    <w:rsid w:val="00EC68AE"/>
    <w:rsid w:val="00EC714A"/>
    <w:rsid w:val="00EC771C"/>
    <w:rsid w:val="00EC7737"/>
    <w:rsid w:val="00EC78C2"/>
    <w:rsid w:val="00EC7B44"/>
    <w:rsid w:val="00ED003C"/>
    <w:rsid w:val="00ED01DA"/>
    <w:rsid w:val="00ED0462"/>
    <w:rsid w:val="00ED0734"/>
    <w:rsid w:val="00ED07AF"/>
    <w:rsid w:val="00ED07DD"/>
    <w:rsid w:val="00ED0BE8"/>
    <w:rsid w:val="00ED0F11"/>
    <w:rsid w:val="00ED11E2"/>
    <w:rsid w:val="00ED125C"/>
    <w:rsid w:val="00ED174F"/>
    <w:rsid w:val="00ED1973"/>
    <w:rsid w:val="00ED1BC3"/>
    <w:rsid w:val="00ED1F8A"/>
    <w:rsid w:val="00ED2443"/>
    <w:rsid w:val="00ED2482"/>
    <w:rsid w:val="00ED312D"/>
    <w:rsid w:val="00ED31FF"/>
    <w:rsid w:val="00ED32AA"/>
    <w:rsid w:val="00ED32D7"/>
    <w:rsid w:val="00ED34CD"/>
    <w:rsid w:val="00ED359A"/>
    <w:rsid w:val="00ED360F"/>
    <w:rsid w:val="00ED3720"/>
    <w:rsid w:val="00ED3849"/>
    <w:rsid w:val="00ED3D60"/>
    <w:rsid w:val="00ED523F"/>
    <w:rsid w:val="00ED5362"/>
    <w:rsid w:val="00ED5797"/>
    <w:rsid w:val="00ED58A4"/>
    <w:rsid w:val="00ED59FC"/>
    <w:rsid w:val="00ED5A11"/>
    <w:rsid w:val="00ED5A19"/>
    <w:rsid w:val="00ED5A30"/>
    <w:rsid w:val="00ED5F47"/>
    <w:rsid w:val="00ED5FC0"/>
    <w:rsid w:val="00ED612F"/>
    <w:rsid w:val="00ED63B1"/>
    <w:rsid w:val="00ED6528"/>
    <w:rsid w:val="00ED65BB"/>
    <w:rsid w:val="00ED6736"/>
    <w:rsid w:val="00ED6760"/>
    <w:rsid w:val="00ED68CE"/>
    <w:rsid w:val="00ED69B1"/>
    <w:rsid w:val="00ED6CD2"/>
    <w:rsid w:val="00ED721F"/>
    <w:rsid w:val="00ED7401"/>
    <w:rsid w:val="00ED7923"/>
    <w:rsid w:val="00ED7C3A"/>
    <w:rsid w:val="00EE01F8"/>
    <w:rsid w:val="00EE05A6"/>
    <w:rsid w:val="00EE0721"/>
    <w:rsid w:val="00EE093C"/>
    <w:rsid w:val="00EE0A97"/>
    <w:rsid w:val="00EE0AA0"/>
    <w:rsid w:val="00EE0B97"/>
    <w:rsid w:val="00EE0D5F"/>
    <w:rsid w:val="00EE0DB2"/>
    <w:rsid w:val="00EE0FA3"/>
    <w:rsid w:val="00EE1193"/>
    <w:rsid w:val="00EE1427"/>
    <w:rsid w:val="00EE1457"/>
    <w:rsid w:val="00EE17E1"/>
    <w:rsid w:val="00EE18FD"/>
    <w:rsid w:val="00EE1AC0"/>
    <w:rsid w:val="00EE1C12"/>
    <w:rsid w:val="00EE2057"/>
    <w:rsid w:val="00EE21BC"/>
    <w:rsid w:val="00EE2342"/>
    <w:rsid w:val="00EE2616"/>
    <w:rsid w:val="00EE2A1F"/>
    <w:rsid w:val="00EE2D79"/>
    <w:rsid w:val="00EE2E03"/>
    <w:rsid w:val="00EE2E9C"/>
    <w:rsid w:val="00EE30DE"/>
    <w:rsid w:val="00EE3121"/>
    <w:rsid w:val="00EE3387"/>
    <w:rsid w:val="00EE3486"/>
    <w:rsid w:val="00EE3842"/>
    <w:rsid w:val="00EE389E"/>
    <w:rsid w:val="00EE3AC2"/>
    <w:rsid w:val="00EE3BDB"/>
    <w:rsid w:val="00EE3D3C"/>
    <w:rsid w:val="00EE459E"/>
    <w:rsid w:val="00EE491C"/>
    <w:rsid w:val="00EE5541"/>
    <w:rsid w:val="00EE56F7"/>
    <w:rsid w:val="00EE5771"/>
    <w:rsid w:val="00EE5C64"/>
    <w:rsid w:val="00EE5CBF"/>
    <w:rsid w:val="00EE5CD0"/>
    <w:rsid w:val="00EE5D59"/>
    <w:rsid w:val="00EE5F73"/>
    <w:rsid w:val="00EE61B3"/>
    <w:rsid w:val="00EE61FB"/>
    <w:rsid w:val="00EE63D4"/>
    <w:rsid w:val="00EE668F"/>
    <w:rsid w:val="00EE6769"/>
    <w:rsid w:val="00EE68D6"/>
    <w:rsid w:val="00EE6A7D"/>
    <w:rsid w:val="00EE6D67"/>
    <w:rsid w:val="00EE6D78"/>
    <w:rsid w:val="00EE6E53"/>
    <w:rsid w:val="00EE6E67"/>
    <w:rsid w:val="00EE71EE"/>
    <w:rsid w:val="00EE7202"/>
    <w:rsid w:val="00EE7575"/>
    <w:rsid w:val="00EE78F4"/>
    <w:rsid w:val="00EE7A6A"/>
    <w:rsid w:val="00EE7BD0"/>
    <w:rsid w:val="00EF001A"/>
    <w:rsid w:val="00EF02C5"/>
    <w:rsid w:val="00EF0379"/>
    <w:rsid w:val="00EF0399"/>
    <w:rsid w:val="00EF0607"/>
    <w:rsid w:val="00EF07E5"/>
    <w:rsid w:val="00EF09F5"/>
    <w:rsid w:val="00EF0C81"/>
    <w:rsid w:val="00EF0FA2"/>
    <w:rsid w:val="00EF0FFD"/>
    <w:rsid w:val="00EF14E0"/>
    <w:rsid w:val="00EF159E"/>
    <w:rsid w:val="00EF16C6"/>
    <w:rsid w:val="00EF17FE"/>
    <w:rsid w:val="00EF1808"/>
    <w:rsid w:val="00EF1D4B"/>
    <w:rsid w:val="00EF2112"/>
    <w:rsid w:val="00EF22A7"/>
    <w:rsid w:val="00EF2622"/>
    <w:rsid w:val="00EF283B"/>
    <w:rsid w:val="00EF3B84"/>
    <w:rsid w:val="00EF4055"/>
    <w:rsid w:val="00EF4173"/>
    <w:rsid w:val="00EF434C"/>
    <w:rsid w:val="00EF4428"/>
    <w:rsid w:val="00EF4557"/>
    <w:rsid w:val="00EF45C4"/>
    <w:rsid w:val="00EF476C"/>
    <w:rsid w:val="00EF4923"/>
    <w:rsid w:val="00EF497E"/>
    <w:rsid w:val="00EF4BEC"/>
    <w:rsid w:val="00EF4C58"/>
    <w:rsid w:val="00EF4DEA"/>
    <w:rsid w:val="00EF4E09"/>
    <w:rsid w:val="00EF4E92"/>
    <w:rsid w:val="00EF5148"/>
    <w:rsid w:val="00EF5197"/>
    <w:rsid w:val="00EF54BF"/>
    <w:rsid w:val="00EF56D9"/>
    <w:rsid w:val="00EF57BA"/>
    <w:rsid w:val="00EF5902"/>
    <w:rsid w:val="00EF5A40"/>
    <w:rsid w:val="00EF5CB3"/>
    <w:rsid w:val="00EF5F23"/>
    <w:rsid w:val="00EF5FE3"/>
    <w:rsid w:val="00EF611B"/>
    <w:rsid w:val="00EF6367"/>
    <w:rsid w:val="00EF709C"/>
    <w:rsid w:val="00EF7599"/>
    <w:rsid w:val="00EF7A0C"/>
    <w:rsid w:val="00EF7A84"/>
    <w:rsid w:val="00EF7C41"/>
    <w:rsid w:val="00EF7DE7"/>
    <w:rsid w:val="00F0020F"/>
    <w:rsid w:val="00F00346"/>
    <w:rsid w:val="00F00376"/>
    <w:rsid w:val="00F0066E"/>
    <w:rsid w:val="00F0070F"/>
    <w:rsid w:val="00F0087C"/>
    <w:rsid w:val="00F00BFF"/>
    <w:rsid w:val="00F00C3B"/>
    <w:rsid w:val="00F00C4E"/>
    <w:rsid w:val="00F00E86"/>
    <w:rsid w:val="00F00F2E"/>
    <w:rsid w:val="00F015FF"/>
    <w:rsid w:val="00F01602"/>
    <w:rsid w:val="00F01682"/>
    <w:rsid w:val="00F016FB"/>
    <w:rsid w:val="00F01B31"/>
    <w:rsid w:val="00F01C9E"/>
    <w:rsid w:val="00F0203C"/>
    <w:rsid w:val="00F020A1"/>
    <w:rsid w:val="00F021DE"/>
    <w:rsid w:val="00F0229B"/>
    <w:rsid w:val="00F02592"/>
    <w:rsid w:val="00F02EB9"/>
    <w:rsid w:val="00F030AA"/>
    <w:rsid w:val="00F03154"/>
    <w:rsid w:val="00F03242"/>
    <w:rsid w:val="00F0399B"/>
    <w:rsid w:val="00F03A08"/>
    <w:rsid w:val="00F03A83"/>
    <w:rsid w:val="00F03AA5"/>
    <w:rsid w:val="00F03B81"/>
    <w:rsid w:val="00F03BBF"/>
    <w:rsid w:val="00F0420C"/>
    <w:rsid w:val="00F04233"/>
    <w:rsid w:val="00F04289"/>
    <w:rsid w:val="00F043D4"/>
    <w:rsid w:val="00F044E0"/>
    <w:rsid w:val="00F046F4"/>
    <w:rsid w:val="00F04728"/>
    <w:rsid w:val="00F04AAF"/>
    <w:rsid w:val="00F04D20"/>
    <w:rsid w:val="00F050FC"/>
    <w:rsid w:val="00F054F5"/>
    <w:rsid w:val="00F0557F"/>
    <w:rsid w:val="00F05628"/>
    <w:rsid w:val="00F05808"/>
    <w:rsid w:val="00F058A2"/>
    <w:rsid w:val="00F05C50"/>
    <w:rsid w:val="00F05CA9"/>
    <w:rsid w:val="00F05ED7"/>
    <w:rsid w:val="00F06270"/>
    <w:rsid w:val="00F0668A"/>
    <w:rsid w:val="00F066F3"/>
    <w:rsid w:val="00F06733"/>
    <w:rsid w:val="00F06753"/>
    <w:rsid w:val="00F0685E"/>
    <w:rsid w:val="00F06916"/>
    <w:rsid w:val="00F0696D"/>
    <w:rsid w:val="00F06D89"/>
    <w:rsid w:val="00F06FBA"/>
    <w:rsid w:val="00F07130"/>
    <w:rsid w:val="00F077CE"/>
    <w:rsid w:val="00F07B4C"/>
    <w:rsid w:val="00F07C6E"/>
    <w:rsid w:val="00F07E44"/>
    <w:rsid w:val="00F07EA1"/>
    <w:rsid w:val="00F101DD"/>
    <w:rsid w:val="00F10F0C"/>
    <w:rsid w:val="00F10F8F"/>
    <w:rsid w:val="00F10FC6"/>
    <w:rsid w:val="00F11106"/>
    <w:rsid w:val="00F115C2"/>
    <w:rsid w:val="00F1175B"/>
    <w:rsid w:val="00F1186E"/>
    <w:rsid w:val="00F11963"/>
    <w:rsid w:val="00F1196C"/>
    <w:rsid w:val="00F11A7D"/>
    <w:rsid w:val="00F11A9F"/>
    <w:rsid w:val="00F11B8F"/>
    <w:rsid w:val="00F11BFE"/>
    <w:rsid w:val="00F11FFC"/>
    <w:rsid w:val="00F122D9"/>
    <w:rsid w:val="00F123BF"/>
    <w:rsid w:val="00F123C5"/>
    <w:rsid w:val="00F124DA"/>
    <w:rsid w:val="00F1271E"/>
    <w:rsid w:val="00F127B7"/>
    <w:rsid w:val="00F127FC"/>
    <w:rsid w:val="00F129C0"/>
    <w:rsid w:val="00F12B65"/>
    <w:rsid w:val="00F12DA9"/>
    <w:rsid w:val="00F12FC8"/>
    <w:rsid w:val="00F1333E"/>
    <w:rsid w:val="00F133CB"/>
    <w:rsid w:val="00F13499"/>
    <w:rsid w:val="00F13639"/>
    <w:rsid w:val="00F136C9"/>
    <w:rsid w:val="00F1377B"/>
    <w:rsid w:val="00F139B2"/>
    <w:rsid w:val="00F13B38"/>
    <w:rsid w:val="00F13BE1"/>
    <w:rsid w:val="00F13F1E"/>
    <w:rsid w:val="00F140F0"/>
    <w:rsid w:val="00F1423B"/>
    <w:rsid w:val="00F14306"/>
    <w:rsid w:val="00F14395"/>
    <w:rsid w:val="00F14498"/>
    <w:rsid w:val="00F145FF"/>
    <w:rsid w:val="00F148A1"/>
    <w:rsid w:val="00F14E3B"/>
    <w:rsid w:val="00F14FBC"/>
    <w:rsid w:val="00F151A4"/>
    <w:rsid w:val="00F15544"/>
    <w:rsid w:val="00F15553"/>
    <w:rsid w:val="00F15897"/>
    <w:rsid w:val="00F15DA8"/>
    <w:rsid w:val="00F15ECD"/>
    <w:rsid w:val="00F15F2A"/>
    <w:rsid w:val="00F15F64"/>
    <w:rsid w:val="00F15FA3"/>
    <w:rsid w:val="00F16345"/>
    <w:rsid w:val="00F16453"/>
    <w:rsid w:val="00F164B3"/>
    <w:rsid w:val="00F16694"/>
    <w:rsid w:val="00F16A6C"/>
    <w:rsid w:val="00F16AFA"/>
    <w:rsid w:val="00F16D45"/>
    <w:rsid w:val="00F16D72"/>
    <w:rsid w:val="00F17144"/>
    <w:rsid w:val="00F171B1"/>
    <w:rsid w:val="00F172D0"/>
    <w:rsid w:val="00F17320"/>
    <w:rsid w:val="00F17371"/>
    <w:rsid w:val="00F1737C"/>
    <w:rsid w:val="00F1764F"/>
    <w:rsid w:val="00F176AD"/>
    <w:rsid w:val="00F17ADA"/>
    <w:rsid w:val="00F17B67"/>
    <w:rsid w:val="00F17BA1"/>
    <w:rsid w:val="00F201F9"/>
    <w:rsid w:val="00F202FB"/>
    <w:rsid w:val="00F203C9"/>
    <w:rsid w:val="00F206EE"/>
    <w:rsid w:val="00F20740"/>
    <w:rsid w:val="00F20B5C"/>
    <w:rsid w:val="00F20BAF"/>
    <w:rsid w:val="00F20ED3"/>
    <w:rsid w:val="00F20FB3"/>
    <w:rsid w:val="00F2101C"/>
    <w:rsid w:val="00F2105A"/>
    <w:rsid w:val="00F21407"/>
    <w:rsid w:val="00F2161F"/>
    <w:rsid w:val="00F21BE5"/>
    <w:rsid w:val="00F221BB"/>
    <w:rsid w:val="00F222C0"/>
    <w:rsid w:val="00F22914"/>
    <w:rsid w:val="00F22C9B"/>
    <w:rsid w:val="00F22DE2"/>
    <w:rsid w:val="00F232A6"/>
    <w:rsid w:val="00F232C9"/>
    <w:rsid w:val="00F23684"/>
    <w:rsid w:val="00F236E0"/>
    <w:rsid w:val="00F238FF"/>
    <w:rsid w:val="00F23E21"/>
    <w:rsid w:val="00F240CD"/>
    <w:rsid w:val="00F24756"/>
    <w:rsid w:val="00F24907"/>
    <w:rsid w:val="00F2492C"/>
    <w:rsid w:val="00F24B93"/>
    <w:rsid w:val="00F24C9D"/>
    <w:rsid w:val="00F24CBC"/>
    <w:rsid w:val="00F24EA8"/>
    <w:rsid w:val="00F254CC"/>
    <w:rsid w:val="00F258FB"/>
    <w:rsid w:val="00F25927"/>
    <w:rsid w:val="00F25B09"/>
    <w:rsid w:val="00F25C35"/>
    <w:rsid w:val="00F25FD5"/>
    <w:rsid w:val="00F26150"/>
    <w:rsid w:val="00F26620"/>
    <w:rsid w:val="00F268EB"/>
    <w:rsid w:val="00F26DFA"/>
    <w:rsid w:val="00F26E46"/>
    <w:rsid w:val="00F2723A"/>
    <w:rsid w:val="00F27929"/>
    <w:rsid w:val="00F27953"/>
    <w:rsid w:val="00F27E7F"/>
    <w:rsid w:val="00F30103"/>
    <w:rsid w:val="00F30195"/>
    <w:rsid w:val="00F302E0"/>
    <w:rsid w:val="00F3049B"/>
    <w:rsid w:val="00F30609"/>
    <w:rsid w:val="00F307DB"/>
    <w:rsid w:val="00F30855"/>
    <w:rsid w:val="00F308C3"/>
    <w:rsid w:val="00F30D69"/>
    <w:rsid w:val="00F30DA0"/>
    <w:rsid w:val="00F30DD8"/>
    <w:rsid w:val="00F3101C"/>
    <w:rsid w:val="00F31110"/>
    <w:rsid w:val="00F31231"/>
    <w:rsid w:val="00F31463"/>
    <w:rsid w:val="00F315EE"/>
    <w:rsid w:val="00F319A6"/>
    <w:rsid w:val="00F31A22"/>
    <w:rsid w:val="00F31A29"/>
    <w:rsid w:val="00F31AA5"/>
    <w:rsid w:val="00F31AC7"/>
    <w:rsid w:val="00F31DD0"/>
    <w:rsid w:val="00F31DD2"/>
    <w:rsid w:val="00F31E02"/>
    <w:rsid w:val="00F31E25"/>
    <w:rsid w:val="00F31E94"/>
    <w:rsid w:val="00F320AB"/>
    <w:rsid w:val="00F3211B"/>
    <w:rsid w:val="00F32294"/>
    <w:rsid w:val="00F32384"/>
    <w:rsid w:val="00F3244F"/>
    <w:rsid w:val="00F32596"/>
    <w:rsid w:val="00F32859"/>
    <w:rsid w:val="00F328D1"/>
    <w:rsid w:val="00F329F8"/>
    <w:rsid w:val="00F32A89"/>
    <w:rsid w:val="00F32E98"/>
    <w:rsid w:val="00F330A5"/>
    <w:rsid w:val="00F333E2"/>
    <w:rsid w:val="00F333E5"/>
    <w:rsid w:val="00F3357C"/>
    <w:rsid w:val="00F335C1"/>
    <w:rsid w:val="00F3364D"/>
    <w:rsid w:val="00F337F3"/>
    <w:rsid w:val="00F33A27"/>
    <w:rsid w:val="00F33A56"/>
    <w:rsid w:val="00F33CBC"/>
    <w:rsid w:val="00F342FA"/>
    <w:rsid w:val="00F3461C"/>
    <w:rsid w:val="00F34711"/>
    <w:rsid w:val="00F34732"/>
    <w:rsid w:val="00F34807"/>
    <w:rsid w:val="00F34A04"/>
    <w:rsid w:val="00F34E2E"/>
    <w:rsid w:val="00F35094"/>
    <w:rsid w:val="00F350FF"/>
    <w:rsid w:val="00F35173"/>
    <w:rsid w:val="00F35197"/>
    <w:rsid w:val="00F352E4"/>
    <w:rsid w:val="00F35434"/>
    <w:rsid w:val="00F35570"/>
    <w:rsid w:val="00F3557B"/>
    <w:rsid w:val="00F3588F"/>
    <w:rsid w:val="00F3591C"/>
    <w:rsid w:val="00F36248"/>
    <w:rsid w:val="00F364B5"/>
    <w:rsid w:val="00F36572"/>
    <w:rsid w:val="00F367F1"/>
    <w:rsid w:val="00F36874"/>
    <w:rsid w:val="00F3691D"/>
    <w:rsid w:val="00F36AF8"/>
    <w:rsid w:val="00F36E6A"/>
    <w:rsid w:val="00F3728A"/>
    <w:rsid w:val="00F375C2"/>
    <w:rsid w:val="00F37B96"/>
    <w:rsid w:val="00F37CC9"/>
    <w:rsid w:val="00F37DC5"/>
    <w:rsid w:val="00F37E31"/>
    <w:rsid w:val="00F37EE4"/>
    <w:rsid w:val="00F37F0B"/>
    <w:rsid w:val="00F37FBB"/>
    <w:rsid w:val="00F403A7"/>
    <w:rsid w:val="00F40445"/>
    <w:rsid w:val="00F40501"/>
    <w:rsid w:val="00F406DB"/>
    <w:rsid w:val="00F406F1"/>
    <w:rsid w:val="00F40981"/>
    <w:rsid w:val="00F41108"/>
    <w:rsid w:val="00F4113D"/>
    <w:rsid w:val="00F41275"/>
    <w:rsid w:val="00F412C7"/>
    <w:rsid w:val="00F4131B"/>
    <w:rsid w:val="00F41507"/>
    <w:rsid w:val="00F4159E"/>
    <w:rsid w:val="00F415FD"/>
    <w:rsid w:val="00F41663"/>
    <w:rsid w:val="00F418A1"/>
    <w:rsid w:val="00F41FD9"/>
    <w:rsid w:val="00F421A8"/>
    <w:rsid w:val="00F42403"/>
    <w:rsid w:val="00F425BE"/>
    <w:rsid w:val="00F42674"/>
    <w:rsid w:val="00F42789"/>
    <w:rsid w:val="00F428F8"/>
    <w:rsid w:val="00F4295A"/>
    <w:rsid w:val="00F42AE3"/>
    <w:rsid w:val="00F43196"/>
    <w:rsid w:val="00F43685"/>
    <w:rsid w:val="00F43832"/>
    <w:rsid w:val="00F43AF5"/>
    <w:rsid w:val="00F43D6C"/>
    <w:rsid w:val="00F43DD8"/>
    <w:rsid w:val="00F43FDD"/>
    <w:rsid w:val="00F4416F"/>
    <w:rsid w:val="00F4421A"/>
    <w:rsid w:val="00F442A4"/>
    <w:rsid w:val="00F4445E"/>
    <w:rsid w:val="00F44A3C"/>
    <w:rsid w:val="00F44A7E"/>
    <w:rsid w:val="00F45176"/>
    <w:rsid w:val="00F451C1"/>
    <w:rsid w:val="00F454CC"/>
    <w:rsid w:val="00F456DA"/>
    <w:rsid w:val="00F4573D"/>
    <w:rsid w:val="00F459A1"/>
    <w:rsid w:val="00F45C09"/>
    <w:rsid w:val="00F45EE4"/>
    <w:rsid w:val="00F4629B"/>
    <w:rsid w:val="00F462B9"/>
    <w:rsid w:val="00F462E0"/>
    <w:rsid w:val="00F46450"/>
    <w:rsid w:val="00F467A2"/>
    <w:rsid w:val="00F467FF"/>
    <w:rsid w:val="00F46A75"/>
    <w:rsid w:val="00F46AC8"/>
    <w:rsid w:val="00F46F8A"/>
    <w:rsid w:val="00F46FC3"/>
    <w:rsid w:val="00F472F9"/>
    <w:rsid w:val="00F479D7"/>
    <w:rsid w:val="00F47EE4"/>
    <w:rsid w:val="00F50147"/>
    <w:rsid w:val="00F502F5"/>
    <w:rsid w:val="00F50333"/>
    <w:rsid w:val="00F506B4"/>
    <w:rsid w:val="00F507E3"/>
    <w:rsid w:val="00F50CE7"/>
    <w:rsid w:val="00F515FC"/>
    <w:rsid w:val="00F5193D"/>
    <w:rsid w:val="00F51A89"/>
    <w:rsid w:val="00F51CDE"/>
    <w:rsid w:val="00F52787"/>
    <w:rsid w:val="00F52A3B"/>
    <w:rsid w:val="00F5335D"/>
    <w:rsid w:val="00F5348F"/>
    <w:rsid w:val="00F534F6"/>
    <w:rsid w:val="00F5362E"/>
    <w:rsid w:val="00F53730"/>
    <w:rsid w:val="00F53892"/>
    <w:rsid w:val="00F53AAD"/>
    <w:rsid w:val="00F54044"/>
    <w:rsid w:val="00F5404B"/>
    <w:rsid w:val="00F54357"/>
    <w:rsid w:val="00F543E4"/>
    <w:rsid w:val="00F5457F"/>
    <w:rsid w:val="00F54688"/>
    <w:rsid w:val="00F54698"/>
    <w:rsid w:val="00F547EE"/>
    <w:rsid w:val="00F54E87"/>
    <w:rsid w:val="00F54E97"/>
    <w:rsid w:val="00F551E5"/>
    <w:rsid w:val="00F55BFC"/>
    <w:rsid w:val="00F5649D"/>
    <w:rsid w:val="00F56B1F"/>
    <w:rsid w:val="00F57119"/>
    <w:rsid w:val="00F57331"/>
    <w:rsid w:val="00F5741C"/>
    <w:rsid w:val="00F57560"/>
    <w:rsid w:val="00F57AC4"/>
    <w:rsid w:val="00F6041E"/>
    <w:rsid w:val="00F6051E"/>
    <w:rsid w:val="00F6082E"/>
    <w:rsid w:val="00F6096D"/>
    <w:rsid w:val="00F609A6"/>
    <w:rsid w:val="00F60A42"/>
    <w:rsid w:val="00F60DE1"/>
    <w:rsid w:val="00F60E1E"/>
    <w:rsid w:val="00F61131"/>
    <w:rsid w:val="00F611D9"/>
    <w:rsid w:val="00F6134D"/>
    <w:rsid w:val="00F61748"/>
    <w:rsid w:val="00F6177D"/>
    <w:rsid w:val="00F6188D"/>
    <w:rsid w:val="00F618DA"/>
    <w:rsid w:val="00F619E7"/>
    <w:rsid w:val="00F619E8"/>
    <w:rsid w:val="00F61CC0"/>
    <w:rsid w:val="00F61FD6"/>
    <w:rsid w:val="00F6249A"/>
    <w:rsid w:val="00F624A7"/>
    <w:rsid w:val="00F62B79"/>
    <w:rsid w:val="00F63444"/>
    <w:rsid w:val="00F6344F"/>
    <w:rsid w:val="00F63E2E"/>
    <w:rsid w:val="00F64378"/>
    <w:rsid w:val="00F6442D"/>
    <w:rsid w:val="00F6443E"/>
    <w:rsid w:val="00F64BE3"/>
    <w:rsid w:val="00F64CAE"/>
    <w:rsid w:val="00F64F71"/>
    <w:rsid w:val="00F65236"/>
    <w:rsid w:val="00F655E7"/>
    <w:rsid w:val="00F65870"/>
    <w:rsid w:val="00F65C32"/>
    <w:rsid w:val="00F65CD5"/>
    <w:rsid w:val="00F6617B"/>
    <w:rsid w:val="00F6663F"/>
    <w:rsid w:val="00F66BC3"/>
    <w:rsid w:val="00F66DD0"/>
    <w:rsid w:val="00F67144"/>
    <w:rsid w:val="00F67170"/>
    <w:rsid w:val="00F674E5"/>
    <w:rsid w:val="00F67548"/>
    <w:rsid w:val="00F67803"/>
    <w:rsid w:val="00F6782F"/>
    <w:rsid w:val="00F67833"/>
    <w:rsid w:val="00F67C40"/>
    <w:rsid w:val="00F67DAA"/>
    <w:rsid w:val="00F67EB0"/>
    <w:rsid w:val="00F7023B"/>
    <w:rsid w:val="00F70271"/>
    <w:rsid w:val="00F707D1"/>
    <w:rsid w:val="00F70A2D"/>
    <w:rsid w:val="00F70C19"/>
    <w:rsid w:val="00F70E32"/>
    <w:rsid w:val="00F70F5B"/>
    <w:rsid w:val="00F7144B"/>
    <w:rsid w:val="00F7176A"/>
    <w:rsid w:val="00F71824"/>
    <w:rsid w:val="00F71C28"/>
    <w:rsid w:val="00F71CCA"/>
    <w:rsid w:val="00F71EEE"/>
    <w:rsid w:val="00F720F9"/>
    <w:rsid w:val="00F72223"/>
    <w:rsid w:val="00F723A9"/>
    <w:rsid w:val="00F725A6"/>
    <w:rsid w:val="00F72737"/>
    <w:rsid w:val="00F72927"/>
    <w:rsid w:val="00F72ACA"/>
    <w:rsid w:val="00F72B80"/>
    <w:rsid w:val="00F72E7B"/>
    <w:rsid w:val="00F72E86"/>
    <w:rsid w:val="00F72EBF"/>
    <w:rsid w:val="00F730D8"/>
    <w:rsid w:val="00F735EF"/>
    <w:rsid w:val="00F7371D"/>
    <w:rsid w:val="00F7389C"/>
    <w:rsid w:val="00F73979"/>
    <w:rsid w:val="00F73984"/>
    <w:rsid w:val="00F73C91"/>
    <w:rsid w:val="00F73E02"/>
    <w:rsid w:val="00F74289"/>
    <w:rsid w:val="00F743DE"/>
    <w:rsid w:val="00F74491"/>
    <w:rsid w:val="00F745E9"/>
    <w:rsid w:val="00F74623"/>
    <w:rsid w:val="00F7470E"/>
    <w:rsid w:val="00F74724"/>
    <w:rsid w:val="00F74AD6"/>
    <w:rsid w:val="00F750D8"/>
    <w:rsid w:val="00F752B6"/>
    <w:rsid w:val="00F752D3"/>
    <w:rsid w:val="00F75375"/>
    <w:rsid w:val="00F75635"/>
    <w:rsid w:val="00F75DFD"/>
    <w:rsid w:val="00F75E79"/>
    <w:rsid w:val="00F75F90"/>
    <w:rsid w:val="00F762E6"/>
    <w:rsid w:val="00F76537"/>
    <w:rsid w:val="00F76965"/>
    <w:rsid w:val="00F76BC8"/>
    <w:rsid w:val="00F76DDB"/>
    <w:rsid w:val="00F76F75"/>
    <w:rsid w:val="00F770EE"/>
    <w:rsid w:val="00F77920"/>
    <w:rsid w:val="00F800E6"/>
    <w:rsid w:val="00F80238"/>
    <w:rsid w:val="00F80274"/>
    <w:rsid w:val="00F80386"/>
    <w:rsid w:val="00F805ED"/>
    <w:rsid w:val="00F80687"/>
    <w:rsid w:val="00F806BE"/>
    <w:rsid w:val="00F8075E"/>
    <w:rsid w:val="00F808EB"/>
    <w:rsid w:val="00F809A2"/>
    <w:rsid w:val="00F80A35"/>
    <w:rsid w:val="00F80D63"/>
    <w:rsid w:val="00F80DBF"/>
    <w:rsid w:val="00F811AF"/>
    <w:rsid w:val="00F813CB"/>
    <w:rsid w:val="00F8164C"/>
    <w:rsid w:val="00F8165E"/>
    <w:rsid w:val="00F81769"/>
    <w:rsid w:val="00F81AA3"/>
    <w:rsid w:val="00F81CF6"/>
    <w:rsid w:val="00F81D86"/>
    <w:rsid w:val="00F82036"/>
    <w:rsid w:val="00F822DF"/>
    <w:rsid w:val="00F8231B"/>
    <w:rsid w:val="00F82478"/>
    <w:rsid w:val="00F824A2"/>
    <w:rsid w:val="00F825A7"/>
    <w:rsid w:val="00F82822"/>
    <w:rsid w:val="00F82856"/>
    <w:rsid w:val="00F82964"/>
    <w:rsid w:val="00F82A06"/>
    <w:rsid w:val="00F82A44"/>
    <w:rsid w:val="00F82C18"/>
    <w:rsid w:val="00F82C19"/>
    <w:rsid w:val="00F82D7F"/>
    <w:rsid w:val="00F836FE"/>
    <w:rsid w:val="00F839C1"/>
    <w:rsid w:val="00F83F73"/>
    <w:rsid w:val="00F8425E"/>
    <w:rsid w:val="00F8433E"/>
    <w:rsid w:val="00F84622"/>
    <w:rsid w:val="00F84710"/>
    <w:rsid w:val="00F84788"/>
    <w:rsid w:val="00F84BEF"/>
    <w:rsid w:val="00F85099"/>
    <w:rsid w:val="00F85368"/>
    <w:rsid w:val="00F8550B"/>
    <w:rsid w:val="00F855E5"/>
    <w:rsid w:val="00F85639"/>
    <w:rsid w:val="00F85676"/>
    <w:rsid w:val="00F85D35"/>
    <w:rsid w:val="00F85F05"/>
    <w:rsid w:val="00F86062"/>
    <w:rsid w:val="00F863AC"/>
    <w:rsid w:val="00F8665B"/>
    <w:rsid w:val="00F8684D"/>
    <w:rsid w:val="00F86869"/>
    <w:rsid w:val="00F86F47"/>
    <w:rsid w:val="00F87038"/>
    <w:rsid w:val="00F8723F"/>
    <w:rsid w:val="00F87379"/>
    <w:rsid w:val="00F87517"/>
    <w:rsid w:val="00F876B8"/>
    <w:rsid w:val="00F8778C"/>
    <w:rsid w:val="00F8784B"/>
    <w:rsid w:val="00F87906"/>
    <w:rsid w:val="00F87A2E"/>
    <w:rsid w:val="00F87DBD"/>
    <w:rsid w:val="00F90739"/>
    <w:rsid w:val="00F90748"/>
    <w:rsid w:val="00F90815"/>
    <w:rsid w:val="00F90F3E"/>
    <w:rsid w:val="00F9132D"/>
    <w:rsid w:val="00F9144D"/>
    <w:rsid w:val="00F91582"/>
    <w:rsid w:val="00F91741"/>
    <w:rsid w:val="00F91AE7"/>
    <w:rsid w:val="00F91B5F"/>
    <w:rsid w:val="00F920FA"/>
    <w:rsid w:val="00F92159"/>
    <w:rsid w:val="00F9241F"/>
    <w:rsid w:val="00F927F5"/>
    <w:rsid w:val="00F931ED"/>
    <w:rsid w:val="00F93285"/>
    <w:rsid w:val="00F937CC"/>
    <w:rsid w:val="00F937E5"/>
    <w:rsid w:val="00F938C9"/>
    <w:rsid w:val="00F94137"/>
    <w:rsid w:val="00F9433B"/>
    <w:rsid w:val="00F9441C"/>
    <w:rsid w:val="00F9474A"/>
    <w:rsid w:val="00F94791"/>
    <w:rsid w:val="00F94CF2"/>
    <w:rsid w:val="00F94DB0"/>
    <w:rsid w:val="00F94E61"/>
    <w:rsid w:val="00F9509E"/>
    <w:rsid w:val="00F95130"/>
    <w:rsid w:val="00F9519E"/>
    <w:rsid w:val="00F951AB"/>
    <w:rsid w:val="00F954C5"/>
    <w:rsid w:val="00F956F9"/>
    <w:rsid w:val="00F9577D"/>
    <w:rsid w:val="00F95855"/>
    <w:rsid w:val="00F95914"/>
    <w:rsid w:val="00F95981"/>
    <w:rsid w:val="00F95A37"/>
    <w:rsid w:val="00F95C9D"/>
    <w:rsid w:val="00F95D91"/>
    <w:rsid w:val="00F961F0"/>
    <w:rsid w:val="00F9660C"/>
    <w:rsid w:val="00F96675"/>
    <w:rsid w:val="00F9672F"/>
    <w:rsid w:val="00F9676B"/>
    <w:rsid w:val="00F969F7"/>
    <w:rsid w:val="00F96A35"/>
    <w:rsid w:val="00F96AA1"/>
    <w:rsid w:val="00F96CB6"/>
    <w:rsid w:val="00F96D0E"/>
    <w:rsid w:val="00F96E89"/>
    <w:rsid w:val="00F971DC"/>
    <w:rsid w:val="00F9733D"/>
    <w:rsid w:val="00F975CB"/>
    <w:rsid w:val="00F97B1E"/>
    <w:rsid w:val="00F97F22"/>
    <w:rsid w:val="00FA0031"/>
    <w:rsid w:val="00FA0134"/>
    <w:rsid w:val="00FA03DD"/>
    <w:rsid w:val="00FA041D"/>
    <w:rsid w:val="00FA0424"/>
    <w:rsid w:val="00FA045E"/>
    <w:rsid w:val="00FA079B"/>
    <w:rsid w:val="00FA0B5D"/>
    <w:rsid w:val="00FA1255"/>
    <w:rsid w:val="00FA1719"/>
    <w:rsid w:val="00FA17F8"/>
    <w:rsid w:val="00FA18C9"/>
    <w:rsid w:val="00FA1E5C"/>
    <w:rsid w:val="00FA1F11"/>
    <w:rsid w:val="00FA2567"/>
    <w:rsid w:val="00FA2694"/>
    <w:rsid w:val="00FA2754"/>
    <w:rsid w:val="00FA27B1"/>
    <w:rsid w:val="00FA29C1"/>
    <w:rsid w:val="00FA29E1"/>
    <w:rsid w:val="00FA2A09"/>
    <w:rsid w:val="00FA2AE1"/>
    <w:rsid w:val="00FA2D5B"/>
    <w:rsid w:val="00FA343C"/>
    <w:rsid w:val="00FA35C6"/>
    <w:rsid w:val="00FA389C"/>
    <w:rsid w:val="00FA38DE"/>
    <w:rsid w:val="00FA3DA0"/>
    <w:rsid w:val="00FA3DB5"/>
    <w:rsid w:val="00FA3E8C"/>
    <w:rsid w:val="00FA4196"/>
    <w:rsid w:val="00FA4291"/>
    <w:rsid w:val="00FA438C"/>
    <w:rsid w:val="00FA4439"/>
    <w:rsid w:val="00FA4452"/>
    <w:rsid w:val="00FA45EF"/>
    <w:rsid w:val="00FA4888"/>
    <w:rsid w:val="00FA4A4E"/>
    <w:rsid w:val="00FA4BC9"/>
    <w:rsid w:val="00FA4C1B"/>
    <w:rsid w:val="00FA4D65"/>
    <w:rsid w:val="00FA4E4A"/>
    <w:rsid w:val="00FA4E75"/>
    <w:rsid w:val="00FA4F52"/>
    <w:rsid w:val="00FA504E"/>
    <w:rsid w:val="00FA518D"/>
    <w:rsid w:val="00FA58A7"/>
    <w:rsid w:val="00FA58B5"/>
    <w:rsid w:val="00FA5B7A"/>
    <w:rsid w:val="00FA5BCE"/>
    <w:rsid w:val="00FA5D43"/>
    <w:rsid w:val="00FA61C7"/>
    <w:rsid w:val="00FA62D5"/>
    <w:rsid w:val="00FA6389"/>
    <w:rsid w:val="00FA63BE"/>
    <w:rsid w:val="00FA6D07"/>
    <w:rsid w:val="00FA746C"/>
    <w:rsid w:val="00FA77C3"/>
    <w:rsid w:val="00FA7F59"/>
    <w:rsid w:val="00FB008B"/>
    <w:rsid w:val="00FB01A4"/>
    <w:rsid w:val="00FB01B4"/>
    <w:rsid w:val="00FB064D"/>
    <w:rsid w:val="00FB0AAC"/>
    <w:rsid w:val="00FB0BC7"/>
    <w:rsid w:val="00FB0F84"/>
    <w:rsid w:val="00FB1081"/>
    <w:rsid w:val="00FB11F3"/>
    <w:rsid w:val="00FB14EA"/>
    <w:rsid w:val="00FB153A"/>
    <w:rsid w:val="00FB1900"/>
    <w:rsid w:val="00FB19D4"/>
    <w:rsid w:val="00FB1A70"/>
    <w:rsid w:val="00FB1FDF"/>
    <w:rsid w:val="00FB2295"/>
    <w:rsid w:val="00FB251B"/>
    <w:rsid w:val="00FB25DA"/>
    <w:rsid w:val="00FB2A6C"/>
    <w:rsid w:val="00FB2E56"/>
    <w:rsid w:val="00FB31EB"/>
    <w:rsid w:val="00FB3301"/>
    <w:rsid w:val="00FB3305"/>
    <w:rsid w:val="00FB33AB"/>
    <w:rsid w:val="00FB34FA"/>
    <w:rsid w:val="00FB3588"/>
    <w:rsid w:val="00FB38FA"/>
    <w:rsid w:val="00FB3EA7"/>
    <w:rsid w:val="00FB405C"/>
    <w:rsid w:val="00FB415F"/>
    <w:rsid w:val="00FB41CE"/>
    <w:rsid w:val="00FB4358"/>
    <w:rsid w:val="00FB43C1"/>
    <w:rsid w:val="00FB4730"/>
    <w:rsid w:val="00FB4FAC"/>
    <w:rsid w:val="00FB4FB0"/>
    <w:rsid w:val="00FB54EE"/>
    <w:rsid w:val="00FB5B40"/>
    <w:rsid w:val="00FB5F8D"/>
    <w:rsid w:val="00FB5FEE"/>
    <w:rsid w:val="00FB5FF8"/>
    <w:rsid w:val="00FB6271"/>
    <w:rsid w:val="00FB667C"/>
    <w:rsid w:val="00FB694E"/>
    <w:rsid w:val="00FB6A74"/>
    <w:rsid w:val="00FB6BA2"/>
    <w:rsid w:val="00FB6C0F"/>
    <w:rsid w:val="00FB702C"/>
    <w:rsid w:val="00FB7208"/>
    <w:rsid w:val="00FB747D"/>
    <w:rsid w:val="00FB7582"/>
    <w:rsid w:val="00FB75CE"/>
    <w:rsid w:val="00FB762C"/>
    <w:rsid w:val="00FB7773"/>
    <w:rsid w:val="00FB778F"/>
    <w:rsid w:val="00FB7892"/>
    <w:rsid w:val="00FB7AF8"/>
    <w:rsid w:val="00FB7B68"/>
    <w:rsid w:val="00FB7DE7"/>
    <w:rsid w:val="00FB7FEC"/>
    <w:rsid w:val="00FC05F8"/>
    <w:rsid w:val="00FC0DEA"/>
    <w:rsid w:val="00FC0F12"/>
    <w:rsid w:val="00FC1577"/>
    <w:rsid w:val="00FC1588"/>
    <w:rsid w:val="00FC1CD7"/>
    <w:rsid w:val="00FC2212"/>
    <w:rsid w:val="00FC2235"/>
    <w:rsid w:val="00FC223F"/>
    <w:rsid w:val="00FC248E"/>
    <w:rsid w:val="00FC2661"/>
    <w:rsid w:val="00FC298A"/>
    <w:rsid w:val="00FC2A32"/>
    <w:rsid w:val="00FC2B35"/>
    <w:rsid w:val="00FC2C68"/>
    <w:rsid w:val="00FC2E63"/>
    <w:rsid w:val="00FC2F97"/>
    <w:rsid w:val="00FC3254"/>
    <w:rsid w:val="00FC3631"/>
    <w:rsid w:val="00FC363E"/>
    <w:rsid w:val="00FC3E36"/>
    <w:rsid w:val="00FC4C75"/>
    <w:rsid w:val="00FC4E54"/>
    <w:rsid w:val="00FC4E60"/>
    <w:rsid w:val="00FC52A4"/>
    <w:rsid w:val="00FC551A"/>
    <w:rsid w:val="00FC5574"/>
    <w:rsid w:val="00FC5B62"/>
    <w:rsid w:val="00FC5FD0"/>
    <w:rsid w:val="00FC627A"/>
    <w:rsid w:val="00FC6396"/>
    <w:rsid w:val="00FC6707"/>
    <w:rsid w:val="00FC680C"/>
    <w:rsid w:val="00FC68F2"/>
    <w:rsid w:val="00FC6B82"/>
    <w:rsid w:val="00FC6F73"/>
    <w:rsid w:val="00FC7006"/>
    <w:rsid w:val="00FC7661"/>
    <w:rsid w:val="00FC76B1"/>
    <w:rsid w:val="00FC7884"/>
    <w:rsid w:val="00FC79E4"/>
    <w:rsid w:val="00FC7A5E"/>
    <w:rsid w:val="00FC7D3E"/>
    <w:rsid w:val="00FD0083"/>
    <w:rsid w:val="00FD0894"/>
    <w:rsid w:val="00FD0E55"/>
    <w:rsid w:val="00FD0FE7"/>
    <w:rsid w:val="00FD101C"/>
    <w:rsid w:val="00FD10AF"/>
    <w:rsid w:val="00FD10FF"/>
    <w:rsid w:val="00FD125B"/>
    <w:rsid w:val="00FD1C21"/>
    <w:rsid w:val="00FD222A"/>
    <w:rsid w:val="00FD22C8"/>
    <w:rsid w:val="00FD236D"/>
    <w:rsid w:val="00FD23D8"/>
    <w:rsid w:val="00FD2540"/>
    <w:rsid w:val="00FD29DB"/>
    <w:rsid w:val="00FD2AF5"/>
    <w:rsid w:val="00FD2C35"/>
    <w:rsid w:val="00FD2DE0"/>
    <w:rsid w:val="00FD2FAD"/>
    <w:rsid w:val="00FD36B1"/>
    <w:rsid w:val="00FD374F"/>
    <w:rsid w:val="00FD37AC"/>
    <w:rsid w:val="00FD3922"/>
    <w:rsid w:val="00FD3E16"/>
    <w:rsid w:val="00FD4148"/>
    <w:rsid w:val="00FD43E6"/>
    <w:rsid w:val="00FD444F"/>
    <w:rsid w:val="00FD4890"/>
    <w:rsid w:val="00FD4A86"/>
    <w:rsid w:val="00FD4F05"/>
    <w:rsid w:val="00FD50FA"/>
    <w:rsid w:val="00FD527D"/>
    <w:rsid w:val="00FD562C"/>
    <w:rsid w:val="00FD57E0"/>
    <w:rsid w:val="00FD5859"/>
    <w:rsid w:val="00FD5957"/>
    <w:rsid w:val="00FD59D9"/>
    <w:rsid w:val="00FD5E05"/>
    <w:rsid w:val="00FD618B"/>
    <w:rsid w:val="00FD6272"/>
    <w:rsid w:val="00FD6376"/>
    <w:rsid w:val="00FD657C"/>
    <w:rsid w:val="00FD66CA"/>
    <w:rsid w:val="00FD6AB3"/>
    <w:rsid w:val="00FD6DAB"/>
    <w:rsid w:val="00FD6E3A"/>
    <w:rsid w:val="00FD71E6"/>
    <w:rsid w:val="00FD7432"/>
    <w:rsid w:val="00FD77F6"/>
    <w:rsid w:val="00FD78E4"/>
    <w:rsid w:val="00FD7A6E"/>
    <w:rsid w:val="00FD7B18"/>
    <w:rsid w:val="00FD7D0D"/>
    <w:rsid w:val="00FD7DF3"/>
    <w:rsid w:val="00FE0484"/>
    <w:rsid w:val="00FE06B1"/>
    <w:rsid w:val="00FE07C0"/>
    <w:rsid w:val="00FE0908"/>
    <w:rsid w:val="00FE0B5E"/>
    <w:rsid w:val="00FE0F65"/>
    <w:rsid w:val="00FE0FDC"/>
    <w:rsid w:val="00FE110C"/>
    <w:rsid w:val="00FE1218"/>
    <w:rsid w:val="00FE15B5"/>
    <w:rsid w:val="00FE1814"/>
    <w:rsid w:val="00FE18F5"/>
    <w:rsid w:val="00FE1B3E"/>
    <w:rsid w:val="00FE2113"/>
    <w:rsid w:val="00FE2769"/>
    <w:rsid w:val="00FE2785"/>
    <w:rsid w:val="00FE280F"/>
    <w:rsid w:val="00FE297A"/>
    <w:rsid w:val="00FE2A82"/>
    <w:rsid w:val="00FE2AB9"/>
    <w:rsid w:val="00FE2F66"/>
    <w:rsid w:val="00FE3500"/>
    <w:rsid w:val="00FE384E"/>
    <w:rsid w:val="00FE398C"/>
    <w:rsid w:val="00FE3A1A"/>
    <w:rsid w:val="00FE3B15"/>
    <w:rsid w:val="00FE3B94"/>
    <w:rsid w:val="00FE3D99"/>
    <w:rsid w:val="00FE3E56"/>
    <w:rsid w:val="00FE40C4"/>
    <w:rsid w:val="00FE43CE"/>
    <w:rsid w:val="00FE44EE"/>
    <w:rsid w:val="00FE454C"/>
    <w:rsid w:val="00FE473B"/>
    <w:rsid w:val="00FE47EF"/>
    <w:rsid w:val="00FE48FC"/>
    <w:rsid w:val="00FE490E"/>
    <w:rsid w:val="00FE49CC"/>
    <w:rsid w:val="00FE4A2D"/>
    <w:rsid w:val="00FE4CCA"/>
    <w:rsid w:val="00FE4D29"/>
    <w:rsid w:val="00FE50F2"/>
    <w:rsid w:val="00FE52D1"/>
    <w:rsid w:val="00FE53E4"/>
    <w:rsid w:val="00FE5422"/>
    <w:rsid w:val="00FE54BA"/>
    <w:rsid w:val="00FE563A"/>
    <w:rsid w:val="00FE5886"/>
    <w:rsid w:val="00FE5C68"/>
    <w:rsid w:val="00FE5F44"/>
    <w:rsid w:val="00FE6239"/>
    <w:rsid w:val="00FE655D"/>
    <w:rsid w:val="00FE66D3"/>
    <w:rsid w:val="00FE6B09"/>
    <w:rsid w:val="00FE70C7"/>
    <w:rsid w:val="00FE711E"/>
    <w:rsid w:val="00FE735A"/>
    <w:rsid w:val="00FE75C6"/>
    <w:rsid w:val="00FE79BC"/>
    <w:rsid w:val="00FE7A80"/>
    <w:rsid w:val="00FE7B39"/>
    <w:rsid w:val="00FE7D95"/>
    <w:rsid w:val="00FE7E5E"/>
    <w:rsid w:val="00FF04AD"/>
    <w:rsid w:val="00FF0F8B"/>
    <w:rsid w:val="00FF15F4"/>
    <w:rsid w:val="00FF1618"/>
    <w:rsid w:val="00FF17ED"/>
    <w:rsid w:val="00FF1914"/>
    <w:rsid w:val="00FF1DCA"/>
    <w:rsid w:val="00FF1FA5"/>
    <w:rsid w:val="00FF20AF"/>
    <w:rsid w:val="00FF2326"/>
    <w:rsid w:val="00FF2429"/>
    <w:rsid w:val="00FF2AEF"/>
    <w:rsid w:val="00FF2B3F"/>
    <w:rsid w:val="00FF2B9C"/>
    <w:rsid w:val="00FF2D5A"/>
    <w:rsid w:val="00FF2EF2"/>
    <w:rsid w:val="00FF2FF1"/>
    <w:rsid w:val="00FF369D"/>
    <w:rsid w:val="00FF374C"/>
    <w:rsid w:val="00FF37E0"/>
    <w:rsid w:val="00FF395F"/>
    <w:rsid w:val="00FF3AC6"/>
    <w:rsid w:val="00FF3CF5"/>
    <w:rsid w:val="00FF3DB3"/>
    <w:rsid w:val="00FF3F70"/>
    <w:rsid w:val="00FF41E2"/>
    <w:rsid w:val="00FF4549"/>
    <w:rsid w:val="00FF465C"/>
    <w:rsid w:val="00FF473D"/>
    <w:rsid w:val="00FF48D1"/>
    <w:rsid w:val="00FF4C08"/>
    <w:rsid w:val="00FF4C3A"/>
    <w:rsid w:val="00FF4D3C"/>
    <w:rsid w:val="00FF4E21"/>
    <w:rsid w:val="00FF50CE"/>
    <w:rsid w:val="00FF5176"/>
    <w:rsid w:val="00FF52B7"/>
    <w:rsid w:val="00FF53D8"/>
    <w:rsid w:val="00FF5475"/>
    <w:rsid w:val="00FF54E0"/>
    <w:rsid w:val="00FF5534"/>
    <w:rsid w:val="00FF5951"/>
    <w:rsid w:val="00FF6085"/>
    <w:rsid w:val="00FF6211"/>
    <w:rsid w:val="00FF62C0"/>
    <w:rsid w:val="00FF62DB"/>
    <w:rsid w:val="00FF66EF"/>
    <w:rsid w:val="00FF6756"/>
    <w:rsid w:val="00FF6D25"/>
    <w:rsid w:val="00FF6E22"/>
    <w:rsid w:val="00FF7134"/>
    <w:rsid w:val="00FF736E"/>
    <w:rsid w:val="00FF7405"/>
    <w:rsid w:val="00FF7424"/>
    <w:rsid w:val="00FF75BD"/>
    <w:rsid w:val="00FF7A42"/>
    <w:rsid w:val="00FF7BCE"/>
    <w:rsid w:val="00FF7BD1"/>
    <w:rsid w:val="00FF7C3B"/>
    <w:rsid w:val="00FF7FDA"/>
    <w:rsid w:val="06FCC94B"/>
    <w:rsid w:val="0781D605"/>
    <w:rsid w:val="089A8B6F"/>
    <w:rsid w:val="08A2DD9C"/>
    <w:rsid w:val="0C7B44AC"/>
    <w:rsid w:val="0F286EE0"/>
    <w:rsid w:val="11B5EC40"/>
    <w:rsid w:val="13DC7B43"/>
    <w:rsid w:val="145ECF2E"/>
    <w:rsid w:val="14AAA7D2"/>
    <w:rsid w:val="15683847"/>
    <w:rsid w:val="163607A3"/>
    <w:rsid w:val="175F93CC"/>
    <w:rsid w:val="1862803F"/>
    <w:rsid w:val="195C69CA"/>
    <w:rsid w:val="199CEA48"/>
    <w:rsid w:val="1AE70C72"/>
    <w:rsid w:val="1D77B15D"/>
    <w:rsid w:val="1FDBC993"/>
    <w:rsid w:val="223EECDC"/>
    <w:rsid w:val="2402AB28"/>
    <w:rsid w:val="2404933D"/>
    <w:rsid w:val="24D6FA6C"/>
    <w:rsid w:val="2812EE0E"/>
    <w:rsid w:val="2A942265"/>
    <w:rsid w:val="2B4DF9E7"/>
    <w:rsid w:val="2C189D9C"/>
    <w:rsid w:val="2D0AC47B"/>
    <w:rsid w:val="2E07B71E"/>
    <w:rsid w:val="2FAD6516"/>
    <w:rsid w:val="300E05F4"/>
    <w:rsid w:val="3053E71A"/>
    <w:rsid w:val="32753AE9"/>
    <w:rsid w:val="364646B2"/>
    <w:rsid w:val="36650B02"/>
    <w:rsid w:val="375B22AF"/>
    <w:rsid w:val="375CEF2C"/>
    <w:rsid w:val="3923E8A8"/>
    <w:rsid w:val="39BBF227"/>
    <w:rsid w:val="39CCFB1A"/>
    <w:rsid w:val="3AD4C943"/>
    <w:rsid w:val="3BA9C6B7"/>
    <w:rsid w:val="3EE37C9B"/>
    <w:rsid w:val="402B66C4"/>
    <w:rsid w:val="425DF7B8"/>
    <w:rsid w:val="42702BB2"/>
    <w:rsid w:val="43A1129B"/>
    <w:rsid w:val="47B50DC7"/>
    <w:rsid w:val="480B508E"/>
    <w:rsid w:val="4C8A6297"/>
    <w:rsid w:val="4E6416D5"/>
    <w:rsid w:val="5089E446"/>
    <w:rsid w:val="537C5D6D"/>
    <w:rsid w:val="53A1677C"/>
    <w:rsid w:val="56A23A1C"/>
    <w:rsid w:val="5815C1B3"/>
    <w:rsid w:val="5ABC7B4F"/>
    <w:rsid w:val="5B53B3F9"/>
    <w:rsid w:val="5DAA34A4"/>
    <w:rsid w:val="5F78048F"/>
    <w:rsid w:val="5FFE5F4F"/>
    <w:rsid w:val="60891747"/>
    <w:rsid w:val="61133364"/>
    <w:rsid w:val="64EB4A10"/>
    <w:rsid w:val="64F7A3B6"/>
    <w:rsid w:val="677FFBF5"/>
    <w:rsid w:val="69FCFCB1"/>
    <w:rsid w:val="6CB4E4D2"/>
    <w:rsid w:val="6E996577"/>
    <w:rsid w:val="6FBAAFAA"/>
    <w:rsid w:val="6FC4C83F"/>
    <w:rsid w:val="7282AA7E"/>
    <w:rsid w:val="73F3C8DC"/>
    <w:rsid w:val="7431483D"/>
    <w:rsid w:val="75C41EA3"/>
    <w:rsid w:val="76512D34"/>
    <w:rsid w:val="78DDF326"/>
    <w:rsid w:val="79283A93"/>
    <w:rsid w:val="79F89A3A"/>
    <w:rsid w:val="7A7C7103"/>
    <w:rsid w:val="7D31CBB1"/>
    <w:rsid w:val="7DB101BD"/>
    <w:rsid w:val="7E0A7E15"/>
    <w:rsid w:val="7F47E1EC"/>
    <w:rsid w:val="7FF99A84"/>
  </w:rsids>
  <m:mathPr>
    <m:mathFont m:val="Cambria Math"/>
    <m:brkBin m:val="before"/>
    <m:brkBinSub m:val="--"/>
    <m:smallFrac m:val="0"/>
    <m:dispDef/>
    <m:lMargin m:val="0"/>
    <m:rMargin m:val="0"/>
    <m:defJc m:val="centerGroup"/>
    <m:wrapIndent m:val="1440"/>
    <m:intLim m:val="subSup"/>
    <m:naryLim m:val="undOvr"/>
  </m:mathPr>
  <w:themeFontLang w:val="en-CA" w:eastAsia="zh-CN"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C26F439"/>
  <w15:chartTrackingRefBased/>
  <w15:docId w15:val="{D34FD067-24E7-4E74-957F-9CE8CEF2C05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CA"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0" w:unhideWhenUsed="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0" w:unhideWhenUsed="1"/>
    <w:lsdException w:name="toc 7" w:semiHidden="1" w:uiPriority="0" w:unhideWhenUsed="1"/>
    <w:lsdException w:name="toc 8" w:semiHidden="1" w:uiPriority="0" w:unhideWhenUsed="1"/>
    <w:lsdException w:name="toc 9" w:semiHidden="1" w:uiPriority="0" w:unhideWhenUsed="1"/>
    <w:lsdException w:name="Normal Indent" w:semiHidden="1" w:unhideWhenUsed="1"/>
    <w:lsdException w:name="footnote text" w:semiHidden="1" w:unhideWhenUsed="1" w:qFormat="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iPriority="0"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D2758E"/>
    <w:pPr>
      <w:tabs>
        <w:tab w:val="left" w:pos="567"/>
        <w:tab w:val="left" w:pos="1134"/>
        <w:tab w:val="left" w:pos="1701"/>
        <w:tab w:val="left" w:pos="2268"/>
      </w:tabs>
      <w:spacing w:after="0" w:line="240" w:lineRule="auto"/>
      <w:jc w:val="both"/>
    </w:pPr>
    <w:rPr>
      <w:rFonts w:ascii="Times New Roman" w:eastAsia="SimSun" w:hAnsi="Times New Roman" w:cs="Times New Roman"/>
      <w:kern w:val="0"/>
      <w:lang w:val="en-GB"/>
      <w14:ligatures w14:val="none"/>
    </w:rPr>
  </w:style>
  <w:style w:type="paragraph" w:styleId="Heading1">
    <w:name w:val="heading 1"/>
    <w:basedOn w:val="Normal"/>
    <w:next w:val="Heading2"/>
    <w:link w:val="Heading1Char"/>
    <w:uiPriority w:val="9"/>
    <w:qFormat/>
    <w:rsid w:val="00D2758E"/>
    <w:pPr>
      <w:keepNext/>
      <w:keepLines/>
      <w:numPr>
        <w:numId w:val="6"/>
      </w:numPr>
      <w:spacing w:before="240" w:after="120"/>
      <w:jc w:val="left"/>
      <w:outlineLvl w:val="0"/>
    </w:pPr>
    <w:rPr>
      <w:rFonts w:eastAsiaTheme="majorEastAsia" w:cstheme="majorBidi"/>
      <w:b/>
      <w:bCs/>
      <w:kern w:val="2"/>
      <w:sz w:val="28"/>
      <w:szCs w:val="32"/>
      <w14:ligatures w14:val="standardContextual"/>
    </w:rPr>
  </w:style>
  <w:style w:type="paragraph" w:styleId="Heading2">
    <w:name w:val="heading 2"/>
    <w:basedOn w:val="Normal"/>
    <w:next w:val="CBDNormalNumber"/>
    <w:link w:val="Heading2Char"/>
    <w:uiPriority w:val="9"/>
    <w:qFormat/>
    <w:rsid w:val="00D2758E"/>
    <w:pPr>
      <w:keepNext/>
      <w:keepLines/>
      <w:numPr>
        <w:ilvl w:val="1"/>
        <w:numId w:val="6"/>
      </w:numPr>
      <w:spacing w:before="120" w:after="120"/>
      <w:jc w:val="left"/>
      <w:outlineLvl w:val="1"/>
    </w:pPr>
    <w:rPr>
      <w:rFonts w:ascii="Times New Roman Bold" w:eastAsiaTheme="majorEastAsia" w:hAnsi="Times New Roman Bold" w:cstheme="majorBidi"/>
      <w:b/>
      <w:sz w:val="24"/>
      <w:szCs w:val="26"/>
    </w:rPr>
  </w:style>
  <w:style w:type="paragraph" w:styleId="Heading3">
    <w:name w:val="heading 3"/>
    <w:basedOn w:val="Normal"/>
    <w:next w:val="CBDNormalNumber"/>
    <w:link w:val="Heading3Char"/>
    <w:uiPriority w:val="9"/>
    <w:qFormat/>
    <w:rsid w:val="00D2758E"/>
    <w:pPr>
      <w:keepNext/>
      <w:keepLines/>
      <w:numPr>
        <w:ilvl w:val="2"/>
        <w:numId w:val="6"/>
      </w:numPr>
      <w:spacing w:before="120" w:after="120"/>
      <w:jc w:val="left"/>
      <w:outlineLvl w:val="2"/>
    </w:pPr>
    <w:rPr>
      <w:rFonts w:eastAsiaTheme="majorEastAsia"/>
      <w:b/>
      <w:bCs/>
    </w:rPr>
  </w:style>
  <w:style w:type="paragraph" w:styleId="Heading4">
    <w:name w:val="heading 4"/>
    <w:basedOn w:val="Normal"/>
    <w:next w:val="CBDNormalNumber"/>
    <w:link w:val="Heading4Char"/>
    <w:uiPriority w:val="9"/>
    <w:qFormat/>
    <w:rsid w:val="00D2758E"/>
    <w:pPr>
      <w:keepNext/>
      <w:numPr>
        <w:ilvl w:val="3"/>
        <w:numId w:val="6"/>
      </w:numPr>
      <w:spacing w:before="120" w:after="120"/>
      <w:jc w:val="left"/>
      <w:outlineLvl w:val="3"/>
    </w:pPr>
    <w:rPr>
      <w:rFonts w:eastAsiaTheme="majorEastAsia"/>
      <w:b/>
      <w:bCs/>
    </w:rPr>
  </w:style>
  <w:style w:type="paragraph" w:styleId="Heading5">
    <w:name w:val="heading 5"/>
    <w:basedOn w:val="Normal"/>
    <w:next w:val="Normal"/>
    <w:link w:val="Heading5Char"/>
    <w:uiPriority w:val="9"/>
    <w:qFormat/>
    <w:rsid w:val="00D2758E"/>
    <w:pPr>
      <w:keepNext/>
      <w:numPr>
        <w:ilvl w:val="4"/>
        <w:numId w:val="6"/>
      </w:numPr>
      <w:spacing w:before="120" w:after="120"/>
      <w:jc w:val="left"/>
      <w:outlineLvl w:val="4"/>
    </w:pPr>
    <w:rPr>
      <w:rFonts w:eastAsiaTheme="majorEastAsia"/>
      <w:i/>
      <w:iCs/>
    </w:rPr>
  </w:style>
  <w:style w:type="paragraph" w:styleId="Heading6">
    <w:name w:val="heading 6"/>
    <w:basedOn w:val="Normal"/>
    <w:next w:val="Normal"/>
    <w:link w:val="Heading6Char"/>
    <w:semiHidden/>
    <w:rsid w:val="00D2758E"/>
    <w:pPr>
      <w:keepNext/>
      <w:keepLines/>
      <w:numPr>
        <w:ilvl w:val="5"/>
        <w:numId w:val="5"/>
      </w:numPr>
      <w:tabs>
        <w:tab w:val="right" w:pos="851"/>
        <w:tab w:val="left" w:pos="1871"/>
        <w:tab w:val="left" w:pos="2495"/>
        <w:tab w:val="left" w:pos="3119"/>
        <w:tab w:val="left" w:pos="3742"/>
        <w:tab w:val="left" w:pos="4082"/>
        <w:tab w:val="left" w:pos="4366"/>
      </w:tabs>
      <w:suppressAutoHyphens/>
      <w:spacing w:after="120"/>
      <w:ind w:right="624"/>
      <w:jc w:val="left"/>
      <w:outlineLvl w:val="5"/>
    </w:pPr>
    <w:rPr>
      <w:bCs/>
      <w:sz w:val="24"/>
    </w:rPr>
  </w:style>
  <w:style w:type="paragraph" w:styleId="Heading7">
    <w:name w:val="heading 7"/>
    <w:basedOn w:val="Normal"/>
    <w:next w:val="Normal"/>
    <w:link w:val="Heading7Char"/>
    <w:semiHidden/>
    <w:rsid w:val="00D2758E"/>
    <w:pPr>
      <w:keepNext/>
      <w:keepLines/>
      <w:widowControl w:val="0"/>
      <w:numPr>
        <w:ilvl w:val="6"/>
        <w:numId w:val="5"/>
      </w:numPr>
      <w:tabs>
        <w:tab w:val="right" w:pos="851"/>
        <w:tab w:val="left" w:pos="1871"/>
        <w:tab w:val="left" w:pos="2495"/>
        <w:tab w:val="left" w:pos="3119"/>
        <w:tab w:val="left" w:pos="3742"/>
        <w:tab w:val="left" w:pos="4082"/>
        <w:tab w:val="left" w:pos="4366"/>
      </w:tabs>
      <w:suppressAutoHyphens/>
      <w:spacing w:after="120"/>
      <w:ind w:right="624"/>
      <w:jc w:val="left"/>
      <w:outlineLvl w:val="6"/>
    </w:pPr>
    <w:rPr>
      <w:b/>
      <w:snapToGrid w:val="0"/>
      <w:u w:val="single"/>
    </w:rPr>
  </w:style>
  <w:style w:type="paragraph" w:styleId="Heading8">
    <w:name w:val="heading 8"/>
    <w:basedOn w:val="Normal"/>
    <w:next w:val="Normal"/>
    <w:link w:val="Heading8Char"/>
    <w:semiHidden/>
    <w:rsid w:val="00D2758E"/>
    <w:pPr>
      <w:keepNext/>
      <w:keepLines/>
      <w:widowControl w:val="0"/>
      <w:numPr>
        <w:ilvl w:val="7"/>
        <w:numId w:val="5"/>
      </w:numPr>
      <w:tabs>
        <w:tab w:val="left" w:pos="-1440"/>
        <w:tab w:val="left" w:pos="-720"/>
        <w:tab w:val="right" w:pos="851"/>
        <w:tab w:val="left" w:pos="1871"/>
        <w:tab w:val="left" w:pos="2495"/>
        <w:tab w:val="left" w:pos="3119"/>
        <w:tab w:val="left" w:pos="3742"/>
        <w:tab w:val="left" w:pos="4082"/>
        <w:tab w:val="left" w:pos="4366"/>
      </w:tabs>
      <w:suppressAutoHyphens/>
      <w:spacing w:after="120"/>
      <w:ind w:right="624"/>
      <w:jc w:val="left"/>
      <w:outlineLvl w:val="7"/>
    </w:pPr>
    <w:rPr>
      <w:b/>
      <w:snapToGrid w:val="0"/>
      <w:u w:val="single"/>
    </w:rPr>
  </w:style>
  <w:style w:type="paragraph" w:styleId="Heading9">
    <w:name w:val="heading 9"/>
    <w:basedOn w:val="Normal"/>
    <w:next w:val="Normal"/>
    <w:link w:val="Heading9Char"/>
    <w:semiHidden/>
    <w:rsid w:val="00D2758E"/>
    <w:pPr>
      <w:keepNext/>
      <w:widowControl w:val="0"/>
      <w:numPr>
        <w:ilvl w:val="8"/>
        <w:numId w:val="5"/>
      </w:numPr>
      <w:suppressAutoHyphens/>
      <w:jc w:val="left"/>
      <w:outlineLvl w:val="8"/>
    </w:pPr>
    <w:rPr>
      <w:snapToGrid w:val="0"/>
      <w:u w:val="singl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Item">
    <w:name w:val="Item"/>
    <w:basedOn w:val="Normal"/>
    <w:qFormat/>
    <w:rsid w:val="00D2758E"/>
    <w:pPr>
      <w:suppressLineNumbers/>
      <w:suppressAutoHyphens/>
      <w:spacing w:before="240" w:after="120"/>
      <w:jc w:val="left"/>
    </w:pPr>
    <w:rPr>
      <w:rFonts w:eastAsia="Times New Roman"/>
      <w:b/>
      <w:iCs/>
      <w:snapToGrid w:val="0"/>
      <w:kern w:val="22"/>
      <w:sz w:val="24"/>
    </w:rPr>
  </w:style>
  <w:style w:type="paragraph" w:styleId="BodyText">
    <w:name w:val="Body Text"/>
    <w:basedOn w:val="Normal"/>
    <w:link w:val="BodyTextChar"/>
    <w:uiPriority w:val="99"/>
    <w:semiHidden/>
    <w:unhideWhenUsed/>
    <w:rsid w:val="00D2758E"/>
    <w:pPr>
      <w:spacing w:after="120" w:line="259" w:lineRule="auto"/>
      <w:jc w:val="left"/>
    </w:pPr>
    <w:rPr>
      <w:rFonts w:asciiTheme="minorHAnsi" w:eastAsiaTheme="minorHAnsi" w:hAnsiTheme="minorHAnsi" w:cstheme="minorBidi"/>
      <w:kern w:val="2"/>
      <w14:ligatures w14:val="standardContextual"/>
    </w:rPr>
  </w:style>
  <w:style w:type="character" w:customStyle="1" w:styleId="BodyTextChar">
    <w:name w:val="Body Text Char"/>
    <w:basedOn w:val="DefaultParagraphFont"/>
    <w:link w:val="BodyText"/>
    <w:uiPriority w:val="99"/>
    <w:semiHidden/>
    <w:rsid w:val="00D2758E"/>
    <w:rPr>
      <w:lang w:val="en-GB"/>
    </w:rPr>
  </w:style>
  <w:style w:type="paragraph" w:styleId="Title">
    <w:name w:val="Title"/>
    <w:basedOn w:val="Normal"/>
    <w:next w:val="Normal"/>
    <w:link w:val="TitleChar"/>
    <w:uiPriority w:val="10"/>
    <w:qFormat/>
    <w:rsid w:val="00ED3849"/>
    <w:pPr>
      <w:keepNext/>
      <w:spacing w:before="240" w:after="240"/>
      <w:ind w:left="567"/>
    </w:pPr>
    <w:rPr>
      <w:rFonts w:ascii="Times New Roman Bold" w:eastAsiaTheme="majorEastAsia" w:hAnsi="Times New Roman Bold"/>
      <w:b/>
      <w:bCs/>
      <w:spacing w:val="5"/>
      <w:kern w:val="28"/>
      <w:sz w:val="28"/>
      <w:szCs w:val="28"/>
      <w14:ligatures w14:val="standardContextual"/>
    </w:rPr>
  </w:style>
  <w:style w:type="character" w:customStyle="1" w:styleId="TitleChar">
    <w:name w:val="Title Char"/>
    <w:basedOn w:val="DefaultParagraphFont"/>
    <w:link w:val="Title"/>
    <w:uiPriority w:val="10"/>
    <w:rsid w:val="00ED3849"/>
    <w:rPr>
      <w:rFonts w:ascii="Times New Roman Bold" w:eastAsiaTheme="majorEastAsia" w:hAnsi="Times New Roman Bold" w:cs="Times New Roman"/>
      <w:b/>
      <w:bCs/>
      <w:spacing w:val="5"/>
      <w:kern w:val="28"/>
      <w:sz w:val="28"/>
      <w:szCs w:val="28"/>
      <w:lang w:val="en-GB"/>
    </w:rPr>
  </w:style>
  <w:style w:type="character" w:customStyle="1" w:styleId="Heading1Char">
    <w:name w:val="Heading 1 Char"/>
    <w:basedOn w:val="DefaultParagraphFont"/>
    <w:link w:val="Heading1"/>
    <w:uiPriority w:val="9"/>
    <w:rsid w:val="00D2758E"/>
    <w:rPr>
      <w:rFonts w:ascii="Times New Roman" w:eastAsiaTheme="majorEastAsia" w:hAnsi="Times New Roman" w:cstheme="majorBidi"/>
      <w:b/>
      <w:bCs/>
      <w:sz w:val="28"/>
      <w:szCs w:val="32"/>
      <w:lang w:val="en-GB"/>
    </w:rPr>
  </w:style>
  <w:style w:type="paragraph" w:customStyle="1" w:styleId="Cornernotation">
    <w:name w:val="Corner notation"/>
    <w:basedOn w:val="Normal"/>
    <w:rsid w:val="00A96B21"/>
    <w:pPr>
      <w:ind w:left="170" w:right="3119" w:hanging="170"/>
      <w:jc w:val="left"/>
    </w:pPr>
    <w:rPr>
      <w:b/>
      <w:sz w:val="24"/>
    </w:rPr>
  </w:style>
  <w:style w:type="table" w:customStyle="1" w:styleId="TableGrid1">
    <w:name w:val="Table Grid1"/>
    <w:basedOn w:val="TableNormal"/>
    <w:next w:val="TableGrid"/>
    <w:uiPriority w:val="59"/>
    <w:rsid w:val="00A96B21"/>
    <w:pPr>
      <w:spacing w:after="0" w:line="240" w:lineRule="auto"/>
    </w:pPr>
    <w:rPr>
      <w:rFonts w:eastAsiaTheme="minorEastAsia"/>
      <w:kern w:val="0"/>
      <w:sz w:val="20"/>
      <w:szCs w:val="2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
    <w:name w:val="Table Grid"/>
    <w:basedOn w:val="TableNormal"/>
    <w:uiPriority w:val="39"/>
    <w:rsid w:val="00A96B21"/>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Venuedate">
    <w:name w:val="Venue&amp;date"/>
    <w:basedOn w:val="Cornernotation"/>
    <w:qFormat/>
    <w:rsid w:val="00A96B21"/>
    <w:rPr>
      <w:b w:val="0"/>
      <w:bCs/>
      <w:sz w:val="22"/>
    </w:rPr>
  </w:style>
  <w:style w:type="paragraph" w:styleId="FootnoteText">
    <w:name w:val="footnote text"/>
    <w:aliases w:val="fn,Geneva 9,Font: Geneva 9,Boston 10,f,ft,Fotnotstext Char,ft Char,single space,footnote text,FOOTNOTES,ADB,single space1,footnote text1,FOOTNOTES1,fn1,ADB1,single space2,footnote text2,FOOTNOTES2,fn2,ADB2,single space3,footnote text3,fn3"/>
    <w:basedOn w:val="Normal"/>
    <w:link w:val="FootnoteTextChar"/>
    <w:uiPriority w:val="99"/>
    <w:unhideWhenUsed/>
    <w:rsid w:val="00D2758E"/>
    <w:pPr>
      <w:jc w:val="left"/>
    </w:pPr>
    <w:rPr>
      <w:sz w:val="18"/>
      <w:szCs w:val="20"/>
    </w:rPr>
  </w:style>
  <w:style w:type="character" w:customStyle="1" w:styleId="FootnoteTextChar">
    <w:name w:val="Footnote Text Char"/>
    <w:aliases w:val="fn Char,Geneva 9 Char,Font: Geneva 9 Char,Boston 10 Char,f Char,ft Char1,Fotnotstext Char Char,ft Char Char,single space Char,footnote text Char,FOOTNOTES Char,ADB Char,single space1 Char,footnote text1 Char,FOOTNOTES1 Char,fn1 Char"/>
    <w:basedOn w:val="DefaultParagraphFont"/>
    <w:link w:val="FootnoteText"/>
    <w:uiPriority w:val="99"/>
    <w:rsid w:val="00D2758E"/>
    <w:rPr>
      <w:rFonts w:ascii="Times New Roman" w:eastAsia="SimSun" w:hAnsi="Times New Roman" w:cs="Times New Roman"/>
      <w:kern w:val="0"/>
      <w:sz w:val="18"/>
      <w:szCs w:val="20"/>
      <w:lang w:val="en-GB"/>
      <w14:ligatures w14:val="none"/>
    </w:rPr>
  </w:style>
  <w:style w:type="character" w:styleId="FootnoteReference">
    <w:name w:val="footnote reference"/>
    <w:aliases w:val="BVI fnr Char Char,BVI fnr Car Car Char Char,BVI fnr Car Char Char,BVI fnr Car Car Car Car Char Char Char,BVI fnr Car Car Car Car Char Char1,BVI fnr Car Car Car Char Char,BVI fnr Car Car Car Car Car Char Char,number,-E Fußnotenzeichen"/>
    <w:basedOn w:val="DefaultParagraphFont"/>
    <w:link w:val="BVIfnrChar"/>
    <w:uiPriority w:val="99"/>
    <w:unhideWhenUsed/>
    <w:rsid w:val="00D2758E"/>
    <w:rPr>
      <w:vertAlign w:val="superscript"/>
      <w:lang w:val="en-GB"/>
    </w:rPr>
  </w:style>
  <w:style w:type="paragraph" w:customStyle="1" w:styleId="Footnote">
    <w:name w:val="Footnote"/>
    <w:basedOn w:val="FootnoteText"/>
    <w:qFormat/>
    <w:rsid w:val="00D2758E"/>
    <w:rPr>
      <w:szCs w:val="18"/>
    </w:rPr>
  </w:style>
  <w:style w:type="paragraph" w:customStyle="1" w:styleId="Cornernotation-Item">
    <w:name w:val="Corner notation - Item"/>
    <w:basedOn w:val="Venuedate"/>
    <w:qFormat/>
    <w:rsid w:val="00A96B21"/>
    <w:rPr>
      <w:b/>
    </w:rPr>
  </w:style>
  <w:style w:type="paragraph" w:styleId="Subtitle">
    <w:name w:val="Subtitle"/>
    <w:basedOn w:val="Normal"/>
    <w:next w:val="Normal"/>
    <w:link w:val="SubtitleChar"/>
    <w:uiPriority w:val="11"/>
    <w:qFormat/>
    <w:rsid w:val="00A96B21"/>
    <w:pPr>
      <w:numPr>
        <w:ilvl w:val="1"/>
      </w:numPr>
      <w:spacing w:after="160"/>
    </w:pPr>
    <w:rPr>
      <w:rFonts w:ascii="Times New Roman Bold" w:eastAsiaTheme="minorEastAsia" w:hAnsi="Times New Roman Bold" w:cstheme="minorBidi"/>
      <w:b/>
      <w:color w:val="5A5A5A" w:themeColor="text1" w:themeTint="A5"/>
    </w:rPr>
  </w:style>
  <w:style w:type="character" w:customStyle="1" w:styleId="SubtitleChar">
    <w:name w:val="Subtitle Char"/>
    <w:basedOn w:val="DefaultParagraphFont"/>
    <w:link w:val="Subtitle"/>
    <w:uiPriority w:val="11"/>
    <w:rsid w:val="00A96B21"/>
    <w:rPr>
      <w:rFonts w:ascii="Times New Roman Bold" w:eastAsiaTheme="minorEastAsia" w:hAnsi="Times New Roman Bold"/>
      <w:b/>
      <w:color w:val="5A5A5A" w:themeColor="text1" w:themeTint="A5"/>
      <w:kern w:val="0"/>
      <w:lang w:val="en-GB"/>
      <w14:ligatures w14:val="none"/>
    </w:rPr>
  </w:style>
  <w:style w:type="paragraph" w:customStyle="1" w:styleId="Para10">
    <w:name w:val="Para 1"/>
    <w:basedOn w:val="Normal"/>
    <w:qFormat/>
    <w:rsid w:val="00C2354A"/>
    <w:pPr>
      <w:spacing w:before="120" w:after="120"/>
      <w:ind w:left="1260" w:hanging="360"/>
    </w:pPr>
  </w:style>
  <w:style w:type="character" w:customStyle="1" w:styleId="Heading2Char">
    <w:name w:val="Heading 2 Char"/>
    <w:basedOn w:val="DefaultParagraphFont"/>
    <w:link w:val="Heading2"/>
    <w:uiPriority w:val="9"/>
    <w:rsid w:val="00D2758E"/>
    <w:rPr>
      <w:rFonts w:ascii="Times New Roman Bold" w:eastAsiaTheme="majorEastAsia" w:hAnsi="Times New Roman Bold" w:cstheme="majorBidi"/>
      <w:b/>
      <w:kern w:val="0"/>
      <w:sz w:val="24"/>
      <w:szCs w:val="26"/>
      <w:lang w:val="en-GB"/>
      <w14:ligatures w14:val="none"/>
    </w:rPr>
  </w:style>
  <w:style w:type="character" w:styleId="PlaceholderText">
    <w:name w:val="Placeholder Text"/>
    <w:basedOn w:val="DefaultParagraphFont"/>
    <w:uiPriority w:val="99"/>
    <w:semiHidden/>
    <w:rsid w:val="00995DDC"/>
    <w:rPr>
      <w:color w:val="808080"/>
      <w:lang w:val="en-GB"/>
    </w:rPr>
  </w:style>
  <w:style w:type="paragraph" w:styleId="Header">
    <w:name w:val="header"/>
    <w:basedOn w:val="Normal"/>
    <w:link w:val="HeaderChar"/>
    <w:rsid w:val="00D2758E"/>
    <w:pPr>
      <w:pBdr>
        <w:bottom w:val="single" w:sz="4" w:space="1" w:color="auto"/>
      </w:pBdr>
      <w:tabs>
        <w:tab w:val="center" w:pos="4680"/>
        <w:tab w:val="right" w:pos="9360"/>
      </w:tabs>
      <w:jc w:val="left"/>
    </w:pPr>
    <w:rPr>
      <w:sz w:val="20"/>
    </w:rPr>
  </w:style>
  <w:style w:type="character" w:customStyle="1" w:styleId="HeaderChar">
    <w:name w:val="Header Char"/>
    <w:basedOn w:val="DefaultParagraphFont"/>
    <w:link w:val="Header"/>
    <w:rsid w:val="00D2758E"/>
    <w:rPr>
      <w:rFonts w:ascii="Times New Roman" w:eastAsia="SimSun" w:hAnsi="Times New Roman" w:cs="Times New Roman"/>
      <w:kern w:val="0"/>
      <w:sz w:val="20"/>
      <w:lang w:val="en-GB"/>
      <w14:ligatures w14:val="none"/>
    </w:rPr>
  </w:style>
  <w:style w:type="paragraph" w:styleId="Footer">
    <w:name w:val="footer"/>
    <w:basedOn w:val="Normal"/>
    <w:link w:val="FooterChar"/>
    <w:uiPriority w:val="99"/>
    <w:rsid w:val="00D2758E"/>
    <w:pPr>
      <w:tabs>
        <w:tab w:val="center" w:pos="4680"/>
        <w:tab w:val="right" w:pos="9360"/>
      </w:tabs>
    </w:pPr>
    <w:rPr>
      <w:sz w:val="20"/>
    </w:rPr>
  </w:style>
  <w:style w:type="character" w:customStyle="1" w:styleId="FooterChar">
    <w:name w:val="Footer Char"/>
    <w:basedOn w:val="DefaultParagraphFont"/>
    <w:link w:val="Footer"/>
    <w:uiPriority w:val="99"/>
    <w:rsid w:val="00D2758E"/>
    <w:rPr>
      <w:rFonts w:ascii="Times New Roman" w:eastAsia="SimSun" w:hAnsi="Times New Roman" w:cs="Times New Roman"/>
      <w:kern w:val="0"/>
      <w:sz w:val="20"/>
      <w:lang w:val="en-GB"/>
      <w14:ligatures w14:val="none"/>
    </w:rPr>
  </w:style>
  <w:style w:type="character" w:customStyle="1" w:styleId="Heading3Char">
    <w:name w:val="Heading 3 Char"/>
    <w:basedOn w:val="DefaultParagraphFont"/>
    <w:link w:val="Heading3"/>
    <w:uiPriority w:val="9"/>
    <w:rsid w:val="00D2758E"/>
    <w:rPr>
      <w:rFonts w:ascii="Times New Roman" w:eastAsiaTheme="majorEastAsia" w:hAnsi="Times New Roman" w:cs="Times New Roman"/>
      <w:b/>
      <w:bCs/>
      <w:kern w:val="0"/>
      <w:lang w:val="en-GB"/>
      <w14:ligatures w14:val="none"/>
    </w:rPr>
  </w:style>
  <w:style w:type="paragraph" w:customStyle="1" w:styleId="Para2">
    <w:name w:val="Para 2"/>
    <w:qFormat/>
    <w:rsid w:val="00537248"/>
    <w:pPr>
      <w:numPr>
        <w:numId w:val="1"/>
      </w:numPr>
      <w:tabs>
        <w:tab w:val="left" w:pos="1701"/>
      </w:tabs>
      <w:spacing w:before="120" w:after="120" w:line="240" w:lineRule="auto"/>
      <w:jc w:val="both"/>
    </w:pPr>
    <w:rPr>
      <w:rFonts w:ascii="Times New Roman" w:eastAsia="Times New Roman" w:hAnsi="Times New Roman" w:cs="Times New Roman"/>
      <w:kern w:val="0"/>
      <w:szCs w:val="24"/>
      <w:lang w:val="en-GB"/>
      <w14:ligatures w14:val="none"/>
    </w:rPr>
  </w:style>
  <w:style w:type="paragraph" w:customStyle="1" w:styleId="Annex">
    <w:name w:val="Annex"/>
    <w:basedOn w:val="Normal"/>
    <w:qFormat/>
    <w:rsid w:val="00D2758E"/>
    <w:pPr>
      <w:spacing w:after="240"/>
    </w:pPr>
    <w:rPr>
      <w:b/>
      <w:sz w:val="28"/>
    </w:rPr>
  </w:style>
  <w:style w:type="paragraph" w:customStyle="1" w:styleId="Para3">
    <w:name w:val="Para 3"/>
    <w:basedOn w:val="Normal"/>
    <w:qFormat/>
    <w:rsid w:val="002B00CA"/>
    <w:pPr>
      <w:numPr>
        <w:numId w:val="2"/>
      </w:numPr>
      <w:spacing w:before="120" w:after="120"/>
      <w:ind w:left="1134"/>
    </w:pPr>
  </w:style>
  <w:style w:type="character" w:customStyle="1" w:styleId="Heading4Char">
    <w:name w:val="Heading 4 Char"/>
    <w:basedOn w:val="DefaultParagraphFont"/>
    <w:link w:val="Heading4"/>
    <w:uiPriority w:val="9"/>
    <w:rsid w:val="00D2758E"/>
    <w:rPr>
      <w:rFonts w:ascii="Times New Roman" w:eastAsiaTheme="majorEastAsia" w:hAnsi="Times New Roman" w:cs="Times New Roman"/>
      <w:b/>
      <w:bCs/>
      <w:kern w:val="0"/>
      <w:lang w:val="en-GB"/>
      <w14:ligatures w14:val="none"/>
    </w:rPr>
  </w:style>
  <w:style w:type="character" w:customStyle="1" w:styleId="Heading5Char">
    <w:name w:val="Heading 5 Char"/>
    <w:basedOn w:val="DefaultParagraphFont"/>
    <w:link w:val="Heading5"/>
    <w:uiPriority w:val="9"/>
    <w:rsid w:val="00D2758E"/>
    <w:rPr>
      <w:rFonts w:ascii="Times New Roman" w:eastAsiaTheme="majorEastAsia" w:hAnsi="Times New Roman" w:cs="Times New Roman"/>
      <w:i/>
      <w:iCs/>
      <w:kern w:val="0"/>
      <w:lang w:val="en-GB"/>
      <w14:ligatures w14:val="none"/>
    </w:rPr>
  </w:style>
  <w:style w:type="character" w:styleId="CommentReference">
    <w:name w:val="annotation reference"/>
    <w:basedOn w:val="DefaultParagraphFont"/>
    <w:uiPriority w:val="99"/>
    <w:semiHidden/>
    <w:unhideWhenUsed/>
    <w:rsid w:val="00D2758E"/>
    <w:rPr>
      <w:sz w:val="16"/>
      <w:szCs w:val="16"/>
      <w:lang w:val="en-GB"/>
    </w:rPr>
  </w:style>
  <w:style w:type="paragraph" w:styleId="CommentText">
    <w:name w:val="annotation text"/>
    <w:basedOn w:val="Normal"/>
    <w:link w:val="CommentTextChar"/>
    <w:uiPriority w:val="99"/>
    <w:rsid w:val="00D2758E"/>
    <w:rPr>
      <w:sz w:val="20"/>
      <w:szCs w:val="20"/>
    </w:rPr>
  </w:style>
  <w:style w:type="character" w:customStyle="1" w:styleId="CommentTextChar">
    <w:name w:val="Comment Text Char"/>
    <w:basedOn w:val="DefaultParagraphFont"/>
    <w:link w:val="CommentText"/>
    <w:uiPriority w:val="99"/>
    <w:rsid w:val="00D2758E"/>
    <w:rPr>
      <w:rFonts w:ascii="Times New Roman" w:eastAsia="SimSun" w:hAnsi="Times New Roman" w:cs="Times New Roman"/>
      <w:kern w:val="0"/>
      <w:sz w:val="20"/>
      <w:szCs w:val="20"/>
      <w:lang w:val="en-GB"/>
      <w14:ligatures w14:val="none"/>
    </w:rPr>
  </w:style>
  <w:style w:type="paragraph" w:styleId="CommentSubject">
    <w:name w:val="annotation subject"/>
    <w:basedOn w:val="CommentText"/>
    <w:next w:val="CommentText"/>
    <w:link w:val="CommentSubjectChar"/>
    <w:uiPriority w:val="99"/>
    <w:semiHidden/>
    <w:unhideWhenUsed/>
    <w:rsid w:val="00D2758E"/>
    <w:rPr>
      <w:b/>
      <w:bCs/>
    </w:rPr>
  </w:style>
  <w:style w:type="character" w:customStyle="1" w:styleId="CommentSubjectChar">
    <w:name w:val="Comment Subject Char"/>
    <w:basedOn w:val="CommentTextChar"/>
    <w:link w:val="CommentSubject"/>
    <w:uiPriority w:val="99"/>
    <w:semiHidden/>
    <w:rsid w:val="00D2758E"/>
    <w:rPr>
      <w:rFonts w:ascii="Times New Roman" w:eastAsia="SimSun" w:hAnsi="Times New Roman" w:cs="Times New Roman"/>
      <w:b/>
      <w:bCs/>
      <w:kern w:val="0"/>
      <w:sz w:val="20"/>
      <w:szCs w:val="20"/>
      <w:lang w:val="en-GB"/>
      <w14:ligatures w14:val="none"/>
    </w:rPr>
  </w:style>
  <w:style w:type="paragraph" w:customStyle="1" w:styleId="Para1">
    <w:name w:val="Para1"/>
    <w:basedOn w:val="Normal"/>
    <w:link w:val="Para1Char"/>
    <w:rsid w:val="002666FF"/>
    <w:pPr>
      <w:numPr>
        <w:numId w:val="3"/>
      </w:numPr>
      <w:spacing w:before="120" w:after="120"/>
    </w:pPr>
    <w:rPr>
      <w:snapToGrid w:val="0"/>
      <w:szCs w:val="18"/>
      <w:lang w:eastAsia="x-none"/>
    </w:rPr>
  </w:style>
  <w:style w:type="paragraph" w:styleId="TOC9">
    <w:name w:val="toc 9"/>
    <w:basedOn w:val="Normal"/>
    <w:next w:val="Normal"/>
    <w:autoRedefine/>
    <w:semiHidden/>
    <w:rsid w:val="00D2758E"/>
    <w:pPr>
      <w:tabs>
        <w:tab w:val="clear" w:pos="567"/>
        <w:tab w:val="clear" w:pos="1134"/>
        <w:tab w:val="clear" w:pos="1701"/>
        <w:tab w:val="clear" w:pos="2268"/>
        <w:tab w:val="left" w:pos="624"/>
        <w:tab w:val="left" w:pos="1247"/>
        <w:tab w:val="left" w:pos="1871"/>
        <w:tab w:val="left" w:pos="2495"/>
        <w:tab w:val="left" w:pos="3119"/>
        <w:tab w:val="left" w:pos="3742"/>
        <w:tab w:val="left" w:pos="4366"/>
      </w:tabs>
      <w:adjustRightInd w:val="0"/>
      <w:snapToGrid w:val="0"/>
      <w:ind w:left="1600"/>
      <w:jc w:val="left"/>
    </w:pPr>
    <w:rPr>
      <w:rFonts w:eastAsia="Times New Roman"/>
      <w:sz w:val="18"/>
      <w:szCs w:val="18"/>
    </w:rPr>
  </w:style>
  <w:style w:type="character" w:styleId="Hyperlink">
    <w:name w:val="Hyperlink"/>
    <w:basedOn w:val="DefaultParagraphFont"/>
    <w:uiPriority w:val="99"/>
    <w:unhideWhenUsed/>
    <w:rsid w:val="00D2758E"/>
    <w:rPr>
      <w:rFonts w:ascii="Times New Roman" w:hAnsi="Times New Roman"/>
      <w:color w:val="0563C1" w:themeColor="hyperlink"/>
      <w:u w:val="single"/>
      <w:lang w:val="en-GB"/>
    </w:rPr>
  </w:style>
  <w:style w:type="character" w:customStyle="1" w:styleId="Para1Char">
    <w:name w:val="Para1 Char"/>
    <w:link w:val="Para1"/>
    <w:rsid w:val="002666FF"/>
    <w:rPr>
      <w:rFonts w:ascii="Times New Roman" w:eastAsia="SimSun" w:hAnsi="Times New Roman" w:cs="Times New Roman"/>
      <w:snapToGrid w:val="0"/>
      <w:kern w:val="0"/>
      <w:szCs w:val="18"/>
      <w:lang w:val="en-GB" w:eastAsia="x-none"/>
      <w14:ligatures w14:val="none"/>
    </w:rPr>
  </w:style>
  <w:style w:type="paragraph" w:customStyle="1" w:styleId="BVIfnrChar">
    <w:name w:val="BVI fnr Char"/>
    <w:aliases w:val="BVI fnr Car Car Char,BVI fnr Car Char,BVI fnr Car Car Car Car Char Char,BVI fnr Car Car Car Car Char,BVI fnr Car Car Car Char,BVI fnr Car Car Car Car Car Char, BVI fnr Car Car Char, BVI fnr Car Car Car Car Char Char, BVI fnr Car Char"/>
    <w:basedOn w:val="Normal"/>
    <w:link w:val="FootnoteReference"/>
    <w:uiPriority w:val="99"/>
    <w:qFormat/>
    <w:rsid w:val="002666FF"/>
    <w:pPr>
      <w:spacing w:after="160" w:line="240" w:lineRule="exact"/>
      <w:jc w:val="left"/>
    </w:pPr>
    <w:rPr>
      <w:rFonts w:asciiTheme="minorHAnsi" w:eastAsiaTheme="minorHAnsi" w:hAnsiTheme="minorHAnsi" w:cstheme="minorBidi"/>
      <w:kern w:val="2"/>
      <w:vertAlign w:val="superscript"/>
      <w14:ligatures w14:val="standardContextual"/>
    </w:rPr>
  </w:style>
  <w:style w:type="character" w:styleId="PageNumber">
    <w:name w:val="page number"/>
    <w:rsid w:val="00673475"/>
    <w:rPr>
      <w:rFonts w:ascii="Times New Roman" w:hAnsi="Times New Roman"/>
      <w:sz w:val="22"/>
      <w:lang w:val="en-GB"/>
    </w:rPr>
  </w:style>
  <w:style w:type="paragraph" w:customStyle="1" w:styleId="Head2">
    <w:name w:val="Head2"/>
    <w:basedOn w:val="Normal"/>
    <w:rsid w:val="00673475"/>
    <w:pPr>
      <w:keepNext/>
      <w:jc w:val="center"/>
    </w:pPr>
  </w:style>
  <w:style w:type="paragraph" w:customStyle="1" w:styleId="headingoneline">
    <w:name w:val="headingoneline"/>
    <w:basedOn w:val="Normal"/>
    <w:next w:val="Normal"/>
    <w:rsid w:val="00673475"/>
    <w:pPr>
      <w:keepNext/>
      <w:spacing w:before="120" w:after="120"/>
      <w:jc w:val="center"/>
    </w:pPr>
    <w:rPr>
      <w:b/>
      <w:bCs/>
      <w:i/>
    </w:rPr>
  </w:style>
  <w:style w:type="character" w:styleId="UnresolvedMention">
    <w:name w:val="Unresolved Mention"/>
    <w:basedOn w:val="DefaultParagraphFont"/>
    <w:uiPriority w:val="99"/>
    <w:semiHidden/>
    <w:unhideWhenUsed/>
    <w:rsid w:val="000A78A3"/>
    <w:rPr>
      <w:color w:val="605E5C"/>
      <w:shd w:val="clear" w:color="auto" w:fill="E1DFDD"/>
      <w:lang w:val="en-GB"/>
    </w:rPr>
  </w:style>
  <w:style w:type="character" w:styleId="FollowedHyperlink">
    <w:name w:val="FollowedHyperlink"/>
    <w:basedOn w:val="DefaultParagraphFont"/>
    <w:uiPriority w:val="99"/>
    <w:semiHidden/>
    <w:unhideWhenUsed/>
    <w:rsid w:val="000A78A3"/>
    <w:rPr>
      <w:color w:val="954F72" w:themeColor="followedHyperlink"/>
      <w:u w:val="single"/>
      <w:lang w:val="en-GB"/>
    </w:rPr>
  </w:style>
  <w:style w:type="paragraph" w:styleId="Revision">
    <w:name w:val="Revision"/>
    <w:hidden/>
    <w:uiPriority w:val="99"/>
    <w:semiHidden/>
    <w:rsid w:val="00D2758E"/>
    <w:pPr>
      <w:spacing w:after="0" w:line="240" w:lineRule="auto"/>
    </w:pPr>
    <w:rPr>
      <w:rFonts w:ascii="Simplified Arabic" w:eastAsia="Times New Roman" w:hAnsi="Simplified Arabic" w:cs="Simplified Arabic"/>
      <w:noProof/>
      <w:kern w:val="0"/>
      <w:sz w:val="24"/>
      <w:szCs w:val="24"/>
      <w:lang w:val="en-US"/>
      <w14:ligatures w14:val="none"/>
    </w:rPr>
  </w:style>
  <w:style w:type="paragraph" w:customStyle="1" w:styleId="heading40">
    <w:name w:val="heading 40"/>
    <w:basedOn w:val="Normal"/>
    <w:rsid w:val="00B27977"/>
    <w:pPr>
      <w:keepNext/>
      <w:spacing w:before="120" w:after="120"/>
    </w:pPr>
    <w:rPr>
      <w:i/>
      <w:iCs/>
    </w:rPr>
  </w:style>
  <w:style w:type="paragraph" w:styleId="ListParagraph">
    <w:name w:val="List Paragraph"/>
    <w:basedOn w:val="Normal"/>
    <w:link w:val="ListParagraphChar"/>
    <w:uiPriority w:val="34"/>
    <w:qFormat/>
    <w:rsid w:val="00D2758E"/>
    <w:pPr>
      <w:ind w:left="720"/>
      <w:contextualSpacing/>
    </w:pPr>
  </w:style>
  <w:style w:type="character" w:styleId="Mention">
    <w:name w:val="Mention"/>
    <w:basedOn w:val="DefaultParagraphFont"/>
    <w:uiPriority w:val="99"/>
    <w:unhideWhenUsed/>
    <w:rsid w:val="001C12E1"/>
    <w:rPr>
      <w:color w:val="2B579A"/>
      <w:shd w:val="clear" w:color="auto" w:fill="E1DFDD"/>
      <w:lang w:val="en-GB"/>
    </w:rPr>
  </w:style>
  <w:style w:type="character" w:customStyle="1" w:styleId="normaltextrun">
    <w:name w:val="normaltextrun"/>
    <w:basedOn w:val="DefaultParagraphFont"/>
    <w:rsid w:val="00092AA1"/>
    <w:rPr>
      <w:lang w:val="en-GB"/>
    </w:rPr>
  </w:style>
  <w:style w:type="paragraph" w:customStyle="1" w:styleId="paragraph">
    <w:name w:val="paragraph"/>
    <w:basedOn w:val="Normal"/>
    <w:rsid w:val="00092AA1"/>
    <w:pPr>
      <w:spacing w:before="100" w:beforeAutospacing="1" w:after="100" w:afterAutospacing="1"/>
      <w:jc w:val="left"/>
    </w:pPr>
    <w:rPr>
      <w:sz w:val="24"/>
    </w:rPr>
  </w:style>
  <w:style w:type="character" w:customStyle="1" w:styleId="eop">
    <w:name w:val="eop"/>
    <w:basedOn w:val="DefaultParagraphFont"/>
    <w:rsid w:val="00092AA1"/>
    <w:rPr>
      <w:lang w:val="en-GB"/>
    </w:rPr>
  </w:style>
  <w:style w:type="character" w:customStyle="1" w:styleId="ListParagraphChar">
    <w:name w:val="List Paragraph Char"/>
    <w:basedOn w:val="DefaultParagraphFont"/>
    <w:link w:val="ListParagraph"/>
    <w:uiPriority w:val="34"/>
    <w:qFormat/>
    <w:rsid w:val="00CB23B5"/>
    <w:rPr>
      <w:rFonts w:ascii="Times New Roman" w:eastAsia="SimSun" w:hAnsi="Times New Roman" w:cs="Times New Roman"/>
      <w:kern w:val="0"/>
      <w:lang w:val="en-GB"/>
      <w14:ligatures w14:val="none"/>
    </w:rPr>
  </w:style>
  <w:style w:type="paragraph" w:customStyle="1" w:styleId="AFCorNotNormal">
    <w:name w:val="AF_CorNotNormal"/>
    <w:basedOn w:val="Normal"/>
    <w:unhideWhenUsed/>
    <w:rsid w:val="00F26E46"/>
  </w:style>
  <w:style w:type="paragraph" w:customStyle="1" w:styleId="AFCorNot12Bold">
    <w:name w:val="AF_CorNot12Bold"/>
    <w:basedOn w:val="AFCorNotNormal"/>
    <w:next w:val="AFCorNotNormal"/>
    <w:unhideWhenUsed/>
    <w:qFormat/>
    <w:rsid w:val="00F26E46"/>
    <w:pPr>
      <w:jc w:val="left"/>
    </w:pPr>
    <w:rPr>
      <w:b/>
      <w:sz w:val="24"/>
    </w:rPr>
  </w:style>
  <w:style w:type="table" w:customStyle="1" w:styleId="TableGrid2">
    <w:name w:val="Table Grid2"/>
    <w:basedOn w:val="TableNormal"/>
    <w:next w:val="TableGrid"/>
    <w:uiPriority w:val="39"/>
    <w:qFormat/>
    <w:rsid w:val="00F26E46"/>
    <w:pPr>
      <w:spacing w:after="0" w:line="240" w:lineRule="auto"/>
    </w:pPr>
    <w:rPr>
      <w:rFonts w:eastAsiaTheme="minorEastAsia"/>
      <w:kern w:val="0"/>
      <w:sz w:val="24"/>
      <w:szCs w:val="24"/>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AFCorN12Bold">
    <w:name w:val="AF_CorN12Bold"/>
    <w:basedOn w:val="AFCorNNormal"/>
    <w:next w:val="AFCorNNormal"/>
    <w:unhideWhenUsed/>
    <w:qFormat/>
    <w:rsid w:val="00D2758E"/>
    <w:rPr>
      <w:b/>
      <w:sz w:val="24"/>
    </w:rPr>
  </w:style>
  <w:style w:type="numbering" w:customStyle="1" w:styleId="ListCBD">
    <w:name w:val="ListCBD"/>
    <w:basedOn w:val="NoList"/>
    <w:uiPriority w:val="99"/>
    <w:rsid w:val="00D2758E"/>
    <w:pPr>
      <w:numPr>
        <w:numId w:val="8"/>
      </w:numPr>
    </w:pPr>
  </w:style>
  <w:style w:type="character" w:customStyle="1" w:styleId="cf01">
    <w:name w:val="cf01"/>
    <w:basedOn w:val="DefaultParagraphFont"/>
    <w:rsid w:val="00F451C1"/>
    <w:rPr>
      <w:rFonts w:ascii="Segoe UI" w:hAnsi="Segoe UI" w:cs="Segoe UI" w:hint="default"/>
      <w:sz w:val="18"/>
      <w:szCs w:val="18"/>
      <w:lang w:val="en-GB"/>
    </w:rPr>
  </w:style>
  <w:style w:type="numbering" w:customStyle="1" w:styleId="ListCBD1">
    <w:name w:val="ListCBD1"/>
    <w:uiPriority w:val="99"/>
    <w:rsid w:val="002969D0"/>
  </w:style>
  <w:style w:type="paragraph" w:customStyle="1" w:styleId="CBDNormalNumber">
    <w:name w:val="CBD_Normal_Number"/>
    <w:basedOn w:val="CBDNormal"/>
    <w:qFormat/>
    <w:rsid w:val="00D2758E"/>
    <w:pPr>
      <w:numPr>
        <w:numId w:val="7"/>
      </w:numPr>
      <w:tabs>
        <w:tab w:val="left" w:pos="3969"/>
      </w:tabs>
      <w:spacing w:before="120" w:after="120"/>
    </w:pPr>
  </w:style>
  <w:style w:type="paragraph" w:styleId="IntenseQuote">
    <w:name w:val="Intense Quote"/>
    <w:basedOn w:val="Normal"/>
    <w:next w:val="Normal"/>
    <w:link w:val="IntenseQuoteChar"/>
    <w:uiPriority w:val="30"/>
    <w:qFormat/>
    <w:rsid w:val="00A16EEA"/>
    <w:pPr>
      <w:pBdr>
        <w:top w:val="single" w:sz="4" w:space="10" w:color="2F5496" w:themeColor="accent1" w:themeShade="BF"/>
        <w:bottom w:val="single" w:sz="4" w:space="10" w:color="2F5496" w:themeColor="accent1" w:themeShade="BF"/>
      </w:pBdr>
      <w:spacing w:before="360" w:after="360" w:line="278" w:lineRule="auto"/>
      <w:ind w:left="864" w:right="864"/>
      <w:jc w:val="center"/>
    </w:pPr>
    <w:rPr>
      <w:rFonts w:asciiTheme="minorHAnsi" w:eastAsiaTheme="minorEastAsia" w:hAnsiTheme="minorHAnsi" w:cstheme="minorBidi"/>
      <w:i/>
      <w:iCs/>
      <w:color w:val="2F5496" w:themeColor="accent1" w:themeShade="BF"/>
      <w:kern w:val="2"/>
      <w:sz w:val="24"/>
      <w:lang w:eastAsia="zh-CN"/>
      <w14:ligatures w14:val="standardContextual"/>
    </w:rPr>
  </w:style>
  <w:style w:type="character" w:customStyle="1" w:styleId="IntenseQuoteChar">
    <w:name w:val="Intense Quote Char"/>
    <w:basedOn w:val="DefaultParagraphFont"/>
    <w:link w:val="IntenseQuote"/>
    <w:uiPriority w:val="30"/>
    <w:rsid w:val="00A16EEA"/>
    <w:rPr>
      <w:rFonts w:eastAsiaTheme="minorEastAsia"/>
      <w:i/>
      <w:iCs/>
      <w:color w:val="2F5496" w:themeColor="accent1" w:themeShade="BF"/>
      <w:sz w:val="24"/>
      <w:lang w:val="en-GB" w:eastAsia="zh-CN"/>
    </w:rPr>
  </w:style>
  <w:style w:type="character" w:styleId="Strong">
    <w:name w:val="Strong"/>
    <w:basedOn w:val="DefaultParagraphFont"/>
    <w:uiPriority w:val="22"/>
    <w:qFormat/>
    <w:rsid w:val="00A53978"/>
    <w:rPr>
      <w:b/>
      <w:bCs/>
      <w:lang w:val="en-GB"/>
    </w:rPr>
  </w:style>
  <w:style w:type="paragraph" w:customStyle="1" w:styleId="Normalnumber">
    <w:name w:val="Normal_number"/>
    <w:basedOn w:val="Normal"/>
    <w:rsid w:val="00B93784"/>
    <w:pPr>
      <w:tabs>
        <w:tab w:val="left" w:pos="2835"/>
        <w:tab w:val="left" w:pos="3402"/>
        <w:tab w:val="left" w:pos="3969"/>
      </w:tabs>
      <w:spacing w:after="120"/>
      <w:ind w:left="567"/>
      <w:jc w:val="left"/>
    </w:pPr>
    <w:rPr>
      <w:sz w:val="24"/>
    </w:rPr>
  </w:style>
  <w:style w:type="paragraph" w:styleId="TOC1">
    <w:name w:val="toc 1"/>
    <w:basedOn w:val="CBDNormal"/>
    <w:next w:val="Normal"/>
    <w:autoRedefine/>
    <w:uiPriority w:val="39"/>
    <w:unhideWhenUsed/>
    <w:rsid w:val="00D2758E"/>
    <w:pPr>
      <w:tabs>
        <w:tab w:val="clear" w:pos="567"/>
        <w:tab w:val="clear" w:pos="1134"/>
        <w:tab w:val="clear" w:pos="1701"/>
        <w:tab w:val="clear" w:pos="2268"/>
        <w:tab w:val="left" w:pos="624"/>
        <w:tab w:val="left" w:pos="1247"/>
        <w:tab w:val="left" w:pos="1871"/>
        <w:tab w:val="right" w:leader="dot" w:pos="9486"/>
      </w:tabs>
      <w:adjustRightInd w:val="0"/>
      <w:snapToGrid w:val="0"/>
      <w:spacing w:before="240"/>
      <w:ind w:left="1984" w:hanging="737"/>
      <w:jc w:val="left"/>
    </w:pPr>
    <w:rPr>
      <w:rFonts w:eastAsia="Times New Roman"/>
      <w:bCs/>
      <w:szCs w:val="20"/>
    </w:rPr>
  </w:style>
  <w:style w:type="paragraph" w:styleId="TOC2">
    <w:name w:val="toc 2"/>
    <w:basedOn w:val="CBDNormal"/>
    <w:next w:val="Normal"/>
    <w:uiPriority w:val="39"/>
    <w:unhideWhenUsed/>
    <w:rsid w:val="00D2758E"/>
    <w:pPr>
      <w:tabs>
        <w:tab w:val="clear" w:pos="567"/>
        <w:tab w:val="clear" w:pos="1134"/>
        <w:tab w:val="clear" w:pos="1701"/>
        <w:tab w:val="clear" w:pos="2268"/>
        <w:tab w:val="left" w:pos="624"/>
        <w:tab w:val="left" w:pos="1247"/>
        <w:tab w:val="left" w:pos="1871"/>
        <w:tab w:val="left" w:pos="2495"/>
        <w:tab w:val="right" w:leader="dot" w:pos="9486"/>
      </w:tabs>
      <w:adjustRightInd w:val="0"/>
      <w:snapToGrid w:val="0"/>
      <w:spacing w:before="60"/>
      <w:ind w:left="2608" w:hanging="737"/>
      <w:jc w:val="left"/>
    </w:pPr>
    <w:rPr>
      <w:rFonts w:eastAsia="Times New Roman"/>
      <w:szCs w:val="20"/>
    </w:rPr>
  </w:style>
  <w:style w:type="character" w:customStyle="1" w:styleId="Heading6Char">
    <w:name w:val="Heading 6 Char"/>
    <w:basedOn w:val="DefaultParagraphFont"/>
    <w:link w:val="Heading6"/>
    <w:semiHidden/>
    <w:rsid w:val="00D2758E"/>
    <w:rPr>
      <w:rFonts w:ascii="Times New Roman" w:eastAsia="SimSun" w:hAnsi="Times New Roman" w:cs="Times New Roman"/>
      <w:bCs/>
      <w:kern w:val="0"/>
      <w:sz w:val="24"/>
      <w:lang w:val="en-GB"/>
      <w14:ligatures w14:val="none"/>
    </w:rPr>
  </w:style>
  <w:style w:type="character" w:customStyle="1" w:styleId="Heading7Char">
    <w:name w:val="Heading 7 Char"/>
    <w:basedOn w:val="DefaultParagraphFont"/>
    <w:link w:val="Heading7"/>
    <w:semiHidden/>
    <w:rsid w:val="00D2758E"/>
    <w:rPr>
      <w:rFonts w:ascii="Times New Roman" w:eastAsia="SimSun" w:hAnsi="Times New Roman" w:cs="Times New Roman"/>
      <w:b/>
      <w:snapToGrid w:val="0"/>
      <w:kern w:val="0"/>
      <w:u w:val="single"/>
      <w:lang w:val="en-GB"/>
      <w14:ligatures w14:val="none"/>
    </w:rPr>
  </w:style>
  <w:style w:type="character" w:customStyle="1" w:styleId="Heading8Char">
    <w:name w:val="Heading 8 Char"/>
    <w:basedOn w:val="DefaultParagraphFont"/>
    <w:link w:val="Heading8"/>
    <w:semiHidden/>
    <w:rsid w:val="00D2758E"/>
    <w:rPr>
      <w:rFonts w:ascii="Times New Roman" w:eastAsia="SimSun" w:hAnsi="Times New Roman" w:cs="Times New Roman"/>
      <w:b/>
      <w:snapToGrid w:val="0"/>
      <w:kern w:val="0"/>
      <w:u w:val="single"/>
      <w:lang w:val="en-GB"/>
      <w14:ligatures w14:val="none"/>
    </w:rPr>
  </w:style>
  <w:style w:type="character" w:customStyle="1" w:styleId="Heading9Char">
    <w:name w:val="Heading 9 Char"/>
    <w:basedOn w:val="DefaultParagraphFont"/>
    <w:link w:val="Heading9"/>
    <w:semiHidden/>
    <w:rsid w:val="00D2758E"/>
    <w:rPr>
      <w:rFonts w:ascii="Times New Roman" w:eastAsia="SimSun" w:hAnsi="Times New Roman" w:cs="Times New Roman"/>
      <w:snapToGrid w:val="0"/>
      <w:kern w:val="0"/>
      <w:u w:val="single"/>
      <w:lang w:val="en-GB"/>
      <w14:ligatures w14:val="none"/>
    </w:rPr>
  </w:style>
  <w:style w:type="paragraph" w:customStyle="1" w:styleId="DarkList-Accent31">
    <w:name w:val="Dark List - Accent 31"/>
    <w:hidden/>
    <w:uiPriority w:val="99"/>
    <w:semiHidden/>
    <w:rsid w:val="00D2758E"/>
    <w:pPr>
      <w:spacing w:after="0" w:line="240" w:lineRule="auto"/>
    </w:pPr>
    <w:rPr>
      <w:rFonts w:ascii="Times New Roman" w:eastAsia="SimSun" w:hAnsi="Times New Roman" w:cs="Times New Roman"/>
      <w:kern w:val="0"/>
      <w:lang w:val="en-GB" w:eastAsia="en-GB"/>
      <w14:ligatures w14:val="none"/>
    </w:rPr>
  </w:style>
  <w:style w:type="paragraph" w:customStyle="1" w:styleId="CBDNormalNoNumber">
    <w:name w:val="CBD_Normal_NoNumber"/>
    <w:basedOn w:val="CBDNormal"/>
    <w:qFormat/>
    <w:rsid w:val="00D2758E"/>
    <w:pPr>
      <w:spacing w:after="120"/>
      <w:ind w:left="567"/>
    </w:pPr>
  </w:style>
  <w:style w:type="paragraph" w:customStyle="1" w:styleId="ABSymbol">
    <w:name w:val="AB_Symbol"/>
    <w:basedOn w:val="Normal"/>
    <w:qFormat/>
    <w:rsid w:val="00D2758E"/>
    <w:pPr>
      <w:tabs>
        <w:tab w:val="left" w:pos="1871"/>
        <w:tab w:val="left" w:pos="2495"/>
        <w:tab w:val="right" w:pos="2920"/>
        <w:tab w:val="left" w:pos="3119"/>
        <w:tab w:val="left" w:pos="3742"/>
        <w:tab w:val="left" w:pos="4366"/>
        <w:tab w:val="left" w:pos="4990"/>
      </w:tabs>
      <w:spacing w:after="120"/>
      <w:ind w:left="2019"/>
      <w:jc w:val="right"/>
    </w:pPr>
    <w:rPr>
      <w:sz w:val="20"/>
      <w:szCs w:val="20"/>
    </w:rPr>
  </w:style>
  <w:style w:type="paragraph" w:customStyle="1" w:styleId="AFCorNNormal">
    <w:name w:val="AF_CorNNormal"/>
    <w:basedOn w:val="Normal"/>
    <w:unhideWhenUsed/>
    <w:rsid w:val="00D2758E"/>
    <w:pPr>
      <w:jc w:val="left"/>
    </w:pPr>
  </w:style>
  <w:style w:type="paragraph" w:customStyle="1" w:styleId="AEDistrNormal">
    <w:name w:val="AE_DistrNormal"/>
    <w:basedOn w:val="Normal"/>
    <w:unhideWhenUsed/>
    <w:rsid w:val="00D2758E"/>
    <w:pPr>
      <w:jc w:val="left"/>
    </w:pPr>
  </w:style>
  <w:style w:type="paragraph" w:customStyle="1" w:styleId="AASmallLogo">
    <w:name w:val="AA_SmallLogo"/>
    <w:basedOn w:val="AEDistrNormal"/>
    <w:unhideWhenUsed/>
    <w:rsid w:val="00D2758E"/>
    <w:pPr>
      <w:spacing w:before="40"/>
    </w:pPr>
    <w:rPr>
      <w:sz w:val="4"/>
    </w:rPr>
  </w:style>
  <w:style w:type="paragraph" w:customStyle="1" w:styleId="ACLargeLogo">
    <w:name w:val="AC_LargeLogo"/>
    <w:basedOn w:val="AFCorNNormal"/>
    <w:next w:val="AISpacer"/>
    <w:unhideWhenUsed/>
    <w:rsid w:val="00D2758E"/>
    <w:pPr>
      <w:spacing w:before="120"/>
      <w:contextualSpacing/>
    </w:pPr>
    <w:rPr>
      <w:sz w:val="8"/>
    </w:rPr>
  </w:style>
  <w:style w:type="paragraph" w:customStyle="1" w:styleId="CBDNormal">
    <w:name w:val="CBD_Normal"/>
    <w:unhideWhenUsed/>
    <w:qFormat/>
    <w:rsid w:val="00D2758E"/>
    <w:pPr>
      <w:tabs>
        <w:tab w:val="left" w:pos="567"/>
        <w:tab w:val="left" w:pos="1134"/>
        <w:tab w:val="left" w:pos="1701"/>
        <w:tab w:val="left" w:pos="2268"/>
        <w:tab w:val="left" w:pos="2835"/>
        <w:tab w:val="left" w:pos="3402"/>
      </w:tabs>
      <w:spacing w:after="0" w:line="240" w:lineRule="auto"/>
      <w:jc w:val="both"/>
    </w:pPr>
    <w:rPr>
      <w:rFonts w:ascii="Times New Roman" w:eastAsia="SimSun" w:hAnsi="Times New Roman" w:cs="Times New Roman"/>
      <w:kern w:val="0"/>
      <w:lang w:val="en-GB"/>
      <w14:ligatures w14:val="none"/>
    </w:rPr>
  </w:style>
  <w:style w:type="paragraph" w:styleId="List">
    <w:name w:val="List"/>
    <w:basedOn w:val="Normal"/>
    <w:semiHidden/>
    <w:rsid w:val="00D2758E"/>
    <w:pPr>
      <w:contextualSpacing/>
    </w:pPr>
  </w:style>
  <w:style w:type="numbering" w:customStyle="1" w:styleId="CBDHeadings">
    <w:name w:val="CBD_Headings"/>
    <w:basedOn w:val="ListCBD"/>
    <w:uiPriority w:val="99"/>
    <w:rsid w:val="00D2758E"/>
    <w:pPr>
      <w:numPr>
        <w:numId w:val="6"/>
      </w:numPr>
    </w:pPr>
  </w:style>
  <w:style w:type="paragraph" w:customStyle="1" w:styleId="AISpacer">
    <w:name w:val="AI_Spacer"/>
    <w:next w:val="Normal"/>
    <w:unhideWhenUsed/>
    <w:qFormat/>
    <w:rsid w:val="00D2758E"/>
    <w:pPr>
      <w:spacing w:after="0" w:line="240" w:lineRule="auto"/>
    </w:pPr>
    <w:rPr>
      <w:rFonts w:ascii="Times New Roman" w:eastAsia="SimSun" w:hAnsi="Times New Roman" w:cs="Times New Roman"/>
      <w:kern w:val="0"/>
      <w:sz w:val="2"/>
      <w:lang w:val="en-GB"/>
      <w14:ligatures w14:val="none"/>
    </w:rPr>
  </w:style>
  <w:style w:type="paragraph" w:customStyle="1" w:styleId="AEDistrNormal6pt">
    <w:name w:val="AE_DistrNormal6pt"/>
    <w:basedOn w:val="AEDistrNormal"/>
    <w:next w:val="AFCorNNormal"/>
    <w:unhideWhenUsed/>
    <w:qFormat/>
    <w:rsid w:val="00D2758E"/>
    <w:pPr>
      <w:spacing w:before="120"/>
    </w:pPr>
  </w:style>
  <w:style w:type="paragraph" w:customStyle="1" w:styleId="AFCorNBold">
    <w:name w:val="AF_CorNBold"/>
    <w:basedOn w:val="AFCorNNormal"/>
    <w:next w:val="AFCorNNormal"/>
    <w:unhideWhenUsed/>
    <w:qFormat/>
    <w:rsid w:val="00D2758E"/>
    <w:rPr>
      <w:b/>
    </w:rPr>
  </w:style>
  <w:style w:type="paragraph" w:customStyle="1" w:styleId="CBDAgendaItemReport">
    <w:name w:val="CBD_AgendaItem_Report"/>
    <w:basedOn w:val="Normal"/>
    <w:qFormat/>
    <w:rsid w:val="00D2758E"/>
    <w:pPr>
      <w:keepNext/>
      <w:keepLines/>
      <w:spacing w:before="240" w:after="120"/>
      <w:jc w:val="left"/>
    </w:pPr>
    <w:rPr>
      <w:b/>
      <w:sz w:val="24"/>
    </w:rPr>
  </w:style>
  <w:style w:type="paragraph" w:customStyle="1" w:styleId="CBDDesicionText">
    <w:name w:val="CBD_DesicionText"/>
    <w:basedOn w:val="CBDNormal"/>
    <w:qFormat/>
    <w:rsid w:val="00D2758E"/>
    <w:pPr>
      <w:spacing w:after="120"/>
      <w:ind w:left="1134" w:firstLine="567"/>
    </w:pPr>
  </w:style>
  <w:style w:type="paragraph" w:customStyle="1" w:styleId="CBDDesicionAnnex">
    <w:name w:val="CBD_DesicionAnnex"/>
    <w:basedOn w:val="CBDNormal"/>
    <w:next w:val="CBDDesicionText"/>
    <w:qFormat/>
    <w:rsid w:val="00D2758E"/>
    <w:pPr>
      <w:keepNext/>
      <w:keepLines/>
      <w:tabs>
        <w:tab w:val="clear" w:pos="567"/>
        <w:tab w:val="clear" w:pos="1134"/>
        <w:tab w:val="clear" w:pos="1701"/>
        <w:tab w:val="clear" w:pos="2268"/>
      </w:tabs>
      <w:spacing w:before="240" w:after="120"/>
      <w:ind w:left="567"/>
      <w:jc w:val="left"/>
    </w:pPr>
    <w:rPr>
      <w:rFonts w:cs="Times New Roman Bold"/>
      <w:b/>
      <w:bCs/>
      <w:sz w:val="24"/>
    </w:rPr>
  </w:style>
  <w:style w:type="paragraph" w:customStyle="1" w:styleId="CBDAnnex">
    <w:name w:val="CBD_Annex"/>
    <w:basedOn w:val="CBDNormal"/>
    <w:next w:val="CBDTitle"/>
    <w:qFormat/>
    <w:rsid w:val="00D2758E"/>
    <w:pPr>
      <w:keepNext/>
      <w:keepLines/>
      <w:spacing w:after="240"/>
      <w:jc w:val="left"/>
    </w:pPr>
    <w:rPr>
      <w:b/>
      <w:sz w:val="28"/>
      <w:lang w:bidi="ar-SY"/>
    </w:rPr>
  </w:style>
  <w:style w:type="paragraph" w:customStyle="1" w:styleId="CBDSubTitle">
    <w:name w:val="CBD_SubTitle"/>
    <w:basedOn w:val="CBDNormal"/>
    <w:qFormat/>
    <w:rsid w:val="00D2758E"/>
    <w:pPr>
      <w:keepNext/>
      <w:keepLines/>
      <w:spacing w:before="240" w:after="240"/>
      <w:ind w:left="567"/>
      <w:jc w:val="left"/>
    </w:pPr>
    <w:rPr>
      <w:b/>
    </w:rPr>
  </w:style>
  <w:style w:type="paragraph" w:customStyle="1" w:styleId="CBDTitle">
    <w:name w:val="CBD_Title"/>
    <w:basedOn w:val="CBDNormal"/>
    <w:next w:val="CBDSubTitle"/>
    <w:qFormat/>
    <w:rsid w:val="00D2758E"/>
    <w:pPr>
      <w:keepNext/>
      <w:keepLines/>
      <w:spacing w:before="240" w:after="240"/>
      <w:ind w:left="567"/>
      <w:jc w:val="left"/>
    </w:pPr>
    <w:rPr>
      <w:b/>
      <w:sz w:val="28"/>
    </w:rPr>
  </w:style>
  <w:style w:type="paragraph" w:customStyle="1" w:styleId="AENormal">
    <w:name w:val="AE_Normal"/>
    <w:basedOn w:val="Normal"/>
    <w:rsid w:val="00D2758E"/>
  </w:style>
  <w:style w:type="paragraph" w:customStyle="1" w:styleId="CBDH1">
    <w:name w:val="CBD_H1"/>
    <w:basedOn w:val="CBDNormal"/>
    <w:qFormat/>
    <w:rsid w:val="00B60F41"/>
    <w:pPr>
      <w:keepNext/>
      <w:keepLines/>
      <w:spacing w:before="240" w:after="120"/>
      <w:ind w:left="567" w:hanging="567"/>
      <w:jc w:val="left"/>
      <w:outlineLvl w:val="0"/>
    </w:pPr>
    <w:rPr>
      <w:b/>
      <w:sz w:val="28"/>
    </w:rPr>
  </w:style>
  <w:style w:type="paragraph" w:customStyle="1" w:styleId="CBDH2">
    <w:name w:val="CBD_H2"/>
    <w:basedOn w:val="CBDNormal"/>
    <w:qFormat/>
    <w:rsid w:val="00B60F41"/>
    <w:pPr>
      <w:keepNext/>
      <w:keepLines/>
      <w:ind w:left="567" w:hanging="567"/>
      <w:outlineLvl w:val="1"/>
    </w:pPr>
    <w:rPr>
      <w:b/>
      <w:sz w:val="24"/>
    </w:rPr>
  </w:style>
  <w:style w:type="paragraph" w:customStyle="1" w:styleId="CBDFootnoteText">
    <w:name w:val="CBD_Footnote_Text"/>
    <w:basedOn w:val="CBDNormal"/>
    <w:qFormat/>
    <w:rsid w:val="00D2758E"/>
    <w:pPr>
      <w:jc w:val="left"/>
    </w:pPr>
    <w:rPr>
      <w:sz w:val="18"/>
    </w:rPr>
  </w:style>
  <w:style w:type="paragraph" w:customStyle="1" w:styleId="CBDFooter">
    <w:name w:val="CBD_Footer"/>
    <w:basedOn w:val="CBDNormal"/>
    <w:qFormat/>
    <w:rsid w:val="00D2758E"/>
    <w:rPr>
      <w:sz w:val="20"/>
    </w:rPr>
  </w:style>
  <w:style w:type="paragraph" w:customStyle="1" w:styleId="CBDHeader">
    <w:name w:val="CBD_Header"/>
    <w:basedOn w:val="CBDNormal"/>
    <w:next w:val="CBDFooter"/>
    <w:qFormat/>
    <w:rsid w:val="00D2758E"/>
    <w:pPr>
      <w:pBdr>
        <w:bottom w:val="single" w:sz="4" w:space="1" w:color="auto"/>
      </w:pBdr>
      <w:tabs>
        <w:tab w:val="center" w:pos="4678"/>
        <w:tab w:val="right" w:pos="9361"/>
      </w:tabs>
      <w:jc w:val="left"/>
    </w:pPr>
    <w:rPr>
      <w:sz w:val="20"/>
      <w:szCs w:val="20"/>
    </w:rPr>
  </w:style>
  <w:style w:type="paragraph" w:customStyle="1" w:styleId="CBDH3">
    <w:name w:val="CBD_H3"/>
    <w:basedOn w:val="CBDNormal"/>
    <w:qFormat/>
    <w:rsid w:val="00A818EB"/>
    <w:pPr>
      <w:keepNext/>
      <w:keepLines/>
      <w:spacing w:before="120" w:after="120"/>
      <w:ind w:left="567" w:hanging="567"/>
      <w:jc w:val="left"/>
      <w:outlineLvl w:val="2"/>
    </w:pPr>
    <w:rPr>
      <w:b/>
    </w:rPr>
  </w:style>
  <w:style w:type="paragraph" w:customStyle="1" w:styleId="CBDH4">
    <w:name w:val="CBD_H4"/>
    <w:basedOn w:val="CBDNormal"/>
    <w:rsid w:val="00B60F41"/>
    <w:pPr>
      <w:keepNext/>
      <w:keepLines/>
      <w:spacing w:before="120" w:after="120"/>
      <w:ind w:left="567" w:hanging="567"/>
      <w:jc w:val="left"/>
      <w:outlineLvl w:val="3"/>
    </w:pPr>
    <w:rPr>
      <w:b/>
    </w:rPr>
  </w:style>
  <w:style w:type="paragraph" w:customStyle="1" w:styleId="CBDH5">
    <w:name w:val="CBD_H5"/>
    <w:basedOn w:val="CBDNormal"/>
    <w:qFormat/>
    <w:rsid w:val="00D2758E"/>
    <w:pPr>
      <w:keepNext/>
      <w:keepLines/>
      <w:spacing w:before="120" w:after="120"/>
      <w:ind w:left="567" w:hanging="567"/>
      <w:jc w:val="left"/>
    </w:pPr>
    <w:rPr>
      <w:i/>
    </w:rPr>
  </w:style>
  <w:style w:type="paragraph" w:customStyle="1" w:styleId="CBDTableNormal">
    <w:name w:val="CBD_TableNormal"/>
    <w:basedOn w:val="CBDNormal"/>
    <w:qFormat/>
    <w:rsid w:val="00D2758E"/>
    <w:pPr>
      <w:spacing w:before="40" w:after="80"/>
      <w:jc w:val="left"/>
    </w:pPr>
    <w:rPr>
      <w:sz w:val="20"/>
    </w:rPr>
  </w:style>
  <w:style w:type="paragraph" w:customStyle="1" w:styleId="CBDTableTitle">
    <w:name w:val="CBD_TableTitle"/>
    <w:basedOn w:val="CBDNormal"/>
    <w:qFormat/>
    <w:rsid w:val="00D2758E"/>
    <w:pPr>
      <w:keepNext/>
      <w:keepLines/>
      <w:spacing w:before="120" w:after="60"/>
      <w:ind w:left="567"/>
      <w:jc w:val="left"/>
    </w:pPr>
    <w:rPr>
      <w:b/>
    </w:rPr>
  </w:style>
  <w:style w:type="paragraph" w:customStyle="1" w:styleId="CBDFigureTitle">
    <w:name w:val="CBD_FigureTitle"/>
    <w:basedOn w:val="CBDNormal"/>
    <w:next w:val="CBDNormalNoNumber"/>
    <w:qFormat/>
    <w:rsid w:val="00D2758E"/>
    <w:pPr>
      <w:keepNext/>
      <w:keepLines/>
      <w:spacing w:before="120" w:after="60"/>
      <w:ind w:left="567"/>
      <w:jc w:val="left"/>
    </w:pPr>
    <w:rPr>
      <w:b/>
    </w:rPr>
  </w:style>
  <w:style w:type="paragraph" w:styleId="TOC3">
    <w:name w:val="toc 3"/>
    <w:basedOn w:val="CBDNormal"/>
    <w:next w:val="Normal"/>
    <w:uiPriority w:val="39"/>
    <w:unhideWhenUsed/>
    <w:rsid w:val="00D2758E"/>
    <w:pPr>
      <w:tabs>
        <w:tab w:val="clear" w:pos="567"/>
        <w:tab w:val="clear" w:pos="1134"/>
        <w:tab w:val="clear" w:pos="1701"/>
        <w:tab w:val="clear" w:pos="2268"/>
        <w:tab w:val="left" w:pos="624"/>
        <w:tab w:val="left" w:pos="1247"/>
        <w:tab w:val="left" w:pos="1871"/>
        <w:tab w:val="left" w:pos="2495"/>
        <w:tab w:val="left" w:pos="3119"/>
        <w:tab w:val="right" w:leader="dot" w:pos="9486"/>
      </w:tabs>
      <w:adjustRightInd w:val="0"/>
      <w:snapToGrid w:val="0"/>
      <w:ind w:left="3232" w:hanging="737"/>
      <w:jc w:val="left"/>
    </w:pPr>
    <w:rPr>
      <w:rFonts w:eastAsia="Times New Roman"/>
      <w:iCs/>
      <w:szCs w:val="20"/>
    </w:rPr>
  </w:style>
  <w:style w:type="paragraph" w:styleId="TOC4">
    <w:name w:val="toc 4"/>
    <w:basedOn w:val="CBDNormal"/>
    <w:next w:val="Normal"/>
    <w:uiPriority w:val="39"/>
    <w:unhideWhenUsed/>
    <w:rsid w:val="00D2758E"/>
    <w:pPr>
      <w:tabs>
        <w:tab w:val="clear" w:pos="567"/>
        <w:tab w:val="clear" w:pos="1134"/>
        <w:tab w:val="clear" w:pos="1701"/>
        <w:tab w:val="clear" w:pos="2268"/>
        <w:tab w:val="left" w:pos="624"/>
        <w:tab w:val="left" w:pos="1000"/>
        <w:tab w:val="left" w:pos="1247"/>
        <w:tab w:val="left" w:pos="1871"/>
        <w:tab w:val="left" w:pos="2495"/>
        <w:tab w:val="left" w:pos="3119"/>
        <w:tab w:val="left" w:pos="3742"/>
        <w:tab w:val="right" w:leader="dot" w:pos="9486"/>
      </w:tabs>
      <w:adjustRightInd w:val="0"/>
      <w:snapToGrid w:val="0"/>
      <w:ind w:left="3856" w:hanging="737"/>
      <w:jc w:val="left"/>
    </w:pPr>
    <w:rPr>
      <w:rFonts w:eastAsia="Times New Roman"/>
      <w:szCs w:val="18"/>
    </w:rPr>
  </w:style>
  <w:style w:type="paragraph" w:styleId="TOC5">
    <w:name w:val="toc 5"/>
    <w:basedOn w:val="CBDNormal"/>
    <w:next w:val="Normal"/>
    <w:uiPriority w:val="39"/>
    <w:rsid w:val="00D2758E"/>
    <w:pPr>
      <w:tabs>
        <w:tab w:val="clear" w:pos="567"/>
        <w:tab w:val="clear" w:pos="1134"/>
        <w:tab w:val="clear" w:pos="1701"/>
        <w:tab w:val="clear" w:pos="2268"/>
        <w:tab w:val="left" w:pos="624"/>
        <w:tab w:val="left" w:pos="1247"/>
        <w:tab w:val="left" w:pos="1871"/>
        <w:tab w:val="left" w:pos="2495"/>
        <w:tab w:val="left" w:pos="3119"/>
        <w:tab w:val="left" w:pos="3742"/>
        <w:tab w:val="left" w:pos="4366"/>
        <w:tab w:val="right" w:leader="dot" w:pos="9486"/>
      </w:tabs>
      <w:adjustRightInd w:val="0"/>
      <w:snapToGrid w:val="0"/>
      <w:ind w:left="4479" w:hanging="737"/>
      <w:jc w:val="left"/>
    </w:pPr>
    <w:rPr>
      <w:rFonts w:eastAsia="Times New Roman"/>
      <w:szCs w:val="18"/>
    </w:rPr>
  </w:style>
  <w:style w:type="paragraph" w:styleId="TOC6">
    <w:name w:val="toc 6"/>
    <w:basedOn w:val="Normal"/>
    <w:next w:val="Normal"/>
    <w:semiHidden/>
    <w:rsid w:val="00D2758E"/>
    <w:pPr>
      <w:tabs>
        <w:tab w:val="clear" w:pos="567"/>
        <w:tab w:val="clear" w:pos="1134"/>
        <w:tab w:val="clear" w:pos="1701"/>
        <w:tab w:val="clear" w:pos="2268"/>
        <w:tab w:val="left" w:pos="624"/>
        <w:tab w:val="left" w:pos="1247"/>
        <w:tab w:val="left" w:pos="1871"/>
        <w:tab w:val="left" w:pos="2495"/>
        <w:tab w:val="left" w:pos="3119"/>
        <w:tab w:val="left" w:pos="3742"/>
        <w:tab w:val="left" w:pos="4366"/>
      </w:tabs>
      <w:adjustRightInd w:val="0"/>
      <w:snapToGrid w:val="0"/>
      <w:ind w:left="1000"/>
      <w:jc w:val="left"/>
    </w:pPr>
    <w:rPr>
      <w:rFonts w:eastAsia="Times New Roman"/>
      <w:sz w:val="18"/>
      <w:szCs w:val="18"/>
    </w:rPr>
  </w:style>
  <w:style w:type="paragraph" w:styleId="TOC7">
    <w:name w:val="toc 7"/>
    <w:basedOn w:val="Normal"/>
    <w:next w:val="Normal"/>
    <w:autoRedefine/>
    <w:semiHidden/>
    <w:rsid w:val="00D2758E"/>
    <w:pPr>
      <w:tabs>
        <w:tab w:val="clear" w:pos="567"/>
        <w:tab w:val="clear" w:pos="1134"/>
        <w:tab w:val="clear" w:pos="1701"/>
        <w:tab w:val="clear" w:pos="2268"/>
        <w:tab w:val="left" w:pos="624"/>
        <w:tab w:val="left" w:pos="1247"/>
        <w:tab w:val="left" w:pos="1871"/>
        <w:tab w:val="left" w:pos="2495"/>
        <w:tab w:val="left" w:pos="3119"/>
        <w:tab w:val="left" w:pos="3742"/>
        <w:tab w:val="left" w:pos="4366"/>
      </w:tabs>
      <w:adjustRightInd w:val="0"/>
      <w:snapToGrid w:val="0"/>
      <w:ind w:left="1200"/>
      <w:jc w:val="left"/>
    </w:pPr>
    <w:rPr>
      <w:rFonts w:eastAsia="Times New Roman"/>
      <w:sz w:val="18"/>
      <w:szCs w:val="18"/>
    </w:rPr>
  </w:style>
  <w:style w:type="paragraph" w:styleId="TOC8">
    <w:name w:val="toc 8"/>
    <w:basedOn w:val="Normal"/>
    <w:next w:val="Normal"/>
    <w:autoRedefine/>
    <w:semiHidden/>
    <w:rsid w:val="00D2758E"/>
    <w:pPr>
      <w:tabs>
        <w:tab w:val="clear" w:pos="567"/>
        <w:tab w:val="clear" w:pos="1134"/>
        <w:tab w:val="clear" w:pos="1701"/>
        <w:tab w:val="clear" w:pos="2268"/>
        <w:tab w:val="left" w:pos="624"/>
        <w:tab w:val="left" w:pos="1247"/>
        <w:tab w:val="left" w:pos="1871"/>
        <w:tab w:val="left" w:pos="2495"/>
        <w:tab w:val="left" w:pos="3119"/>
        <w:tab w:val="left" w:pos="3742"/>
        <w:tab w:val="left" w:pos="4366"/>
      </w:tabs>
      <w:adjustRightInd w:val="0"/>
      <w:snapToGrid w:val="0"/>
      <w:ind w:left="1400"/>
      <w:jc w:val="left"/>
    </w:pPr>
    <w:rPr>
      <w:rFonts w:eastAsia="Times New Roman"/>
      <w:sz w:val="18"/>
      <w:szCs w:val="18"/>
    </w:rPr>
  </w:style>
  <w:style w:type="paragraph" w:customStyle="1" w:styleId="CBDprov-agendaItem">
    <w:name w:val="CBD_prov-agenda_Item"/>
    <w:basedOn w:val="CBDNormalNumber"/>
    <w:qFormat/>
    <w:rsid w:val="00D2758E"/>
  </w:style>
  <w:style w:type="paragraph" w:customStyle="1" w:styleId="CBDpara-item">
    <w:name w:val="CBD_para-item"/>
    <w:basedOn w:val="Normal"/>
    <w:qFormat/>
    <w:rsid w:val="00D2758E"/>
    <w:pPr>
      <w:tabs>
        <w:tab w:val="clear" w:pos="567"/>
      </w:tabs>
      <w:spacing w:before="120" w:after="120"/>
      <w:ind w:left="1134" w:hanging="567"/>
      <w:jc w:val="left"/>
    </w:pPr>
  </w:style>
  <w:style w:type="paragraph" w:customStyle="1" w:styleId="CBDsubpara-item">
    <w:name w:val="CBD_subpara-item"/>
    <w:basedOn w:val="CBDpara-item"/>
    <w:qFormat/>
    <w:rsid w:val="00D2758E"/>
    <w:pPr>
      <w:tabs>
        <w:tab w:val="clear" w:pos="1134"/>
      </w:tabs>
      <w:ind w:left="1701"/>
    </w:pPr>
  </w:style>
  <w:style w:type="paragraph" w:customStyle="1" w:styleId="CBDRecommendText">
    <w:name w:val="CBD_RecommendText"/>
    <w:basedOn w:val="Normal"/>
    <w:qFormat/>
    <w:rsid w:val="00D2758E"/>
    <w:pPr>
      <w:spacing w:after="120"/>
      <w:ind w:left="567"/>
    </w:pPr>
  </w:style>
  <w:style w:type="paragraph" w:customStyle="1" w:styleId="CBDAgendaItem-1">
    <w:name w:val="CBD_AgendaItem-1"/>
    <w:basedOn w:val="Normal"/>
    <w:qFormat/>
    <w:rsid w:val="00D2758E"/>
    <w:pPr>
      <w:keepNext/>
      <w:keepLines/>
      <w:spacing w:before="240" w:after="120"/>
      <w:jc w:val="left"/>
    </w:pPr>
    <w:rPr>
      <w:rFonts w:ascii="Times New Roman Bold" w:hAnsi="Times New Roman Bold" w:cs="Times New Roman Bold"/>
      <w:b/>
      <w:sz w:val="24"/>
      <w:szCs w:val="24"/>
    </w:rPr>
  </w:style>
  <w:style w:type="paragraph" w:customStyle="1" w:styleId="CBDAgendaItem-2a">
    <w:name w:val="CBD_AgendaItem-2(a)"/>
    <w:basedOn w:val="CBDAgendaItem-1"/>
    <w:qFormat/>
    <w:rsid w:val="00D2758E"/>
    <w:pPr>
      <w:ind w:left="567" w:hanging="567"/>
    </w:pPr>
    <w:rPr>
      <w:sz w:val="22"/>
    </w:rPr>
  </w:style>
  <w:style w:type="paragraph" w:customStyle="1" w:styleId="CBDAgendaItem-3">
    <w:name w:val="CBD_AgendaItem-3"/>
    <w:basedOn w:val="CBDAgendaItem-1"/>
    <w:qFormat/>
    <w:rsid w:val="00D2758E"/>
    <w:pPr>
      <w:ind w:left="567" w:hanging="567"/>
    </w:pPr>
    <w:rPr>
      <w:sz w:val="20"/>
    </w:rPr>
  </w:style>
  <w:style w:type="paragraph" w:styleId="BalloonText">
    <w:name w:val="Balloon Text"/>
    <w:basedOn w:val="Normal"/>
    <w:link w:val="BalloonTextChar"/>
    <w:uiPriority w:val="99"/>
    <w:semiHidden/>
    <w:unhideWhenUsed/>
    <w:rsid w:val="00C10A5B"/>
    <w:rPr>
      <w:rFonts w:ascii="Segoe UI" w:hAnsi="Segoe UI" w:cs="Segoe UI"/>
      <w:sz w:val="18"/>
      <w:szCs w:val="18"/>
    </w:rPr>
  </w:style>
  <w:style w:type="character" w:customStyle="1" w:styleId="BalloonTextChar">
    <w:name w:val="Balloon Text Char"/>
    <w:basedOn w:val="DefaultParagraphFont"/>
    <w:link w:val="BalloonText"/>
    <w:uiPriority w:val="99"/>
    <w:semiHidden/>
    <w:rsid w:val="00C10A5B"/>
    <w:rPr>
      <w:rFonts w:ascii="Segoe UI" w:eastAsia="SimSun" w:hAnsi="Segoe UI" w:cs="Segoe UI"/>
      <w:kern w:val="0"/>
      <w:sz w:val="18"/>
      <w:szCs w:val="18"/>
      <w:lang w:val="en-GB"/>
      <w14:ligatures w14:val="none"/>
    </w:rPr>
  </w:style>
  <w:style w:type="paragraph" w:styleId="Bibliography">
    <w:name w:val="Bibliography"/>
    <w:basedOn w:val="Normal"/>
    <w:next w:val="Normal"/>
    <w:uiPriority w:val="37"/>
    <w:semiHidden/>
    <w:unhideWhenUsed/>
    <w:rsid w:val="00C10A5B"/>
  </w:style>
  <w:style w:type="paragraph" w:styleId="BlockText">
    <w:name w:val="Block Text"/>
    <w:basedOn w:val="Normal"/>
    <w:uiPriority w:val="99"/>
    <w:semiHidden/>
    <w:unhideWhenUsed/>
    <w:rsid w:val="00C10A5B"/>
    <w:pPr>
      <w:pBdr>
        <w:top w:val="single" w:sz="2" w:space="10" w:color="4472C4" w:themeColor="accent1"/>
        <w:left w:val="single" w:sz="2" w:space="10" w:color="4472C4" w:themeColor="accent1"/>
        <w:bottom w:val="single" w:sz="2" w:space="10" w:color="4472C4" w:themeColor="accent1"/>
        <w:right w:val="single" w:sz="2" w:space="10" w:color="4472C4" w:themeColor="accent1"/>
      </w:pBdr>
      <w:ind w:left="1152" w:right="1152"/>
    </w:pPr>
    <w:rPr>
      <w:rFonts w:asciiTheme="minorHAnsi" w:eastAsiaTheme="minorEastAsia" w:hAnsiTheme="minorHAnsi" w:cstheme="minorBidi"/>
      <w:i/>
      <w:iCs/>
      <w:color w:val="4472C4" w:themeColor="accent1"/>
    </w:rPr>
  </w:style>
  <w:style w:type="paragraph" w:styleId="BodyText2">
    <w:name w:val="Body Text 2"/>
    <w:basedOn w:val="Normal"/>
    <w:link w:val="BodyText2Char"/>
    <w:uiPriority w:val="99"/>
    <w:semiHidden/>
    <w:unhideWhenUsed/>
    <w:rsid w:val="00C10A5B"/>
    <w:pPr>
      <w:spacing w:after="120" w:line="480" w:lineRule="auto"/>
    </w:pPr>
  </w:style>
  <w:style w:type="character" w:customStyle="1" w:styleId="BodyText2Char">
    <w:name w:val="Body Text 2 Char"/>
    <w:basedOn w:val="DefaultParagraphFont"/>
    <w:link w:val="BodyText2"/>
    <w:uiPriority w:val="99"/>
    <w:semiHidden/>
    <w:rsid w:val="00C10A5B"/>
    <w:rPr>
      <w:rFonts w:ascii="Times New Roman" w:eastAsia="SimSun" w:hAnsi="Times New Roman" w:cs="Times New Roman"/>
      <w:kern w:val="0"/>
      <w:lang w:val="en-GB"/>
      <w14:ligatures w14:val="none"/>
    </w:rPr>
  </w:style>
  <w:style w:type="paragraph" w:styleId="BodyText3">
    <w:name w:val="Body Text 3"/>
    <w:basedOn w:val="Normal"/>
    <w:link w:val="BodyText3Char"/>
    <w:uiPriority w:val="99"/>
    <w:semiHidden/>
    <w:unhideWhenUsed/>
    <w:rsid w:val="00C10A5B"/>
    <w:pPr>
      <w:spacing w:after="120"/>
    </w:pPr>
    <w:rPr>
      <w:sz w:val="16"/>
      <w:szCs w:val="16"/>
    </w:rPr>
  </w:style>
  <w:style w:type="character" w:customStyle="1" w:styleId="BodyText3Char">
    <w:name w:val="Body Text 3 Char"/>
    <w:basedOn w:val="DefaultParagraphFont"/>
    <w:link w:val="BodyText3"/>
    <w:uiPriority w:val="99"/>
    <w:semiHidden/>
    <w:rsid w:val="00C10A5B"/>
    <w:rPr>
      <w:rFonts w:ascii="Times New Roman" w:eastAsia="SimSun" w:hAnsi="Times New Roman" w:cs="Times New Roman"/>
      <w:kern w:val="0"/>
      <w:sz w:val="16"/>
      <w:szCs w:val="16"/>
      <w:lang w:val="en-GB"/>
      <w14:ligatures w14:val="none"/>
    </w:rPr>
  </w:style>
  <w:style w:type="paragraph" w:styleId="BodyTextFirstIndent">
    <w:name w:val="Body Text First Indent"/>
    <w:basedOn w:val="BodyText"/>
    <w:link w:val="BodyTextFirstIndentChar"/>
    <w:uiPriority w:val="99"/>
    <w:semiHidden/>
    <w:unhideWhenUsed/>
    <w:rsid w:val="00C10A5B"/>
    <w:pPr>
      <w:spacing w:after="0" w:line="240" w:lineRule="auto"/>
      <w:ind w:firstLine="360"/>
      <w:jc w:val="both"/>
    </w:pPr>
    <w:rPr>
      <w:rFonts w:ascii="Times New Roman" w:eastAsia="SimSun" w:hAnsi="Times New Roman" w:cs="Times New Roman"/>
      <w:kern w:val="0"/>
      <w14:ligatures w14:val="none"/>
    </w:rPr>
  </w:style>
  <w:style w:type="character" w:customStyle="1" w:styleId="BodyTextFirstIndentChar">
    <w:name w:val="Body Text First Indent Char"/>
    <w:basedOn w:val="BodyTextChar"/>
    <w:link w:val="BodyTextFirstIndent"/>
    <w:uiPriority w:val="99"/>
    <w:semiHidden/>
    <w:rsid w:val="00C10A5B"/>
    <w:rPr>
      <w:rFonts w:ascii="Times New Roman" w:eastAsia="SimSun" w:hAnsi="Times New Roman" w:cs="Times New Roman"/>
      <w:kern w:val="0"/>
      <w:lang w:val="en-GB"/>
      <w14:ligatures w14:val="none"/>
    </w:rPr>
  </w:style>
  <w:style w:type="paragraph" w:styleId="BodyTextIndent">
    <w:name w:val="Body Text Indent"/>
    <w:basedOn w:val="Normal"/>
    <w:link w:val="BodyTextIndentChar"/>
    <w:uiPriority w:val="99"/>
    <w:semiHidden/>
    <w:unhideWhenUsed/>
    <w:rsid w:val="00C10A5B"/>
    <w:pPr>
      <w:spacing w:after="120"/>
      <w:ind w:left="283"/>
    </w:pPr>
  </w:style>
  <w:style w:type="character" w:customStyle="1" w:styleId="BodyTextIndentChar">
    <w:name w:val="Body Text Indent Char"/>
    <w:basedOn w:val="DefaultParagraphFont"/>
    <w:link w:val="BodyTextIndent"/>
    <w:uiPriority w:val="99"/>
    <w:semiHidden/>
    <w:rsid w:val="00C10A5B"/>
    <w:rPr>
      <w:rFonts w:ascii="Times New Roman" w:eastAsia="SimSun" w:hAnsi="Times New Roman" w:cs="Times New Roman"/>
      <w:kern w:val="0"/>
      <w:lang w:val="en-GB"/>
      <w14:ligatures w14:val="none"/>
    </w:rPr>
  </w:style>
  <w:style w:type="paragraph" w:styleId="BodyTextFirstIndent2">
    <w:name w:val="Body Text First Indent 2"/>
    <w:basedOn w:val="BodyTextIndent"/>
    <w:link w:val="BodyTextFirstIndent2Char"/>
    <w:uiPriority w:val="99"/>
    <w:semiHidden/>
    <w:unhideWhenUsed/>
    <w:rsid w:val="00C10A5B"/>
    <w:pPr>
      <w:spacing w:after="0"/>
      <w:ind w:left="360" w:firstLine="360"/>
    </w:pPr>
  </w:style>
  <w:style w:type="character" w:customStyle="1" w:styleId="BodyTextFirstIndent2Char">
    <w:name w:val="Body Text First Indent 2 Char"/>
    <w:basedOn w:val="BodyTextIndentChar"/>
    <w:link w:val="BodyTextFirstIndent2"/>
    <w:uiPriority w:val="99"/>
    <w:semiHidden/>
    <w:rsid w:val="00C10A5B"/>
    <w:rPr>
      <w:rFonts w:ascii="Times New Roman" w:eastAsia="SimSun" w:hAnsi="Times New Roman" w:cs="Times New Roman"/>
      <w:kern w:val="0"/>
      <w:lang w:val="en-GB"/>
      <w14:ligatures w14:val="none"/>
    </w:rPr>
  </w:style>
  <w:style w:type="paragraph" w:styleId="BodyTextIndent2">
    <w:name w:val="Body Text Indent 2"/>
    <w:basedOn w:val="Normal"/>
    <w:link w:val="BodyTextIndent2Char"/>
    <w:uiPriority w:val="99"/>
    <w:semiHidden/>
    <w:unhideWhenUsed/>
    <w:rsid w:val="00C10A5B"/>
    <w:pPr>
      <w:spacing w:after="120" w:line="480" w:lineRule="auto"/>
      <w:ind w:left="283"/>
    </w:pPr>
  </w:style>
  <w:style w:type="character" w:customStyle="1" w:styleId="BodyTextIndent2Char">
    <w:name w:val="Body Text Indent 2 Char"/>
    <w:basedOn w:val="DefaultParagraphFont"/>
    <w:link w:val="BodyTextIndent2"/>
    <w:uiPriority w:val="99"/>
    <w:semiHidden/>
    <w:rsid w:val="00C10A5B"/>
    <w:rPr>
      <w:rFonts w:ascii="Times New Roman" w:eastAsia="SimSun" w:hAnsi="Times New Roman" w:cs="Times New Roman"/>
      <w:kern w:val="0"/>
      <w:lang w:val="en-GB"/>
      <w14:ligatures w14:val="none"/>
    </w:rPr>
  </w:style>
  <w:style w:type="paragraph" w:styleId="BodyTextIndent3">
    <w:name w:val="Body Text Indent 3"/>
    <w:basedOn w:val="Normal"/>
    <w:link w:val="BodyTextIndent3Char"/>
    <w:uiPriority w:val="99"/>
    <w:semiHidden/>
    <w:unhideWhenUsed/>
    <w:rsid w:val="00C10A5B"/>
    <w:pPr>
      <w:spacing w:after="120"/>
      <w:ind w:left="283"/>
    </w:pPr>
    <w:rPr>
      <w:sz w:val="16"/>
      <w:szCs w:val="16"/>
    </w:rPr>
  </w:style>
  <w:style w:type="character" w:customStyle="1" w:styleId="BodyTextIndent3Char">
    <w:name w:val="Body Text Indent 3 Char"/>
    <w:basedOn w:val="DefaultParagraphFont"/>
    <w:link w:val="BodyTextIndent3"/>
    <w:uiPriority w:val="99"/>
    <w:semiHidden/>
    <w:rsid w:val="00C10A5B"/>
    <w:rPr>
      <w:rFonts w:ascii="Times New Roman" w:eastAsia="SimSun" w:hAnsi="Times New Roman" w:cs="Times New Roman"/>
      <w:kern w:val="0"/>
      <w:sz w:val="16"/>
      <w:szCs w:val="16"/>
      <w:lang w:val="en-GB"/>
      <w14:ligatures w14:val="none"/>
    </w:rPr>
  </w:style>
  <w:style w:type="character" w:styleId="BookTitle">
    <w:name w:val="Book Title"/>
    <w:basedOn w:val="DefaultParagraphFont"/>
    <w:uiPriority w:val="33"/>
    <w:qFormat/>
    <w:rsid w:val="00C10A5B"/>
    <w:rPr>
      <w:b/>
      <w:bCs/>
      <w:i/>
      <w:iCs/>
      <w:spacing w:val="5"/>
      <w:lang w:val="en-GB"/>
    </w:rPr>
  </w:style>
  <w:style w:type="paragraph" w:styleId="Caption">
    <w:name w:val="caption"/>
    <w:basedOn w:val="Normal"/>
    <w:next w:val="Normal"/>
    <w:uiPriority w:val="35"/>
    <w:semiHidden/>
    <w:unhideWhenUsed/>
    <w:qFormat/>
    <w:rsid w:val="00C10A5B"/>
    <w:pPr>
      <w:spacing w:after="200"/>
    </w:pPr>
    <w:rPr>
      <w:i/>
      <w:iCs/>
      <w:color w:val="44546A" w:themeColor="text2"/>
      <w:sz w:val="18"/>
      <w:szCs w:val="18"/>
    </w:rPr>
  </w:style>
  <w:style w:type="paragraph" w:styleId="Closing">
    <w:name w:val="Closing"/>
    <w:basedOn w:val="Normal"/>
    <w:link w:val="ClosingChar"/>
    <w:uiPriority w:val="99"/>
    <w:semiHidden/>
    <w:unhideWhenUsed/>
    <w:rsid w:val="00C10A5B"/>
    <w:pPr>
      <w:ind w:left="4252"/>
    </w:pPr>
  </w:style>
  <w:style w:type="character" w:customStyle="1" w:styleId="ClosingChar">
    <w:name w:val="Closing Char"/>
    <w:basedOn w:val="DefaultParagraphFont"/>
    <w:link w:val="Closing"/>
    <w:uiPriority w:val="99"/>
    <w:semiHidden/>
    <w:rsid w:val="00C10A5B"/>
    <w:rPr>
      <w:rFonts w:ascii="Times New Roman" w:eastAsia="SimSun" w:hAnsi="Times New Roman" w:cs="Times New Roman"/>
      <w:kern w:val="0"/>
      <w:lang w:val="en-GB"/>
      <w14:ligatures w14:val="none"/>
    </w:rPr>
  </w:style>
  <w:style w:type="table" w:styleId="ColorfulGrid">
    <w:name w:val="Colorful Grid"/>
    <w:basedOn w:val="TableNormal"/>
    <w:uiPriority w:val="73"/>
    <w:semiHidden/>
    <w:unhideWhenUsed/>
    <w:rsid w:val="00C10A5B"/>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semiHidden/>
    <w:unhideWhenUsed/>
    <w:rsid w:val="00C10A5B"/>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9E2F3" w:themeFill="accent1" w:themeFillTint="33"/>
    </w:tcPr>
    <w:tblStylePr w:type="firstRow">
      <w:rPr>
        <w:b/>
        <w:bCs/>
      </w:rPr>
      <w:tblPr/>
      <w:tcPr>
        <w:shd w:val="clear" w:color="auto" w:fill="B4C6E7" w:themeFill="accent1" w:themeFillTint="66"/>
      </w:tcPr>
    </w:tblStylePr>
    <w:tblStylePr w:type="lastRow">
      <w:rPr>
        <w:b/>
        <w:bCs/>
        <w:color w:val="000000" w:themeColor="text1"/>
      </w:rPr>
      <w:tblPr/>
      <w:tcPr>
        <w:shd w:val="clear" w:color="auto" w:fill="B4C6E7" w:themeFill="accent1" w:themeFillTint="66"/>
      </w:tcPr>
    </w:tblStylePr>
    <w:tblStylePr w:type="firstCol">
      <w:rPr>
        <w:color w:val="FFFFFF" w:themeColor="background1"/>
      </w:rPr>
      <w:tblPr/>
      <w:tcPr>
        <w:shd w:val="clear" w:color="auto" w:fill="2F5496" w:themeFill="accent1" w:themeFillShade="BF"/>
      </w:tcPr>
    </w:tblStylePr>
    <w:tblStylePr w:type="lastCol">
      <w:rPr>
        <w:color w:val="FFFFFF" w:themeColor="background1"/>
      </w:rPr>
      <w:tblPr/>
      <w:tcPr>
        <w:shd w:val="clear" w:color="auto" w:fill="2F5496" w:themeFill="accent1" w:themeFillShade="BF"/>
      </w:tcPr>
    </w:tblStylePr>
    <w:tblStylePr w:type="band1Vert">
      <w:tblPr/>
      <w:tcPr>
        <w:shd w:val="clear" w:color="auto" w:fill="A1B8E1" w:themeFill="accent1" w:themeFillTint="7F"/>
      </w:tcPr>
    </w:tblStylePr>
    <w:tblStylePr w:type="band1Horz">
      <w:tblPr/>
      <w:tcPr>
        <w:shd w:val="clear" w:color="auto" w:fill="A1B8E1" w:themeFill="accent1" w:themeFillTint="7F"/>
      </w:tcPr>
    </w:tblStylePr>
  </w:style>
  <w:style w:type="table" w:styleId="ColorfulGrid-Accent2">
    <w:name w:val="Colorful Grid Accent 2"/>
    <w:basedOn w:val="TableNormal"/>
    <w:uiPriority w:val="73"/>
    <w:semiHidden/>
    <w:unhideWhenUsed/>
    <w:rsid w:val="00C10A5B"/>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BE4D5" w:themeFill="accent2" w:themeFillTint="33"/>
    </w:tcPr>
    <w:tblStylePr w:type="firstRow">
      <w:rPr>
        <w:b/>
        <w:bCs/>
      </w:rPr>
      <w:tblPr/>
      <w:tcPr>
        <w:shd w:val="clear" w:color="auto" w:fill="F7CAAC" w:themeFill="accent2" w:themeFillTint="66"/>
      </w:tcPr>
    </w:tblStylePr>
    <w:tblStylePr w:type="lastRow">
      <w:rPr>
        <w:b/>
        <w:bCs/>
        <w:color w:val="000000" w:themeColor="text1"/>
      </w:rPr>
      <w:tblPr/>
      <w:tcPr>
        <w:shd w:val="clear" w:color="auto" w:fill="F7CAAC" w:themeFill="accent2" w:themeFillTint="66"/>
      </w:tcPr>
    </w:tblStylePr>
    <w:tblStylePr w:type="firstCol">
      <w:rPr>
        <w:color w:val="FFFFFF" w:themeColor="background1"/>
      </w:rPr>
      <w:tblPr/>
      <w:tcPr>
        <w:shd w:val="clear" w:color="auto" w:fill="C45911" w:themeFill="accent2" w:themeFillShade="BF"/>
      </w:tcPr>
    </w:tblStylePr>
    <w:tblStylePr w:type="lastCol">
      <w:rPr>
        <w:color w:val="FFFFFF" w:themeColor="background1"/>
      </w:rPr>
      <w:tblPr/>
      <w:tcPr>
        <w:shd w:val="clear" w:color="auto" w:fill="C45911" w:themeFill="accent2" w:themeFillShade="BF"/>
      </w:tcPr>
    </w:tblStylePr>
    <w:tblStylePr w:type="band1Vert">
      <w:tblPr/>
      <w:tcPr>
        <w:shd w:val="clear" w:color="auto" w:fill="F6BE98" w:themeFill="accent2" w:themeFillTint="7F"/>
      </w:tcPr>
    </w:tblStylePr>
    <w:tblStylePr w:type="band1Horz">
      <w:tblPr/>
      <w:tcPr>
        <w:shd w:val="clear" w:color="auto" w:fill="F6BE98" w:themeFill="accent2" w:themeFillTint="7F"/>
      </w:tcPr>
    </w:tblStylePr>
  </w:style>
  <w:style w:type="table" w:styleId="ColorfulGrid-Accent3">
    <w:name w:val="Colorful Grid Accent 3"/>
    <w:basedOn w:val="TableNormal"/>
    <w:uiPriority w:val="73"/>
    <w:semiHidden/>
    <w:unhideWhenUsed/>
    <w:rsid w:val="00C10A5B"/>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DEDED" w:themeFill="accent3" w:themeFillTint="33"/>
    </w:tcPr>
    <w:tblStylePr w:type="firstRow">
      <w:rPr>
        <w:b/>
        <w:bCs/>
      </w:rPr>
      <w:tblPr/>
      <w:tcPr>
        <w:shd w:val="clear" w:color="auto" w:fill="DBDBDB" w:themeFill="accent3" w:themeFillTint="66"/>
      </w:tcPr>
    </w:tblStylePr>
    <w:tblStylePr w:type="lastRow">
      <w:rPr>
        <w:b/>
        <w:bCs/>
        <w:color w:val="000000" w:themeColor="text1"/>
      </w:rPr>
      <w:tblPr/>
      <w:tcPr>
        <w:shd w:val="clear" w:color="auto" w:fill="DBDBDB" w:themeFill="accent3" w:themeFillTint="66"/>
      </w:tcPr>
    </w:tblStylePr>
    <w:tblStylePr w:type="firstCol">
      <w:rPr>
        <w:color w:val="FFFFFF" w:themeColor="background1"/>
      </w:rPr>
      <w:tblPr/>
      <w:tcPr>
        <w:shd w:val="clear" w:color="auto" w:fill="7B7B7B" w:themeFill="accent3" w:themeFillShade="BF"/>
      </w:tcPr>
    </w:tblStylePr>
    <w:tblStylePr w:type="lastCol">
      <w:rPr>
        <w:color w:val="FFFFFF" w:themeColor="background1"/>
      </w:rPr>
      <w:tblPr/>
      <w:tcPr>
        <w:shd w:val="clear" w:color="auto" w:fill="7B7B7B" w:themeFill="accent3" w:themeFillShade="BF"/>
      </w:tcPr>
    </w:tblStylePr>
    <w:tblStylePr w:type="band1Vert">
      <w:tblPr/>
      <w:tcPr>
        <w:shd w:val="clear" w:color="auto" w:fill="D2D2D2" w:themeFill="accent3" w:themeFillTint="7F"/>
      </w:tcPr>
    </w:tblStylePr>
    <w:tblStylePr w:type="band1Horz">
      <w:tblPr/>
      <w:tcPr>
        <w:shd w:val="clear" w:color="auto" w:fill="D2D2D2" w:themeFill="accent3" w:themeFillTint="7F"/>
      </w:tcPr>
    </w:tblStylePr>
  </w:style>
  <w:style w:type="table" w:styleId="ColorfulGrid-Accent4">
    <w:name w:val="Colorful Grid Accent 4"/>
    <w:basedOn w:val="TableNormal"/>
    <w:uiPriority w:val="73"/>
    <w:semiHidden/>
    <w:unhideWhenUsed/>
    <w:rsid w:val="00C10A5B"/>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FF2CC" w:themeFill="accent4" w:themeFillTint="33"/>
    </w:tcPr>
    <w:tblStylePr w:type="firstRow">
      <w:rPr>
        <w:b/>
        <w:bCs/>
      </w:rPr>
      <w:tblPr/>
      <w:tcPr>
        <w:shd w:val="clear" w:color="auto" w:fill="FFE599" w:themeFill="accent4" w:themeFillTint="66"/>
      </w:tcPr>
    </w:tblStylePr>
    <w:tblStylePr w:type="lastRow">
      <w:rPr>
        <w:b/>
        <w:bCs/>
        <w:color w:val="000000" w:themeColor="text1"/>
      </w:rPr>
      <w:tblPr/>
      <w:tcPr>
        <w:shd w:val="clear" w:color="auto" w:fill="FFE599" w:themeFill="accent4" w:themeFillTint="66"/>
      </w:tcPr>
    </w:tblStylePr>
    <w:tblStylePr w:type="firstCol">
      <w:rPr>
        <w:color w:val="FFFFFF" w:themeColor="background1"/>
      </w:rPr>
      <w:tblPr/>
      <w:tcPr>
        <w:shd w:val="clear" w:color="auto" w:fill="BF8F00" w:themeFill="accent4" w:themeFillShade="BF"/>
      </w:tcPr>
    </w:tblStylePr>
    <w:tblStylePr w:type="lastCol">
      <w:rPr>
        <w:color w:val="FFFFFF" w:themeColor="background1"/>
      </w:rPr>
      <w:tblPr/>
      <w:tcPr>
        <w:shd w:val="clear" w:color="auto" w:fill="BF8F00" w:themeFill="accent4" w:themeFillShade="BF"/>
      </w:tcPr>
    </w:tblStylePr>
    <w:tblStylePr w:type="band1Vert">
      <w:tblPr/>
      <w:tcPr>
        <w:shd w:val="clear" w:color="auto" w:fill="FFDF80" w:themeFill="accent4" w:themeFillTint="7F"/>
      </w:tcPr>
    </w:tblStylePr>
    <w:tblStylePr w:type="band1Horz">
      <w:tblPr/>
      <w:tcPr>
        <w:shd w:val="clear" w:color="auto" w:fill="FFDF80" w:themeFill="accent4" w:themeFillTint="7F"/>
      </w:tcPr>
    </w:tblStylePr>
  </w:style>
  <w:style w:type="table" w:styleId="ColorfulGrid-Accent5">
    <w:name w:val="Colorful Grid Accent 5"/>
    <w:basedOn w:val="TableNormal"/>
    <w:uiPriority w:val="73"/>
    <w:semiHidden/>
    <w:unhideWhenUsed/>
    <w:rsid w:val="00C10A5B"/>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EEAF6" w:themeFill="accent5" w:themeFillTint="33"/>
    </w:tcPr>
    <w:tblStylePr w:type="firstRow">
      <w:rPr>
        <w:b/>
        <w:bCs/>
      </w:rPr>
      <w:tblPr/>
      <w:tcPr>
        <w:shd w:val="clear" w:color="auto" w:fill="BDD6EE" w:themeFill="accent5" w:themeFillTint="66"/>
      </w:tcPr>
    </w:tblStylePr>
    <w:tblStylePr w:type="lastRow">
      <w:rPr>
        <w:b/>
        <w:bCs/>
        <w:color w:val="000000" w:themeColor="text1"/>
      </w:rPr>
      <w:tblPr/>
      <w:tcPr>
        <w:shd w:val="clear" w:color="auto" w:fill="BDD6EE" w:themeFill="accent5" w:themeFillTint="66"/>
      </w:tcPr>
    </w:tblStylePr>
    <w:tblStylePr w:type="firstCol">
      <w:rPr>
        <w:color w:val="FFFFFF" w:themeColor="background1"/>
      </w:rPr>
      <w:tblPr/>
      <w:tcPr>
        <w:shd w:val="clear" w:color="auto" w:fill="2E74B5" w:themeFill="accent5" w:themeFillShade="BF"/>
      </w:tcPr>
    </w:tblStylePr>
    <w:tblStylePr w:type="lastCol">
      <w:rPr>
        <w:color w:val="FFFFFF" w:themeColor="background1"/>
      </w:rPr>
      <w:tblPr/>
      <w:tcPr>
        <w:shd w:val="clear" w:color="auto" w:fill="2E74B5" w:themeFill="accent5" w:themeFillShade="BF"/>
      </w:tcPr>
    </w:tblStylePr>
    <w:tblStylePr w:type="band1Vert">
      <w:tblPr/>
      <w:tcPr>
        <w:shd w:val="clear" w:color="auto" w:fill="ADCCEA" w:themeFill="accent5" w:themeFillTint="7F"/>
      </w:tcPr>
    </w:tblStylePr>
    <w:tblStylePr w:type="band1Horz">
      <w:tblPr/>
      <w:tcPr>
        <w:shd w:val="clear" w:color="auto" w:fill="ADCCEA" w:themeFill="accent5" w:themeFillTint="7F"/>
      </w:tcPr>
    </w:tblStylePr>
  </w:style>
  <w:style w:type="table" w:styleId="ColorfulGrid-Accent6">
    <w:name w:val="Colorful Grid Accent 6"/>
    <w:basedOn w:val="TableNormal"/>
    <w:uiPriority w:val="73"/>
    <w:semiHidden/>
    <w:unhideWhenUsed/>
    <w:rsid w:val="00C10A5B"/>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2EFD9" w:themeFill="accent6" w:themeFillTint="33"/>
    </w:tcPr>
    <w:tblStylePr w:type="firstRow">
      <w:rPr>
        <w:b/>
        <w:bCs/>
      </w:rPr>
      <w:tblPr/>
      <w:tcPr>
        <w:shd w:val="clear" w:color="auto" w:fill="C5E0B3" w:themeFill="accent6" w:themeFillTint="66"/>
      </w:tcPr>
    </w:tblStylePr>
    <w:tblStylePr w:type="lastRow">
      <w:rPr>
        <w:b/>
        <w:bCs/>
        <w:color w:val="000000" w:themeColor="text1"/>
      </w:rPr>
      <w:tblPr/>
      <w:tcPr>
        <w:shd w:val="clear" w:color="auto" w:fill="C5E0B3" w:themeFill="accent6" w:themeFillTint="66"/>
      </w:tcPr>
    </w:tblStylePr>
    <w:tblStylePr w:type="firstCol">
      <w:rPr>
        <w:color w:val="FFFFFF" w:themeColor="background1"/>
      </w:rPr>
      <w:tblPr/>
      <w:tcPr>
        <w:shd w:val="clear" w:color="auto" w:fill="538135" w:themeFill="accent6" w:themeFillShade="BF"/>
      </w:tcPr>
    </w:tblStylePr>
    <w:tblStylePr w:type="lastCol">
      <w:rPr>
        <w:color w:val="FFFFFF" w:themeColor="background1"/>
      </w:rPr>
      <w:tblPr/>
      <w:tcPr>
        <w:shd w:val="clear" w:color="auto" w:fill="538135" w:themeFill="accent6" w:themeFillShade="BF"/>
      </w:tcPr>
    </w:tblStylePr>
    <w:tblStylePr w:type="band1Vert">
      <w:tblPr/>
      <w:tcPr>
        <w:shd w:val="clear" w:color="auto" w:fill="B7D8A0" w:themeFill="accent6" w:themeFillTint="7F"/>
      </w:tcPr>
    </w:tblStylePr>
    <w:tblStylePr w:type="band1Horz">
      <w:tblPr/>
      <w:tcPr>
        <w:shd w:val="clear" w:color="auto" w:fill="B7D8A0" w:themeFill="accent6" w:themeFillTint="7F"/>
      </w:tcPr>
    </w:tblStylePr>
  </w:style>
  <w:style w:type="table" w:styleId="ColorfulList">
    <w:name w:val="Colorful List"/>
    <w:basedOn w:val="TableNormal"/>
    <w:uiPriority w:val="72"/>
    <w:semiHidden/>
    <w:unhideWhenUsed/>
    <w:rsid w:val="00C10A5B"/>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D25F12" w:themeFill="accent2" w:themeFillShade="CC"/>
      </w:tcPr>
    </w:tblStylePr>
    <w:tblStylePr w:type="lastRow">
      <w:rPr>
        <w:b/>
        <w:bCs/>
        <w:color w:val="D25F12"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semiHidden/>
    <w:unhideWhenUsed/>
    <w:rsid w:val="00C10A5B"/>
    <w:pPr>
      <w:spacing w:after="0" w:line="240" w:lineRule="auto"/>
    </w:pPr>
    <w:rPr>
      <w:color w:val="000000" w:themeColor="text1"/>
    </w:rPr>
    <w:tblPr>
      <w:tblStyleRowBandSize w:val="1"/>
      <w:tblStyleColBandSize w:val="1"/>
    </w:tblPr>
    <w:tcPr>
      <w:shd w:val="clear" w:color="auto" w:fill="ECF1F9" w:themeFill="accent1" w:themeFillTint="19"/>
    </w:tcPr>
    <w:tblStylePr w:type="firstRow">
      <w:rPr>
        <w:b/>
        <w:bCs/>
        <w:color w:val="FFFFFF" w:themeColor="background1"/>
      </w:rPr>
      <w:tblPr/>
      <w:tcPr>
        <w:tcBorders>
          <w:bottom w:val="single" w:sz="12" w:space="0" w:color="FFFFFF" w:themeColor="background1"/>
        </w:tcBorders>
        <w:shd w:val="clear" w:color="auto" w:fill="D25F12" w:themeFill="accent2" w:themeFillShade="CC"/>
      </w:tcPr>
    </w:tblStylePr>
    <w:tblStylePr w:type="lastRow">
      <w:rPr>
        <w:b/>
        <w:bCs/>
        <w:color w:val="D25F12"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0DBF0" w:themeFill="accent1" w:themeFillTint="3F"/>
      </w:tcPr>
    </w:tblStylePr>
    <w:tblStylePr w:type="band1Horz">
      <w:tblPr/>
      <w:tcPr>
        <w:shd w:val="clear" w:color="auto" w:fill="D9E2F3" w:themeFill="accent1" w:themeFillTint="33"/>
      </w:tcPr>
    </w:tblStylePr>
  </w:style>
  <w:style w:type="table" w:styleId="ColorfulList-Accent2">
    <w:name w:val="Colorful List Accent 2"/>
    <w:basedOn w:val="TableNormal"/>
    <w:uiPriority w:val="72"/>
    <w:semiHidden/>
    <w:unhideWhenUsed/>
    <w:rsid w:val="00C10A5B"/>
    <w:pPr>
      <w:spacing w:after="0" w:line="240" w:lineRule="auto"/>
    </w:pPr>
    <w:rPr>
      <w:color w:val="000000" w:themeColor="text1"/>
    </w:rPr>
    <w:tblPr>
      <w:tblStyleRowBandSize w:val="1"/>
      <w:tblStyleColBandSize w:val="1"/>
    </w:tblPr>
    <w:tcPr>
      <w:shd w:val="clear" w:color="auto" w:fill="FDF2EA" w:themeFill="accent2" w:themeFillTint="19"/>
    </w:tcPr>
    <w:tblStylePr w:type="firstRow">
      <w:rPr>
        <w:b/>
        <w:bCs/>
        <w:color w:val="FFFFFF" w:themeColor="background1"/>
      </w:rPr>
      <w:tblPr/>
      <w:tcPr>
        <w:tcBorders>
          <w:bottom w:val="single" w:sz="12" w:space="0" w:color="FFFFFF" w:themeColor="background1"/>
        </w:tcBorders>
        <w:shd w:val="clear" w:color="auto" w:fill="D25F12" w:themeFill="accent2" w:themeFillShade="CC"/>
      </w:tcPr>
    </w:tblStylePr>
    <w:tblStylePr w:type="lastRow">
      <w:rPr>
        <w:b/>
        <w:bCs/>
        <w:color w:val="D25F12"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ADECB" w:themeFill="accent2" w:themeFillTint="3F"/>
      </w:tcPr>
    </w:tblStylePr>
    <w:tblStylePr w:type="band1Horz">
      <w:tblPr/>
      <w:tcPr>
        <w:shd w:val="clear" w:color="auto" w:fill="FBE4D5" w:themeFill="accent2" w:themeFillTint="33"/>
      </w:tcPr>
    </w:tblStylePr>
  </w:style>
  <w:style w:type="table" w:styleId="ColorfulList-Accent3">
    <w:name w:val="Colorful List Accent 3"/>
    <w:basedOn w:val="TableNormal"/>
    <w:uiPriority w:val="72"/>
    <w:semiHidden/>
    <w:unhideWhenUsed/>
    <w:rsid w:val="00C10A5B"/>
    <w:pPr>
      <w:spacing w:after="0" w:line="240" w:lineRule="auto"/>
    </w:pPr>
    <w:rPr>
      <w:color w:val="000000" w:themeColor="text1"/>
    </w:rPr>
    <w:tblPr>
      <w:tblStyleRowBandSize w:val="1"/>
      <w:tblStyleColBandSize w:val="1"/>
    </w:tblPr>
    <w:tcPr>
      <w:shd w:val="clear" w:color="auto" w:fill="F6F6F6" w:themeFill="accent3" w:themeFillTint="19"/>
    </w:tcPr>
    <w:tblStylePr w:type="firstRow">
      <w:rPr>
        <w:b/>
        <w:bCs/>
        <w:color w:val="FFFFFF" w:themeColor="background1"/>
      </w:rPr>
      <w:tblPr/>
      <w:tcPr>
        <w:tcBorders>
          <w:bottom w:val="single" w:sz="12" w:space="0" w:color="FFFFFF" w:themeColor="background1"/>
        </w:tcBorders>
        <w:shd w:val="clear" w:color="auto" w:fill="CC9900" w:themeFill="accent4" w:themeFillShade="CC"/>
      </w:tcPr>
    </w:tblStylePr>
    <w:tblStylePr w:type="lastRow">
      <w:rPr>
        <w:b/>
        <w:bCs/>
        <w:color w:val="CC9900"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8E8E8" w:themeFill="accent3" w:themeFillTint="3F"/>
      </w:tcPr>
    </w:tblStylePr>
    <w:tblStylePr w:type="band1Horz">
      <w:tblPr/>
      <w:tcPr>
        <w:shd w:val="clear" w:color="auto" w:fill="EDEDED" w:themeFill="accent3" w:themeFillTint="33"/>
      </w:tcPr>
    </w:tblStylePr>
  </w:style>
  <w:style w:type="table" w:styleId="ColorfulList-Accent4">
    <w:name w:val="Colorful List Accent 4"/>
    <w:basedOn w:val="TableNormal"/>
    <w:uiPriority w:val="72"/>
    <w:semiHidden/>
    <w:unhideWhenUsed/>
    <w:rsid w:val="00C10A5B"/>
    <w:pPr>
      <w:spacing w:after="0" w:line="240" w:lineRule="auto"/>
    </w:pPr>
    <w:rPr>
      <w:color w:val="000000" w:themeColor="text1"/>
    </w:rPr>
    <w:tblPr>
      <w:tblStyleRowBandSize w:val="1"/>
      <w:tblStyleColBandSize w:val="1"/>
    </w:tblPr>
    <w:tcPr>
      <w:shd w:val="clear" w:color="auto" w:fill="FFF8E6" w:themeFill="accent4" w:themeFillTint="19"/>
    </w:tcPr>
    <w:tblStylePr w:type="firstRow">
      <w:rPr>
        <w:b/>
        <w:bCs/>
        <w:color w:val="FFFFFF" w:themeColor="background1"/>
      </w:rPr>
      <w:tblPr/>
      <w:tcPr>
        <w:tcBorders>
          <w:bottom w:val="single" w:sz="12" w:space="0" w:color="FFFFFF" w:themeColor="background1"/>
        </w:tcBorders>
        <w:shd w:val="clear" w:color="auto" w:fill="848484" w:themeFill="accent3" w:themeFillShade="CC"/>
      </w:tcPr>
    </w:tblStylePr>
    <w:tblStylePr w:type="lastRow">
      <w:rPr>
        <w:b/>
        <w:bCs/>
        <w:color w:val="848484"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FEFC0" w:themeFill="accent4" w:themeFillTint="3F"/>
      </w:tcPr>
    </w:tblStylePr>
    <w:tblStylePr w:type="band1Horz">
      <w:tblPr/>
      <w:tcPr>
        <w:shd w:val="clear" w:color="auto" w:fill="FFF2CC" w:themeFill="accent4" w:themeFillTint="33"/>
      </w:tcPr>
    </w:tblStylePr>
  </w:style>
  <w:style w:type="table" w:styleId="ColorfulList-Accent5">
    <w:name w:val="Colorful List Accent 5"/>
    <w:basedOn w:val="TableNormal"/>
    <w:uiPriority w:val="72"/>
    <w:semiHidden/>
    <w:unhideWhenUsed/>
    <w:rsid w:val="00C10A5B"/>
    <w:pPr>
      <w:spacing w:after="0" w:line="240" w:lineRule="auto"/>
    </w:pPr>
    <w:rPr>
      <w:color w:val="000000" w:themeColor="text1"/>
    </w:rPr>
    <w:tblPr>
      <w:tblStyleRowBandSize w:val="1"/>
      <w:tblStyleColBandSize w:val="1"/>
    </w:tblPr>
    <w:tcPr>
      <w:shd w:val="clear" w:color="auto" w:fill="EEF5FB" w:themeFill="accent5" w:themeFillTint="19"/>
    </w:tcPr>
    <w:tblStylePr w:type="firstRow">
      <w:rPr>
        <w:b/>
        <w:bCs/>
        <w:color w:val="FFFFFF" w:themeColor="background1"/>
      </w:rPr>
      <w:tblPr/>
      <w:tcPr>
        <w:tcBorders>
          <w:bottom w:val="single" w:sz="12" w:space="0" w:color="FFFFFF" w:themeColor="background1"/>
        </w:tcBorders>
        <w:shd w:val="clear" w:color="auto" w:fill="598A38" w:themeFill="accent6" w:themeFillShade="CC"/>
      </w:tcPr>
    </w:tblStylePr>
    <w:tblStylePr w:type="lastRow">
      <w:rPr>
        <w:b/>
        <w:bCs/>
        <w:color w:val="598A38"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6E6F4" w:themeFill="accent5" w:themeFillTint="3F"/>
      </w:tcPr>
    </w:tblStylePr>
    <w:tblStylePr w:type="band1Horz">
      <w:tblPr/>
      <w:tcPr>
        <w:shd w:val="clear" w:color="auto" w:fill="DEEAF6" w:themeFill="accent5" w:themeFillTint="33"/>
      </w:tcPr>
    </w:tblStylePr>
  </w:style>
  <w:style w:type="table" w:styleId="ColorfulList-Accent6">
    <w:name w:val="Colorful List Accent 6"/>
    <w:basedOn w:val="TableNormal"/>
    <w:uiPriority w:val="72"/>
    <w:semiHidden/>
    <w:unhideWhenUsed/>
    <w:rsid w:val="00C10A5B"/>
    <w:pPr>
      <w:spacing w:after="0" w:line="240" w:lineRule="auto"/>
    </w:pPr>
    <w:rPr>
      <w:color w:val="000000" w:themeColor="text1"/>
    </w:rPr>
    <w:tblPr>
      <w:tblStyleRowBandSize w:val="1"/>
      <w:tblStyleColBandSize w:val="1"/>
    </w:tblPr>
    <w:tcPr>
      <w:shd w:val="clear" w:color="auto" w:fill="F0F7EC" w:themeFill="accent6" w:themeFillTint="19"/>
    </w:tcPr>
    <w:tblStylePr w:type="firstRow">
      <w:rPr>
        <w:b/>
        <w:bCs/>
        <w:color w:val="FFFFFF" w:themeColor="background1"/>
      </w:rPr>
      <w:tblPr/>
      <w:tcPr>
        <w:tcBorders>
          <w:bottom w:val="single" w:sz="12" w:space="0" w:color="FFFFFF" w:themeColor="background1"/>
        </w:tcBorders>
        <w:shd w:val="clear" w:color="auto" w:fill="317CC1" w:themeFill="accent5" w:themeFillShade="CC"/>
      </w:tcPr>
    </w:tblStylePr>
    <w:tblStylePr w:type="lastRow">
      <w:rPr>
        <w:b/>
        <w:bCs/>
        <w:color w:val="317CC1"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BEBD0" w:themeFill="accent6" w:themeFillTint="3F"/>
      </w:tcPr>
    </w:tblStylePr>
    <w:tblStylePr w:type="band1Horz">
      <w:tblPr/>
      <w:tcPr>
        <w:shd w:val="clear" w:color="auto" w:fill="E2EFD9" w:themeFill="accent6" w:themeFillTint="33"/>
      </w:tcPr>
    </w:tblStylePr>
  </w:style>
  <w:style w:type="table" w:styleId="ColorfulShading">
    <w:name w:val="Colorful Shading"/>
    <w:basedOn w:val="TableNormal"/>
    <w:uiPriority w:val="71"/>
    <w:semiHidden/>
    <w:unhideWhenUsed/>
    <w:rsid w:val="00C10A5B"/>
    <w:pPr>
      <w:spacing w:after="0" w:line="240" w:lineRule="auto"/>
    </w:pPr>
    <w:rPr>
      <w:color w:val="000000" w:themeColor="text1"/>
    </w:rPr>
    <w:tblPr>
      <w:tblStyleRowBandSize w:val="1"/>
      <w:tblStyleColBandSize w:val="1"/>
      <w:tblBorders>
        <w:top w:val="single" w:sz="24" w:space="0" w:color="ED7D31"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ED7D31"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semiHidden/>
    <w:unhideWhenUsed/>
    <w:rsid w:val="00C10A5B"/>
    <w:pPr>
      <w:spacing w:after="0" w:line="240" w:lineRule="auto"/>
    </w:pPr>
    <w:rPr>
      <w:color w:val="000000" w:themeColor="text1"/>
    </w:rPr>
    <w:tblPr>
      <w:tblStyleRowBandSize w:val="1"/>
      <w:tblStyleColBandSize w:val="1"/>
      <w:tblBorders>
        <w:top w:val="single" w:sz="24" w:space="0" w:color="ED7D31" w:themeColor="accent2"/>
        <w:left w:val="single" w:sz="4" w:space="0" w:color="4472C4" w:themeColor="accent1"/>
        <w:bottom w:val="single" w:sz="4" w:space="0" w:color="4472C4" w:themeColor="accent1"/>
        <w:right w:val="single" w:sz="4" w:space="0" w:color="4472C4" w:themeColor="accent1"/>
        <w:insideH w:val="single" w:sz="4" w:space="0" w:color="FFFFFF" w:themeColor="background1"/>
        <w:insideV w:val="single" w:sz="4" w:space="0" w:color="FFFFFF" w:themeColor="background1"/>
      </w:tblBorders>
    </w:tblPr>
    <w:tcPr>
      <w:shd w:val="clear" w:color="auto" w:fill="ECF1F9" w:themeFill="accent1" w:themeFillTint="19"/>
    </w:tcPr>
    <w:tblStylePr w:type="firstRow">
      <w:rPr>
        <w:b/>
        <w:bCs/>
      </w:rPr>
      <w:tblPr/>
      <w:tcPr>
        <w:tcBorders>
          <w:top w:val="nil"/>
          <w:left w:val="nil"/>
          <w:bottom w:val="single" w:sz="24" w:space="0" w:color="ED7D31"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64378" w:themeFill="accent1" w:themeFillShade="99"/>
      </w:tcPr>
    </w:tblStylePr>
    <w:tblStylePr w:type="firstCol">
      <w:rPr>
        <w:color w:val="FFFFFF" w:themeColor="background1"/>
      </w:rPr>
      <w:tblPr/>
      <w:tcPr>
        <w:tcBorders>
          <w:top w:val="nil"/>
          <w:left w:val="nil"/>
          <w:bottom w:val="nil"/>
          <w:right w:val="nil"/>
          <w:insideH w:val="single" w:sz="4" w:space="0" w:color="264378" w:themeColor="accent1" w:themeShade="99"/>
          <w:insideV w:val="nil"/>
        </w:tcBorders>
        <w:shd w:val="clear" w:color="auto" w:fill="264378"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64378" w:themeFill="accent1" w:themeFillShade="99"/>
      </w:tcPr>
    </w:tblStylePr>
    <w:tblStylePr w:type="band1Vert">
      <w:tblPr/>
      <w:tcPr>
        <w:shd w:val="clear" w:color="auto" w:fill="B4C6E7" w:themeFill="accent1" w:themeFillTint="66"/>
      </w:tcPr>
    </w:tblStylePr>
    <w:tblStylePr w:type="band1Horz">
      <w:tblPr/>
      <w:tcPr>
        <w:shd w:val="clear" w:color="auto" w:fill="A1B8E1"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semiHidden/>
    <w:unhideWhenUsed/>
    <w:rsid w:val="00C10A5B"/>
    <w:pPr>
      <w:spacing w:after="0" w:line="240" w:lineRule="auto"/>
    </w:pPr>
    <w:rPr>
      <w:color w:val="000000" w:themeColor="text1"/>
    </w:rPr>
    <w:tblPr>
      <w:tblStyleRowBandSize w:val="1"/>
      <w:tblStyleColBandSize w:val="1"/>
      <w:tblBorders>
        <w:top w:val="single" w:sz="24" w:space="0" w:color="ED7D31" w:themeColor="accent2"/>
        <w:left w:val="single" w:sz="4" w:space="0" w:color="ED7D31" w:themeColor="accent2"/>
        <w:bottom w:val="single" w:sz="4" w:space="0" w:color="ED7D31" w:themeColor="accent2"/>
        <w:right w:val="single" w:sz="4" w:space="0" w:color="ED7D31" w:themeColor="accent2"/>
        <w:insideH w:val="single" w:sz="4" w:space="0" w:color="FFFFFF" w:themeColor="background1"/>
        <w:insideV w:val="single" w:sz="4" w:space="0" w:color="FFFFFF" w:themeColor="background1"/>
      </w:tblBorders>
    </w:tblPr>
    <w:tcPr>
      <w:shd w:val="clear" w:color="auto" w:fill="FDF2EA" w:themeFill="accent2" w:themeFillTint="19"/>
    </w:tcPr>
    <w:tblStylePr w:type="firstRow">
      <w:rPr>
        <w:b/>
        <w:bCs/>
      </w:rPr>
      <w:tblPr/>
      <w:tcPr>
        <w:tcBorders>
          <w:top w:val="nil"/>
          <w:left w:val="nil"/>
          <w:bottom w:val="single" w:sz="24" w:space="0" w:color="ED7D31"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9D470D" w:themeFill="accent2" w:themeFillShade="99"/>
      </w:tcPr>
    </w:tblStylePr>
    <w:tblStylePr w:type="firstCol">
      <w:rPr>
        <w:color w:val="FFFFFF" w:themeColor="background1"/>
      </w:rPr>
      <w:tblPr/>
      <w:tcPr>
        <w:tcBorders>
          <w:top w:val="nil"/>
          <w:left w:val="nil"/>
          <w:bottom w:val="nil"/>
          <w:right w:val="nil"/>
          <w:insideH w:val="single" w:sz="4" w:space="0" w:color="9D470D" w:themeColor="accent2" w:themeShade="99"/>
          <w:insideV w:val="nil"/>
        </w:tcBorders>
        <w:shd w:val="clear" w:color="auto" w:fill="9D470D"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9D470D" w:themeFill="accent2" w:themeFillShade="99"/>
      </w:tcPr>
    </w:tblStylePr>
    <w:tblStylePr w:type="band1Vert">
      <w:tblPr/>
      <w:tcPr>
        <w:shd w:val="clear" w:color="auto" w:fill="F7CAAC" w:themeFill="accent2" w:themeFillTint="66"/>
      </w:tcPr>
    </w:tblStylePr>
    <w:tblStylePr w:type="band1Horz">
      <w:tblPr/>
      <w:tcPr>
        <w:shd w:val="clear" w:color="auto" w:fill="F6BE98"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semiHidden/>
    <w:unhideWhenUsed/>
    <w:rsid w:val="00C10A5B"/>
    <w:pPr>
      <w:spacing w:after="0" w:line="240" w:lineRule="auto"/>
    </w:pPr>
    <w:rPr>
      <w:color w:val="000000" w:themeColor="text1"/>
    </w:rPr>
    <w:tblPr>
      <w:tblStyleRowBandSize w:val="1"/>
      <w:tblStyleColBandSize w:val="1"/>
      <w:tblBorders>
        <w:top w:val="single" w:sz="24" w:space="0" w:color="FFC000" w:themeColor="accent4"/>
        <w:left w:val="single" w:sz="4" w:space="0" w:color="A5A5A5" w:themeColor="accent3"/>
        <w:bottom w:val="single" w:sz="4" w:space="0" w:color="A5A5A5" w:themeColor="accent3"/>
        <w:right w:val="single" w:sz="4" w:space="0" w:color="A5A5A5" w:themeColor="accent3"/>
        <w:insideH w:val="single" w:sz="4" w:space="0" w:color="FFFFFF" w:themeColor="background1"/>
        <w:insideV w:val="single" w:sz="4" w:space="0" w:color="FFFFFF" w:themeColor="background1"/>
      </w:tblBorders>
    </w:tblPr>
    <w:tcPr>
      <w:shd w:val="clear" w:color="auto" w:fill="F6F6F6" w:themeFill="accent3" w:themeFillTint="19"/>
    </w:tcPr>
    <w:tblStylePr w:type="firstRow">
      <w:rPr>
        <w:b/>
        <w:bCs/>
      </w:rPr>
      <w:tblPr/>
      <w:tcPr>
        <w:tcBorders>
          <w:top w:val="nil"/>
          <w:left w:val="nil"/>
          <w:bottom w:val="single" w:sz="24" w:space="0" w:color="FFC000"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636363" w:themeFill="accent3" w:themeFillShade="99"/>
      </w:tcPr>
    </w:tblStylePr>
    <w:tblStylePr w:type="firstCol">
      <w:rPr>
        <w:color w:val="FFFFFF" w:themeColor="background1"/>
      </w:rPr>
      <w:tblPr/>
      <w:tcPr>
        <w:tcBorders>
          <w:top w:val="nil"/>
          <w:left w:val="nil"/>
          <w:bottom w:val="nil"/>
          <w:right w:val="nil"/>
          <w:insideH w:val="single" w:sz="4" w:space="0" w:color="636363" w:themeColor="accent3" w:themeShade="99"/>
          <w:insideV w:val="nil"/>
        </w:tcBorders>
        <w:shd w:val="clear" w:color="auto" w:fill="636363"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636363" w:themeFill="accent3" w:themeFillShade="99"/>
      </w:tcPr>
    </w:tblStylePr>
    <w:tblStylePr w:type="band1Vert">
      <w:tblPr/>
      <w:tcPr>
        <w:shd w:val="clear" w:color="auto" w:fill="DBDBDB" w:themeFill="accent3" w:themeFillTint="66"/>
      </w:tcPr>
    </w:tblStylePr>
    <w:tblStylePr w:type="band1Horz">
      <w:tblPr/>
      <w:tcPr>
        <w:shd w:val="clear" w:color="auto" w:fill="D2D2D2" w:themeFill="accent3" w:themeFillTint="7F"/>
      </w:tcPr>
    </w:tblStylePr>
  </w:style>
  <w:style w:type="table" w:styleId="ColorfulShading-Accent4">
    <w:name w:val="Colorful Shading Accent 4"/>
    <w:basedOn w:val="TableNormal"/>
    <w:uiPriority w:val="71"/>
    <w:semiHidden/>
    <w:unhideWhenUsed/>
    <w:rsid w:val="00C10A5B"/>
    <w:pPr>
      <w:spacing w:after="0" w:line="240" w:lineRule="auto"/>
    </w:pPr>
    <w:rPr>
      <w:color w:val="000000" w:themeColor="text1"/>
    </w:rPr>
    <w:tblPr>
      <w:tblStyleRowBandSize w:val="1"/>
      <w:tblStyleColBandSize w:val="1"/>
      <w:tblBorders>
        <w:top w:val="single" w:sz="24" w:space="0" w:color="A5A5A5" w:themeColor="accent3"/>
        <w:left w:val="single" w:sz="4" w:space="0" w:color="FFC000" w:themeColor="accent4"/>
        <w:bottom w:val="single" w:sz="4" w:space="0" w:color="FFC000" w:themeColor="accent4"/>
        <w:right w:val="single" w:sz="4" w:space="0" w:color="FFC000" w:themeColor="accent4"/>
        <w:insideH w:val="single" w:sz="4" w:space="0" w:color="FFFFFF" w:themeColor="background1"/>
        <w:insideV w:val="single" w:sz="4" w:space="0" w:color="FFFFFF" w:themeColor="background1"/>
      </w:tblBorders>
    </w:tblPr>
    <w:tcPr>
      <w:shd w:val="clear" w:color="auto" w:fill="FFF8E6" w:themeFill="accent4" w:themeFillTint="19"/>
    </w:tcPr>
    <w:tblStylePr w:type="firstRow">
      <w:rPr>
        <w:b/>
        <w:bCs/>
      </w:rPr>
      <w:tblPr/>
      <w:tcPr>
        <w:tcBorders>
          <w:top w:val="nil"/>
          <w:left w:val="nil"/>
          <w:bottom w:val="single" w:sz="24" w:space="0" w:color="A5A5A5"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997300" w:themeFill="accent4" w:themeFillShade="99"/>
      </w:tcPr>
    </w:tblStylePr>
    <w:tblStylePr w:type="firstCol">
      <w:rPr>
        <w:color w:val="FFFFFF" w:themeColor="background1"/>
      </w:rPr>
      <w:tblPr/>
      <w:tcPr>
        <w:tcBorders>
          <w:top w:val="nil"/>
          <w:left w:val="nil"/>
          <w:bottom w:val="nil"/>
          <w:right w:val="nil"/>
          <w:insideH w:val="single" w:sz="4" w:space="0" w:color="997300" w:themeColor="accent4" w:themeShade="99"/>
          <w:insideV w:val="nil"/>
        </w:tcBorders>
        <w:shd w:val="clear" w:color="auto" w:fill="997300"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997300" w:themeFill="accent4" w:themeFillShade="99"/>
      </w:tcPr>
    </w:tblStylePr>
    <w:tblStylePr w:type="band1Vert">
      <w:tblPr/>
      <w:tcPr>
        <w:shd w:val="clear" w:color="auto" w:fill="FFE599" w:themeFill="accent4" w:themeFillTint="66"/>
      </w:tcPr>
    </w:tblStylePr>
    <w:tblStylePr w:type="band1Horz">
      <w:tblPr/>
      <w:tcPr>
        <w:shd w:val="clear" w:color="auto" w:fill="FFDF8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semiHidden/>
    <w:unhideWhenUsed/>
    <w:rsid w:val="00C10A5B"/>
    <w:pPr>
      <w:spacing w:after="0" w:line="240" w:lineRule="auto"/>
    </w:pPr>
    <w:rPr>
      <w:color w:val="000000" w:themeColor="text1"/>
    </w:rPr>
    <w:tblPr>
      <w:tblStyleRowBandSize w:val="1"/>
      <w:tblStyleColBandSize w:val="1"/>
      <w:tblBorders>
        <w:top w:val="single" w:sz="24" w:space="0" w:color="70AD47" w:themeColor="accent6"/>
        <w:left w:val="single" w:sz="4" w:space="0" w:color="5B9BD5" w:themeColor="accent5"/>
        <w:bottom w:val="single" w:sz="4" w:space="0" w:color="5B9BD5" w:themeColor="accent5"/>
        <w:right w:val="single" w:sz="4" w:space="0" w:color="5B9BD5" w:themeColor="accent5"/>
        <w:insideH w:val="single" w:sz="4" w:space="0" w:color="FFFFFF" w:themeColor="background1"/>
        <w:insideV w:val="single" w:sz="4" w:space="0" w:color="FFFFFF" w:themeColor="background1"/>
      </w:tblBorders>
    </w:tblPr>
    <w:tcPr>
      <w:shd w:val="clear" w:color="auto" w:fill="EEF5FB" w:themeFill="accent5" w:themeFillTint="19"/>
    </w:tcPr>
    <w:tblStylePr w:type="firstRow">
      <w:rPr>
        <w:b/>
        <w:bCs/>
      </w:rPr>
      <w:tblPr/>
      <w:tcPr>
        <w:tcBorders>
          <w:top w:val="nil"/>
          <w:left w:val="nil"/>
          <w:bottom w:val="single" w:sz="24" w:space="0" w:color="70AD47"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55D91" w:themeFill="accent5" w:themeFillShade="99"/>
      </w:tcPr>
    </w:tblStylePr>
    <w:tblStylePr w:type="firstCol">
      <w:rPr>
        <w:color w:val="FFFFFF" w:themeColor="background1"/>
      </w:rPr>
      <w:tblPr/>
      <w:tcPr>
        <w:tcBorders>
          <w:top w:val="nil"/>
          <w:left w:val="nil"/>
          <w:bottom w:val="nil"/>
          <w:right w:val="nil"/>
          <w:insideH w:val="single" w:sz="4" w:space="0" w:color="255D91" w:themeColor="accent5" w:themeShade="99"/>
          <w:insideV w:val="nil"/>
        </w:tcBorders>
        <w:shd w:val="clear" w:color="auto" w:fill="255D91"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55D91" w:themeFill="accent5" w:themeFillShade="99"/>
      </w:tcPr>
    </w:tblStylePr>
    <w:tblStylePr w:type="band1Vert">
      <w:tblPr/>
      <w:tcPr>
        <w:shd w:val="clear" w:color="auto" w:fill="BDD6EE" w:themeFill="accent5" w:themeFillTint="66"/>
      </w:tcPr>
    </w:tblStylePr>
    <w:tblStylePr w:type="band1Horz">
      <w:tblPr/>
      <w:tcPr>
        <w:shd w:val="clear" w:color="auto" w:fill="ADCCEA"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semiHidden/>
    <w:unhideWhenUsed/>
    <w:rsid w:val="00C10A5B"/>
    <w:pPr>
      <w:spacing w:after="0" w:line="240" w:lineRule="auto"/>
    </w:pPr>
    <w:rPr>
      <w:color w:val="000000" w:themeColor="text1"/>
    </w:rPr>
    <w:tblPr>
      <w:tblStyleRowBandSize w:val="1"/>
      <w:tblStyleColBandSize w:val="1"/>
      <w:tblBorders>
        <w:top w:val="single" w:sz="24" w:space="0" w:color="5B9BD5" w:themeColor="accent5"/>
        <w:left w:val="single" w:sz="4" w:space="0" w:color="70AD47" w:themeColor="accent6"/>
        <w:bottom w:val="single" w:sz="4" w:space="0" w:color="70AD47" w:themeColor="accent6"/>
        <w:right w:val="single" w:sz="4" w:space="0" w:color="70AD47" w:themeColor="accent6"/>
        <w:insideH w:val="single" w:sz="4" w:space="0" w:color="FFFFFF" w:themeColor="background1"/>
        <w:insideV w:val="single" w:sz="4" w:space="0" w:color="FFFFFF" w:themeColor="background1"/>
      </w:tblBorders>
    </w:tblPr>
    <w:tcPr>
      <w:shd w:val="clear" w:color="auto" w:fill="F0F7EC" w:themeFill="accent6" w:themeFillTint="19"/>
    </w:tcPr>
    <w:tblStylePr w:type="firstRow">
      <w:rPr>
        <w:b/>
        <w:bCs/>
      </w:rPr>
      <w:tblPr/>
      <w:tcPr>
        <w:tcBorders>
          <w:top w:val="nil"/>
          <w:left w:val="nil"/>
          <w:bottom w:val="single" w:sz="24" w:space="0" w:color="5B9BD5"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3672A" w:themeFill="accent6" w:themeFillShade="99"/>
      </w:tcPr>
    </w:tblStylePr>
    <w:tblStylePr w:type="firstCol">
      <w:rPr>
        <w:color w:val="FFFFFF" w:themeColor="background1"/>
      </w:rPr>
      <w:tblPr/>
      <w:tcPr>
        <w:tcBorders>
          <w:top w:val="nil"/>
          <w:left w:val="nil"/>
          <w:bottom w:val="nil"/>
          <w:right w:val="nil"/>
          <w:insideH w:val="single" w:sz="4" w:space="0" w:color="43672A" w:themeColor="accent6" w:themeShade="99"/>
          <w:insideV w:val="nil"/>
        </w:tcBorders>
        <w:shd w:val="clear" w:color="auto" w:fill="43672A"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43672A" w:themeFill="accent6" w:themeFillShade="99"/>
      </w:tcPr>
    </w:tblStylePr>
    <w:tblStylePr w:type="band1Vert">
      <w:tblPr/>
      <w:tcPr>
        <w:shd w:val="clear" w:color="auto" w:fill="C5E0B3" w:themeFill="accent6" w:themeFillTint="66"/>
      </w:tcPr>
    </w:tblStylePr>
    <w:tblStylePr w:type="band1Horz">
      <w:tblPr/>
      <w:tcPr>
        <w:shd w:val="clear" w:color="auto" w:fill="B7D8A0" w:themeFill="accent6" w:themeFillTint="7F"/>
      </w:tcPr>
    </w:tblStylePr>
    <w:tblStylePr w:type="neCell">
      <w:rPr>
        <w:color w:val="000000" w:themeColor="text1"/>
      </w:rPr>
    </w:tblStylePr>
    <w:tblStylePr w:type="nwCell">
      <w:rPr>
        <w:color w:val="000000" w:themeColor="text1"/>
      </w:rPr>
    </w:tblStylePr>
  </w:style>
  <w:style w:type="table" w:styleId="DarkList">
    <w:name w:val="Dark List"/>
    <w:basedOn w:val="TableNormal"/>
    <w:uiPriority w:val="70"/>
    <w:semiHidden/>
    <w:unhideWhenUsed/>
    <w:rsid w:val="00C10A5B"/>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semiHidden/>
    <w:unhideWhenUsed/>
    <w:rsid w:val="00C10A5B"/>
    <w:pPr>
      <w:spacing w:after="0" w:line="240" w:lineRule="auto"/>
    </w:pPr>
    <w:rPr>
      <w:color w:val="FFFFFF" w:themeColor="background1"/>
    </w:rPr>
    <w:tblPr>
      <w:tblStyleRowBandSize w:val="1"/>
      <w:tblStyleColBandSize w:val="1"/>
    </w:tblPr>
    <w:tcPr>
      <w:shd w:val="clear" w:color="auto" w:fill="4472C4"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1F3763"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2F5496"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2F5496" w:themeFill="accent1" w:themeFillShade="BF"/>
      </w:tcPr>
    </w:tblStylePr>
    <w:tblStylePr w:type="band1Vert">
      <w:tblPr/>
      <w:tcPr>
        <w:tcBorders>
          <w:top w:val="nil"/>
          <w:left w:val="nil"/>
          <w:bottom w:val="nil"/>
          <w:right w:val="nil"/>
          <w:insideH w:val="nil"/>
          <w:insideV w:val="nil"/>
        </w:tcBorders>
        <w:shd w:val="clear" w:color="auto" w:fill="2F5496" w:themeFill="accent1" w:themeFillShade="BF"/>
      </w:tcPr>
    </w:tblStylePr>
    <w:tblStylePr w:type="band1Horz">
      <w:tblPr/>
      <w:tcPr>
        <w:tcBorders>
          <w:top w:val="nil"/>
          <w:left w:val="nil"/>
          <w:bottom w:val="nil"/>
          <w:right w:val="nil"/>
          <w:insideH w:val="nil"/>
          <w:insideV w:val="nil"/>
        </w:tcBorders>
        <w:shd w:val="clear" w:color="auto" w:fill="2F5496" w:themeFill="accent1" w:themeFillShade="BF"/>
      </w:tcPr>
    </w:tblStylePr>
  </w:style>
  <w:style w:type="table" w:styleId="DarkList-Accent2">
    <w:name w:val="Dark List Accent 2"/>
    <w:basedOn w:val="TableNormal"/>
    <w:uiPriority w:val="70"/>
    <w:semiHidden/>
    <w:unhideWhenUsed/>
    <w:rsid w:val="00C10A5B"/>
    <w:pPr>
      <w:spacing w:after="0" w:line="240" w:lineRule="auto"/>
    </w:pPr>
    <w:rPr>
      <w:color w:val="FFFFFF" w:themeColor="background1"/>
    </w:rPr>
    <w:tblPr>
      <w:tblStyleRowBandSize w:val="1"/>
      <w:tblStyleColBandSize w:val="1"/>
    </w:tblPr>
    <w:tcPr>
      <w:shd w:val="clear" w:color="auto" w:fill="ED7D31"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823B0B"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C45911"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C45911" w:themeFill="accent2" w:themeFillShade="BF"/>
      </w:tcPr>
    </w:tblStylePr>
    <w:tblStylePr w:type="band1Vert">
      <w:tblPr/>
      <w:tcPr>
        <w:tcBorders>
          <w:top w:val="nil"/>
          <w:left w:val="nil"/>
          <w:bottom w:val="nil"/>
          <w:right w:val="nil"/>
          <w:insideH w:val="nil"/>
          <w:insideV w:val="nil"/>
        </w:tcBorders>
        <w:shd w:val="clear" w:color="auto" w:fill="C45911" w:themeFill="accent2" w:themeFillShade="BF"/>
      </w:tcPr>
    </w:tblStylePr>
    <w:tblStylePr w:type="band1Horz">
      <w:tblPr/>
      <w:tcPr>
        <w:tcBorders>
          <w:top w:val="nil"/>
          <w:left w:val="nil"/>
          <w:bottom w:val="nil"/>
          <w:right w:val="nil"/>
          <w:insideH w:val="nil"/>
          <w:insideV w:val="nil"/>
        </w:tcBorders>
        <w:shd w:val="clear" w:color="auto" w:fill="C45911" w:themeFill="accent2" w:themeFillShade="BF"/>
      </w:tcPr>
    </w:tblStylePr>
  </w:style>
  <w:style w:type="table" w:styleId="DarkList-Accent3">
    <w:name w:val="Dark List Accent 3"/>
    <w:basedOn w:val="TableNormal"/>
    <w:uiPriority w:val="70"/>
    <w:semiHidden/>
    <w:unhideWhenUsed/>
    <w:rsid w:val="00C10A5B"/>
    <w:pPr>
      <w:spacing w:after="0" w:line="240" w:lineRule="auto"/>
    </w:pPr>
    <w:rPr>
      <w:color w:val="FFFFFF" w:themeColor="background1"/>
    </w:rPr>
    <w:tblPr>
      <w:tblStyleRowBandSize w:val="1"/>
      <w:tblStyleColBandSize w:val="1"/>
    </w:tblPr>
    <w:tcPr>
      <w:shd w:val="clear" w:color="auto" w:fill="A5A5A5"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525252"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B7B7B"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B7B7B" w:themeFill="accent3" w:themeFillShade="BF"/>
      </w:tcPr>
    </w:tblStylePr>
    <w:tblStylePr w:type="band1Vert">
      <w:tblPr/>
      <w:tcPr>
        <w:tcBorders>
          <w:top w:val="nil"/>
          <w:left w:val="nil"/>
          <w:bottom w:val="nil"/>
          <w:right w:val="nil"/>
          <w:insideH w:val="nil"/>
          <w:insideV w:val="nil"/>
        </w:tcBorders>
        <w:shd w:val="clear" w:color="auto" w:fill="7B7B7B" w:themeFill="accent3" w:themeFillShade="BF"/>
      </w:tcPr>
    </w:tblStylePr>
    <w:tblStylePr w:type="band1Horz">
      <w:tblPr/>
      <w:tcPr>
        <w:tcBorders>
          <w:top w:val="nil"/>
          <w:left w:val="nil"/>
          <w:bottom w:val="nil"/>
          <w:right w:val="nil"/>
          <w:insideH w:val="nil"/>
          <w:insideV w:val="nil"/>
        </w:tcBorders>
        <w:shd w:val="clear" w:color="auto" w:fill="7B7B7B" w:themeFill="accent3" w:themeFillShade="BF"/>
      </w:tcPr>
    </w:tblStylePr>
  </w:style>
  <w:style w:type="table" w:styleId="DarkList-Accent4">
    <w:name w:val="Dark List Accent 4"/>
    <w:basedOn w:val="TableNormal"/>
    <w:uiPriority w:val="70"/>
    <w:semiHidden/>
    <w:unhideWhenUsed/>
    <w:rsid w:val="00C10A5B"/>
    <w:pPr>
      <w:spacing w:after="0" w:line="240" w:lineRule="auto"/>
    </w:pPr>
    <w:rPr>
      <w:color w:val="FFFFFF" w:themeColor="background1"/>
    </w:rPr>
    <w:tblPr>
      <w:tblStyleRowBandSize w:val="1"/>
      <w:tblStyleColBandSize w:val="1"/>
    </w:tblPr>
    <w:tcPr>
      <w:shd w:val="clear" w:color="auto" w:fill="FFC000"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7F5F00"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BF8F00"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BF8F00" w:themeFill="accent4" w:themeFillShade="BF"/>
      </w:tcPr>
    </w:tblStylePr>
    <w:tblStylePr w:type="band1Vert">
      <w:tblPr/>
      <w:tcPr>
        <w:tcBorders>
          <w:top w:val="nil"/>
          <w:left w:val="nil"/>
          <w:bottom w:val="nil"/>
          <w:right w:val="nil"/>
          <w:insideH w:val="nil"/>
          <w:insideV w:val="nil"/>
        </w:tcBorders>
        <w:shd w:val="clear" w:color="auto" w:fill="BF8F00" w:themeFill="accent4" w:themeFillShade="BF"/>
      </w:tcPr>
    </w:tblStylePr>
    <w:tblStylePr w:type="band1Horz">
      <w:tblPr/>
      <w:tcPr>
        <w:tcBorders>
          <w:top w:val="nil"/>
          <w:left w:val="nil"/>
          <w:bottom w:val="nil"/>
          <w:right w:val="nil"/>
          <w:insideH w:val="nil"/>
          <w:insideV w:val="nil"/>
        </w:tcBorders>
        <w:shd w:val="clear" w:color="auto" w:fill="BF8F00" w:themeFill="accent4" w:themeFillShade="BF"/>
      </w:tcPr>
    </w:tblStylePr>
  </w:style>
  <w:style w:type="table" w:styleId="DarkList-Accent5">
    <w:name w:val="Dark List Accent 5"/>
    <w:basedOn w:val="TableNormal"/>
    <w:uiPriority w:val="70"/>
    <w:semiHidden/>
    <w:unhideWhenUsed/>
    <w:rsid w:val="00C10A5B"/>
    <w:pPr>
      <w:spacing w:after="0" w:line="240" w:lineRule="auto"/>
    </w:pPr>
    <w:rPr>
      <w:color w:val="FFFFFF" w:themeColor="background1"/>
    </w:rPr>
    <w:tblPr>
      <w:tblStyleRowBandSize w:val="1"/>
      <w:tblStyleColBandSize w:val="1"/>
    </w:tblPr>
    <w:tcPr>
      <w:shd w:val="clear" w:color="auto" w:fill="5B9BD5"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1F4D78"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2E74B5"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2E74B5" w:themeFill="accent5" w:themeFillShade="BF"/>
      </w:tcPr>
    </w:tblStylePr>
    <w:tblStylePr w:type="band1Vert">
      <w:tblPr/>
      <w:tcPr>
        <w:tcBorders>
          <w:top w:val="nil"/>
          <w:left w:val="nil"/>
          <w:bottom w:val="nil"/>
          <w:right w:val="nil"/>
          <w:insideH w:val="nil"/>
          <w:insideV w:val="nil"/>
        </w:tcBorders>
        <w:shd w:val="clear" w:color="auto" w:fill="2E74B5" w:themeFill="accent5" w:themeFillShade="BF"/>
      </w:tcPr>
    </w:tblStylePr>
    <w:tblStylePr w:type="band1Horz">
      <w:tblPr/>
      <w:tcPr>
        <w:tcBorders>
          <w:top w:val="nil"/>
          <w:left w:val="nil"/>
          <w:bottom w:val="nil"/>
          <w:right w:val="nil"/>
          <w:insideH w:val="nil"/>
          <w:insideV w:val="nil"/>
        </w:tcBorders>
        <w:shd w:val="clear" w:color="auto" w:fill="2E74B5" w:themeFill="accent5" w:themeFillShade="BF"/>
      </w:tcPr>
    </w:tblStylePr>
  </w:style>
  <w:style w:type="table" w:styleId="DarkList-Accent6">
    <w:name w:val="Dark List Accent 6"/>
    <w:basedOn w:val="TableNormal"/>
    <w:uiPriority w:val="70"/>
    <w:semiHidden/>
    <w:unhideWhenUsed/>
    <w:rsid w:val="00C10A5B"/>
    <w:pPr>
      <w:spacing w:after="0" w:line="240" w:lineRule="auto"/>
    </w:pPr>
    <w:rPr>
      <w:color w:val="FFFFFF" w:themeColor="background1"/>
    </w:rPr>
    <w:tblPr>
      <w:tblStyleRowBandSize w:val="1"/>
      <w:tblStyleColBandSize w:val="1"/>
    </w:tblPr>
    <w:tcPr>
      <w:shd w:val="clear" w:color="auto" w:fill="70AD47"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75623"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538135"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538135" w:themeFill="accent6" w:themeFillShade="BF"/>
      </w:tcPr>
    </w:tblStylePr>
    <w:tblStylePr w:type="band1Vert">
      <w:tblPr/>
      <w:tcPr>
        <w:tcBorders>
          <w:top w:val="nil"/>
          <w:left w:val="nil"/>
          <w:bottom w:val="nil"/>
          <w:right w:val="nil"/>
          <w:insideH w:val="nil"/>
          <w:insideV w:val="nil"/>
        </w:tcBorders>
        <w:shd w:val="clear" w:color="auto" w:fill="538135" w:themeFill="accent6" w:themeFillShade="BF"/>
      </w:tcPr>
    </w:tblStylePr>
    <w:tblStylePr w:type="band1Horz">
      <w:tblPr/>
      <w:tcPr>
        <w:tcBorders>
          <w:top w:val="nil"/>
          <w:left w:val="nil"/>
          <w:bottom w:val="nil"/>
          <w:right w:val="nil"/>
          <w:insideH w:val="nil"/>
          <w:insideV w:val="nil"/>
        </w:tcBorders>
        <w:shd w:val="clear" w:color="auto" w:fill="538135" w:themeFill="accent6" w:themeFillShade="BF"/>
      </w:tcPr>
    </w:tblStylePr>
  </w:style>
  <w:style w:type="paragraph" w:styleId="Date">
    <w:name w:val="Date"/>
    <w:basedOn w:val="Normal"/>
    <w:next w:val="Normal"/>
    <w:link w:val="DateChar"/>
    <w:uiPriority w:val="99"/>
    <w:semiHidden/>
    <w:unhideWhenUsed/>
    <w:rsid w:val="00C10A5B"/>
  </w:style>
  <w:style w:type="character" w:customStyle="1" w:styleId="DateChar">
    <w:name w:val="Date Char"/>
    <w:basedOn w:val="DefaultParagraphFont"/>
    <w:link w:val="Date"/>
    <w:uiPriority w:val="99"/>
    <w:semiHidden/>
    <w:rsid w:val="00C10A5B"/>
    <w:rPr>
      <w:rFonts w:ascii="Times New Roman" w:eastAsia="SimSun" w:hAnsi="Times New Roman" w:cs="Times New Roman"/>
      <w:kern w:val="0"/>
      <w:lang w:val="en-GB"/>
      <w14:ligatures w14:val="none"/>
    </w:rPr>
  </w:style>
  <w:style w:type="paragraph" w:styleId="DocumentMap">
    <w:name w:val="Document Map"/>
    <w:basedOn w:val="Normal"/>
    <w:link w:val="DocumentMapChar"/>
    <w:uiPriority w:val="99"/>
    <w:semiHidden/>
    <w:unhideWhenUsed/>
    <w:rsid w:val="00C10A5B"/>
    <w:rPr>
      <w:rFonts w:ascii="Segoe UI" w:hAnsi="Segoe UI" w:cs="Segoe UI"/>
      <w:sz w:val="16"/>
      <w:szCs w:val="16"/>
    </w:rPr>
  </w:style>
  <w:style w:type="character" w:customStyle="1" w:styleId="DocumentMapChar">
    <w:name w:val="Document Map Char"/>
    <w:basedOn w:val="DefaultParagraphFont"/>
    <w:link w:val="DocumentMap"/>
    <w:uiPriority w:val="99"/>
    <w:semiHidden/>
    <w:rsid w:val="00C10A5B"/>
    <w:rPr>
      <w:rFonts w:ascii="Segoe UI" w:eastAsia="SimSun" w:hAnsi="Segoe UI" w:cs="Segoe UI"/>
      <w:kern w:val="0"/>
      <w:sz w:val="16"/>
      <w:szCs w:val="16"/>
      <w:lang w:val="en-GB"/>
      <w14:ligatures w14:val="none"/>
    </w:rPr>
  </w:style>
  <w:style w:type="paragraph" w:styleId="E-mailSignature">
    <w:name w:val="E-mail Signature"/>
    <w:basedOn w:val="Normal"/>
    <w:link w:val="E-mailSignatureChar"/>
    <w:uiPriority w:val="99"/>
    <w:semiHidden/>
    <w:unhideWhenUsed/>
    <w:rsid w:val="00C10A5B"/>
  </w:style>
  <w:style w:type="character" w:customStyle="1" w:styleId="E-mailSignatureChar">
    <w:name w:val="E-mail Signature Char"/>
    <w:basedOn w:val="DefaultParagraphFont"/>
    <w:link w:val="E-mailSignature"/>
    <w:uiPriority w:val="99"/>
    <w:semiHidden/>
    <w:rsid w:val="00C10A5B"/>
    <w:rPr>
      <w:rFonts w:ascii="Times New Roman" w:eastAsia="SimSun" w:hAnsi="Times New Roman" w:cs="Times New Roman"/>
      <w:kern w:val="0"/>
      <w:lang w:val="en-GB"/>
      <w14:ligatures w14:val="none"/>
    </w:rPr>
  </w:style>
  <w:style w:type="character" w:styleId="Emphasis">
    <w:name w:val="Emphasis"/>
    <w:basedOn w:val="DefaultParagraphFont"/>
    <w:uiPriority w:val="20"/>
    <w:qFormat/>
    <w:rsid w:val="00C10A5B"/>
    <w:rPr>
      <w:i/>
      <w:iCs/>
      <w:lang w:val="en-GB"/>
    </w:rPr>
  </w:style>
  <w:style w:type="character" w:styleId="EndnoteReference">
    <w:name w:val="endnote reference"/>
    <w:basedOn w:val="DefaultParagraphFont"/>
    <w:uiPriority w:val="99"/>
    <w:semiHidden/>
    <w:unhideWhenUsed/>
    <w:rsid w:val="00C10A5B"/>
    <w:rPr>
      <w:vertAlign w:val="superscript"/>
      <w:lang w:val="en-GB"/>
    </w:rPr>
  </w:style>
  <w:style w:type="paragraph" w:styleId="EndnoteText">
    <w:name w:val="endnote text"/>
    <w:basedOn w:val="Normal"/>
    <w:link w:val="EndnoteTextChar"/>
    <w:uiPriority w:val="99"/>
    <w:semiHidden/>
    <w:unhideWhenUsed/>
    <w:rsid w:val="00C10A5B"/>
    <w:rPr>
      <w:sz w:val="20"/>
      <w:szCs w:val="20"/>
    </w:rPr>
  </w:style>
  <w:style w:type="character" w:customStyle="1" w:styleId="EndnoteTextChar">
    <w:name w:val="Endnote Text Char"/>
    <w:basedOn w:val="DefaultParagraphFont"/>
    <w:link w:val="EndnoteText"/>
    <w:uiPriority w:val="99"/>
    <w:semiHidden/>
    <w:rsid w:val="00C10A5B"/>
    <w:rPr>
      <w:rFonts w:ascii="Times New Roman" w:eastAsia="SimSun" w:hAnsi="Times New Roman" w:cs="Times New Roman"/>
      <w:kern w:val="0"/>
      <w:sz w:val="20"/>
      <w:szCs w:val="20"/>
      <w:lang w:val="en-GB"/>
      <w14:ligatures w14:val="none"/>
    </w:rPr>
  </w:style>
  <w:style w:type="paragraph" w:styleId="EnvelopeAddress">
    <w:name w:val="envelope address"/>
    <w:basedOn w:val="Normal"/>
    <w:uiPriority w:val="99"/>
    <w:semiHidden/>
    <w:unhideWhenUsed/>
    <w:rsid w:val="00C10A5B"/>
    <w:pPr>
      <w:framePr w:w="7920" w:h="1980" w:hRule="exact" w:hSpace="180" w:wrap="auto" w:hAnchor="page" w:xAlign="center" w:yAlign="bottom"/>
      <w:ind w:left="2880"/>
    </w:pPr>
    <w:rPr>
      <w:rFonts w:asciiTheme="majorHAnsi" w:eastAsiaTheme="majorEastAsia" w:hAnsiTheme="majorHAnsi" w:cstheme="majorBidi"/>
      <w:sz w:val="24"/>
      <w:szCs w:val="24"/>
    </w:rPr>
  </w:style>
  <w:style w:type="paragraph" w:styleId="EnvelopeReturn">
    <w:name w:val="envelope return"/>
    <w:basedOn w:val="Normal"/>
    <w:uiPriority w:val="99"/>
    <w:semiHidden/>
    <w:unhideWhenUsed/>
    <w:rsid w:val="00C10A5B"/>
    <w:rPr>
      <w:rFonts w:asciiTheme="majorHAnsi" w:eastAsiaTheme="majorEastAsia" w:hAnsiTheme="majorHAnsi" w:cstheme="majorBidi"/>
      <w:sz w:val="20"/>
      <w:szCs w:val="20"/>
    </w:rPr>
  </w:style>
  <w:style w:type="table" w:styleId="GridTable1Light">
    <w:name w:val="Grid Table 1 Light"/>
    <w:basedOn w:val="TableNormal"/>
    <w:uiPriority w:val="46"/>
    <w:rsid w:val="00C10A5B"/>
    <w:pPr>
      <w:spacing w:after="0" w:line="240" w:lineRule="auto"/>
    </w:pPr>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styleId="GridTable1Light-Accent1">
    <w:name w:val="Grid Table 1 Light Accent 1"/>
    <w:basedOn w:val="TableNormal"/>
    <w:uiPriority w:val="46"/>
    <w:rsid w:val="00C10A5B"/>
    <w:pPr>
      <w:spacing w:after="0" w:line="240" w:lineRule="auto"/>
    </w:pPr>
    <w:tblPr>
      <w:tblStyleRowBandSize w:val="1"/>
      <w:tblStyleColBandSize w:val="1"/>
      <w:tblBorders>
        <w:top w:val="single" w:sz="4" w:space="0" w:color="B4C6E7" w:themeColor="accent1" w:themeTint="66"/>
        <w:left w:val="single" w:sz="4" w:space="0" w:color="B4C6E7" w:themeColor="accent1" w:themeTint="66"/>
        <w:bottom w:val="single" w:sz="4" w:space="0" w:color="B4C6E7" w:themeColor="accent1" w:themeTint="66"/>
        <w:right w:val="single" w:sz="4" w:space="0" w:color="B4C6E7" w:themeColor="accent1" w:themeTint="66"/>
        <w:insideH w:val="single" w:sz="4" w:space="0" w:color="B4C6E7" w:themeColor="accent1" w:themeTint="66"/>
        <w:insideV w:val="single" w:sz="4" w:space="0" w:color="B4C6E7" w:themeColor="accent1" w:themeTint="66"/>
      </w:tblBorders>
    </w:tblPr>
    <w:tblStylePr w:type="firstRow">
      <w:rPr>
        <w:b/>
        <w:bCs/>
      </w:rPr>
      <w:tblPr/>
      <w:tcPr>
        <w:tcBorders>
          <w:bottom w:val="single" w:sz="12" w:space="0" w:color="8EAADB" w:themeColor="accent1" w:themeTint="99"/>
        </w:tcBorders>
      </w:tcPr>
    </w:tblStylePr>
    <w:tblStylePr w:type="lastRow">
      <w:rPr>
        <w:b/>
        <w:bCs/>
      </w:rPr>
      <w:tblPr/>
      <w:tcPr>
        <w:tcBorders>
          <w:top w:val="double" w:sz="2" w:space="0" w:color="8EAADB" w:themeColor="accent1" w:themeTint="99"/>
        </w:tcBorders>
      </w:tcPr>
    </w:tblStylePr>
    <w:tblStylePr w:type="firstCol">
      <w:rPr>
        <w:b/>
        <w:bCs/>
      </w:rPr>
    </w:tblStylePr>
    <w:tblStylePr w:type="lastCol">
      <w:rPr>
        <w:b/>
        <w:bCs/>
      </w:rPr>
    </w:tblStylePr>
  </w:style>
  <w:style w:type="table" w:styleId="GridTable1Light-Accent2">
    <w:name w:val="Grid Table 1 Light Accent 2"/>
    <w:basedOn w:val="TableNormal"/>
    <w:uiPriority w:val="46"/>
    <w:rsid w:val="00C10A5B"/>
    <w:pPr>
      <w:spacing w:after="0" w:line="240" w:lineRule="auto"/>
    </w:pPr>
    <w:tblPr>
      <w:tblStyleRowBandSize w:val="1"/>
      <w:tblStyleColBandSize w:val="1"/>
      <w:tblBorders>
        <w:top w:val="single" w:sz="4" w:space="0" w:color="F7CAAC" w:themeColor="accent2" w:themeTint="66"/>
        <w:left w:val="single" w:sz="4" w:space="0" w:color="F7CAAC" w:themeColor="accent2" w:themeTint="66"/>
        <w:bottom w:val="single" w:sz="4" w:space="0" w:color="F7CAAC" w:themeColor="accent2" w:themeTint="66"/>
        <w:right w:val="single" w:sz="4" w:space="0" w:color="F7CAAC" w:themeColor="accent2" w:themeTint="66"/>
        <w:insideH w:val="single" w:sz="4" w:space="0" w:color="F7CAAC" w:themeColor="accent2" w:themeTint="66"/>
        <w:insideV w:val="single" w:sz="4" w:space="0" w:color="F7CAAC" w:themeColor="accent2" w:themeTint="66"/>
      </w:tblBorders>
    </w:tblPr>
    <w:tblStylePr w:type="firstRow">
      <w:rPr>
        <w:b/>
        <w:bCs/>
      </w:rPr>
      <w:tblPr/>
      <w:tcPr>
        <w:tcBorders>
          <w:bottom w:val="single" w:sz="12" w:space="0" w:color="F4B083" w:themeColor="accent2" w:themeTint="99"/>
        </w:tcBorders>
      </w:tcPr>
    </w:tblStylePr>
    <w:tblStylePr w:type="lastRow">
      <w:rPr>
        <w:b/>
        <w:bCs/>
      </w:rPr>
      <w:tblPr/>
      <w:tcPr>
        <w:tcBorders>
          <w:top w:val="double" w:sz="2" w:space="0" w:color="F4B083" w:themeColor="accent2" w:themeTint="99"/>
        </w:tcBorders>
      </w:tcPr>
    </w:tblStylePr>
    <w:tblStylePr w:type="firstCol">
      <w:rPr>
        <w:b/>
        <w:bCs/>
      </w:rPr>
    </w:tblStylePr>
    <w:tblStylePr w:type="lastCol">
      <w:rPr>
        <w:b/>
        <w:bCs/>
      </w:rPr>
    </w:tblStylePr>
  </w:style>
  <w:style w:type="table" w:styleId="GridTable1Light-Accent3">
    <w:name w:val="Grid Table 1 Light Accent 3"/>
    <w:basedOn w:val="TableNormal"/>
    <w:uiPriority w:val="46"/>
    <w:rsid w:val="00C10A5B"/>
    <w:pPr>
      <w:spacing w:after="0" w:line="240" w:lineRule="auto"/>
    </w:pPr>
    <w:tblPr>
      <w:tblStyleRowBandSize w:val="1"/>
      <w:tblStyleColBandSize w:val="1"/>
      <w:tblBorders>
        <w:top w:val="single" w:sz="4" w:space="0" w:color="DBDBDB" w:themeColor="accent3" w:themeTint="66"/>
        <w:left w:val="single" w:sz="4" w:space="0" w:color="DBDBDB" w:themeColor="accent3" w:themeTint="66"/>
        <w:bottom w:val="single" w:sz="4" w:space="0" w:color="DBDBDB" w:themeColor="accent3" w:themeTint="66"/>
        <w:right w:val="single" w:sz="4" w:space="0" w:color="DBDBDB" w:themeColor="accent3" w:themeTint="66"/>
        <w:insideH w:val="single" w:sz="4" w:space="0" w:color="DBDBDB" w:themeColor="accent3" w:themeTint="66"/>
        <w:insideV w:val="single" w:sz="4" w:space="0" w:color="DBDBDB" w:themeColor="accent3" w:themeTint="66"/>
      </w:tblBorders>
    </w:tblPr>
    <w:tblStylePr w:type="firstRow">
      <w:rPr>
        <w:b/>
        <w:bCs/>
      </w:rPr>
      <w:tblPr/>
      <w:tcPr>
        <w:tcBorders>
          <w:bottom w:val="single" w:sz="12" w:space="0" w:color="C9C9C9" w:themeColor="accent3" w:themeTint="99"/>
        </w:tcBorders>
      </w:tcPr>
    </w:tblStylePr>
    <w:tblStylePr w:type="lastRow">
      <w:rPr>
        <w:b/>
        <w:bCs/>
      </w:rPr>
      <w:tblPr/>
      <w:tcPr>
        <w:tcBorders>
          <w:top w:val="double" w:sz="2" w:space="0" w:color="C9C9C9" w:themeColor="accent3" w:themeTint="99"/>
        </w:tcBorders>
      </w:tcPr>
    </w:tblStylePr>
    <w:tblStylePr w:type="firstCol">
      <w:rPr>
        <w:b/>
        <w:bCs/>
      </w:rPr>
    </w:tblStylePr>
    <w:tblStylePr w:type="lastCol">
      <w:rPr>
        <w:b/>
        <w:bCs/>
      </w:rPr>
    </w:tblStylePr>
  </w:style>
  <w:style w:type="table" w:styleId="GridTable1Light-Accent4">
    <w:name w:val="Grid Table 1 Light Accent 4"/>
    <w:basedOn w:val="TableNormal"/>
    <w:uiPriority w:val="46"/>
    <w:rsid w:val="00C10A5B"/>
    <w:pPr>
      <w:spacing w:after="0" w:line="240" w:lineRule="auto"/>
    </w:pPr>
    <w:tblPr>
      <w:tblStyleRowBandSize w:val="1"/>
      <w:tblStyleColBandSize w:val="1"/>
      <w:tblBorders>
        <w:top w:val="single" w:sz="4" w:space="0" w:color="FFE599" w:themeColor="accent4" w:themeTint="66"/>
        <w:left w:val="single" w:sz="4" w:space="0" w:color="FFE599" w:themeColor="accent4" w:themeTint="66"/>
        <w:bottom w:val="single" w:sz="4" w:space="0" w:color="FFE599" w:themeColor="accent4" w:themeTint="66"/>
        <w:right w:val="single" w:sz="4" w:space="0" w:color="FFE599" w:themeColor="accent4" w:themeTint="66"/>
        <w:insideH w:val="single" w:sz="4" w:space="0" w:color="FFE599" w:themeColor="accent4" w:themeTint="66"/>
        <w:insideV w:val="single" w:sz="4" w:space="0" w:color="FFE599" w:themeColor="accent4" w:themeTint="66"/>
      </w:tblBorders>
    </w:tblPr>
    <w:tblStylePr w:type="firstRow">
      <w:rPr>
        <w:b/>
        <w:bCs/>
      </w:rPr>
      <w:tblPr/>
      <w:tcPr>
        <w:tcBorders>
          <w:bottom w:val="single" w:sz="12" w:space="0" w:color="FFD966" w:themeColor="accent4" w:themeTint="99"/>
        </w:tcBorders>
      </w:tcPr>
    </w:tblStylePr>
    <w:tblStylePr w:type="lastRow">
      <w:rPr>
        <w:b/>
        <w:bCs/>
      </w:rPr>
      <w:tblPr/>
      <w:tcPr>
        <w:tcBorders>
          <w:top w:val="double" w:sz="2" w:space="0" w:color="FFD966" w:themeColor="accent4" w:themeTint="99"/>
        </w:tcBorders>
      </w:tcPr>
    </w:tblStylePr>
    <w:tblStylePr w:type="firstCol">
      <w:rPr>
        <w:b/>
        <w:bCs/>
      </w:rPr>
    </w:tblStylePr>
    <w:tblStylePr w:type="lastCol">
      <w:rPr>
        <w:b/>
        <w:bCs/>
      </w:rPr>
    </w:tblStylePr>
  </w:style>
  <w:style w:type="table" w:styleId="GridTable1Light-Accent5">
    <w:name w:val="Grid Table 1 Light Accent 5"/>
    <w:basedOn w:val="TableNormal"/>
    <w:uiPriority w:val="46"/>
    <w:rsid w:val="00C10A5B"/>
    <w:pPr>
      <w:spacing w:after="0" w:line="240" w:lineRule="auto"/>
    </w:pPr>
    <w:tblPr>
      <w:tblStyleRowBandSize w:val="1"/>
      <w:tblStyleColBandSize w:val="1"/>
      <w:tblBorders>
        <w:top w:val="single" w:sz="4" w:space="0" w:color="BDD6EE" w:themeColor="accent5" w:themeTint="66"/>
        <w:left w:val="single" w:sz="4" w:space="0" w:color="BDD6EE" w:themeColor="accent5" w:themeTint="66"/>
        <w:bottom w:val="single" w:sz="4" w:space="0" w:color="BDD6EE" w:themeColor="accent5" w:themeTint="66"/>
        <w:right w:val="single" w:sz="4" w:space="0" w:color="BDD6EE" w:themeColor="accent5" w:themeTint="66"/>
        <w:insideH w:val="single" w:sz="4" w:space="0" w:color="BDD6EE" w:themeColor="accent5" w:themeTint="66"/>
        <w:insideV w:val="single" w:sz="4" w:space="0" w:color="BDD6EE" w:themeColor="accent5" w:themeTint="66"/>
      </w:tblBorders>
    </w:tblPr>
    <w:tblStylePr w:type="firstRow">
      <w:rPr>
        <w:b/>
        <w:bCs/>
      </w:rPr>
      <w:tblPr/>
      <w:tcPr>
        <w:tcBorders>
          <w:bottom w:val="single" w:sz="12" w:space="0" w:color="9CC2E5" w:themeColor="accent5" w:themeTint="99"/>
        </w:tcBorders>
      </w:tcPr>
    </w:tblStylePr>
    <w:tblStylePr w:type="lastRow">
      <w:rPr>
        <w:b/>
        <w:bCs/>
      </w:rPr>
      <w:tblPr/>
      <w:tcPr>
        <w:tcBorders>
          <w:top w:val="double" w:sz="2" w:space="0" w:color="9CC2E5" w:themeColor="accent5" w:themeTint="99"/>
        </w:tcBorders>
      </w:tcPr>
    </w:tblStylePr>
    <w:tblStylePr w:type="firstCol">
      <w:rPr>
        <w:b/>
        <w:bCs/>
      </w:rPr>
    </w:tblStylePr>
    <w:tblStylePr w:type="lastCol">
      <w:rPr>
        <w:b/>
        <w:bCs/>
      </w:rPr>
    </w:tblStylePr>
  </w:style>
  <w:style w:type="table" w:styleId="GridTable1Light-Accent6">
    <w:name w:val="Grid Table 1 Light Accent 6"/>
    <w:basedOn w:val="TableNormal"/>
    <w:uiPriority w:val="46"/>
    <w:rsid w:val="00C10A5B"/>
    <w:pPr>
      <w:spacing w:after="0" w:line="240" w:lineRule="auto"/>
    </w:pPr>
    <w:tblPr>
      <w:tblStyleRowBandSize w:val="1"/>
      <w:tblStyleColBandSize w:val="1"/>
      <w:tblBorders>
        <w:top w:val="single" w:sz="4" w:space="0" w:color="C5E0B3" w:themeColor="accent6" w:themeTint="66"/>
        <w:left w:val="single" w:sz="4" w:space="0" w:color="C5E0B3" w:themeColor="accent6" w:themeTint="66"/>
        <w:bottom w:val="single" w:sz="4" w:space="0" w:color="C5E0B3" w:themeColor="accent6" w:themeTint="66"/>
        <w:right w:val="single" w:sz="4" w:space="0" w:color="C5E0B3" w:themeColor="accent6" w:themeTint="66"/>
        <w:insideH w:val="single" w:sz="4" w:space="0" w:color="C5E0B3" w:themeColor="accent6" w:themeTint="66"/>
        <w:insideV w:val="single" w:sz="4" w:space="0" w:color="C5E0B3" w:themeColor="accent6" w:themeTint="66"/>
      </w:tblBorders>
    </w:tblPr>
    <w:tblStylePr w:type="firstRow">
      <w:rPr>
        <w:b/>
        <w:bCs/>
      </w:rPr>
      <w:tblPr/>
      <w:tcPr>
        <w:tcBorders>
          <w:bottom w:val="single" w:sz="12" w:space="0" w:color="A8D08D" w:themeColor="accent6" w:themeTint="99"/>
        </w:tcBorders>
      </w:tcPr>
    </w:tblStylePr>
    <w:tblStylePr w:type="lastRow">
      <w:rPr>
        <w:b/>
        <w:bCs/>
      </w:rPr>
      <w:tblPr/>
      <w:tcPr>
        <w:tcBorders>
          <w:top w:val="double" w:sz="2" w:space="0" w:color="A8D08D" w:themeColor="accent6" w:themeTint="99"/>
        </w:tcBorders>
      </w:tcPr>
    </w:tblStylePr>
    <w:tblStylePr w:type="firstCol">
      <w:rPr>
        <w:b/>
        <w:bCs/>
      </w:rPr>
    </w:tblStylePr>
    <w:tblStylePr w:type="lastCol">
      <w:rPr>
        <w:b/>
        <w:bCs/>
      </w:rPr>
    </w:tblStylePr>
  </w:style>
  <w:style w:type="table" w:styleId="GridTable2">
    <w:name w:val="Grid Table 2"/>
    <w:basedOn w:val="TableNormal"/>
    <w:uiPriority w:val="47"/>
    <w:rsid w:val="00C10A5B"/>
    <w:pPr>
      <w:spacing w:after="0" w:line="240" w:lineRule="auto"/>
    </w:pPr>
    <w:tblPr>
      <w:tblStyleRowBandSize w:val="1"/>
      <w:tblStyleColBandSize w:val="1"/>
      <w:tblBorders>
        <w:top w:val="single" w:sz="2" w:space="0" w:color="666666" w:themeColor="text1" w:themeTint="99"/>
        <w:bottom w:val="single" w:sz="2" w:space="0" w:color="666666" w:themeColor="text1" w:themeTint="99"/>
        <w:insideH w:val="single" w:sz="2" w:space="0" w:color="666666" w:themeColor="text1" w:themeTint="99"/>
        <w:insideV w:val="single" w:sz="2" w:space="0" w:color="666666" w:themeColor="text1" w:themeTint="99"/>
      </w:tblBorders>
    </w:tblPr>
    <w:tblStylePr w:type="firstRow">
      <w:rPr>
        <w:b/>
        <w:bCs/>
      </w:rPr>
      <w:tblPr/>
      <w:tcPr>
        <w:tcBorders>
          <w:top w:val="nil"/>
          <w:bottom w:val="single" w:sz="12" w:space="0" w:color="666666" w:themeColor="text1" w:themeTint="99"/>
          <w:insideH w:val="nil"/>
          <w:insideV w:val="nil"/>
        </w:tcBorders>
        <w:shd w:val="clear" w:color="auto" w:fill="FFFFFF" w:themeFill="background1"/>
      </w:tcPr>
    </w:tblStylePr>
    <w:tblStylePr w:type="lastRow">
      <w:rPr>
        <w:b/>
        <w:bCs/>
      </w:rPr>
      <w:tblPr/>
      <w:tcPr>
        <w:tcBorders>
          <w:top w:val="double" w:sz="2" w:space="0" w:color="666666" w:themeColor="tex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GridTable2-Accent1">
    <w:name w:val="Grid Table 2 Accent 1"/>
    <w:basedOn w:val="TableNormal"/>
    <w:uiPriority w:val="47"/>
    <w:rsid w:val="00C10A5B"/>
    <w:pPr>
      <w:spacing w:after="0" w:line="240" w:lineRule="auto"/>
    </w:pPr>
    <w:tblPr>
      <w:tblStyleRowBandSize w:val="1"/>
      <w:tblStyleColBandSize w:val="1"/>
      <w:tblBorders>
        <w:top w:val="single" w:sz="2" w:space="0" w:color="8EAADB" w:themeColor="accent1" w:themeTint="99"/>
        <w:bottom w:val="single" w:sz="2" w:space="0" w:color="8EAADB" w:themeColor="accent1" w:themeTint="99"/>
        <w:insideH w:val="single" w:sz="2" w:space="0" w:color="8EAADB" w:themeColor="accent1" w:themeTint="99"/>
        <w:insideV w:val="single" w:sz="2" w:space="0" w:color="8EAADB" w:themeColor="accent1" w:themeTint="99"/>
      </w:tblBorders>
    </w:tblPr>
    <w:tblStylePr w:type="firstRow">
      <w:rPr>
        <w:b/>
        <w:bCs/>
      </w:rPr>
      <w:tblPr/>
      <w:tcPr>
        <w:tcBorders>
          <w:top w:val="nil"/>
          <w:bottom w:val="single" w:sz="12" w:space="0" w:color="8EAADB" w:themeColor="accent1" w:themeTint="99"/>
          <w:insideH w:val="nil"/>
          <w:insideV w:val="nil"/>
        </w:tcBorders>
        <w:shd w:val="clear" w:color="auto" w:fill="FFFFFF" w:themeFill="background1"/>
      </w:tcPr>
    </w:tblStylePr>
    <w:tblStylePr w:type="lastRow">
      <w:rPr>
        <w:b/>
        <w:bCs/>
      </w:rPr>
      <w:tblPr/>
      <w:tcPr>
        <w:tcBorders>
          <w:top w:val="double" w:sz="2" w:space="0" w:color="8EAADB" w:themeColor="accen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D9E2F3" w:themeFill="accent1" w:themeFillTint="33"/>
      </w:tcPr>
    </w:tblStylePr>
    <w:tblStylePr w:type="band1Horz">
      <w:tblPr/>
      <w:tcPr>
        <w:shd w:val="clear" w:color="auto" w:fill="D9E2F3" w:themeFill="accent1" w:themeFillTint="33"/>
      </w:tcPr>
    </w:tblStylePr>
  </w:style>
  <w:style w:type="table" w:styleId="GridTable2-Accent2">
    <w:name w:val="Grid Table 2 Accent 2"/>
    <w:basedOn w:val="TableNormal"/>
    <w:uiPriority w:val="47"/>
    <w:rsid w:val="00C10A5B"/>
    <w:pPr>
      <w:spacing w:after="0" w:line="240" w:lineRule="auto"/>
    </w:pPr>
    <w:tblPr>
      <w:tblStyleRowBandSize w:val="1"/>
      <w:tblStyleColBandSize w:val="1"/>
      <w:tblBorders>
        <w:top w:val="single" w:sz="2" w:space="0" w:color="F4B083" w:themeColor="accent2" w:themeTint="99"/>
        <w:bottom w:val="single" w:sz="2" w:space="0" w:color="F4B083" w:themeColor="accent2" w:themeTint="99"/>
        <w:insideH w:val="single" w:sz="2" w:space="0" w:color="F4B083" w:themeColor="accent2" w:themeTint="99"/>
        <w:insideV w:val="single" w:sz="2" w:space="0" w:color="F4B083" w:themeColor="accent2" w:themeTint="99"/>
      </w:tblBorders>
    </w:tblPr>
    <w:tblStylePr w:type="firstRow">
      <w:rPr>
        <w:b/>
        <w:bCs/>
      </w:rPr>
      <w:tblPr/>
      <w:tcPr>
        <w:tcBorders>
          <w:top w:val="nil"/>
          <w:bottom w:val="single" w:sz="12" w:space="0" w:color="F4B083" w:themeColor="accent2" w:themeTint="99"/>
          <w:insideH w:val="nil"/>
          <w:insideV w:val="nil"/>
        </w:tcBorders>
        <w:shd w:val="clear" w:color="auto" w:fill="FFFFFF" w:themeFill="background1"/>
      </w:tcPr>
    </w:tblStylePr>
    <w:tblStylePr w:type="lastRow">
      <w:rPr>
        <w:b/>
        <w:bCs/>
      </w:rPr>
      <w:tblPr/>
      <w:tcPr>
        <w:tcBorders>
          <w:top w:val="double" w:sz="2" w:space="0" w:color="F4B083" w:themeColor="accent2"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FBE4D5" w:themeFill="accent2" w:themeFillTint="33"/>
      </w:tcPr>
    </w:tblStylePr>
    <w:tblStylePr w:type="band1Horz">
      <w:tblPr/>
      <w:tcPr>
        <w:shd w:val="clear" w:color="auto" w:fill="FBE4D5" w:themeFill="accent2" w:themeFillTint="33"/>
      </w:tcPr>
    </w:tblStylePr>
  </w:style>
  <w:style w:type="table" w:styleId="GridTable2-Accent3">
    <w:name w:val="Grid Table 2 Accent 3"/>
    <w:basedOn w:val="TableNormal"/>
    <w:uiPriority w:val="47"/>
    <w:rsid w:val="00C10A5B"/>
    <w:pPr>
      <w:spacing w:after="0" w:line="240" w:lineRule="auto"/>
    </w:pPr>
    <w:tblPr>
      <w:tblStyleRowBandSize w:val="1"/>
      <w:tblStyleColBandSize w:val="1"/>
      <w:tblBorders>
        <w:top w:val="single" w:sz="2" w:space="0" w:color="C9C9C9" w:themeColor="accent3" w:themeTint="99"/>
        <w:bottom w:val="single" w:sz="2" w:space="0" w:color="C9C9C9" w:themeColor="accent3" w:themeTint="99"/>
        <w:insideH w:val="single" w:sz="2" w:space="0" w:color="C9C9C9" w:themeColor="accent3" w:themeTint="99"/>
        <w:insideV w:val="single" w:sz="2" w:space="0" w:color="C9C9C9" w:themeColor="accent3" w:themeTint="99"/>
      </w:tblBorders>
    </w:tblPr>
    <w:tblStylePr w:type="firstRow">
      <w:rPr>
        <w:b/>
        <w:bCs/>
      </w:rPr>
      <w:tblPr/>
      <w:tcPr>
        <w:tcBorders>
          <w:top w:val="nil"/>
          <w:bottom w:val="single" w:sz="12" w:space="0" w:color="C9C9C9" w:themeColor="accent3" w:themeTint="99"/>
          <w:insideH w:val="nil"/>
          <w:insideV w:val="nil"/>
        </w:tcBorders>
        <w:shd w:val="clear" w:color="auto" w:fill="FFFFFF" w:themeFill="background1"/>
      </w:tcPr>
    </w:tblStylePr>
    <w:tblStylePr w:type="lastRow">
      <w:rPr>
        <w:b/>
        <w:bCs/>
      </w:rPr>
      <w:tblPr/>
      <w:tcPr>
        <w:tcBorders>
          <w:top w:val="double" w:sz="2" w:space="0" w:color="C9C9C9" w:themeColor="accent3"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EDEDED" w:themeFill="accent3" w:themeFillTint="33"/>
      </w:tcPr>
    </w:tblStylePr>
    <w:tblStylePr w:type="band1Horz">
      <w:tblPr/>
      <w:tcPr>
        <w:shd w:val="clear" w:color="auto" w:fill="EDEDED" w:themeFill="accent3" w:themeFillTint="33"/>
      </w:tcPr>
    </w:tblStylePr>
  </w:style>
  <w:style w:type="table" w:styleId="GridTable2-Accent4">
    <w:name w:val="Grid Table 2 Accent 4"/>
    <w:basedOn w:val="TableNormal"/>
    <w:uiPriority w:val="47"/>
    <w:rsid w:val="00C10A5B"/>
    <w:pPr>
      <w:spacing w:after="0" w:line="240" w:lineRule="auto"/>
    </w:pPr>
    <w:tblPr>
      <w:tblStyleRowBandSize w:val="1"/>
      <w:tblStyleColBandSize w:val="1"/>
      <w:tblBorders>
        <w:top w:val="single" w:sz="2" w:space="0" w:color="FFD966" w:themeColor="accent4" w:themeTint="99"/>
        <w:bottom w:val="single" w:sz="2" w:space="0" w:color="FFD966" w:themeColor="accent4" w:themeTint="99"/>
        <w:insideH w:val="single" w:sz="2" w:space="0" w:color="FFD966" w:themeColor="accent4" w:themeTint="99"/>
        <w:insideV w:val="single" w:sz="2" w:space="0" w:color="FFD966" w:themeColor="accent4" w:themeTint="99"/>
      </w:tblBorders>
    </w:tblPr>
    <w:tblStylePr w:type="firstRow">
      <w:rPr>
        <w:b/>
        <w:bCs/>
      </w:rPr>
      <w:tblPr/>
      <w:tcPr>
        <w:tcBorders>
          <w:top w:val="nil"/>
          <w:bottom w:val="single" w:sz="12" w:space="0" w:color="FFD966" w:themeColor="accent4" w:themeTint="99"/>
          <w:insideH w:val="nil"/>
          <w:insideV w:val="nil"/>
        </w:tcBorders>
        <w:shd w:val="clear" w:color="auto" w:fill="FFFFFF" w:themeFill="background1"/>
      </w:tcPr>
    </w:tblStylePr>
    <w:tblStylePr w:type="lastRow">
      <w:rPr>
        <w:b/>
        <w:bCs/>
      </w:rPr>
      <w:tblPr/>
      <w:tcPr>
        <w:tcBorders>
          <w:top w:val="double" w:sz="2" w:space="0" w:color="FFD966" w:themeColor="accent4"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FFF2CC" w:themeFill="accent4" w:themeFillTint="33"/>
      </w:tcPr>
    </w:tblStylePr>
    <w:tblStylePr w:type="band1Horz">
      <w:tblPr/>
      <w:tcPr>
        <w:shd w:val="clear" w:color="auto" w:fill="FFF2CC" w:themeFill="accent4" w:themeFillTint="33"/>
      </w:tcPr>
    </w:tblStylePr>
  </w:style>
  <w:style w:type="table" w:styleId="GridTable2-Accent5">
    <w:name w:val="Grid Table 2 Accent 5"/>
    <w:basedOn w:val="TableNormal"/>
    <w:uiPriority w:val="47"/>
    <w:rsid w:val="00C10A5B"/>
    <w:pPr>
      <w:spacing w:after="0" w:line="240" w:lineRule="auto"/>
    </w:pPr>
    <w:tblPr>
      <w:tblStyleRowBandSize w:val="1"/>
      <w:tblStyleColBandSize w:val="1"/>
      <w:tblBorders>
        <w:top w:val="single" w:sz="2" w:space="0" w:color="9CC2E5" w:themeColor="accent5" w:themeTint="99"/>
        <w:bottom w:val="single" w:sz="2" w:space="0" w:color="9CC2E5" w:themeColor="accent5" w:themeTint="99"/>
        <w:insideH w:val="single" w:sz="2" w:space="0" w:color="9CC2E5" w:themeColor="accent5" w:themeTint="99"/>
        <w:insideV w:val="single" w:sz="2" w:space="0" w:color="9CC2E5" w:themeColor="accent5" w:themeTint="99"/>
      </w:tblBorders>
    </w:tblPr>
    <w:tblStylePr w:type="firstRow">
      <w:rPr>
        <w:b/>
        <w:bCs/>
      </w:rPr>
      <w:tblPr/>
      <w:tcPr>
        <w:tcBorders>
          <w:top w:val="nil"/>
          <w:bottom w:val="single" w:sz="12" w:space="0" w:color="9CC2E5" w:themeColor="accent5" w:themeTint="99"/>
          <w:insideH w:val="nil"/>
          <w:insideV w:val="nil"/>
        </w:tcBorders>
        <w:shd w:val="clear" w:color="auto" w:fill="FFFFFF" w:themeFill="background1"/>
      </w:tcPr>
    </w:tblStylePr>
    <w:tblStylePr w:type="lastRow">
      <w:rPr>
        <w:b/>
        <w:bCs/>
      </w:rPr>
      <w:tblPr/>
      <w:tcPr>
        <w:tcBorders>
          <w:top w:val="double" w:sz="2" w:space="0" w:color="9CC2E5" w:themeColor="accent5"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DEEAF6" w:themeFill="accent5" w:themeFillTint="33"/>
      </w:tcPr>
    </w:tblStylePr>
    <w:tblStylePr w:type="band1Horz">
      <w:tblPr/>
      <w:tcPr>
        <w:shd w:val="clear" w:color="auto" w:fill="DEEAF6" w:themeFill="accent5" w:themeFillTint="33"/>
      </w:tcPr>
    </w:tblStylePr>
  </w:style>
  <w:style w:type="table" w:styleId="GridTable2-Accent6">
    <w:name w:val="Grid Table 2 Accent 6"/>
    <w:basedOn w:val="TableNormal"/>
    <w:uiPriority w:val="47"/>
    <w:rsid w:val="00C10A5B"/>
    <w:pPr>
      <w:spacing w:after="0" w:line="240" w:lineRule="auto"/>
    </w:pPr>
    <w:tblPr>
      <w:tblStyleRowBandSize w:val="1"/>
      <w:tblStyleColBandSize w:val="1"/>
      <w:tblBorders>
        <w:top w:val="single" w:sz="2" w:space="0" w:color="A8D08D" w:themeColor="accent6" w:themeTint="99"/>
        <w:bottom w:val="single" w:sz="2" w:space="0" w:color="A8D08D" w:themeColor="accent6" w:themeTint="99"/>
        <w:insideH w:val="single" w:sz="2" w:space="0" w:color="A8D08D" w:themeColor="accent6" w:themeTint="99"/>
        <w:insideV w:val="single" w:sz="2" w:space="0" w:color="A8D08D" w:themeColor="accent6" w:themeTint="99"/>
      </w:tblBorders>
    </w:tblPr>
    <w:tblStylePr w:type="firstRow">
      <w:rPr>
        <w:b/>
        <w:bCs/>
      </w:rPr>
      <w:tblPr/>
      <w:tcPr>
        <w:tcBorders>
          <w:top w:val="nil"/>
          <w:bottom w:val="single" w:sz="12" w:space="0" w:color="A8D08D" w:themeColor="accent6" w:themeTint="99"/>
          <w:insideH w:val="nil"/>
          <w:insideV w:val="nil"/>
        </w:tcBorders>
        <w:shd w:val="clear" w:color="auto" w:fill="FFFFFF" w:themeFill="background1"/>
      </w:tcPr>
    </w:tblStylePr>
    <w:tblStylePr w:type="lastRow">
      <w:rPr>
        <w:b/>
        <w:bCs/>
      </w:rPr>
      <w:tblPr/>
      <w:tcPr>
        <w:tcBorders>
          <w:top w:val="double" w:sz="2" w:space="0" w:color="A8D08D" w:themeColor="accent6"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E2EFD9" w:themeFill="accent6" w:themeFillTint="33"/>
      </w:tcPr>
    </w:tblStylePr>
    <w:tblStylePr w:type="band1Horz">
      <w:tblPr/>
      <w:tcPr>
        <w:shd w:val="clear" w:color="auto" w:fill="E2EFD9" w:themeFill="accent6" w:themeFillTint="33"/>
      </w:tcPr>
    </w:tblStylePr>
  </w:style>
  <w:style w:type="table" w:styleId="GridTable3">
    <w:name w:val="Grid Table 3"/>
    <w:basedOn w:val="TableNormal"/>
    <w:uiPriority w:val="48"/>
    <w:rsid w:val="00C10A5B"/>
    <w:pPr>
      <w:spacing w:after="0" w:line="240" w:lineRule="auto"/>
    </w:p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bottom w:val="single" w:sz="4" w:space="0" w:color="666666" w:themeColor="text1" w:themeTint="99"/>
        </w:tcBorders>
      </w:tcPr>
    </w:tblStylePr>
    <w:tblStylePr w:type="nwCell">
      <w:tblPr/>
      <w:tcPr>
        <w:tcBorders>
          <w:bottom w:val="single" w:sz="4" w:space="0" w:color="666666" w:themeColor="text1" w:themeTint="99"/>
        </w:tcBorders>
      </w:tcPr>
    </w:tblStylePr>
    <w:tblStylePr w:type="seCell">
      <w:tblPr/>
      <w:tcPr>
        <w:tcBorders>
          <w:top w:val="single" w:sz="4" w:space="0" w:color="666666" w:themeColor="text1" w:themeTint="99"/>
        </w:tcBorders>
      </w:tcPr>
    </w:tblStylePr>
    <w:tblStylePr w:type="swCell">
      <w:tblPr/>
      <w:tcPr>
        <w:tcBorders>
          <w:top w:val="single" w:sz="4" w:space="0" w:color="666666" w:themeColor="text1" w:themeTint="99"/>
        </w:tcBorders>
      </w:tcPr>
    </w:tblStylePr>
  </w:style>
  <w:style w:type="table" w:styleId="GridTable3-Accent1">
    <w:name w:val="Grid Table 3 Accent 1"/>
    <w:basedOn w:val="TableNormal"/>
    <w:uiPriority w:val="48"/>
    <w:rsid w:val="00C10A5B"/>
    <w:pPr>
      <w:spacing w:after="0" w:line="240" w:lineRule="auto"/>
    </w:pPr>
    <w:tblPr>
      <w:tblStyleRowBandSize w:val="1"/>
      <w:tblStyleColBandSize w:val="1"/>
      <w:tblBorders>
        <w:top w:val="single" w:sz="4" w:space="0" w:color="8EAADB" w:themeColor="accent1" w:themeTint="99"/>
        <w:left w:val="single" w:sz="4" w:space="0" w:color="8EAADB" w:themeColor="accent1" w:themeTint="99"/>
        <w:bottom w:val="single" w:sz="4" w:space="0" w:color="8EAADB" w:themeColor="accent1" w:themeTint="99"/>
        <w:right w:val="single" w:sz="4" w:space="0" w:color="8EAADB" w:themeColor="accent1" w:themeTint="99"/>
        <w:insideH w:val="single" w:sz="4" w:space="0" w:color="8EAADB" w:themeColor="accent1" w:themeTint="99"/>
        <w:insideV w:val="single" w:sz="4" w:space="0" w:color="8EAADB" w:themeColor="accen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9E2F3" w:themeFill="accent1" w:themeFillTint="33"/>
      </w:tcPr>
    </w:tblStylePr>
    <w:tblStylePr w:type="band1Horz">
      <w:tblPr/>
      <w:tcPr>
        <w:shd w:val="clear" w:color="auto" w:fill="D9E2F3" w:themeFill="accent1" w:themeFillTint="33"/>
      </w:tcPr>
    </w:tblStylePr>
    <w:tblStylePr w:type="neCell">
      <w:tblPr/>
      <w:tcPr>
        <w:tcBorders>
          <w:bottom w:val="single" w:sz="4" w:space="0" w:color="8EAADB" w:themeColor="accent1" w:themeTint="99"/>
        </w:tcBorders>
      </w:tcPr>
    </w:tblStylePr>
    <w:tblStylePr w:type="nwCell">
      <w:tblPr/>
      <w:tcPr>
        <w:tcBorders>
          <w:bottom w:val="single" w:sz="4" w:space="0" w:color="8EAADB" w:themeColor="accent1" w:themeTint="99"/>
        </w:tcBorders>
      </w:tcPr>
    </w:tblStylePr>
    <w:tblStylePr w:type="seCell">
      <w:tblPr/>
      <w:tcPr>
        <w:tcBorders>
          <w:top w:val="single" w:sz="4" w:space="0" w:color="8EAADB" w:themeColor="accent1" w:themeTint="99"/>
        </w:tcBorders>
      </w:tcPr>
    </w:tblStylePr>
    <w:tblStylePr w:type="swCell">
      <w:tblPr/>
      <w:tcPr>
        <w:tcBorders>
          <w:top w:val="single" w:sz="4" w:space="0" w:color="8EAADB" w:themeColor="accent1" w:themeTint="99"/>
        </w:tcBorders>
      </w:tcPr>
    </w:tblStylePr>
  </w:style>
  <w:style w:type="table" w:styleId="GridTable3-Accent2">
    <w:name w:val="Grid Table 3 Accent 2"/>
    <w:basedOn w:val="TableNormal"/>
    <w:uiPriority w:val="48"/>
    <w:rsid w:val="00C10A5B"/>
    <w:pPr>
      <w:spacing w:after="0" w:line="240" w:lineRule="auto"/>
    </w:pPr>
    <w:tblPr>
      <w:tblStyleRowBandSize w:val="1"/>
      <w:tblStyleColBandSize w:val="1"/>
      <w:tblBorders>
        <w:top w:val="single" w:sz="4" w:space="0" w:color="F4B083" w:themeColor="accent2" w:themeTint="99"/>
        <w:left w:val="single" w:sz="4" w:space="0" w:color="F4B083" w:themeColor="accent2" w:themeTint="99"/>
        <w:bottom w:val="single" w:sz="4" w:space="0" w:color="F4B083" w:themeColor="accent2" w:themeTint="99"/>
        <w:right w:val="single" w:sz="4" w:space="0" w:color="F4B083" w:themeColor="accent2" w:themeTint="99"/>
        <w:insideH w:val="single" w:sz="4" w:space="0" w:color="F4B083" w:themeColor="accent2" w:themeTint="99"/>
        <w:insideV w:val="single" w:sz="4" w:space="0" w:color="F4B083" w:themeColor="accent2"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BE4D5" w:themeFill="accent2" w:themeFillTint="33"/>
      </w:tcPr>
    </w:tblStylePr>
    <w:tblStylePr w:type="band1Horz">
      <w:tblPr/>
      <w:tcPr>
        <w:shd w:val="clear" w:color="auto" w:fill="FBE4D5" w:themeFill="accent2" w:themeFillTint="33"/>
      </w:tcPr>
    </w:tblStylePr>
    <w:tblStylePr w:type="neCell">
      <w:tblPr/>
      <w:tcPr>
        <w:tcBorders>
          <w:bottom w:val="single" w:sz="4" w:space="0" w:color="F4B083" w:themeColor="accent2" w:themeTint="99"/>
        </w:tcBorders>
      </w:tcPr>
    </w:tblStylePr>
    <w:tblStylePr w:type="nwCell">
      <w:tblPr/>
      <w:tcPr>
        <w:tcBorders>
          <w:bottom w:val="single" w:sz="4" w:space="0" w:color="F4B083" w:themeColor="accent2" w:themeTint="99"/>
        </w:tcBorders>
      </w:tcPr>
    </w:tblStylePr>
    <w:tblStylePr w:type="seCell">
      <w:tblPr/>
      <w:tcPr>
        <w:tcBorders>
          <w:top w:val="single" w:sz="4" w:space="0" w:color="F4B083" w:themeColor="accent2" w:themeTint="99"/>
        </w:tcBorders>
      </w:tcPr>
    </w:tblStylePr>
    <w:tblStylePr w:type="swCell">
      <w:tblPr/>
      <w:tcPr>
        <w:tcBorders>
          <w:top w:val="single" w:sz="4" w:space="0" w:color="F4B083" w:themeColor="accent2" w:themeTint="99"/>
        </w:tcBorders>
      </w:tcPr>
    </w:tblStylePr>
  </w:style>
  <w:style w:type="table" w:styleId="GridTable3-Accent3">
    <w:name w:val="Grid Table 3 Accent 3"/>
    <w:basedOn w:val="TableNormal"/>
    <w:uiPriority w:val="48"/>
    <w:rsid w:val="00C10A5B"/>
    <w:pPr>
      <w:spacing w:after="0" w:line="240" w:lineRule="auto"/>
    </w:pPr>
    <w:tblPr>
      <w:tblStyleRowBandSize w:val="1"/>
      <w:tblStyleColBandSize w:val="1"/>
      <w:tblBorders>
        <w:top w:val="single" w:sz="4" w:space="0" w:color="C9C9C9" w:themeColor="accent3" w:themeTint="99"/>
        <w:left w:val="single" w:sz="4" w:space="0" w:color="C9C9C9" w:themeColor="accent3" w:themeTint="99"/>
        <w:bottom w:val="single" w:sz="4" w:space="0" w:color="C9C9C9" w:themeColor="accent3" w:themeTint="99"/>
        <w:right w:val="single" w:sz="4" w:space="0" w:color="C9C9C9" w:themeColor="accent3" w:themeTint="99"/>
        <w:insideH w:val="single" w:sz="4" w:space="0" w:color="C9C9C9" w:themeColor="accent3" w:themeTint="99"/>
        <w:insideV w:val="single" w:sz="4" w:space="0" w:color="C9C9C9" w:themeColor="accent3"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DEDED" w:themeFill="accent3" w:themeFillTint="33"/>
      </w:tcPr>
    </w:tblStylePr>
    <w:tblStylePr w:type="band1Horz">
      <w:tblPr/>
      <w:tcPr>
        <w:shd w:val="clear" w:color="auto" w:fill="EDEDED" w:themeFill="accent3" w:themeFillTint="33"/>
      </w:tcPr>
    </w:tblStylePr>
    <w:tblStylePr w:type="neCell">
      <w:tblPr/>
      <w:tcPr>
        <w:tcBorders>
          <w:bottom w:val="single" w:sz="4" w:space="0" w:color="C9C9C9" w:themeColor="accent3" w:themeTint="99"/>
        </w:tcBorders>
      </w:tcPr>
    </w:tblStylePr>
    <w:tblStylePr w:type="nwCell">
      <w:tblPr/>
      <w:tcPr>
        <w:tcBorders>
          <w:bottom w:val="single" w:sz="4" w:space="0" w:color="C9C9C9" w:themeColor="accent3" w:themeTint="99"/>
        </w:tcBorders>
      </w:tcPr>
    </w:tblStylePr>
    <w:tblStylePr w:type="seCell">
      <w:tblPr/>
      <w:tcPr>
        <w:tcBorders>
          <w:top w:val="single" w:sz="4" w:space="0" w:color="C9C9C9" w:themeColor="accent3" w:themeTint="99"/>
        </w:tcBorders>
      </w:tcPr>
    </w:tblStylePr>
    <w:tblStylePr w:type="swCell">
      <w:tblPr/>
      <w:tcPr>
        <w:tcBorders>
          <w:top w:val="single" w:sz="4" w:space="0" w:color="C9C9C9" w:themeColor="accent3" w:themeTint="99"/>
        </w:tcBorders>
      </w:tcPr>
    </w:tblStylePr>
  </w:style>
  <w:style w:type="table" w:styleId="GridTable3-Accent4">
    <w:name w:val="Grid Table 3 Accent 4"/>
    <w:basedOn w:val="TableNormal"/>
    <w:uiPriority w:val="48"/>
    <w:rsid w:val="00C10A5B"/>
    <w:pPr>
      <w:spacing w:after="0" w:line="240" w:lineRule="auto"/>
    </w:pPr>
    <w:tblPr>
      <w:tblStyleRowBandSize w:val="1"/>
      <w:tblStyleColBandSize w:val="1"/>
      <w:tblBorders>
        <w:top w:val="single" w:sz="4" w:space="0" w:color="FFD966" w:themeColor="accent4" w:themeTint="99"/>
        <w:left w:val="single" w:sz="4" w:space="0" w:color="FFD966" w:themeColor="accent4" w:themeTint="99"/>
        <w:bottom w:val="single" w:sz="4" w:space="0" w:color="FFD966" w:themeColor="accent4" w:themeTint="99"/>
        <w:right w:val="single" w:sz="4" w:space="0" w:color="FFD966" w:themeColor="accent4" w:themeTint="99"/>
        <w:insideH w:val="single" w:sz="4" w:space="0" w:color="FFD966" w:themeColor="accent4" w:themeTint="99"/>
        <w:insideV w:val="single" w:sz="4" w:space="0" w:color="FFD966" w:themeColor="accent4"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FF2CC" w:themeFill="accent4" w:themeFillTint="33"/>
      </w:tcPr>
    </w:tblStylePr>
    <w:tblStylePr w:type="band1Horz">
      <w:tblPr/>
      <w:tcPr>
        <w:shd w:val="clear" w:color="auto" w:fill="FFF2CC" w:themeFill="accent4" w:themeFillTint="33"/>
      </w:tcPr>
    </w:tblStylePr>
    <w:tblStylePr w:type="neCell">
      <w:tblPr/>
      <w:tcPr>
        <w:tcBorders>
          <w:bottom w:val="single" w:sz="4" w:space="0" w:color="FFD966" w:themeColor="accent4" w:themeTint="99"/>
        </w:tcBorders>
      </w:tcPr>
    </w:tblStylePr>
    <w:tblStylePr w:type="nwCell">
      <w:tblPr/>
      <w:tcPr>
        <w:tcBorders>
          <w:bottom w:val="single" w:sz="4" w:space="0" w:color="FFD966" w:themeColor="accent4" w:themeTint="99"/>
        </w:tcBorders>
      </w:tcPr>
    </w:tblStylePr>
    <w:tblStylePr w:type="seCell">
      <w:tblPr/>
      <w:tcPr>
        <w:tcBorders>
          <w:top w:val="single" w:sz="4" w:space="0" w:color="FFD966" w:themeColor="accent4" w:themeTint="99"/>
        </w:tcBorders>
      </w:tcPr>
    </w:tblStylePr>
    <w:tblStylePr w:type="swCell">
      <w:tblPr/>
      <w:tcPr>
        <w:tcBorders>
          <w:top w:val="single" w:sz="4" w:space="0" w:color="FFD966" w:themeColor="accent4" w:themeTint="99"/>
        </w:tcBorders>
      </w:tcPr>
    </w:tblStylePr>
  </w:style>
  <w:style w:type="table" w:styleId="GridTable3-Accent5">
    <w:name w:val="Grid Table 3 Accent 5"/>
    <w:basedOn w:val="TableNormal"/>
    <w:uiPriority w:val="48"/>
    <w:rsid w:val="00C10A5B"/>
    <w:pPr>
      <w:spacing w:after="0" w:line="240" w:lineRule="auto"/>
    </w:pPr>
    <w:tblPr>
      <w:tblStyleRowBandSize w:val="1"/>
      <w:tblStyleColBandSize w:val="1"/>
      <w:tblBorders>
        <w:top w:val="single" w:sz="4" w:space="0" w:color="9CC2E5" w:themeColor="accent5" w:themeTint="99"/>
        <w:left w:val="single" w:sz="4" w:space="0" w:color="9CC2E5" w:themeColor="accent5" w:themeTint="99"/>
        <w:bottom w:val="single" w:sz="4" w:space="0" w:color="9CC2E5" w:themeColor="accent5" w:themeTint="99"/>
        <w:right w:val="single" w:sz="4" w:space="0" w:color="9CC2E5" w:themeColor="accent5" w:themeTint="99"/>
        <w:insideH w:val="single" w:sz="4" w:space="0" w:color="9CC2E5" w:themeColor="accent5" w:themeTint="99"/>
        <w:insideV w:val="single" w:sz="4" w:space="0" w:color="9CC2E5" w:themeColor="accent5"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EEAF6" w:themeFill="accent5" w:themeFillTint="33"/>
      </w:tcPr>
    </w:tblStylePr>
    <w:tblStylePr w:type="band1Horz">
      <w:tblPr/>
      <w:tcPr>
        <w:shd w:val="clear" w:color="auto" w:fill="DEEAF6" w:themeFill="accent5" w:themeFillTint="33"/>
      </w:tcPr>
    </w:tblStylePr>
    <w:tblStylePr w:type="neCell">
      <w:tblPr/>
      <w:tcPr>
        <w:tcBorders>
          <w:bottom w:val="single" w:sz="4" w:space="0" w:color="9CC2E5" w:themeColor="accent5" w:themeTint="99"/>
        </w:tcBorders>
      </w:tcPr>
    </w:tblStylePr>
    <w:tblStylePr w:type="nwCell">
      <w:tblPr/>
      <w:tcPr>
        <w:tcBorders>
          <w:bottom w:val="single" w:sz="4" w:space="0" w:color="9CC2E5" w:themeColor="accent5" w:themeTint="99"/>
        </w:tcBorders>
      </w:tcPr>
    </w:tblStylePr>
    <w:tblStylePr w:type="seCell">
      <w:tblPr/>
      <w:tcPr>
        <w:tcBorders>
          <w:top w:val="single" w:sz="4" w:space="0" w:color="9CC2E5" w:themeColor="accent5" w:themeTint="99"/>
        </w:tcBorders>
      </w:tcPr>
    </w:tblStylePr>
    <w:tblStylePr w:type="swCell">
      <w:tblPr/>
      <w:tcPr>
        <w:tcBorders>
          <w:top w:val="single" w:sz="4" w:space="0" w:color="9CC2E5" w:themeColor="accent5" w:themeTint="99"/>
        </w:tcBorders>
      </w:tcPr>
    </w:tblStylePr>
  </w:style>
  <w:style w:type="table" w:styleId="GridTable3-Accent6">
    <w:name w:val="Grid Table 3 Accent 6"/>
    <w:basedOn w:val="TableNormal"/>
    <w:uiPriority w:val="48"/>
    <w:rsid w:val="00C10A5B"/>
    <w:pPr>
      <w:spacing w:after="0" w:line="240" w:lineRule="auto"/>
    </w:pPr>
    <w:tblPr>
      <w:tblStyleRowBandSize w:val="1"/>
      <w:tblStyleColBandSize w:val="1"/>
      <w:tblBorders>
        <w:top w:val="single" w:sz="4" w:space="0" w:color="A8D08D" w:themeColor="accent6" w:themeTint="99"/>
        <w:left w:val="single" w:sz="4" w:space="0" w:color="A8D08D" w:themeColor="accent6" w:themeTint="99"/>
        <w:bottom w:val="single" w:sz="4" w:space="0" w:color="A8D08D" w:themeColor="accent6" w:themeTint="99"/>
        <w:right w:val="single" w:sz="4" w:space="0" w:color="A8D08D" w:themeColor="accent6" w:themeTint="99"/>
        <w:insideH w:val="single" w:sz="4" w:space="0" w:color="A8D08D" w:themeColor="accent6" w:themeTint="99"/>
        <w:insideV w:val="single" w:sz="4" w:space="0" w:color="A8D08D"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2EFD9" w:themeFill="accent6" w:themeFillTint="33"/>
      </w:tcPr>
    </w:tblStylePr>
    <w:tblStylePr w:type="band1Horz">
      <w:tblPr/>
      <w:tcPr>
        <w:shd w:val="clear" w:color="auto" w:fill="E2EFD9" w:themeFill="accent6" w:themeFillTint="33"/>
      </w:tcPr>
    </w:tblStylePr>
    <w:tblStylePr w:type="neCell">
      <w:tblPr/>
      <w:tcPr>
        <w:tcBorders>
          <w:bottom w:val="single" w:sz="4" w:space="0" w:color="A8D08D" w:themeColor="accent6" w:themeTint="99"/>
        </w:tcBorders>
      </w:tcPr>
    </w:tblStylePr>
    <w:tblStylePr w:type="nwCell">
      <w:tblPr/>
      <w:tcPr>
        <w:tcBorders>
          <w:bottom w:val="single" w:sz="4" w:space="0" w:color="A8D08D" w:themeColor="accent6" w:themeTint="99"/>
        </w:tcBorders>
      </w:tcPr>
    </w:tblStylePr>
    <w:tblStylePr w:type="seCell">
      <w:tblPr/>
      <w:tcPr>
        <w:tcBorders>
          <w:top w:val="single" w:sz="4" w:space="0" w:color="A8D08D" w:themeColor="accent6" w:themeTint="99"/>
        </w:tcBorders>
      </w:tcPr>
    </w:tblStylePr>
    <w:tblStylePr w:type="swCell">
      <w:tblPr/>
      <w:tcPr>
        <w:tcBorders>
          <w:top w:val="single" w:sz="4" w:space="0" w:color="A8D08D" w:themeColor="accent6" w:themeTint="99"/>
        </w:tcBorders>
      </w:tcPr>
    </w:tblStylePr>
  </w:style>
  <w:style w:type="table" w:styleId="GridTable4">
    <w:name w:val="Grid Table 4"/>
    <w:basedOn w:val="TableNormal"/>
    <w:uiPriority w:val="49"/>
    <w:rsid w:val="00C10A5B"/>
    <w:pPr>
      <w:spacing w:after="0" w:line="240" w:lineRule="auto"/>
    </w:p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color w:val="FFFFFF"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nil"/>
          <w:insideV w:val="nil"/>
        </w:tcBorders>
        <w:shd w:val="clear" w:color="auto" w:fill="000000" w:themeFill="text1"/>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GridTable4-Accent1">
    <w:name w:val="Grid Table 4 Accent 1"/>
    <w:basedOn w:val="TableNormal"/>
    <w:uiPriority w:val="49"/>
    <w:rsid w:val="00C10A5B"/>
    <w:pPr>
      <w:spacing w:after="0" w:line="240" w:lineRule="auto"/>
    </w:pPr>
    <w:tblPr>
      <w:tblStyleRowBandSize w:val="1"/>
      <w:tblStyleColBandSize w:val="1"/>
      <w:tblBorders>
        <w:top w:val="single" w:sz="4" w:space="0" w:color="8EAADB" w:themeColor="accent1" w:themeTint="99"/>
        <w:left w:val="single" w:sz="4" w:space="0" w:color="8EAADB" w:themeColor="accent1" w:themeTint="99"/>
        <w:bottom w:val="single" w:sz="4" w:space="0" w:color="8EAADB" w:themeColor="accent1" w:themeTint="99"/>
        <w:right w:val="single" w:sz="4" w:space="0" w:color="8EAADB" w:themeColor="accent1" w:themeTint="99"/>
        <w:insideH w:val="single" w:sz="4" w:space="0" w:color="8EAADB" w:themeColor="accent1" w:themeTint="99"/>
        <w:insideV w:val="single" w:sz="4" w:space="0" w:color="8EAADB" w:themeColor="accent1" w:themeTint="99"/>
      </w:tblBorders>
    </w:tblPr>
    <w:tblStylePr w:type="firstRow">
      <w:rPr>
        <w:b/>
        <w:bCs/>
        <w:color w:val="FFFFFF" w:themeColor="background1"/>
      </w:rPr>
      <w:tblPr/>
      <w:tcPr>
        <w:tcBorders>
          <w:top w:val="single" w:sz="4" w:space="0" w:color="4472C4" w:themeColor="accent1"/>
          <w:left w:val="single" w:sz="4" w:space="0" w:color="4472C4" w:themeColor="accent1"/>
          <w:bottom w:val="single" w:sz="4" w:space="0" w:color="4472C4" w:themeColor="accent1"/>
          <w:right w:val="single" w:sz="4" w:space="0" w:color="4472C4" w:themeColor="accent1"/>
          <w:insideH w:val="nil"/>
          <w:insideV w:val="nil"/>
        </w:tcBorders>
        <w:shd w:val="clear" w:color="auto" w:fill="4472C4" w:themeFill="accent1"/>
      </w:tcPr>
    </w:tblStylePr>
    <w:tblStylePr w:type="lastRow">
      <w:rPr>
        <w:b/>
        <w:bCs/>
      </w:rPr>
      <w:tblPr/>
      <w:tcPr>
        <w:tcBorders>
          <w:top w:val="double" w:sz="4" w:space="0" w:color="4472C4" w:themeColor="accent1"/>
        </w:tcBorders>
      </w:tcPr>
    </w:tblStylePr>
    <w:tblStylePr w:type="firstCol">
      <w:rPr>
        <w:b/>
        <w:bCs/>
      </w:rPr>
    </w:tblStylePr>
    <w:tblStylePr w:type="lastCol">
      <w:rPr>
        <w:b/>
        <w:bCs/>
      </w:rPr>
    </w:tblStylePr>
    <w:tblStylePr w:type="band1Vert">
      <w:tblPr/>
      <w:tcPr>
        <w:shd w:val="clear" w:color="auto" w:fill="D9E2F3" w:themeFill="accent1" w:themeFillTint="33"/>
      </w:tcPr>
    </w:tblStylePr>
    <w:tblStylePr w:type="band1Horz">
      <w:tblPr/>
      <w:tcPr>
        <w:shd w:val="clear" w:color="auto" w:fill="D9E2F3" w:themeFill="accent1" w:themeFillTint="33"/>
      </w:tcPr>
    </w:tblStylePr>
  </w:style>
  <w:style w:type="table" w:styleId="GridTable4-Accent2">
    <w:name w:val="Grid Table 4 Accent 2"/>
    <w:basedOn w:val="TableNormal"/>
    <w:uiPriority w:val="49"/>
    <w:rsid w:val="00C10A5B"/>
    <w:pPr>
      <w:spacing w:after="0" w:line="240" w:lineRule="auto"/>
    </w:pPr>
    <w:tblPr>
      <w:tblStyleRowBandSize w:val="1"/>
      <w:tblStyleColBandSize w:val="1"/>
      <w:tblBorders>
        <w:top w:val="single" w:sz="4" w:space="0" w:color="F4B083" w:themeColor="accent2" w:themeTint="99"/>
        <w:left w:val="single" w:sz="4" w:space="0" w:color="F4B083" w:themeColor="accent2" w:themeTint="99"/>
        <w:bottom w:val="single" w:sz="4" w:space="0" w:color="F4B083" w:themeColor="accent2" w:themeTint="99"/>
        <w:right w:val="single" w:sz="4" w:space="0" w:color="F4B083" w:themeColor="accent2" w:themeTint="99"/>
        <w:insideH w:val="single" w:sz="4" w:space="0" w:color="F4B083" w:themeColor="accent2" w:themeTint="99"/>
        <w:insideV w:val="single" w:sz="4" w:space="0" w:color="F4B083" w:themeColor="accent2" w:themeTint="99"/>
      </w:tblBorders>
    </w:tblPr>
    <w:tblStylePr w:type="firstRow">
      <w:rPr>
        <w:b/>
        <w:bCs/>
        <w:color w:val="FFFFFF" w:themeColor="background1"/>
      </w:rPr>
      <w:tblPr/>
      <w:tcPr>
        <w:tcBorders>
          <w:top w:val="single" w:sz="4" w:space="0" w:color="ED7D31" w:themeColor="accent2"/>
          <w:left w:val="single" w:sz="4" w:space="0" w:color="ED7D31" w:themeColor="accent2"/>
          <w:bottom w:val="single" w:sz="4" w:space="0" w:color="ED7D31" w:themeColor="accent2"/>
          <w:right w:val="single" w:sz="4" w:space="0" w:color="ED7D31" w:themeColor="accent2"/>
          <w:insideH w:val="nil"/>
          <w:insideV w:val="nil"/>
        </w:tcBorders>
        <w:shd w:val="clear" w:color="auto" w:fill="ED7D31" w:themeFill="accent2"/>
      </w:tcPr>
    </w:tblStylePr>
    <w:tblStylePr w:type="lastRow">
      <w:rPr>
        <w:b/>
        <w:bCs/>
      </w:rPr>
      <w:tblPr/>
      <w:tcPr>
        <w:tcBorders>
          <w:top w:val="double" w:sz="4" w:space="0" w:color="ED7D31" w:themeColor="accent2"/>
        </w:tcBorders>
      </w:tcPr>
    </w:tblStylePr>
    <w:tblStylePr w:type="firstCol">
      <w:rPr>
        <w:b/>
        <w:bCs/>
      </w:rPr>
    </w:tblStylePr>
    <w:tblStylePr w:type="lastCol">
      <w:rPr>
        <w:b/>
        <w:bCs/>
      </w:rPr>
    </w:tblStylePr>
    <w:tblStylePr w:type="band1Vert">
      <w:tblPr/>
      <w:tcPr>
        <w:shd w:val="clear" w:color="auto" w:fill="FBE4D5" w:themeFill="accent2" w:themeFillTint="33"/>
      </w:tcPr>
    </w:tblStylePr>
    <w:tblStylePr w:type="band1Horz">
      <w:tblPr/>
      <w:tcPr>
        <w:shd w:val="clear" w:color="auto" w:fill="FBE4D5" w:themeFill="accent2" w:themeFillTint="33"/>
      </w:tcPr>
    </w:tblStylePr>
  </w:style>
  <w:style w:type="table" w:styleId="GridTable4-Accent3">
    <w:name w:val="Grid Table 4 Accent 3"/>
    <w:basedOn w:val="TableNormal"/>
    <w:uiPriority w:val="49"/>
    <w:rsid w:val="00C10A5B"/>
    <w:pPr>
      <w:spacing w:after="0" w:line="240" w:lineRule="auto"/>
    </w:pPr>
    <w:tblPr>
      <w:tblStyleRowBandSize w:val="1"/>
      <w:tblStyleColBandSize w:val="1"/>
      <w:tblBorders>
        <w:top w:val="single" w:sz="4" w:space="0" w:color="C9C9C9" w:themeColor="accent3" w:themeTint="99"/>
        <w:left w:val="single" w:sz="4" w:space="0" w:color="C9C9C9" w:themeColor="accent3" w:themeTint="99"/>
        <w:bottom w:val="single" w:sz="4" w:space="0" w:color="C9C9C9" w:themeColor="accent3" w:themeTint="99"/>
        <w:right w:val="single" w:sz="4" w:space="0" w:color="C9C9C9" w:themeColor="accent3" w:themeTint="99"/>
        <w:insideH w:val="single" w:sz="4" w:space="0" w:color="C9C9C9" w:themeColor="accent3" w:themeTint="99"/>
        <w:insideV w:val="single" w:sz="4" w:space="0" w:color="C9C9C9" w:themeColor="accent3" w:themeTint="99"/>
      </w:tblBorders>
    </w:tblPr>
    <w:tblStylePr w:type="firstRow">
      <w:rPr>
        <w:b/>
        <w:bCs/>
        <w:color w:val="FFFFFF" w:themeColor="background1"/>
      </w:rPr>
      <w:tblPr/>
      <w:tcPr>
        <w:tcBorders>
          <w:top w:val="single" w:sz="4" w:space="0" w:color="A5A5A5" w:themeColor="accent3"/>
          <w:left w:val="single" w:sz="4" w:space="0" w:color="A5A5A5" w:themeColor="accent3"/>
          <w:bottom w:val="single" w:sz="4" w:space="0" w:color="A5A5A5" w:themeColor="accent3"/>
          <w:right w:val="single" w:sz="4" w:space="0" w:color="A5A5A5" w:themeColor="accent3"/>
          <w:insideH w:val="nil"/>
          <w:insideV w:val="nil"/>
        </w:tcBorders>
        <w:shd w:val="clear" w:color="auto" w:fill="A5A5A5" w:themeFill="accent3"/>
      </w:tcPr>
    </w:tblStylePr>
    <w:tblStylePr w:type="lastRow">
      <w:rPr>
        <w:b/>
        <w:bCs/>
      </w:rPr>
      <w:tblPr/>
      <w:tcPr>
        <w:tcBorders>
          <w:top w:val="double" w:sz="4" w:space="0" w:color="A5A5A5" w:themeColor="accent3"/>
        </w:tcBorders>
      </w:tcPr>
    </w:tblStylePr>
    <w:tblStylePr w:type="firstCol">
      <w:rPr>
        <w:b/>
        <w:bCs/>
      </w:rPr>
    </w:tblStylePr>
    <w:tblStylePr w:type="lastCol">
      <w:rPr>
        <w:b/>
        <w:bCs/>
      </w:rPr>
    </w:tblStylePr>
    <w:tblStylePr w:type="band1Vert">
      <w:tblPr/>
      <w:tcPr>
        <w:shd w:val="clear" w:color="auto" w:fill="EDEDED" w:themeFill="accent3" w:themeFillTint="33"/>
      </w:tcPr>
    </w:tblStylePr>
    <w:tblStylePr w:type="band1Horz">
      <w:tblPr/>
      <w:tcPr>
        <w:shd w:val="clear" w:color="auto" w:fill="EDEDED" w:themeFill="accent3" w:themeFillTint="33"/>
      </w:tcPr>
    </w:tblStylePr>
  </w:style>
  <w:style w:type="table" w:styleId="GridTable4-Accent4">
    <w:name w:val="Grid Table 4 Accent 4"/>
    <w:basedOn w:val="TableNormal"/>
    <w:uiPriority w:val="49"/>
    <w:rsid w:val="00C10A5B"/>
    <w:pPr>
      <w:spacing w:after="0" w:line="240" w:lineRule="auto"/>
    </w:pPr>
    <w:tblPr>
      <w:tblStyleRowBandSize w:val="1"/>
      <w:tblStyleColBandSize w:val="1"/>
      <w:tblBorders>
        <w:top w:val="single" w:sz="4" w:space="0" w:color="FFD966" w:themeColor="accent4" w:themeTint="99"/>
        <w:left w:val="single" w:sz="4" w:space="0" w:color="FFD966" w:themeColor="accent4" w:themeTint="99"/>
        <w:bottom w:val="single" w:sz="4" w:space="0" w:color="FFD966" w:themeColor="accent4" w:themeTint="99"/>
        <w:right w:val="single" w:sz="4" w:space="0" w:color="FFD966" w:themeColor="accent4" w:themeTint="99"/>
        <w:insideH w:val="single" w:sz="4" w:space="0" w:color="FFD966" w:themeColor="accent4" w:themeTint="99"/>
        <w:insideV w:val="single" w:sz="4" w:space="0" w:color="FFD966" w:themeColor="accent4" w:themeTint="99"/>
      </w:tblBorders>
    </w:tblPr>
    <w:tblStylePr w:type="firstRow">
      <w:rPr>
        <w:b/>
        <w:bCs/>
        <w:color w:val="FFFFFF" w:themeColor="background1"/>
      </w:rPr>
      <w:tblPr/>
      <w:tcPr>
        <w:tcBorders>
          <w:top w:val="single" w:sz="4" w:space="0" w:color="FFC000" w:themeColor="accent4"/>
          <w:left w:val="single" w:sz="4" w:space="0" w:color="FFC000" w:themeColor="accent4"/>
          <w:bottom w:val="single" w:sz="4" w:space="0" w:color="FFC000" w:themeColor="accent4"/>
          <w:right w:val="single" w:sz="4" w:space="0" w:color="FFC000" w:themeColor="accent4"/>
          <w:insideH w:val="nil"/>
          <w:insideV w:val="nil"/>
        </w:tcBorders>
        <w:shd w:val="clear" w:color="auto" w:fill="FFC000" w:themeFill="accent4"/>
      </w:tcPr>
    </w:tblStylePr>
    <w:tblStylePr w:type="lastRow">
      <w:rPr>
        <w:b/>
        <w:bCs/>
      </w:rPr>
      <w:tblPr/>
      <w:tcPr>
        <w:tcBorders>
          <w:top w:val="double" w:sz="4" w:space="0" w:color="FFC000" w:themeColor="accent4"/>
        </w:tcBorders>
      </w:tcPr>
    </w:tblStylePr>
    <w:tblStylePr w:type="firstCol">
      <w:rPr>
        <w:b/>
        <w:bCs/>
      </w:rPr>
    </w:tblStylePr>
    <w:tblStylePr w:type="lastCol">
      <w:rPr>
        <w:b/>
        <w:bCs/>
      </w:rPr>
    </w:tblStylePr>
    <w:tblStylePr w:type="band1Vert">
      <w:tblPr/>
      <w:tcPr>
        <w:shd w:val="clear" w:color="auto" w:fill="FFF2CC" w:themeFill="accent4" w:themeFillTint="33"/>
      </w:tcPr>
    </w:tblStylePr>
    <w:tblStylePr w:type="band1Horz">
      <w:tblPr/>
      <w:tcPr>
        <w:shd w:val="clear" w:color="auto" w:fill="FFF2CC" w:themeFill="accent4" w:themeFillTint="33"/>
      </w:tcPr>
    </w:tblStylePr>
  </w:style>
  <w:style w:type="table" w:styleId="GridTable4-Accent5">
    <w:name w:val="Grid Table 4 Accent 5"/>
    <w:basedOn w:val="TableNormal"/>
    <w:uiPriority w:val="49"/>
    <w:rsid w:val="00C10A5B"/>
    <w:pPr>
      <w:spacing w:after="0" w:line="240" w:lineRule="auto"/>
    </w:pPr>
    <w:tblPr>
      <w:tblStyleRowBandSize w:val="1"/>
      <w:tblStyleColBandSize w:val="1"/>
      <w:tblBorders>
        <w:top w:val="single" w:sz="4" w:space="0" w:color="9CC2E5" w:themeColor="accent5" w:themeTint="99"/>
        <w:left w:val="single" w:sz="4" w:space="0" w:color="9CC2E5" w:themeColor="accent5" w:themeTint="99"/>
        <w:bottom w:val="single" w:sz="4" w:space="0" w:color="9CC2E5" w:themeColor="accent5" w:themeTint="99"/>
        <w:right w:val="single" w:sz="4" w:space="0" w:color="9CC2E5" w:themeColor="accent5" w:themeTint="99"/>
        <w:insideH w:val="single" w:sz="4" w:space="0" w:color="9CC2E5" w:themeColor="accent5" w:themeTint="99"/>
        <w:insideV w:val="single" w:sz="4" w:space="0" w:color="9CC2E5" w:themeColor="accent5" w:themeTint="99"/>
      </w:tblBorders>
    </w:tblPr>
    <w:tblStylePr w:type="firstRow">
      <w:rPr>
        <w:b/>
        <w:bCs/>
        <w:color w:val="FFFFFF" w:themeColor="background1"/>
      </w:rPr>
      <w:tblPr/>
      <w:tcPr>
        <w:tcBorders>
          <w:top w:val="single" w:sz="4" w:space="0" w:color="5B9BD5" w:themeColor="accent5"/>
          <w:left w:val="single" w:sz="4" w:space="0" w:color="5B9BD5" w:themeColor="accent5"/>
          <w:bottom w:val="single" w:sz="4" w:space="0" w:color="5B9BD5" w:themeColor="accent5"/>
          <w:right w:val="single" w:sz="4" w:space="0" w:color="5B9BD5" w:themeColor="accent5"/>
          <w:insideH w:val="nil"/>
          <w:insideV w:val="nil"/>
        </w:tcBorders>
        <w:shd w:val="clear" w:color="auto" w:fill="5B9BD5" w:themeFill="accent5"/>
      </w:tcPr>
    </w:tblStylePr>
    <w:tblStylePr w:type="lastRow">
      <w:rPr>
        <w:b/>
        <w:bCs/>
      </w:rPr>
      <w:tblPr/>
      <w:tcPr>
        <w:tcBorders>
          <w:top w:val="double" w:sz="4" w:space="0" w:color="5B9BD5" w:themeColor="accent5"/>
        </w:tcBorders>
      </w:tcPr>
    </w:tblStylePr>
    <w:tblStylePr w:type="firstCol">
      <w:rPr>
        <w:b/>
        <w:bCs/>
      </w:rPr>
    </w:tblStylePr>
    <w:tblStylePr w:type="lastCol">
      <w:rPr>
        <w:b/>
        <w:bCs/>
      </w:rPr>
    </w:tblStylePr>
    <w:tblStylePr w:type="band1Vert">
      <w:tblPr/>
      <w:tcPr>
        <w:shd w:val="clear" w:color="auto" w:fill="DEEAF6" w:themeFill="accent5" w:themeFillTint="33"/>
      </w:tcPr>
    </w:tblStylePr>
    <w:tblStylePr w:type="band1Horz">
      <w:tblPr/>
      <w:tcPr>
        <w:shd w:val="clear" w:color="auto" w:fill="DEEAF6" w:themeFill="accent5" w:themeFillTint="33"/>
      </w:tcPr>
    </w:tblStylePr>
  </w:style>
  <w:style w:type="table" w:styleId="GridTable4-Accent6">
    <w:name w:val="Grid Table 4 Accent 6"/>
    <w:basedOn w:val="TableNormal"/>
    <w:uiPriority w:val="49"/>
    <w:rsid w:val="00C10A5B"/>
    <w:pPr>
      <w:spacing w:after="0" w:line="240" w:lineRule="auto"/>
    </w:pPr>
    <w:tblPr>
      <w:tblStyleRowBandSize w:val="1"/>
      <w:tblStyleColBandSize w:val="1"/>
      <w:tblBorders>
        <w:top w:val="single" w:sz="4" w:space="0" w:color="A8D08D" w:themeColor="accent6" w:themeTint="99"/>
        <w:left w:val="single" w:sz="4" w:space="0" w:color="A8D08D" w:themeColor="accent6" w:themeTint="99"/>
        <w:bottom w:val="single" w:sz="4" w:space="0" w:color="A8D08D" w:themeColor="accent6" w:themeTint="99"/>
        <w:right w:val="single" w:sz="4" w:space="0" w:color="A8D08D" w:themeColor="accent6" w:themeTint="99"/>
        <w:insideH w:val="single" w:sz="4" w:space="0" w:color="A8D08D" w:themeColor="accent6" w:themeTint="99"/>
        <w:insideV w:val="single" w:sz="4" w:space="0" w:color="A8D08D" w:themeColor="accent6" w:themeTint="99"/>
      </w:tblBorders>
    </w:tblPr>
    <w:tblStylePr w:type="firstRow">
      <w:rPr>
        <w:b/>
        <w:bCs/>
        <w:color w:val="FFFFFF" w:themeColor="background1"/>
      </w:rPr>
      <w:tblPr/>
      <w:tcPr>
        <w:tcBorders>
          <w:top w:val="single" w:sz="4" w:space="0" w:color="70AD47" w:themeColor="accent6"/>
          <w:left w:val="single" w:sz="4" w:space="0" w:color="70AD47" w:themeColor="accent6"/>
          <w:bottom w:val="single" w:sz="4" w:space="0" w:color="70AD47" w:themeColor="accent6"/>
          <w:right w:val="single" w:sz="4" w:space="0" w:color="70AD47" w:themeColor="accent6"/>
          <w:insideH w:val="nil"/>
          <w:insideV w:val="nil"/>
        </w:tcBorders>
        <w:shd w:val="clear" w:color="auto" w:fill="70AD47" w:themeFill="accent6"/>
      </w:tcPr>
    </w:tblStylePr>
    <w:tblStylePr w:type="lastRow">
      <w:rPr>
        <w:b/>
        <w:bCs/>
      </w:rPr>
      <w:tblPr/>
      <w:tcPr>
        <w:tcBorders>
          <w:top w:val="double" w:sz="4" w:space="0" w:color="70AD47" w:themeColor="accent6"/>
        </w:tcBorders>
      </w:tcPr>
    </w:tblStylePr>
    <w:tblStylePr w:type="firstCol">
      <w:rPr>
        <w:b/>
        <w:bCs/>
      </w:rPr>
    </w:tblStylePr>
    <w:tblStylePr w:type="lastCol">
      <w:rPr>
        <w:b/>
        <w:bCs/>
      </w:rPr>
    </w:tblStylePr>
    <w:tblStylePr w:type="band1Vert">
      <w:tblPr/>
      <w:tcPr>
        <w:shd w:val="clear" w:color="auto" w:fill="E2EFD9" w:themeFill="accent6" w:themeFillTint="33"/>
      </w:tcPr>
    </w:tblStylePr>
    <w:tblStylePr w:type="band1Horz">
      <w:tblPr/>
      <w:tcPr>
        <w:shd w:val="clear" w:color="auto" w:fill="E2EFD9" w:themeFill="accent6" w:themeFillTint="33"/>
      </w:tcPr>
    </w:tblStylePr>
  </w:style>
  <w:style w:type="table" w:styleId="GridTable5Dark">
    <w:name w:val="Grid Table 5 Dark"/>
    <w:basedOn w:val="TableNormal"/>
    <w:uiPriority w:val="50"/>
    <w:rsid w:val="00C10A5B"/>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CCCCCC" w:themeFill="tex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000000" w:themeFill="tex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000000" w:themeFill="tex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000000" w:themeFill="tex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000000" w:themeFill="text1"/>
      </w:tcPr>
    </w:tblStylePr>
    <w:tblStylePr w:type="band1Vert">
      <w:tblPr/>
      <w:tcPr>
        <w:shd w:val="clear" w:color="auto" w:fill="999999" w:themeFill="text1" w:themeFillTint="66"/>
      </w:tcPr>
    </w:tblStylePr>
    <w:tblStylePr w:type="band1Horz">
      <w:tblPr/>
      <w:tcPr>
        <w:shd w:val="clear" w:color="auto" w:fill="999999" w:themeFill="text1" w:themeFillTint="66"/>
      </w:tcPr>
    </w:tblStylePr>
  </w:style>
  <w:style w:type="table" w:styleId="GridTable5Dark-Accent1">
    <w:name w:val="Grid Table 5 Dark Accent 1"/>
    <w:basedOn w:val="TableNormal"/>
    <w:uiPriority w:val="50"/>
    <w:rsid w:val="00C10A5B"/>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9E2F3" w:themeFill="accen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4472C4" w:themeFill="accen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4472C4" w:themeFill="accen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4472C4" w:themeFill="accen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4472C4" w:themeFill="accent1"/>
      </w:tcPr>
    </w:tblStylePr>
    <w:tblStylePr w:type="band1Vert">
      <w:tblPr/>
      <w:tcPr>
        <w:shd w:val="clear" w:color="auto" w:fill="B4C6E7" w:themeFill="accent1" w:themeFillTint="66"/>
      </w:tcPr>
    </w:tblStylePr>
    <w:tblStylePr w:type="band1Horz">
      <w:tblPr/>
      <w:tcPr>
        <w:shd w:val="clear" w:color="auto" w:fill="B4C6E7" w:themeFill="accent1" w:themeFillTint="66"/>
      </w:tcPr>
    </w:tblStylePr>
  </w:style>
  <w:style w:type="table" w:styleId="GridTable5Dark-Accent2">
    <w:name w:val="Grid Table 5 Dark Accent 2"/>
    <w:basedOn w:val="TableNormal"/>
    <w:uiPriority w:val="50"/>
    <w:rsid w:val="00C10A5B"/>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FBE4D5" w:themeFill="accent2"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ED7D31" w:themeFill="accent2"/>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ED7D31" w:themeFill="accent2"/>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ED7D31" w:themeFill="accent2"/>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ED7D31" w:themeFill="accent2"/>
      </w:tcPr>
    </w:tblStylePr>
    <w:tblStylePr w:type="band1Vert">
      <w:tblPr/>
      <w:tcPr>
        <w:shd w:val="clear" w:color="auto" w:fill="F7CAAC" w:themeFill="accent2" w:themeFillTint="66"/>
      </w:tcPr>
    </w:tblStylePr>
    <w:tblStylePr w:type="band1Horz">
      <w:tblPr/>
      <w:tcPr>
        <w:shd w:val="clear" w:color="auto" w:fill="F7CAAC" w:themeFill="accent2" w:themeFillTint="66"/>
      </w:tcPr>
    </w:tblStylePr>
  </w:style>
  <w:style w:type="table" w:styleId="GridTable5Dark-Accent3">
    <w:name w:val="Grid Table 5 Dark Accent 3"/>
    <w:basedOn w:val="TableNormal"/>
    <w:uiPriority w:val="50"/>
    <w:rsid w:val="00C10A5B"/>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EDEDED" w:themeFill="accent3"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A5A5A5" w:themeFill="accent3"/>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A5A5A5" w:themeFill="accent3"/>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A5A5A5" w:themeFill="accent3"/>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A5A5A5" w:themeFill="accent3"/>
      </w:tcPr>
    </w:tblStylePr>
    <w:tblStylePr w:type="band1Vert">
      <w:tblPr/>
      <w:tcPr>
        <w:shd w:val="clear" w:color="auto" w:fill="DBDBDB" w:themeFill="accent3" w:themeFillTint="66"/>
      </w:tcPr>
    </w:tblStylePr>
    <w:tblStylePr w:type="band1Horz">
      <w:tblPr/>
      <w:tcPr>
        <w:shd w:val="clear" w:color="auto" w:fill="DBDBDB" w:themeFill="accent3" w:themeFillTint="66"/>
      </w:tcPr>
    </w:tblStylePr>
  </w:style>
  <w:style w:type="table" w:styleId="GridTable5Dark-Accent4">
    <w:name w:val="Grid Table 5 Dark Accent 4"/>
    <w:basedOn w:val="TableNormal"/>
    <w:uiPriority w:val="50"/>
    <w:rsid w:val="00C10A5B"/>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FFF2CC" w:themeFill="accent4"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FFC000" w:themeFill="accent4"/>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FFC000" w:themeFill="accent4"/>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FFC000" w:themeFill="accent4"/>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FFC000" w:themeFill="accent4"/>
      </w:tcPr>
    </w:tblStylePr>
    <w:tblStylePr w:type="band1Vert">
      <w:tblPr/>
      <w:tcPr>
        <w:shd w:val="clear" w:color="auto" w:fill="FFE599" w:themeFill="accent4" w:themeFillTint="66"/>
      </w:tcPr>
    </w:tblStylePr>
    <w:tblStylePr w:type="band1Horz">
      <w:tblPr/>
      <w:tcPr>
        <w:shd w:val="clear" w:color="auto" w:fill="FFE599" w:themeFill="accent4" w:themeFillTint="66"/>
      </w:tcPr>
    </w:tblStylePr>
  </w:style>
  <w:style w:type="table" w:styleId="GridTable5Dark-Accent5">
    <w:name w:val="Grid Table 5 Dark Accent 5"/>
    <w:basedOn w:val="TableNormal"/>
    <w:uiPriority w:val="50"/>
    <w:rsid w:val="00C10A5B"/>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EEAF6" w:themeFill="accent5"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5B9BD5" w:themeFill="accent5"/>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5B9BD5" w:themeFill="accent5"/>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5B9BD5" w:themeFill="accent5"/>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5B9BD5" w:themeFill="accent5"/>
      </w:tcPr>
    </w:tblStylePr>
    <w:tblStylePr w:type="band1Vert">
      <w:tblPr/>
      <w:tcPr>
        <w:shd w:val="clear" w:color="auto" w:fill="BDD6EE" w:themeFill="accent5" w:themeFillTint="66"/>
      </w:tcPr>
    </w:tblStylePr>
    <w:tblStylePr w:type="band1Horz">
      <w:tblPr/>
      <w:tcPr>
        <w:shd w:val="clear" w:color="auto" w:fill="BDD6EE" w:themeFill="accent5" w:themeFillTint="66"/>
      </w:tcPr>
    </w:tblStylePr>
  </w:style>
  <w:style w:type="table" w:styleId="GridTable5Dark-Accent6">
    <w:name w:val="Grid Table 5 Dark Accent 6"/>
    <w:basedOn w:val="TableNormal"/>
    <w:uiPriority w:val="50"/>
    <w:rsid w:val="00C10A5B"/>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E2EFD9" w:themeFill="accent6"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70AD47" w:themeFill="accent6"/>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70AD47" w:themeFill="accent6"/>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70AD47" w:themeFill="accent6"/>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70AD47" w:themeFill="accent6"/>
      </w:tcPr>
    </w:tblStylePr>
    <w:tblStylePr w:type="band1Vert">
      <w:tblPr/>
      <w:tcPr>
        <w:shd w:val="clear" w:color="auto" w:fill="C5E0B3" w:themeFill="accent6" w:themeFillTint="66"/>
      </w:tcPr>
    </w:tblStylePr>
    <w:tblStylePr w:type="band1Horz">
      <w:tblPr/>
      <w:tcPr>
        <w:shd w:val="clear" w:color="auto" w:fill="C5E0B3" w:themeFill="accent6" w:themeFillTint="66"/>
      </w:tcPr>
    </w:tblStylePr>
  </w:style>
  <w:style w:type="table" w:styleId="GridTable6Colorful">
    <w:name w:val="Grid Table 6 Colorful"/>
    <w:basedOn w:val="TableNormal"/>
    <w:uiPriority w:val="51"/>
    <w:rsid w:val="00C10A5B"/>
    <w:pPr>
      <w:spacing w:after="0" w:line="240" w:lineRule="auto"/>
    </w:pPr>
    <w:rPr>
      <w:color w:val="000000" w:themeColor="text1"/>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bottom w:val="single" w:sz="12" w:space="0" w:color="666666" w:themeColor="text1" w:themeTint="99"/>
        </w:tcBorders>
      </w:tcPr>
    </w:tblStylePr>
    <w:tblStylePr w:type="lastRow">
      <w:rPr>
        <w:b/>
        <w:bCs/>
      </w:rPr>
      <w:tblPr/>
      <w:tcPr>
        <w:tcBorders>
          <w:top w:val="doub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GridTable6Colorful-Accent1">
    <w:name w:val="Grid Table 6 Colorful Accent 1"/>
    <w:basedOn w:val="TableNormal"/>
    <w:uiPriority w:val="51"/>
    <w:rsid w:val="00C10A5B"/>
    <w:pPr>
      <w:spacing w:after="0" w:line="240" w:lineRule="auto"/>
    </w:pPr>
    <w:rPr>
      <w:color w:val="2F5496" w:themeColor="accent1" w:themeShade="BF"/>
    </w:rPr>
    <w:tblPr>
      <w:tblStyleRowBandSize w:val="1"/>
      <w:tblStyleColBandSize w:val="1"/>
      <w:tblBorders>
        <w:top w:val="single" w:sz="4" w:space="0" w:color="8EAADB" w:themeColor="accent1" w:themeTint="99"/>
        <w:left w:val="single" w:sz="4" w:space="0" w:color="8EAADB" w:themeColor="accent1" w:themeTint="99"/>
        <w:bottom w:val="single" w:sz="4" w:space="0" w:color="8EAADB" w:themeColor="accent1" w:themeTint="99"/>
        <w:right w:val="single" w:sz="4" w:space="0" w:color="8EAADB" w:themeColor="accent1" w:themeTint="99"/>
        <w:insideH w:val="single" w:sz="4" w:space="0" w:color="8EAADB" w:themeColor="accent1" w:themeTint="99"/>
        <w:insideV w:val="single" w:sz="4" w:space="0" w:color="8EAADB" w:themeColor="accent1" w:themeTint="99"/>
      </w:tblBorders>
    </w:tblPr>
    <w:tblStylePr w:type="firstRow">
      <w:rPr>
        <w:b/>
        <w:bCs/>
      </w:rPr>
      <w:tblPr/>
      <w:tcPr>
        <w:tcBorders>
          <w:bottom w:val="single" w:sz="12" w:space="0" w:color="8EAADB" w:themeColor="accent1" w:themeTint="99"/>
        </w:tcBorders>
      </w:tcPr>
    </w:tblStylePr>
    <w:tblStylePr w:type="lastRow">
      <w:rPr>
        <w:b/>
        <w:bCs/>
      </w:rPr>
      <w:tblPr/>
      <w:tcPr>
        <w:tcBorders>
          <w:top w:val="double" w:sz="4" w:space="0" w:color="8EAADB" w:themeColor="accent1" w:themeTint="99"/>
        </w:tcBorders>
      </w:tcPr>
    </w:tblStylePr>
    <w:tblStylePr w:type="firstCol">
      <w:rPr>
        <w:b/>
        <w:bCs/>
      </w:rPr>
    </w:tblStylePr>
    <w:tblStylePr w:type="lastCol">
      <w:rPr>
        <w:b/>
        <w:bCs/>
      </w:rPr>
    </w:tblStylePr>
    <w:tblStylePr w:type="band1Vert">
      <w:tblPr/>
      <w:tcPr>
        <w:shd w:val="clear" w:color="auto" w:fill="D9E2F3" w:themeFill="accent1" w:themeFillTint="33"/>
      </w:tcPr>
    </w:tblStylePr>
    <w:tblStylePr w:type="band1Horz">
      <w:tblPr/>
      <w:tcPr>
        <w:shd w:val="clear" w:color="auto" w:fill="D9E2F3" w:themeFill="accent1" w:themeFillTint="33"/>
      </w:tcPr>
    </w:tblStylePr>
  </w:style>
  <w:style w:type="table" w:styleId="GridTable6Colorful-Accent2">
    <w:name w:val="Grid Table 6 Colorful Accent 2"/>
    <w:basedOn w:val="TableNormal"/>
    <w:uiPriority w:val="51"/>
    <w:rsid w:val="00C10A5B"/>
    <w:pPr>
      <w:spacing w:after="0" w:line="240" w:lineRule="auto"/>
    </w:pPr>
    <w:rPr>
      <w:color w:val="C45911" w:themeColor="accent2" w:themeShade="BF"/>
    </w:rPr>
    <w:tblPr>
      <w:tblStyleRowBandSize w:val="1"/>
      <w:tblStyleColBandSize w:val="1"/>
      <w:tblBorders>
        <w:top w:val="single" w:sz="4" w:space="0" w:color="F4B083" w:themeColor="accent2" w:themeTint="99"/>
        <w:left w:val="single" w:sz="4" w:space="0" w:color="F4B083" w:themeColor="accent2" w:themeTint="99"/>
        <w:bottom w:val="single" w:sz="4" w:space="0" w:color="F4B083" w:themeColor="accent2" w:themeTint="99"/>
        <w:right w:val="single" w:sz="4" w:space="0" w:color="F4B083" w:themeColor="accent2" w:themeTint="99"/>
        <w:insideH w:val="single" w:sz="4" w:space="0" w:color="F4B083" w:themeColor="accent2" w:themeTint="99"/>
        <w:insideV w:val="single" w:sz="4" w:space="0" w:color="F4B083" w:themeColor="accent2" w:themeTint="99"/>
      </w:tblBorders>
    </w:tblPr>
    <w:tblStylePr w:type="firstRow">
      <w:rPr>
        <w:b/>
        <w:bCs/>
      </w:rPr>
      <w:tblPr/>
      <w:tcPr>
        <w:tcBorders>
          <w:bottom w:val="single" w:sz="12" w:space="0" w:color="F4B083" w:themeColor="accent2" w:themeTint="99"/>
        </w:tcBorders>
      </w:tcPr>
    </w:tblStylePr>
    <w:tblStylePr w:type="lastRow">
      <w:rPr>
        <w:b/>
        <w:bCs/>
      </w:rPr>
      <w:tblPr/>
      <w:tcPr>
        <w:tcBorders>
          <w:top w:val="double" w:sz="4" w:space="0" w:color="F4B083" w:themeColor="accent2" w:themeTint="99"/>
        </w:tcBorders>
      </w:tcPr>
    </w:tblStylePr>
    <w:tblStylePr w:type="firstCol">
      <w:rPr>
        <w:b/>
        <w:bCs/>
      </w:rPr>
    </w:tblStylePr>
    <w:tblStylePr w:type="lastCol">
      <w:rPr>
        <w:b/>
        <w:bCs/>
      </w:rPr>
    </w:tblStylePr>
    <w:tblStylePr w:type="band1Vert">
      <w:tblPr/>
      <w:tcPr>
        <w:shd w:val="clear" w:color="auto" w:fill="FBE4D5" w:themeFill="accent2" w:themeFillTint="33"/>
      </w:tcPr>
    </w:tblStylePr>
    <w:tblStylePr w:type="band1Horz">
      <w:tblPr/>
      <w:tcPr>
        <w:shd w:val="clear" w:color="auto" w:fill="FBE4D5" w:themeFill="accent2" w:themeFillTint="33"/>
      </w:tcPr>
    </w:tblStylePr>
  </w:style>
  <w:style w:type="table" w:styleId="GridTable6Colorful-Accent3">
    <w:name w:val="Grid Table 6 Colorful Accent 3"/>
    <w:basedOn w:val="TableNormal"/>
    <w:uiPriority w:val="51"/>
    <w:rsid w:val="00C10A5B"/>
    <w:pPr>
      <w:spacing w:after="0" w:line="240" w:lineRule="auto"/>
    </w:pPr>
    <w:rPr>
      <w:color w:val="7B7B7B" w:themeColor="accent3" w:themeShade="BF"/>
    </w:rPr>
    <w:tblPr>
      <w:tblStyleRowBandSize w:val="1"/>
      <w:tblStyleColBandSize w:val="1"/>
      <w:tblBorders>
        <w:top w:val="single" w:sz="4" w:space="0" w:color="C9C9C9" w:themeColor="accent3" w:themeTint="99"/>
        <w:left w:val="single" w:sz="4" w:space="0" w:color="C9C9C9" w:themeColor="accent3" w:themeTint="99"/>
        <w:bottom w:val="single" w:sz="4" w:space="0" w:color="C9C9C9" w:themeColor="accent3" w:themeTint="99"/>
        <w:right w:val="single" w:sz="4" w:space="0" w:color="C9C9C9" w:themeColor="accent3" w:themeTint="99"/>
        <w:insideH w:val="single" w:sz="4" w:space="0" w:color="C9C9C9" w:themeColor="accent3" w:themeTint="99"/>
        <w:insideV w:val="single" w:sz="4" w:space="0" w:color="C9C9C9" w:themeColor="accent3" w:themeTint="99"/>
      </w:tblBorders>
    </w:tblPr>
    <w:tblStylePr w:type="firstRow">
      <w:rPr>
        <w:b/>
        <w:bCs/>
      </w:rPr>
      <w:tblPr/>
      <w:tcPr>
        <w:tcBorders>
          <w:bottom w:val="single" w:sz="12" w:space="0" w:color="C9C9C9" w:themeColor="accent3" w:themeTint="99"/>
        </w:tcBorders>
      </w:tcPr>
    </w:tblStylePr>
    <w:tblStylePr w:type="lastRow">
      <w:rPr>
        <w:b/>
        <w:bCs/>
      </w:rPr>
      <w:tblPr/>
      <w:tcPr>
        <w:tcBorders>
          <w:top w:val="double" w:sz="4" w:space="0" w:color="C9C9C9" w:themeColor="accent3" w:themeTint="99"/>
        </w:tcBorders>
      </w:tcPr>
    </w:tblStylePr>
    <w:tblStylePr w:type="firstCol">
      <w:rPr>
        <w:b/>
        <w:bCs/>
      </w:rPr>
    </w:tblStylePr>
    <w:tblStylePr w:type="lastCol">
      <w:rPr>
        <w:b/>
        <w:bCs/>
      </w:rPr>
    </w:tblStylePr>
    <w:tblStylePr w:type="band1Vert">
      <w:tblPr/>
      <w:tcPr>
        <w:shd w:val="clear" w:color="auto" w:fill="EDEDED" w:themeFill="accent3" w:themeFillTint="33"/>
      </w:tcPr>
    </w:tblStylePr>
    <w:tblStylePr w:type="band1Horz">
      <w:tblPr/>
      <w:tcPr>
        <w:shd w:val="clear" w:color="auto" w:fill="EDEDED" w:themeFill="accent3" w:themeFillTint="33"/>
      </w:tcPr>
    </w:tblStylePr>
  </w:style>
  <w:style w:type="table" w:styleId="GridTable6Colorful-Accent4">
    <w:name w:val="Grid Table 6 Colorful Accent 4"/>
    <w:basedOn w:val="TableNormal"/>
    <w:uiPriority w:val="51"/>
    <w:rsid w:val="00C10A5B"/>
    <w:pPr>
      <w:spacing w:after="0" w:line="240" w:lineRule="auto"/>
    </w:pPr>
    <w:rPr>
      <w:color w:val="BF8F00" w:themeColor="accent4" w:themeShade="BF"/>
    </w:rPr>
    <w:tblPr>
      <w:tblStyleRowBandSize w:val="1"/>
      <w:tblStyleColBandSize w:val="1"/>
      <w:tblBorders>
        <w:top w:val="single" w:sz="4" w:space="0" w:color="FFD966" w:themeColor="accent4" w:themeTint="99"/>
        <w:left w:val="single" w:sz="4" w:space="0" w:color="FFD966" w:themeColor="accent4" w:themeTint="99"/>
        <w:bottom w:val="single" w:sz="4" w:space="0" w:color="FFD966" w:themeColor="accent4" w:themeTint="99"/>
        <w:right w:val="single" w:sz="4" w:space="0" w:color="FFD966" w:themeColor="accent4" w:themeTint="99"/>
        <w:insideH w:val="single" w:sz="4" w:space="0" w:color="FFD966" w:themeColor="accent4" w:themeTint="99"/>
        <w:insideV w:val="single" w:sz="4" w:space="0" w:color="FFD966" w:themeColor="accent4" w:themeTint="99"/>
      </w:tblBorders>
    </w:tblPr>
    <w:tblStylePr w:type="firstRow">
      <w:rPr>
        <w:b/>
        <w:bCs/>
      </w:rPr>
      <w:tblPr/>
      <w:tcPr>
        <w:tcBorders>
          <w:bottom w:val="single" w:sz="12" w:space="0" w:color="FFD966" w:themeColor="accent4" w:themeTint="99"/>
        </w:tcBorders>
      </w:tcPr>
    </w:tblStylePr>
    <w:tblStylePr w:type="lastRow">
      <w:rPr>
        <w:b/>
        <w:bCs/>
      </w:rPr>
      <w:tblPr/>
      <w:tcPr>
        <w:tcBorders>
          <w:top w:val="double" w:sz="4" w:space="0" w:color="FFD966" w:themeColor="accent4" w:themeTint="99"/>
        </w:tcBorders>
      </w:tcPr>
    </w:tblStylePr>
    <w:tblStylePr w:type="firstCol">
      <w:rPr>
        <w:b/>
        <w:bCs/>
      </w:rPr>
    </w:tblStylePr>
    <w:tblStylePr w:type="lastCol">
      <w:rPr>
        <w:b/>
        <w:bCs/>
      </w:rPr>
    </w:tblStylePr>
    <w:tblStylePr w:type="band1Vert">
      <w:tblPr/>
      <w:tcPr>
        <w:shd w:val="clear" w:color="auto" w:fill="FFF2CC" w:themeFill="accent4" w:themeFillTint="33"/>
      </w:tcPr>
    </w:tblStylePr>
    <w:tblStylePr w:type="band1Horz">
      <w:tblPr/>
      <w:tcPr>
        <w:shd w:val="clear" w:color="auto" w:fill="FFF2CC" w:themeFill="accent4" w:themeFillTint="33"/>
      </w:tcPr>
    </w:tblStylePr>
  </w:style>
  <w:style w:type="table" w:styleId="GridTable6Colorful-Accent5">
    <w:name w:val="Grid Table 6 Colorful Accent 5"/>
    <w:basedOn w:val="TableNormal"/>
    <w:uiPriority w:val="51"/>
    <w:rsid w:val="00C10A5B"/>
    <w:pPr>
      <w:spacing w:after="0" w:line="240" w:lineRule="auto"/>
    </w:pPr>
    <w:rPr>
      <w:color w:val="2E74B5" w:themeColor="accent5" w:themeShade="BF"/>
    </w:rPr>
    <w:tblPr>
      <w:tblStyleRowBandSize w:val="1"/>
      <w:tblStyleColBandSize w:val="1"/>
      <w:tblBorders>
        <w:top w:val="single" w:sz="4" w:space="0" w:color="9CC2E5" w:themeColor="accent5" w:themeTint="99"/>
        <w:left w:val="single" w:sz="4" w:space="0" w:color="9CC2E5" w:themeColor="accent5" w:themeTint="99"/>
        <w:bottom w:val="single" w:sz="4" w:space="0" w:color="9CC2E5" w:themeColor="accent5" w:themeTint="99"/>
        <w:right w:val="single" w:sz="4" w:space="0" w:color="9CC2E5" w:themeColor="accent5" w:themeTint="99"/>
        <w:insideH w:val="single" w:sz="4" w:space="0" w:color="9CC2E5" w:themeColor="accent5" w:themeTint="99"/>
        <w:insideV w:val="single" w:sz="4" w:space="0" w:color="9CC2E5" w:themeColor="accent5" w:themeTint="99"/>
      </w:tblBorders>
    </w:tblPr>
    <w:tblStylePr w:type="firstRow">
      <w:rPr>
        <w:b/>
        <w:bCs/>
      </w:rPr>
      <w:tblPr/>
      <w:tcPr>
        <w:tcBorders>
          <w:bottom w:val="single" w:sz="12" w:space="0" w:color="9CC2E5" w:themeColor="accent5" w:themeTint="99"/>
        </w:tcBorders>
      </w:tcPr>
    </w:tblStylePr>
    <w:tblStylePr w:type="lastRow">
      <w:rPr>
        <w:b/>
        <w:bCs/>
      </w:rPr>
      <w:tblPr/>
      <w:tcPr>
        <w:tcBorders>
          <w:top w:val="double" w:sz="4" w:space="0" w:color="9CC2E5" w:themeColor="accent5" w:themeTint="99"/>
        </w:tcBorders>
      </w:tcPr>
    </w:tblStylePr>
    <w:tblStylePr w:type="firstCol">
      <w:rPr>
        <w:b/>
        <w:bCs/>
      </w:rPr>
    </w:tblStylePr>
    <w:tblStylePr w:type="lastCol">
      <w:rPr>
        <w:b/>
        <w:bCs/>
      </w:rPr>
    </w:tblStylePr>
    <w:tblStylePr w:type="band1Vert">
      <w:tblPr/>
      <w:tcPr>
        <w:shd w:val="clear" w:color="auto" w:fill="DEEAF6" w:themeFill="accent5" w:themeFillTint="33"/>
      </w:tcPr>
    </w:tblStylePr>
    <w:tblStylePr w:type="band1Horz">
      <w:tblPr/>
      <w:tcPr>
        <w:shd w:val="clear" w:color="auto" w:fill="DEEAF6" w:themeFill="accent5" w:themeFillTint="33"/>
      </w:tcPr>
    </w:tblStylePr>
  </w:style>
  <w:style w:type="table" w:styleId="GridTable6Colorful-Accent6">
    <w:name w:val="Grid Table 6 Colorful Accent 6"/>
    <w:basedOn w:val="TableNormal"/>
    <w:uiPriority w:val="51"/>
    <w:rsid w:val="00C10A5B"/>
    <w:pPr>
      <w:spacing w:after="0" w:line="240" w:lineRule="auto"/>
    </w:pPr>
    <w:rPr>
      <w:color w:val="538135" w:themeColor="accent6" w:themeShade="BF"/>
    </w:rPr>
    <w:tblPr>
      <w:tblStyleRowBandSize w:val="1"/>
      <w:tblStyleColBandSize w:val="1"/>
      <w:tblBorders>
        <w:top w:val="single" w:sz="4" w:space="0" w:color="A8D08D" w:themeColor="accent6" w:themeTint="99"/>
        <w:left w:val="single" w:sz="4" w:space="0" w:color="A8D08D" w:themeColor="accent6" w:themeTint="99"/>
        <w:bottom w:val="single" w:sz="4" w:space="0" w:color="A8D08D" w:themeColor="accent6" w:themeTint="99"/>
        <w:right w:val="single" w:sz="4" w:space="0" w:color="A8D08D" w:themeColor="accent6" w:themeTint="99"/>
        <w:insideH w:val="single" w:sz="4" w:space="0" w:color="A8D08D" w:themeColor="accent6" w:themeTint="99"/>
        <w:insideV w:val="single" w:sz="4" w:space="0" w:color="A8D08D" w:themeColor="accent6" w:themeTint="99"/>
      </w:tblBorders>
    </w:tblPr>
    <w:tblStylePr w:type="firstRow">
      <w:rPr>
        <w:b/>
        <w:bCs/>
      </w:rPr>
      <w:tblPr/>
      <w:tcPr>
        <w:tcBorders>
          <w:bottom w:val="single" w:sz="12" w:space="0" w:color="A8D08D" w:themeColor="accent6" w:themeTint="99"/>
        </w:tcBorders>
      </w:tcPr>
    </w:tblStylePr>
    <w:tblStylePr w:type="lastRow">
      <w:rPr>
        <w:b/>
        <w:bCs/>
      </w:rPr>
      <w:tblPr/>
      <w:tcPr>
        <w:tcBorders>
          <w:top w:val="double" w:sz="4" w:space="0" w:color="A8D08D" w:themeColor="accent6" w:themeTint="99"/>
        </w:tcBorders>
      </w:tcPr>
    </w:tblStylePr>
    <w:tblStylePr w:type="firstCol">
      <w:rPr>
        <w:b/>
        <w:bCs/>
      </w:rPr>
    </w:tblStylePr>
    <w:tblStylePr w:type="lastCol">
      <w:rPr>
        <w:b/>
        <w:bCs/>
      </w:rPr>
    </w:tblStylePr>
    <w:tblStylePr w:type="band1Vert">
      <w:tblPr/>
      <w:tcPr>
        <w:shd w:val="clear" w:color="auto" w:fill="E2EFD9" w:themeFill="accent6" w:themeFillTint="33"/>
      </w:tcPr>
    </w:tblStylePr>
    <w:tblStylePr w:type="band1Horz">
      <w:tblPr/>
      <w:tcPr>
        <w:shd w:val="clear" w:color="auto" w:fill="E2EFD9" w:themeFill="accent6" w:themeFillTint="33"/>
      </w:tcPr>
    </w:tblStylePr>
  </w:style>
  <w:style w:type="table" w:styleId="GridTable7Colorful">
    <w:name w:val="Grid Table 7 Colorful"/>
    <w:basedOn w:val="TableNormal"/>
    <w:uiPriority w:val="52"/>
    <w:rsid w:val="00C10A5B"/>
    <w:pPr>
      <w:spacing w:after="0" w:line="240" w:lineRule="auto"/>
    </w:pPr>
    <w:rPr>
      <w:color w:val="000000" w:themeColor="text1"/>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bottom w:val="single" w:sz="4" w:space="0" w:color="666666" w:themeColor="text1" w:themeTint="99"/>
        </w:tcBorders>
      </w:tcPr>
    </w:tblStylePr>
    <w:tblStylePr w:type="nwCell">
      <w:tblPr/>
      <w:tcPr>
        <w:tcBorders>
          <w:bottom w:val="single" w:sz="4" w:space="0" w:color="666666" w:themeColor="text1" w:themeTint="99"/>
        </w:tcBorders>
      </w:tcPr>
    </w:tblStylePr>
    <w:tblStylePr w:type="seCell">
      <w:tblPr/>
      <w:tcPr>
        <w:tcBorders>
          <w:top w:val="single" w:sz="4" w:space="0" w:color="666666" w:themeColor="text1" w:themeTint="99"/>
        </w:tcBorders>
      </w:tcPr>
    </w:tblStylePr>
    <w:tblStylePr w:type="swCell">
      <w:tblPr/>
      <w:tcPr>
        <w:tcBorders>
          <w:top w:val="single" w:sz="4" w:space="0" w:color="666666" w:themeColor="text1" w:themeTint="99"/>
        </w:tcBorders>
      </w:tcPr>
    </w:tblStylePr>
  </w:style>
  <w:style w:type="table" w:styleId="GridTable7Colorful-Accent1">
    <w:name w:val="Grid Table 7 Colorful Accent 1"/>
    <w:basedOn w:val="TableNormal"/>
    <w:uiPriority w:val="52"/>
    <w:rsid w:val="00C10A5B"/>
    <w:pPr>
      <w:spacing w:after="0" w:line="240" w:lineRule="auto"/>
    </w:pPr>
    <w:rPr>
      <w:color w:val="2F5496" w:themeColor="accent1" w:themeShade="BF"/>
    </w:rPr>
    <w:tblPr>
      <w:tblStyleRowBandSize w:val="1"/>
      <w:tblStyleColBandSize w:val="1"/>
      <w:tblBorders>
        <w:top w:val="single" w:sz="4" w:space="0" w:color="8EAADB" w:themeColor="accent1" w:themeTint="99"/>
        <w:left w:val="single" w:sz="4" w:space="0" w:color="8EAADB" w:themeColor="accent1" w:themeTint="99"/>
        <w:bottom w:val="single" w:sz="4" w:space="0" w:color="8EAADB" w:themeColor="accent1" w:themeTint="99"/>
        <w:right w:val="single" w:sz="4" w:space="0" w:color="8EAADB" w:themeColor="accent1" w:themeTint="99"/>
        <w:insideH w:val="single" w:sz="4" w:space="0" w:color="8EAADB" w:themeColor="accent1" w:themeTint="99"/>
        <w:insideV w:val="single" w:sz="4" w:space="0" w:color="8EAADB" w:themeColor="accen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9E2F3" w:themeFill="accent1" w:themeFillTint="33"/>
      </w:tcPr>
    </w:tblStylePr>
    <w:tblStylePr w:type="band1Horz">
      <w:tblPr/>
      <w:tcPr>
        <w:shd w:val="clear" w:color="auto" w:fill="D9E2F3" w:themeFill="accent1" w:themeFillTint="33"/>
      </w:tcPr>
    </w:tblStylePr>
    <w:tblStylePr w:type="neCell">
      <w:tblPr/>
      <w:tcPr>
        <w:tcBorders>
          <w:bottom w:val="single" w:sz="4" w:space="0" w:color="8EAADB" w:themeColor="accent1" w:themeTint="99"/>
        </w:tcBorders>
      </w:tcPr>
    </w:tblStylePr>
    <w:tblStylePr w:type="nwCell">
      <w:tblPr/>
      <w:tcPr>
        <w:tcBorders>
          <w:bottom w:val="single" w:sz="4" w:space="0" w:color="8EAADB" w:themeColor="accent1" w:themeTint="99"/>
        </w:tcBorders>
      </w:tcPr>
    </w:tblStylePr>
    <w:tblStylePr w:type="seCell">
      <w:tblPr/>
      <w:tcPr>
        <w:tcBorders>
          <w:top w:val="single" w:sz="4" w:space="0" w:color="8EAADB" w:themeColor="accent1" w:themeTint="99"/>
        </w:tcBorders>
      </w:tcPr>
    </w:tblStylePr>
    <w:tblStylePr w:type="swCell">
      <w:tblPr/>
      <w:tcPr>
        <w:tcBorders>
          <w:top w:val="single" w:sz="4" w:space="0" w:color="8EAADB" w:themeColor="accent1" w:themeTint="99"/>
        </w:tcBorders>
      </w:tcPr>
    </w:tblStylePr>
  </w:style>
  <w:style w:type="table" w:styleId="GridTable7Colorful-Accent2">
    <w:name w:val="Grid Table 7 Colorful Accent 2"/>
    <w:basedOn w:val="TableNormal"/>
    <w:uiPriority w:val="52"/>
    <w:rsid w:val="00C10A5B"/>
    <w:pPr>
      <w:spacing w:after="0" w:line="240" w:lineRule="auto"/>
    </w:pPr>
    <w:rPr>
      <w:color w:val="C45911" w:themeColor="accent2" w:themeShade="BF"/>
    </w:rPr>
    <w:tblPr>
      <w:tblStyleRowBandSize w:val="1"/>
      <w:tblStyleColBandSize w:val="1"/>
      <w:tblBorders>
        <w:top w:val="single" w:sz="4" w:space="0" w:color="F4B083" w:themeColor="accent2" w:themeTint="99"/>
        <w:left w:val="single" w:sz="4" w:space="0" w:color="F4B083" w:themeColor="accent2" w:themeTint="99"/>
        <w:bottom w:val="single" w:sz="4" w:space="0" w:color="F4B083" w:themeColor="accent2" w:themeTint="99"/>
        <w:right w:val="single" w:sz="4" w:space="0" w:color="F4B083" w:themeColor="accent2" w:themeTint="99"/>
        <w:insideH w:val="single" w:sz="4" w:space="0" w:color="F4B083" w:themeColor="accent2" w:themeTint="99"/>
        <w:insideV w:val="single" w:sz="4" w:space="0" w:color="F4B083" w:themeColor="accent2"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BE4D5" w:themeFill="accent2" w:themeFillTint="33"/>
      </w:tcPr>
    </w:tblStylePr>
    <w:tblStylePr w:type="band1Horz">
      <w:tblPr/>
      <w:tcPr>
        <w:shd w:val="clear" w:color="auto" w:fill="FBE4D5" w:themeFill="accent2" w:themeFillTint="33"/>
      </w:tcPr>
    </w:tblStylePr>
    <w:tblStylePr w:type="neCell">
      <w:tblPr/>
      <w:tcPr>
        <w:tcBorders>
          <w:bottom w:val="single" w:sz="4" w:space="0" w:color="F4B083" w:themeColor="accent2" w:themeTint="99"/>
        </w:tcBorders>
      </w:tcPr>
    </w:tblStylePr>
    <w:tblStylePr w:type="nwCell">
      <w:tblPr/>
      <w:tcPr>
        <w:tcBorders>
          <w:bottom w:val="single" w:sz="4" w:space="0" w:color="F4B083" w:themeColor="accent2" w:themeTint="99"/>
        </w:tcBorders>
      </w:tcPr>
    </w:tblStylePr>
    <w:tblStylePr w:type="seCell">
      <w:tblPr/>
      <w:tcPr>
        <w:tcBorders>
          <w:top w:val="single" w:sz="4" w:space="0" w:color="F4B083" w:themeColor="accent2" w:themeTint="99"/>
        </w:tcBorders>
      </w:tcPr>
    </w:tblStylePr>
    <w:tblStylePr w:type="swCell">
      <w:tblPr/>
      <w:tcPr>
        <w:tcBorders>
          <w:top w:val="single" w:sz="4" w:space="0" w:color="F4B083" w:themeColor="accent2" w:themeTint="99"/>
        </w:tcBorders>
      </w:tcPr>
    </w:tblStylePr>
  </w:style>
  <w:style w:type="table" w:styleId="GridTable7Colorful-Accent3">
    <w:name w:val="Grid Table 7 Colorful Accent 3"/>
    <w:basedOn w:val="TableNormal"/>
    <w:uiPriority w:val="52"/>
    <w:rsid w:val="00C10A5B"/>
    <w:pPr>
      <w:spacing w:after="0" w:line="240" w:lineRule="auto"/>
    </w:pPr>
    <w:rPr>
      <w:color w:val="7B7B7B" w:themeColor="accent3" w:themeShade="BF"/>
    </w:rPr>
    <w:tblPr>
      <w:tblStyleRowBandSize w:val="1"/>
      <w:tblStyleColBandSize w:val="1"/>
      <w:tblBorders>
        <w:top w:val="single" w:sz="4" w:space="0" w:color="C9C9C9" w:themeColor="accent3" w:themeTint="99"/>
        <w:left w:val="single" w:sz="4" w:space="0" w:color="C9C9C9" w:themeColor="accent3" w:themeTint="99"/>
        <w:bottom w:val="single" w:sz="4" w:space="0" w:color="C9C9C9" w:themeColor="accent3" w:themeTint="99"/>
        <w:right w:val="single" w:sz="4" w:space="0" w:color="C9C9C9" w:themeColor="accent3" w:themeTint="99"/>
        <w:insideH w:val="single" w:sz="4" w:space="0" w:color="C9C9C9" w:themeColor="accent3" w:themeTint="99"/>
        <w:insideV w:val="single" w:sz="4" w:space="0" w:color="C9C9C9" w:themeColor="accent3"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DEDED" w:themeFill="accent3" w:themeFillTint="33"/>
      </w:tcPr>
    </w:tblStylePr>
    <w:tblStylePr w:type="band1Horz">
      <w:tblPr/>
      <w:tcPr>
        <w:shd w:val="clear" w:color="auto" w:fill="EDEDED" w:themeFill="accent3" w:themeFillTint="33"/>
      </w:tcPr>
    </w:tblStylePr>
    <w:tblStylePr w:type="neCell">
      <w:tblPr/>
      <w:tcPr>
        <w:tcBorders>
          <w:bottom w:val="single" w:sz="4" w:space="0" w:color="C9C9C9" w:themeColor="accent3" w:themeTint="99"/>
        </w:tcBorders>
      </w:tcPr>
    </w:tblStylePr>
    <w:tblStylePr w:type="nwCell">
      <w:tblPr/>
      <w:tcPr>
        <w:tcBorders>
          <w:bottom w:val="single" w:sz="4" w:space="0" w:color="C9C9C9" w:themeColor="accent3" w:themeTint="99"/>
        </w:tcBorders>
      </w:tcPr>
    </w:tblStylePr>
    <w:tblStylePr w:type="seCell">
      <w:tblPr/>
      <w:tcPr>
        <w:tcBorders>
          <w:top w:val="single" w:sz="4" w:space="0" w:color="C9C9C9" w:themeColor="accent3" w:themeTint="99"/>
        </w:tcBorders>
      </w:tcPr>
    </w:tblStylePr>
    <w:tblStylePr w:type="swCell">
      <w:tblPr/>
      <w:tcPr>
        <w:tcBorders>
          <w:top w:val="single" w:sz="4" w:space="0" w:color="C9C9C9" w:themeColor="accent3" w:themeTint="99"/>
        </w:tcBorders>
      </w:tcPr>
    </w:tblStylePr>
  </w:style>
  <w:style w:type="table" w:styleId="GridTable7Colorful-Accent4">
    <w:name w:val="Grid Table 7 Colorful Accent 4"/>
    <w:basedOn w:val="TableNormal"/>
    <w:uiPriority w:val="52"/>
    <w:rsid w:val="00C10A5B"/>
    <w:pPr>
      <w:spacing w:after="0" w:line="240" w:lineRule="auto"/>
    </w:pPr>
    <w:rPr>
      <w:color w:val="BF8F00" w:themeColor="accent4" w:themeShade="BF"/>
    </w:rPr>
    <w:tblPr>
      <w:tblStyleRowBandSize w:val="1"/>
      <w:tblStyleColBandSize w:val="1"/>
      <w:tblBorders>
        <w:top w:val="single" w:sz="4" w:space="0" w:color="FFD966" w:themeColor="accent4" w:themeTint="99"/>
        <w:left w:val="single" w:sz="4" w:space="0" w:color="FFD966" w:themeColor="accent4" w:themeTint="99"/>
        <w:bottom w:val="single" w:sz="4" w:space="0" w:color="FFD966" w:themeColor="accent4" w:themeTint="99"/>
        <w:right w:val="single" w:sz="4" w:space="0" w:color="FFD966" w:themeColor="accent4" w:themeTint="99"/>
        <w:insideH w:val="single" w:sz="4" w:space="0" w:color="FFD966" w:themeColor="accent4" w:themeTint="99"/>
        <w:insideV w:val="single" w:sz="4" w:space="0" w:color="FFD966" w:themeColor="accent4"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FF2CC" w:themeFill="accent4" w:themeFillTint="33"/>
      </w:tcPr>
    </w:tblStylePr>
    <w:tblStylePr w:type="band1Horz">
      <w:tblPr/>
      <w:tcPr>
        <w:shd w:val="clear" w:color="auto" w:fill="FFF2CC" w:themeFill="accent4" w:themeFillTint="33"/>
      </w:tcPr>
    </w:tblStylePr>
    <w:tblStylePr w:type="neCell">
      <w:tblPr/>
      <w:tcPr>
        <w:tcBorders>
          <w:bottom w:val="single" w:sz="4" w:space="0" w:color="FFD966" w:themeColor="accent4" w:themeTint="99"/>
        </w:tcBorders>
      </w:tcPr>
    </w:tblStylePr>
    <w:tblStylePr w:type="nwCell">
      <w:tblPr/>
      <w:tcPr>
        <w:tcBorders>
          <w:bottom w:val="single" w:sz="4" w:space="0" w:color="FFD966" w:themeColor="accent4" w:themeTint="99"/>
        </w:tcBorders>
      </w:tcPr>
    </w:tblStylePr>
    <w:tblStylePr w:type="seCell">
      <w:tblPr/>
      <w:tcPr>
        <w:tcBorders>
          <w:top w:val="single" w:sz="4" w:space="0" w:color="FFD966" w:themeColor="accent4" w:themeTint="99"/>
        </w:tcBorders>
      </w:tcPr>
    </w:tblStylePr>
    <w:tblStylePr w:type="swCell">
      <w:tblPr/>
      <w:tcPr>
        <w:tcBorders>
          <w:top w:val="single" w:sz="4" w:space="0" w:color="FFD966" w:themeColor="accent4" w:themeTint="99"/>
        </w:tcBorders>
      </w:tcPr>
    </w:tblStylePr>
  </w:style>
  <w:style w:type="table" w:styleId="GridTable7Colorful-Accent5">
    <w:name w:val="Grid Table 7 Colorful Accent 5"/>
    <w:basedOn w:val="TableNormal"/>
    <w:uiPriority w:val="52"/>
    <w:rsid w:val="00C10A5B"/>
    <w:pPr>
      <w:spacing w:after="0" w:line="240" w:lineRule="auto"/>
    </w:pPr>
    <w:rPr>
      <w:color w:val="2E74B5" w:themeColor="accent5" w:themeShade="BF"/>
    </w:rPr>
    <w:tblPr>
      <w:tblStyleRowBandSize w:val="1"/>
      <w:tblStyleColBandSize w:val="1"/>
      <w:tblBorders>
        <w:top w:val="single" w:sz="4" w:space="0" w:color="9CC2E5" w:themeColor="accent5" w:themeTint="99"/>
        <w:left w:val="single" w:sz="4" w:space="0" w:color="9CC2E5" w:themeColor="accent5" w:themeTint="99"/>
        <w:bottom w:val="single" w:sz="4" w:space="0" w:color="9CC2E5" w:themeColor="accent5" w:themeTint="99"/>
        <w:right w:val="single" w:sz="4" w:space="0" w:color="9CC2E5" w:themeColor="accent5" w:themeTint="99"/>
        <w:insideH w:val="single" w:sz="4" w:space="0" w:color="9CC2E5" w:themeColor="accent5" w:themeTint="99"/>
        <w:insideV w:val="single" w:sz="4" w:space="0" w:color="9CC2E5" w:themeColor="accent5"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EEAF6" w:themeFill="accent5" w:themeFillTint="33"/>
      </w:tcPr>
    </w:tblStylePr>
    <w:tblStylePr w:type="band1Horz">
      <w:tblPr/>
      <w:tcPr>
        <w:shd w:val="clear" w:color="auto" w:fill="DEEAF6" w:themeFill="accent5" w:themeFillTint="33"/>
      </w:tcPr>
    </w:tblStylePr>
    <w:tblStylePr w:type="neCell">
      <w:tblPr/>
      <w:tcPr>
        <w:tcBorders>
          <w:bottom w:val="single" w:sz="4" w:space="0" w:color="9CC2E5" w:themeColor="accent5" w:themeTint="99"/>
        </w:tcBorders>
      </w:tcPr>
    </w:tblStylePr>
    <w:tblStylePr w:type="nwCell">
      <w:tblPr/>
      <w:tcPr>
        <w:tcBorders>
          <w:bottom w:val="single" w:sz="4" w:space="0" w:color="9CC2E5" w:themeColor="accent5" w:themeTint="99"/>
        </w:tcBorders>
      </w:tcPr>
    </w:tblStylePr>
    <w:tblStylePr w:type="seCell">
      <w:tblPr/>
      <w:tcPr>
        <w:tcBorders>
          <w:top w:val="single" w:sz="4" w:space="0" w:color="9CC2E5" w:themeColor="accent5" w:themeTint="99"/>
        </w:tcBorders>
      </w:tcPr>
    </w:tblStylePr>
    <w:tblStylePr w:type="swCell">
      <w:tblPr/>
      <w:tcPr>
        <w:tcBorders>
          <w:top w:val="single" w:sz="4" w:space="0" w:color="9CC2E5" w:themeColor="accent5" w:themeTint="99"/>
        </w:tcBorders>
      </w:tcPr>
    </w:tblStylePr>
  </w:style>
  <w:style w:type="table" w:styleId="GridTable7Colorful-Accent6">
    <w:name w:val="Grid Table 7 Colorful Accent 6"/>
    <w:basedOn w:val="TableNormal"/>
    <w:uiPriority w:val="52"/>
    <w:rsid w:val="00C10A5B"/>
    <w:pPr>
      <w:spacing w:after="0" w:line="240" w:lineRule="auto"/>
    </w:pPr>
    <w:rPr>
      <w:color w:val="538135" w:themeColor="accent6" w:themeShade="BF"/>
    </w:rPr>
    <w:tblPr>
      <w:tblStyleRowBandSize w:val="1"/>
      <w:tblStyleColBandSize w:val="1"/>
      <w:tblBorders>
        <w:top w:val="single" w:sz="4" w:space="0" w:color="A8D08D" w:themeColor="accent6" w:themeTint="99"/>
        <w:left w:val="single" w:sz="4" w:space="0" w:color="A8D08D" w:themeColor="accent6" w:themeTint="99"/>
        <w:bottom w:val="single" w:sz="4" w:space="0" w:color="A8D08D" w:themeColor="accent6" w:themeTint="99"/>
        <w:right w:val="single" w:sz="4" w:space="0" w:color="A8D08D" w:themeColor="accent6" w:themeTint="99"/>
        <w:insideH w:val="single" w:sz="4" w:space="0" w:color="A8D08D" w:themeColor="accent6" w:themeTint="99"/>
        <w:insideV w:val="single" w:sz="4" w:space="0" w:color="A8D08D"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2EFD9" w:themeFill="accent6" w:themeFillTint="33"/>
      </w:tcPr>
    </w:tblStylePr>
    <w:tblStylePr w:type="band1Horz">
      <w:tblPr/>
      <w:tcPr>
        <w:shd w:val="clear" w:color="auto" w:fill="E2EFD9" w:themeFill="accent6" w:themeFillTint="33"/>
      </w:tcPr>
    </w:tblStylePr>
    <w:tblStylePr w:type="neCell">
      <w:tblPr/>
      <w:tcPr>
        <w:tcBorders>
          <w:bottom w:val="single" w:sz="4" w:space="0" w:color="A8D08D" w:themeColor="accent6" w:themeTint="99"/>
        </w:tcBorders>
      </w:tcPr>
    </w:tblStylePr>
    <w:tblStylePr w:type="nwCell">
      <w:tblPr/>
      <w:tcPr>
        <w:tcBorders>
          <w:bottom w:val="single" w:sz="4" w:space="0" w:color="A8D08D" w:themeColor="accent6" w:themeTint="99"/>
        </w:tcBorders>
      </w:tcPr>
    </w:tblStylePr>
    <w:tblStylePr w:type="seCell">
      <w:tblPr/>
      <w:tcPr>
        <w:tcBorders>
          <w:top w:val="single" w:sz="4" w:space="0" w:color="A8D08D" w:themeColor="accent6" w:themeTint="99"/>
        </w:tcBorders>
      </w:tcPr>
    </w:tblStylePr>
    <w:tblStylePr w:type="swCell">
      <w:tblPr/>
      <w:tcPr>
        <w:tcBorders>
          <w:top w:val="single" w:sz="4" w:space="0" w:color="A8D08D" w:themeColor="accent6" w:themeTint="99"/>
        </w:tcBorders>
      </w:tcPr>
    </w:tblStylePr>
  </w:style>
  <w:style w:type="character" w:styleId="Hashtag">
    <w:name w:val="Hashtag"/>
    <w:basedOn w:val="DefaultParagraphFont"/>
    <w:uiPriority w:val="99"/>
    <w:semiHidden/>
    <w:unhideWhenUsed/>
    <w:rsid w:val="00C10A5B"/>
    <w:rPr>
      <w:color w:val="2B579A"/>
      <w:shd w:val="clear" w:color="auto" w:fill="E1DFDD"/>
      <w:lang w:val="en-GB"/>
    </w:rPr>
  </w:style>
  <w:style w:type="character" w:styleId="HTMLAcronym">
    <w:name w:val="HTML Acronym"/>
    <w:basedOn w:val="DefaultParagraphFont"/>
    <w:uiPriority w:val="99"/>
    <w:semiHidden/>
    <w:unhideWhenUsed/>
    <w:rsid w:val="00C10A5B"/>
    <w:rPr>
      <w:lang w:val="en-GB"/>
    </w:rPr>
  </w:style>
  <w:style w:type="paragraph" w:styleId="HTMLAddress">
    <w:name w:val="HTML Address"/>
    <w:basedOn w:val="Normal"/>
    <w:link w:val="HTMLAddressChar"/>
    <w:uiPriority w:val="99"/>
    <w:semiHidden/>
    <w:unhideWhenUsed/>
    <w:rsid w:val="00C10A5B"/>
    <w:rPr>
      <w:i/>
      <w:iCs/>
    </w:rPr>
  </w:style>
  <w:style w:type="character" w:customStyle="1" w:styleId="HTMLAddressChar">
    <w:name w:val="HTML Address Char"/>
    <w:basedOn w:val="DefaultParagraphFont"/>
    <w:link w:val="HTMLAddress"/>
    <w:uiPriority w:val="99"/>
    <w:semiHidden/>
    <w:rsid w:val="00C10A5B"/>
    <w:rPr>
      <w:rFonts w:ascii="Times New Roman" w:eastAsia="SimSun" w:hAnsi="Times New Roman" w:cs="Times New Roman"/>
      <w:i/>
      <w:iCs/>
      <w:kern w:val="0"/>
      <w:lang w:val="en-GB"/>
      <w14:ligatures w14:val="none"/>
    </w:rPr>
  </w:style>
  <w:style w:type="character" w:styleId="HTMLCite">
    <w:name w:val="HTML Cite"/>
    <w:basedOn w:val="DefaultParagraphFont"/>
    <w:uiPriority w:val="99"/>
    <w:semiHidden/>
    <w:unhideWhenUsed/>
    <w:rsid w:val="00C10A5B"/>
    <w:rPr>
      <w:i/>
      <w:iCs/>
      <w:lang w:val="en-GB"/>
    </w:rPr>
  </w:style>
  <w:style w:type="character" w:styleId="HTMLCode">
    <w:name w:val="HTML Code"/>
    <w:basedOn w:val="DefaultParagraphFont"/>
    <w:uiPriority w:val="99"/>
    <w:semiHidden/>
    <w:unhideWhenUsed/>
    <w:rsid w:val="00C10A5B"/>
    <w:rPr>
      <w:rFonts w:ascii="Consolas" w:hAnsi="Consolas"/>
      <w:sz w:val="20"/>
      <w:szCs w:val="20"/>
      <w:lang w:val="en-GB"/>
    </w:rPr>
  </w:style>
  <w:style w:type="character" w:styleId="HTMLDefinition">
    <w:name w:val="HTML Definition"/>
    <w:basedOn w:val="DefaultParagraphFont"/>
    <w:uiPriority w:val="99"/>
    <w:semiHidden/>
    <w:unhideWhenUsed/>
    <w:rsid w:val="00C10A5B"/>
    <w:rPr>
      <w:i/>
      <w:iCs/>
      <w:lang w:val="en-GB"/>
    </w:rPr>
  </w:style>
  <w:style w:type="character" w:styleId="HTMLKeyboard">
    <w:name w:val="HTML Keyboard"/>
    <w:basedOn w:val="DefaultParagraphFont"/>
    <w:uiPriority w:val="99"/>
    <w:semiHidden/>
    <w:unhideWhenUsed/>
    <w:rsid w:val="00C10A5B"/>
    <w:rPr>
      <w:rFonts w:ascii="Consolas" w:hAnsi="Consolas"/>
      <w:sz w:val="20"/>
      <w:szCs w:val="20"/>
      <w:lang w:val="en-GB"/>
    </w:rPr>
  </w:style>
  <w:style w:type="paragraph" w:styleId="HTMLPreformatted">
    <w:name w:val="HTML Preformatted"/>
    <w:basedOn w:val="Normal"/>
    <w:link w:val="HTMLPreformattedChar"/>
    <w:uiPriority w:val="99"/>
    <w:semiHidden/>
    <w:unhideWhenUsed/>
    <w:rsid w:val="00C10A5B"/>
    <w:rPr>
      <w:rFonts w:ascii="Consolas" w:hAnsi="Consolas"/>
      <w:sz w:val="20"/>
      <w:szCs w:val="20"/>
    </w:rPr>
  </w:style>
  <w:style w:type="character" w:customStyle="1" w:styleId="HTMLPreformattedChar">
    <w:name w:val="HTML Preformatted Char"/>
    <w:basedOn w:val="DefaultParagraphFont"/>
    <w:link w:val="HTMLPreformatted"/>
    <w:uiPriority w:val="99"/>
    <w:semiHidden/>
    <w:rsid w:val="00C10A5B"/>
    <w:rPr>
      <w:rFonts w:ascii="Consolas" w:eastAsia="SimSun" w:hAnsi="Consolas" w:cs="Times New Roman"/>
      <w:kern w:val="0"/>
      <w:sz w:val="20"/>
      <w:szCs w:val="20"/>
      <w:lang w:val="en-GB"/>
      <w14:ligatures w14:val="none"/>
    </w:rPr>
  </w:style>
  <w:style w:type="character" w:styleId="HTMLSample">
    <w:name w:val="HTML Sample"/>
    <w:basedOn w:val="DefaultParagraphFont"/>
    <w:uiPriority w:val="99"/>
    <w:semiHidden/>
    <w:unhideWhenUsed/>
    <w:rsid w:val="00C10A5B"/>
    <w:rPr>
      <w:rFonts w:ascii="Consolas" w:hAnsi="Consolas"/>
      <w:sz w:val="24"/>
      <w:szCs w:val="24"/>
      <w:lang w:val="en-GB"/>
    </w:rPr>
  </w:style>
  <w:style w:type="character" w:styleId="HTMLTypewriter">
    <w:name w:val="HTML Typewriter"/>
    <w:basedOn w:val="DefaultParagraphFont"/>
    <w:uiPriority w:val="99"/>
    <w:semiHidden/>
    <w:unhideWhenUsed/>
    <w:rsid w:val="00C10A5B"/>
    <w:rPr>
      <w:rFonts w:ascii="Consolas" w:hAnsi="Consolas"/>
      <w:sz w:val="20"/>
      <w:szCs w:val="20"/>
      <w:lang w:val="en-GB"/>
    </w:rPr>
  </w:style>
  <w:style w:type="character" w:styleId="HTMLVariable">
    <w:name w:val="HTML Variable"/>
    <w:basedOn w:val="DefaultParagraphFont"/>
    <w:uiPriority w:val="99"/>
    <w:semiHidden/>
    <w:unhideWhenUsed/>
    <w:rsid w:val="00C10A5B"/>
    <w:rPr>
      <w:i/>
      <w:iCs/>
      <w:lang w:val="en-GB"/>
    </w:rPr>
  </w:style>
  <w:style w:type="paragraph" w:styleId="Index1">
    <w:name w:val="index 1"/>
    <w:basedOn w:val="Normal"/>
    <w:next w:val="Normal"/>
    <w:autoRedefine/>
    <w:uiPriority w:val="99"/>
    <w:semiHidden/>
    <w:unhideWhenUsed/>
    <w:rsid w:val="00C10A5B"/>
    <w:pPr>
      <w:tabs>
        <w:tab w:val="clear" w:pos="567"/>
        <w:tab w:val="clear" w:pos="1134"/>
        <w:tab w:val="clear" w:pos="1701"/>
        <w:tab w:val="clear" w:pos="2268"/>
      </w:tabs>
      <w:ind w:left="220" w:hanging="220"/>
    </w:pPr>
  </w:style>
  <w:style w:type="paragraph" w:styleId="Index2">
    <w:name w:val="index 2"/>
    <w:basedOn w:val="Normal"/>
    <w:next w:val="Normal"/>
    <w:autoRedefine/>
    <w:uiPriority w:val="99"/>
    <w:semiHidden/>
    <w:unhideWhenUsed/>
    <w:rsid w:val="00C10A5B"/>
    <w:pPr>
      <w:tabs>
        <w:tab w:val="clear" w:pos="567"/>
        <w:tab w:val="clear" w:pos="1134"/>
        <w:tab w:val="clear" w:pos="1701"/>
        <w:tab w:val="clear" w:pos="2268"/>
      </w:tabs>
      <w:ind w:left="440" w:hanging="220"/>
    </w:pPr>
  </w:style>
  <w:style w:type="paragraph" w:styleId="Index3">
    <w:name w:val="index 3"/>
    <w:basedOn w:val="Normal"/>
    <w:next w:val="Normal"/>
    <w:autoRedefine/>
    <w:uiPriority w:val="99"/>
    <w:semiHidden/>
    <w:unhideWhenUsed/>
    <w:rsid w:val="00C10A5B"/>
    <w:pPr>
      <w:tabs>
        <w:tab w:val="clear" w:pos="567"/>
        <w:tab w:val="clear" w:pos="1134"/>
        <w:tab w:val="clear" w:pos="1701"/>
        <w:tab w:val="clear" w:pos="2268"/>
      </w:tabs>
      <w:ind w:left="660" w:hanging="220"/>
    </w:pPr>
  </w:style>
  <w:style w:type="paragraph" w:styleId="Index4">
    <w:name w:val="index 4"/>
    <w:basedOn w:val="Normal"/>
    <w:next w:val="Normal"/>
    <w:autoRedefine/>
    <w:uiPriority w:val="99"/>
    <w:semiHidden/>
    <w:unhideWhenUsed/>
    <w:rsid w:val="00C10A5B"/>
    <w:pPr>
      <w:tabs>
        <w:tab w:val="clear" w:pos="567"/>
        <w:tab w:val="clear" w:pos="1134"/>
        <w:tab w:val="clear" w:pos="1701"/>
        <w:tab w:val="clear" w:pos="2268"/>
      </w:tabs>
      <w:ind w:left="880" w:hanging="220"/>
    </w:pPr>
  </w:style>
  <w:style w:type="paragraph" w:styleId="Index5">
    <w:name w:val="index 5"/>
    <w:basedOn w:val="Normal"/>
    <w:next w:val="Normal"/>
    <w:autoRedefine/>
    <w:uiPriority w:val="99"/>
    <w:semiHidden/>
    <w:unhideWhenUsed/>
    <w:rsid w:val="00C10A5B"/>
    <w:pPr>
      <w:tabs>
        <w:tab w:val="clear" w:pos="567"/>
        <w:tab w:val="clear" w:pos="1134"/>
        <w:tab w:val="clear" w:pos="1701"/>
        <w:tab w:val="clear" w:pos="2268"/>
      </w:tabs>
      <w:ind w:left="1100" w:hanging="220"/>
    </w:pPr>
  </w:style>
  <w:style w:type="paragraph" w:styleId="Index6">
    <w:name w:val="index 6"/>
    <w:basedOn w:val="Normal"/>
    <w:next w:val="Normal"/>
    <w:autoRedefine/>
    <w:uiPriority w:val="99"/>
    <w:semiHidden/>
    <w:unhideWhenUsed/>
    <w:rsid w:val="00C10A5B"/>
    <w:pPr>
      <w:tabs>
        <w:tab w:val="clear" w:pos="567"/>
        <w:tab w:val="clear" w:pos="1134"/>
        <w:tab w:val="clear" w:pos="1701"/>
        <w:tab w:val="clear" w:pos="2268"/>
      </w:tabs>
      <w:ind w:left="1320" w:hanging="220"/>
    </w:pPr>
  </w:style>
  <w:style w:type="paragraph" w:styleId="Index7">
    <w:name w:val="index 7"/>
    <w:basedOn w:val="Normal"/>
    <w:next w:val="Normal"/>
    <w:autoRedefine/>
    <w:uiPriority w:val="99"/>
    <w:semiHidden/>
    <w:unhideWhenUsed/>
    <w:rsid w:val="00C10A5B"/>
    <w:pPr>
      <w:tabs>
        <w:tab w:val="clear" w:pos="567"/>
        <w:tab w:val="clear" w:pos="1134"/>
        <w:tab w:val="clear" w:pos="1701"/>
        <w:tab w:val="clear" w:pos="2268"/>
      </w:tabs>
      <w:ind w:left="1540" w:hanging="220"/>
    </w:pPr>
  </w:style>
  <w:style w:type="paragraph" w:styleId="Index8">
    <w:name w:val="index 8"/>
    <w:basedOn w:val="Normal"/>
    <w:next w:val="Normal"/>
    <w:autoRedefine/>
    <w:uiPriority w:val="99"/>
    <w:semiHidden/>
    <w:unhideWhenUsed/>
    <w:rsid w:val="00C10A5B"/>
    <w:pPr>
      <w:tabs>
        <w:tab w:val="clear" w:pos="567"/>
        <w:tab w:val="clear" w:pos="1134"/>
        <w:tab w:val="clear" w:pos="1701"/>
        <w:tab w:val="clear" w:pos="2268"/>
      </w:tabs>
      <w:ind w:left="1760" w:hanging="220"/>
    </w:pPr>
  </w:style>
  <w:style w:type="paragraph" w:styleId="Index9">
    <w:name w:val="index 9"/>
    <w:basedOn w:val="Normal"/>
    <w:next w:val="Normal"/>
    <w:autoRedefine/>
    <w:uiPriority w:val="99"/>
    <w:semiHidden/>
    <w:unhideWhenUsed/>
    <w:rsid w:val="00C10A5B"/>
    <w:pPr>
      <w:tabs>
        <w:tab w:val="clear" w:pos="567"/>
        <w:tab w:val="clear" w:pos="1134"/>
        <w:tab w:val="clear" w:pos="1701"/>
        <w:tab w:val="clear" w:pos="2268"/>
      </w:tabs>
      <w:ind w:left="1980" w:hanging="220"/>
    </w:pPr>
  </w:style>
  <w:style w:type="paragraph" w:styleId="IndexHeading">
    <w:name w:val="index heading"/>
    <w:basedOn w:val="Normal"/>
    <w:next w:val="Index1"/>
    <w:uiPriority w:val="99"/>
    <w:semiHidden/>
    <w:unhideWhenUsed/>
    <w:rsid w:val="00C10A5B"/>
    <w:rPr>
      <w:rFonts w:asciiTheme="majorHAnsi" w:eastAsiaTheme="majorEastAsia" w:hAnsiTheme="majorHAnsi" w:cstheme="majorBidi"/>
      <w:b/>
      <w:bCs/>
    </w:rPr>
  </w:style>
  <w:style w:type="character" w:styleId="IntenseEmphasis">
    <w:name w:val="Intense Emphasis"/>
    <w:basedOn w:val="DefaultParagraphFont"/>
    <w:uiPriority w:val="21"/>
    <w:qFormat/>
    <w:rsid w:val="00C10A5B"/>
    <w:rPr>
      <w:i/>
      <w:iCs/>
      <w:color w:val="4472C4" w:themeColor="accent1"/>
      <w:lang w:val="en-GB"/>
    </w:rPr>
  </w:style>
  <w:style w:type="character" w:styleId="IntenseReference">
    <w:name w:val="Intense Reference"/>
    <w:basedOn w:val="DefaultParagraphFont"/>
    <w:uiPriority w:val="32"/>
    <w:qFormat/>
    <w:rsid w:val="00C10A5B"/>
    <w:rPr>
      <w:b/>
      <w:bCs/>
      <w:smallCaps/>
      <w:color w:val="4472C4" w:themeColor="accent1"/>
      <w:spacing w:val="5"/>
      <w:lang w:val="en-GB"/>
    </w:rPr>
  </w:style>
  <w:style w:type="table" w:styleId="LightGrid">
    <w:name w:val="Light Grid"/>
    <w:basedOn w:val="TableNormal"/>
    <w:uiPriority w:val="62"/>
    <w:semiHidden/>
    <w:unhideWhenUsed/>
    <w:rsid w:val="00C10A5B"/>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semiHidden/>
    <w:unhideWhenUsed/>
    <w:rsid w:val="00C10A5B"/>
    <w:pPr>
      <w:spacing w:after="0" w:line="240" w:lineRule="auto"/>
    </w:pPr>
    <w:tblPr>
      <w:tblStyleRowBandSize w:val="1"/>
      <w:tblStyleColBandSize w:val="1"/>
      <w:tblBorders>
        <w:top w:val="single" w:sz="8" w:space="0" w:color="4472C4" w:themeColor="accent1"/>
        <w:left w:val="single" w:sz="8" w:space="0" w:color="4472C4" w:themeColor="accent1"/>
        <w:bottom w:val="single" w:sz="8" w:space="0" w:color="4472C4" w:themeColor="accent1"/>
        <w:right w:val="single" w:sz="8" w:space="0" w:color="4472C4" w:themeColor="accent1"/>
        <w:insideH w:val="single" w:sz="8" w:space="0" w:color="4472C4" w:themeColor="accent1"/>
        <w:insideV w:val="single" w:sz="8" w:space="0" w:color="4472C4"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472C4" w:themeColor="accent1"/>
          <w:left w:val="single" w:sz="8" w:space="0" w:color="4472C4" w:themeColor="accent1"/>
          <w:bottom w:val="single" w:sz="18" w:space="0" w:color="4472C4" w:themeColor="accent1"/>
          <w:right w:val="single" w:sz="8" w:space="0" w:color="4472C4" w:themeColor="accent1"/>
          <w:insideH w:val="nil"/>
          <w:insideV w:val="single" w:sz="8" w:space="0" w:color="4472C4"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472C4" w:themeColor="accent1"/>
          <w:left w:val="single" w:sz="8" w:space="0" w:color="4472C4" w:themeColor="accent1"/>
          <w:bottom w:val="single" w:sz="8" w:space="0" w:color="4472C4" w:themeColor="accent1"/>
          <w:right w:val="single" w:sz="8" w:space="0" w:color="4472C4" w:themeColor="accent1"/>
          <w:insideH w:val="nil"/>
          <w:insideV w:val="single" w:sz="8" w:space="0" w:color="4472C4"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472C4" w:themeColor="accent1"/>
          <w:left w:val="single" w:sz="8" w:space="0" w:color="4472C4" w:themeColor="accent1"/>
          <w:bottom w:val="single" w:sz="8" w:space="0" w:color="4472C4" w:themeColor="accent1"/>
          <w:right w:val="single" w:sz="8" w:space="0" w:color="4472C4" w:themeColor="accent1"/>
        </w:tcBorders>
      </w:tcPr>
    </w:tblStylePr>
    <w:tblStylePr w:type="band1Vert">
      <w:tblPr/>
      <w:tcPr>
        <w:tcBorders>
          <w:top w:val="single" w:sz="8" w:space="0" w:color="4472C4" w:themeColor="accent1"/>
          <w:left w:val="single" w:sz="8" w:space="0" w:color="4472C4" w:themeColor="accent1"/>
          <w:bottom w:val="single" w:sz="8" w:space="0" w:color="4472C4" w:themeColor="accent1"/>
          <w:right w:val="single" w:sz="8" w:space="0" w:color="4472C4" w:themeColor="accent1"/>
        </w:tcBorders>
        <w:shd w:val="clear" w:color="auto" w:fill="D0DBF0" w:themeFill="accent1" w:themeFillTint="3F"/>
      </w:tcPr>
    </w:tblStylePr>
    <w:tblStylePr w:type="band1Horz">
      <w:tblPr/>
      <w:tcPr>
        <w:tcBorders>
          <w:top w:val="single" w:sz="8" w:space="0" w:color="4472C4" w:themeColor="accent1"/>
          <w:left w:val="single" w:sz="8" w:space="0" w:color="4472C4" w:themeColor="accent1"/>
          <w:bottom w:val="single" w:sz="8" w:space="0" w:color="4472C4" w:themeColor="accent1"/>
          <w:right w:val="single" w:sz="8" w:space="0" w:color="4472C4" w:themeColor="accent1"/>
          <w:insideV w:val="single" w:sz="8" w:space="0" w:color="4472C4" w:themeColor="accent1"/>
        </w:tcBorders>
        <w:shd w:val="clear" w:color="auto" w:fill="D0DBF0" w:themeFill="accent1" w:themeFillTint="3F"/>
      </w:tcPr>
    </w:tblStylePr>
    <w:tblStylePr w:type="band2Horz">
      <w:tblPr/>
      <w:tcPr>
        <w:tcBorders>
          <w:top w:val="single" w:sz="8" w:space="0" w:color="4472C4" w:themeColor="accent1"/>
          <w:left w:val="single" w:sz="8" w:space="0" w:color="4472C4" w:themeColor="accent1"/>
          <w:bottom w:val="single" w:sz="8" w:space="0" w:color="4472C4" w:themeColor="accent1"/>
          <w:right w:val="single" w:sz="8" w:space="0" w:color="4472C4" w:themeColor="accent1"/>
          <w:insideV w:val="single" w:sz="8" w:space="0" w:color="4472C4" w:themeColor="accent1"/>
        </w:tcBorders>
      </w:tcPr>
    </w:tblStylePr>
  </w:style>
  <w:style w:type="table" w:styleId="LightGrid-Accent2">
    <w:name w:val="Light Grid Accent 2"/>
    <w:basedOn w:val="TableNormal"/>
    <w:uiPriority w:val="62"/>
    <w:semiHidden/>
    <w:unhideWhenUsed/>
    <w:rsid w:val="00C10A5B"/>
    <w:pPr>
      <w:spacing w:after="0" w:line="240" w:lineRule="auto"/>
    </w:pPr>
    <w:tblPr>
      <w:tblStyleRowBandSize w:val="1"/>
      <w:tblStyleColBandSize w:val="1"/>
      <w:tblBorders>
        <w:top w:val="single" w:sz="8" w:space="0" w:color="ED7D31" w:themeColor="accent2"/>
        <w:left w:val="single" w:sz="8" w:space="0" w:color="ED7D31" w:themeColor="accent2"/>
        <w:bottom w:val="single" w:sz="8" w:space="0" w:color="ED7D31" w:themeColor="accent2"/>
        <w:right w:val="single" w:sz="8" w:space="0" w:color="ED7D31" w:themeColor="accent2"/>
        <w:insideH w:val="single" w:sz="8" w:space="0" w:color="ED7D31" w:themeColor="accent2"/>
        <w:insideV w:val="single" w:sz="8" w:space="0" w:color="ED7D31"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ED7D31" w:themeColor="accent2"/>
          <w:left w:val="single" w:sz="8" w:space="0" w:color="ED7D31" w:themeColor="accent2"/>
          <w:bottom w:val="single" w:sz="18" w:space="0" w:color="ED7D31" w:themeColor="accent2"/>
          <w:right w:val="single" w:sz="8" w:space="0" w:color="ED7D31" w:themeColor="accent2"/>
          <w:insideH w:val="nil"/>
          <w:insideV w:val="single" w:sz="8" w:space="0" w:color="ED7D31"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ED7D31" w:themeColor="accent2"/>
          <w:left w:val="single" w:sz="8" w:space="0" w:color="ED7D31" w:themeColor="accent2"/>
          <w:bottom w:val="single" w:sz="8" w:space="0" w:color="ED7D31" w:themeColor="accent2"/>
          <w:right w:val="single" w:sz="8" w:space="0" w:color="ED7D31" w:themeColor="accent2"/>
          <w:insideH w:val="nil"/>
          <w:insideV w:val="single" w:sz="8" w:space="0" w:color="ED7D31"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ED7D31" w:themeColor="accent2"/>
          <w:left w:val="single" w:sz="8" w:space="0" w:color="ED7D31" w:themeColor="accent2"/>
          <w:bottom w:val="single" w:sz="8" w:space="0" w:color="ED7D31" w:themeColor="accent2"/>
          <w:right w:val="single" w:sz="8" w:space="0" w:color="ED7D31" w:themeColor="accent2"/>
        </w:tcBorders>
      </w:tcPr>
    </w:tblStylePr>
    <w:tblStylePr w:type="band1Vert">
      <w:tblPr/>
      <w:tcPr>
        <w:tcBorders>
          <w:top w:val="single" w:sz="8" w:space="0" w:color="ED7D31" w:themeColor="accent2"/>
          <w:left w:val="single" w:sz="8" w:space="0" w:color="ED7D31" w:themeColor="accent2"/>
          <w:bottom w:val="single" w:sz="8" w:space="0" w:color="ED7D31" w:themeColor="accent2"/>
          <w:right w:val="single" w:sz="8" w:space="0" w:color="ED7D31" w:themeColor="accent2"/>
        </w:tcBorders>
        <w:shd w:val="clear" w:color="auto" w:fill="FADECB" w:themeFill="accent2" w:themeFillTint="3F"/>
      </w:tcPr>
    </w:tblStylePr>
    <w:tblStylePr w:type="band1Horz">
      <w:tblPr/>
      <w:tcPr>
        <w:tcBorders>
          <w:top w:val="single" w:sz="8" w:space="0" w:color="ED7D31" w:themeColor="accent2"/>
          <w:left w:val="single" w:sz="8" w:space="0" w:color="ED7D31" w:themeColor="accent2"/>
          <w:bottom w:val="single" w:sz="8" w:space="0" w:color="ED7D31" w:themeColor="accent2"/>
          <w:right w:val="single" w:sz="8" w:space="0" w:color="ED7D31" w:themeColor="accent2"/>
          <w:insideV w:val="single" w:sz="8" w:space="0" w:color="ED7D31" w:themeColor="accent2"/>
        </w:tcBorders>
        <w:shd w:val="clear" w:color="auto" w:fill="FADECB" w:themeFill="accent2" w:themeFillTint="3F"/>
      </w:tcPr>
    </w:tblStylePr>
    <w:tblStylePr w:type="band2Horz">
      <w:tblPr/>
      <w:tcPr>
        <w:tcBorders>
          <w:top w:val="single" w:sz="8" w:space="0" w:color="ED7D31" w:themeColor="accent2"/>
          <w:left w:val="single" w:sz="8" w:space="0" w:color="ED7D31" w:themeColor="accent2"/>
          <w:bottom w:val="single" w:sz="8" w:space="0" w:color="ED7D31" w:themeColor="accent2"/>
          <w:right w:val="single" w:sz="8" w:space="0" w:color="ED7D31" w:themeColor="accent2"/>
          <w:insideV w:val="single" w:sz="8" w:space="0" w:color="ED7D31" w:themeColor="accent2"/>
        </w:tcBorders>
      </w:tcPr>
    </w:tblStylePr>
  </w:style>
  <w:style w:type="table" w:styleId="LightGrid-Accent3">
    <w:name w:val="Light Grid Accent 3"/>
    <w:basedOn w:val="TableNormal"/>
    <w:uiPriority w:val="62"/>
    <w:semiHidden/>
    <w:unhideWhenUsed/>
    <w:rsid w:val="00C10A5B"/>
    <w:pPr>
      <w:spacing w:after="0" w:line="240" w:lineRule="auto"/>
    </w:pPr>
    <w:tblPr>
      <w:tblStyleRowBandSize w:val="1"/>
      <w:tblStyleColBandSize w:val="1"/>
      <w:tblBorders>
        <w:top w:val="single" w:sz="8" w:space="0" w:color="A5A5A5" w:themeColor="accent3"/>
        <w:left w:val="single" w:sz="8" w:space="0" w:color="A5A5A5" w:themeColor="accent3"/>
        <w:bottom w:val="single" w:sz="8" w:space="0" w:color="A5A5A5" w:themeColor="accent3"/>
        <w:right w:val="single" w:sz="8" w:space="0" w:color="A5A5A5" w:themeColor="accent3"/>
        <w:insideH w:val="single" w:sz="8" w:space="0" w:color="A5A5A5" w:themeColor="accent3"/>
        <w:insideV w:val="single" w:sz="8" w:space="0" w:color="A5A5A5"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A5A5A5" w:themeColor="accent3"/>
          <w:left w:val="single" w:sz="8" w:space="0" w:color="A5A5A5" w:themeColor="accent3"/>
          <w:bottom w:val="single" w:sz="18" w:space="0" w:color="A5A5A5" w:themeColor="accent3"/>
          <w:right w:val="single" w:sz="8" w:space="0" w:color="A5A5A5" w:themeColor="accent3"/>
          <w:insideH w:val="nil"/>
          <w:insideV w:val="single" w:sz="8" w:space="0" w:color="A5A5A5"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A5A5A5" w:themeColor="accent3"/>
          <w:left w:val="single" w:sz="8" w:space="0" w:color="A5A5A5" w:themeColor="accent3"/>
          <w:bottom w:val="single" w:sz="8" w:space="0" w:color="A5A5A5" w:themeColor="accent3"/>
          <w:right w:val="single" w:sz="8" w:space="0" w:color="A5A5A5" w:themeColor="accent3"/>
          <w:insideH w:val="nil"/>
          <w:insideV w:val="single" w:sz="8" w:space="0" w:color="A5A5A5"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A5A5A5" w:themeColor="accent3"/>
          <w:left w:val="single" w:sz="8" w:space="0" w:color="A5A5A5" w:themeColor="accent3"/>
          <w:bottom w:val="single" w:sz="8" w:space="0" w:color="A5A5A5" w:themeColor="accent3"/>
          <w:right w:val="single" w:sz="8" w:space="0" w:color="A5A5A5" w:themeColor="accent3"/>
        </w:tcBorders>
      </w:tcPr>
    </w:tblStylePr>
    <w:tblStylePr w:type="band1Vert">
      <w:tblPr/>
      <w:tcPr>
        <w:tcBorders>
          <w:top w:val="single" w:sz="8" w:space="0" w:color="A5A5A5" w:themeColor="accent3"/>
          <w:left w:val="single" w:sz="8" w:space="0" w:color="A5A5A5" w:themeColor="accent3"/>
          <w:bottom w:val="single" w:sz="8" w:space="0" w:color="A5A5A5" w:themeColor="accent3"/>
          <w:right w:val="single" w:sz="8" w:space="0" w:color="A5A5A5" w:themeColor="accent3"/>
        </w:tcBorders>
        <w:shd w:val="clear" w:color="auto" w:fill="E8E8E8" w:themeFill="accent3" w:themeFillTint="3F"/>
      </w:tcPr>
    </w:tblStylePr>
    <w:tblStylePr w:type="band1Horz">
      <w:tblPr/>
      <w:tcPr>
        <w:tcBorders>
          <w:top w:val="single" w:sz="8" w:space="0" w:color="A5A5A5" w:themeColor="accent3"/>
          <w:left w:val="single" w:sz="8" w:space="0" w:color="A5A5A5" w:themeColor="accent3"/>
          <w:bottom w:val="single" w:sz="8" w:space="0" w:color="A5A5A5" w:themeColor="accent3"/>
          <w:right w:val="single" w:sz="8" w:space="0" w:color="A5A5A5" w:themeColor="accent3"/>
          <w:insideV w:val="single" w:sz="8" w:space="0" w:color="A5A5A5" w:themeColor="accent3"/>
        </w:tcBorders>
        <w:shd w:val="clear" w:color="auto" w:fill="E8E8E8" w:themeFill="accent3" w:themeFillTint="3F"/>
      </w:tcPr>
    </w:tblStylePr>
    <w:tblStylePr w:type="band2Horz">
      <w:tblPr/>
      <w:tcPr>
        <w:tcBorders>
          <w:top w:val="single" w:sz="8" w:space="0" w:color="A5A5A5" w:themeColor="accent3"/>
          <w:left w:val="single" w:sz="8" w:space="0" w:color="A5A5A5" w:themeColor="accent3"/>
          <w:bottom w:val="single" w:sz="8" w:space="0" w:color="A5A5A5" w:themeColor="accent3"/>
          <w:right w:val="single" w:sz="8" w:space="0" w:color="A5A5A5" w:themeColor="accent3"/>
          <w:insideV w:val="single" w:sz="8" w:space="0" w:color="A5A5A5" w:themeColor="accent3"/>
        </w:tcBorders>
      </w:tcPr>
    </w:tblStylePr>
  </w:style>
  <w:style w:type="table" w:styleId="LightGrid-Accent4">
    <w:name w:val="Light Grid Accent 4"/>
    <w:basedOn w:val="TableNormal"/>
    <w:uiPriority w:val="62"/>
    <w:semiHidden/>
    <w:unhideWhenUsed/>
    <w:rsid w:val="00C10A5B"/>
    <w:pPr>
      <w:spacing w:after="0" w:line="240" w:lineRule="auto"/>
    </w:pPr>
    <w:tblPr>
      <w:tblStyleRowBandSize w:val="1"/>
      <w:tblStyleColBandSize w:val="1"/>
      <w:tblBorders>
        <w:top w:val="single" w:sz="8" w:space="0" w:color="FFC000" w:themeColor="accent4"/>
        <w:left w:val="single" w:sz="8" w:space="0" w:color="FFC000" w:themeColor="accent4"/>
        <w:bottom w:val="single" w:sz="8" w:space="0" w:color="FFC000" w:themeColor="accent4"/>
        <w:right w:val="single" w:sz="8" w:space="0" w:color="FFC000" w:themeColor="accent4"/>
        <w:insideH w:val="single" w:sz="8" w:space="0" w:color="FFC000" w:themeColor="accent4"/>
        <w:insideV w:val="single" w:sz="8" w:space="0" w:color="FFC000"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FC000" w:themeColor="accent4"/>
          <w:left w:val="single" w:sz="8" w:space="0" w:color="FFC000" w:themeColor="accent4"/>
          <w:bottom w:val="single" w:sz="18" w:space="0" w:color="FFC000" w:themeColor="accent4"/>
          <w:right w:val="single" w:sz="8" w:space="0" w:color="FFC000" w:themeColor="accent4"/>
          <w:insideH w:val="nil"/>
          <w:insideV w:val="single" w:sz="8" w:space="0" w:color="FFC000"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FC000" w:themeColor="accent4"/>
          <w:left w:val="single" w:sz="8" w:space="0" w:color="FFC000" w:themeColor="accent4"/>
          <w:bottom w:val="single" w:sz="8" w:space="0" w:color="FFC000" w:themeColor="accent4"/>
          <w:right w:val="single" w:sz="8" w:space="0" w:color="FFC000" w:themeColor="accent4"/>
          <w:insideH w:val="nil"/>
          <w:insideV w:val="single" w:sz="8" w:space="0" w:color="FFC000"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FC000" w:themeColor="accent4"/>
          <w:left w:val="single" w:sz="8" w:space="0" w:color="FFC000" w:themeColor="accent4"/>
          <w:bottom w:val="single" w:sz="8" w:space="0" w:color="FFC000" w:themeColor="accent4"/>
          <w:right w:val="single" w:sz="8" w:space="0" w:color="FFC000" w:themeColor="accent4"/>
        </w:tcBorders>
      </w:tcPr>
    </w:tblStylePr>
    <w:tblStylePr w:type="band1Vert">
      <w:tblPr/>
      <w:tcPr>
        <w:tcBorders>
          <w:top w:val="single" w:sz="8" w:space="0" w:color="FFC000" w:themeColor="accent4"/>
          <w:left w:val="single" w:sz="8" w:space="0" w:color="FFC000" w:themeColor="accent4"/>
          <w:bottom w:val="single" w:sz="8" w:space="0" w:color="FFC000" w:themeColor="accent4"/>
          <w:right w:val="single" w:sz="8" w:space="0" w:color="FFC000" w:themeColor="accent4"/>
        </w:tcBorders>
        <w:shd w:val="clear" w:color="auto" w:fill="FFEFC0" w:themeFill="accent4" w:themeFillTint="3F"/>
      </w:tcPr>
    </w:tblStylePr>
    <w:tblStylePr w:type="band1Horz">
      <w:tblPr/>
      <w:tcPr>
        <w:tcBorders>
          <w:top w:val="single" w:sz="8" w:space="0" w:color="FFC000" w:themeColor="accent4"/>
          <w:left w:val="single" w:sz="8" w:space="0" w:color="FFC000" w:themeColor="accent4"/>
          <w:bottom w:val="single" w:sz="8" w:space="0" w:color="FFC000" w:themeColor="accent4"/>
          <w:right w:val="single" w:sz="8" w:space="0" w:color="FFC000" w:themeColor="accent4"/>
          <w:insideV w:val="single" w:sz="8" w:space="0" w:color="FFC000" w:themeColor="accent4"/>
        </w:tcBorders>
        <w:shd w:val="clear" w:color="auto" w:fill="FFEFC0" w:themeFill="accent4" w:themeFillTint="3F"/>
      </w:tcPr>
    </w:tblStylePr>
    <w:tblStylePr w:type="band2Horz">
      <w:tblPr/>
      <w:tcPr>
        <w:tcBorders>
          <w:top w:val="single" w:sz="8" w:space="0" w:color="FFC000" w:themeColor="accent4"/>
          <w:left w:val="single" w:sz="8" w:space="0" w:color="FFC000" w:themeColor="accent4"/>
          <w:bottom w:val="single" w:sz="8" w:space="0" w:color="FFC000" w:themeColor="accent4"/>
          <w:right w:val="single" w:sz="8" w:space="0" w:color="FFC000" w:themeColor="accent4"/>
          <w:insideV w:val="single" w:sz="8" w:space="0" w:color="FFC000" w:themeColor="accent4"/>
        </w:tcBorders>
      </w:tcPr>
    </w:tblStylePr>
  </w:style>
  <w:style w:type="table" w:styleId="LightGrid-Accent5">
    <w:name w:val="Light Grid Accent 5"/>
    <w:basedOn w:val="TableNormal"/>
    <w:uiPriority w:val="62"/>
    <w:semiHidden/>
    <w:unhideWhenUsed/>
    <w:rsid w:val="00C10A5B"/>
    <w:pPr>
      <w:spacing w:after="0" w:line="240" w:lineRule="auto"/>
    </w:pPr>
    <w:tblPr>
      <w:tblStyleRowBandSize w:val="1"/>
      <w:tblStyleColBandSize w:val="1"/>
      <w:tblBorders>
        <w:top w:val="single" w:sz="8" w:space="0" w:color="5B9BD5" w:themeColor="accent5"/>
        <w:left w:val="single" w:sz="8" w:space="0" w:color="5B9BD5" w:themeColor="accent5"/>
        <w:bottom w:val="single" w:sz="8" w:space="0" w:color="5B9BD5" w:themeColor="accent5"/>
        <w:right w:val="single" w:sz="8" w:space="0" w:color="5B9BD5" w:themeColor="accent5"/>
        <w:insideH w:val="single" w:sz="8" w:space="0" w:color="5B9BD5" w:themeColor="accent5"/>
        <w:insideV w:val="single" w:sz="8" w:space="0" w:color="5B9BD5"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5B9BD5" w:themeColor="accent5"/>
          <w:left w:val="single" w:sz="8" w:space="0" w:color="5B9BD5" w:themeColor="accent5"/>
          <w:bottom w:val="single" w:sz="18" w:space="0" w:color="5B9BD5" w:themeColor="accent5"/>
          <w:right w:val="single" w:sz="8" w:space="0" w:color="5B9BD5" w:themeColor="accent5"/>
          <w:insideH w:val="nil"/>
          <w:insideV w:val="single" w:sz="8" w:space="0" w:color="5B9BD5"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5B9BD5" w:themeColor="accent5"/>
          <w:left w:val="single" w:sz="8" w:space="0" w:color="5B9BD5" w:themeColor="accent5"/>
          <w:bottom w:val="single" w:sz="8" w:space="0" w:color="5B9BD5" w:themeColor="accent5"/>
          <w:right w:val="single" w:sz="8" w:space="0" w:color="5B9BD5" w:themeColor="accent5"/>
          <w:insideH w:val="nil"/>
          <w:insideV w:val="single" w:sz="8" w:space="0" w:color="5B9BD5"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5B9BD5" w:themeColor="accent5"/>
          <w:left w:val="single" w:sz="8" w:space="0" w:color="5B9BD5" w:themeColor="accent5"/>
          <w:bottom w:val="single" w:sz="8" w:space="0" w:color="5B9BD5" w:themeColor="accent5"/>
          <w:right w:val="single" w:sz="8" w:space="0" w:color="5B9BD5" w:themeColor="accent5"/>
        </w:tcBorders>
      </w:tcPr>
    </w:tblStylePr>
    <w:tblStylePr w:type="band1Vert">
      <w:tblPr/>
      <w:tcPr>
        <w:tcBorders>
          <w:top w:val="single" w:sz="8" w:space="0" w:color="5B9BD5" w:themeColor="accent5"/>
          <w:left w:val="single" w:sz="8" w:space="0" w:color="5B9BD5" w:themeColor="accent5"/>
          <w:bottom w:val="single" w:sz="8" w:space="0" w:color="5B9BD5" w:themeColor="accent5"/>
          <w:right w:val="single" w:sz="8" w:space="0" w:color="5B9BD5" w:themeColor="accent5"/>
        </w:tcBorders>
        <w:shd w:val="clear" w:color="auto" w:fill="D6E6F4" w:themeFill="accent5" w:themeFillTint="3F"/>
      </w:tcPr>
    </w:tblStylePr>
    <w:tblStylePr w:type="band1Horz">
      <w:tblPr/>
      <w:tcPr>
        <w:tcBorders>
          <w:top w:val="single" w:sz="8" w:space="0" w:color="5B9BD5" w:themeColor="accent5"/>
          <w:left w:val="single" w:sz="8" w:space="0" w:color="5B9BD5" w:themeColor="accent5"/>
          <w:bottom w:val="single" w:sz="8" w:space="0" w:color="5B9BD5" w:themeColor="accent5"/>
          <w:right w:val="single" w:sz="8" w:space="0" w:color="5B9BD5" w:themeColor="accent5"/>
          <w:insideV w:val="single" w:sz="8" w:space="0" w:color="5B9BD5" w:themeColor="accent5"/>
        </w:tcBorders>
        <w:shd w:val="clear" w:color="auto" w:fill="D6E6F4" w:themeFill="accent5" w:themeFillTint="3F"/>
      </w:tcPr>
    </w:tblStylePr>
    <w:tblStylePr w:type="band2Horz">
      <w:tblPr/>
      <w:tcPr>
        <w:tcBorders>
          <w:top w:val="single" w:sz="8" w:space="0" w:color="5B9BD5" w:themeColor="accent5"/>
          <w:left w:val="single" w:sz="8" w:space="0" w:color="5B9BD5" w:themeColor="accent5"/>
          <w:bottom w:val="single" w:sz="8" w:space="0" w:color="5B9BD5" w:themeColor="accent5"/>
          <w:right w:val="single" w:sz="8" w:space="0" w:color="5B9BD5" w:themeColor="accent5"/>
          <w:insideV w:val="single" w:sz="8" w:space="0" w:color="5B9BD5" w:themeColor="accent5"/>
        </w:tcBorders>
      </w:tcPr>
    </w:tblStylePr>
  </w:style>
  <w:style w:type="table" w:styleId="LightGrid-Accent6">
    <w:name w:val="Light Grid Accent 6"/>
    <w:basedOn w:val="TableNormal"/>
    <w:uiPriority w:val="62"/>
    <w:semiHidden/>
    <w:unhideWhenUsed/>
    <w:rsid w:val="00C10A5B"/>
    <w:pPr>
      <w:spacing w:after="0" w:line="240" w:lineRule="auto"/>
    </w:pPr>
    <w:tblPr>
      <w:tblStyleRowBandSize w:val="1"/>
      <w:tblStyleColBandSize w:val="1"/>
      <w:tblBorders>
        <w:top w:val="single" w:sz="8" w:space="0" w:color="70AD47" w:themeColor="accent6"/>
        <w:left w:val="single" w:sz="8" w:space="0" w:color="70AD47" w:themeColor="accent6"/>
        <w:bottom w:val="single" w:sz="8" w:space="0" w:color="70AD47" w:themeColor="accent6"/>
        <w:right w:val="single" w:sz="8" w:space="0" w:color="70AD47" w:themeColor="accent6"/>
        <w:insideH w:val="single" w:sz="8" w:space="0" w:color="70AD47" w:themeColor="accent6"/>
        <w:insideV w:val="single" w:sz="8" w:space="0" w:color="70AD47"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70AD47" w:themeColor="accent6"/>
          <w:left w:val="single" w:sz="8" w:space="0" w:color="70AD47" w:themeColor="accent6"/>
          <w:bottom w:val="single" w:sz="18" w:space="0" w:color="70AD47" w:themeColor="accent6"/>
          <w:right w:val="single" w:sz="8" w:space="0" w:color="70AD47" w:themeColor="accent6"/>
          <w:insideH w:val="nil"/>
          <w:insideV w:val="single" w:sz="8" w:space="0" w:color="70AD47"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70AD47" w:themeColor="accent6"/>
          <w:left w:val="single" w:sz="8" w:space="0" w:color="70AD47" w:themeColor="accent6"/>
          <w:bottom w:val="single" w:sz="8" w:space="0" w:color="70AD47" w:themeColor="accent6"/>
          <w:right w:val="single" w:sz="8" w:space="0" w:color="70AD47" w:themeColor="accent6"/>
          <w:insideH w:val="nil"/>
          <w:insideV w:val="single" w:sz="8" w:space="0" w:color="70AD47"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70AD47" w:themeColor="accent6"/>
          <w:left w:val="single" w:sz="8" w:space="0" w:color="70AD47" w:themeColor="accent6"/>
          <w:bottom w:val="single" w:sz="8" w:space="0" w:color="70AD47" w:themeColor="accent6"/>
          <w:right w:val="single" w:sz="8" w:space="0" w:color="70AD47" w:themeColor="accent6"/>
        </w:tcBorders>
      </w:tcPr>
    </w:tblStylePr>
    <w:tblStylePr w:type="band1Vert">
      <w:tblPr/>
      <w:tcPr>
        <w:tcBorders>
          <w:top w:val="single" w:sz="8" w:space="0" w:color="70AD47" w:themeColor="accent6"/>
          <w:left w:val="single" w:sz="8" w:space="0" w:color="70AD47" w:themeColor="accent6"/>
          <w:bottom w:val="single" w:sz="8" w:space="0" w:color="70AD47" w:themeColor="accent6"/>
          <w:right w:val="single" w:sz="8" w:space="0" w:color="70AD47" w:themeColor="accent6"/>
        </w:tcBorders>
        <w:shd w:val="clear" w:color="auto" w:fill="DBEBD0" w:themeFill="accent6" w:themeFillTint="3F"/>
      </w:tcPr>
    </w:tblStylePr>
    <w:tblStylePr w:type="band1Horz">
      <w:tblPr/>
      <w:tcPr>
        <w:tcBorders>
          <w:top w:val="single" w:sz="8" w:space="0" w:color="70AD47" w:themeColor="accent6"/>
          <w:left w:val="single" w:sz="8" w:space="0" w:color="70AD47" w:themeColor="accent6"/>
          <w:bottom w:val="single" w:sz="8" w:space="0" w:color="70AD47" w:themeColor="accent6"/>
          <w:right w:val="single" w:sz="8" w:space="0" w:color="70AD47" w:themeColor="accent6"/>
          <w:insideV w:val="single" w:sz="8" w:space="0" w:color="70AD47" w:themeColor="accent6"/>
        </w:tcBorders>
        <w:shd w:val="clear" w:color="auto" w:fill="DBEBD0" w:themeFill="accent6" w:themeFillTint="3F"/>
      </w:tcPr>
    </w:tblStylePr>
    <w:tblStylePr w:type="band2Horz">
      <w:tblPr/>
      <w:tcPr>
        <w:tcBorders>
          <w:top w:val="single" w:sz="8" w:space="0" w:color="70AD47" w:themeColor="accent6"/>
          <w:left w:val="single" w:sz="8" w:space="0" w:color="70AD47" w:themeColor="accent6"/>
          <w:bottom w:val="single" w:sz="8" w:space="0" w:color="70AD47" w:themeColor="accent6"/>
          <w:right w:val="single" w:sz="8" w:space="0" w:color="70AD47" w:themeColor="accent6"/>
          <w:insideV w:val="single" w:sz="8" w:space="0" w:color="70AD47" w:themeColor="accent6"/>
        </w:tcBorders>
      </w:tcPr>
    </w:tblStylePr>
  </w:style>
  <w:style w:type="table" w:styleId="LightList">
    <w:name w:val="Light List"/>
    <w:basedOn w:val="TableNormal"/>
    <w:uiPriority w:val="61"/>
    <w:semiHidden/>
    <w:unhideWhenUsed/>
    <w:rsid w:val="00C10A5B"/>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semiHidden/>
    <w:unhideWhenUsed/>
    <w:rsid w:val="00C10A5B"/>
    <w:pPr>
      <w:spacing w:after="0" w:line="240" w:lineRule="auto"/>
    </w:pPr>
    <w:tblPr>
      <w:tblStyleRowBandSize w:val="1"/>
      <w:tblStyleColBandSize w:val="1"/>
      <w:tblBorders>
        <w:top w:val="single" w:sz="8" w:space="0" w:color="4472C4" w:themeColor="accent1"/>
        <w:left w:val="single" w:sz="8" w:space="0" w:color="4472C4" w:themeColor="accent1"/>
        <w:bottom w:val="single" w:sz="8" w:space="0" w:color="4472C4" w:themeColor="accent1"/>
        <w:right w:val="single" w:sz="8" w:space="0" w:color="4472C4" w:themeColor="accent1"/>
      </w:tblBorders>
    </w:tblPr>
    <w:tblStylePr w:type="firstRow">
      <w:pPr>
        <w:spacing w:before="0" w:after="0" w:line="240" w:lineRule="auto"/>
      </w:pPr>
      <w:rPr>
        <w:b/>
        <w:bCs/>
        <w:color w:val="FFFFFF" w:themeColor="background1"/>
      </w:rPr>
      <w:tblPr/>
      <w:tcPr>
        <w:shd w:val="clear" w:color="auto" w:fill="4472C4" w:themeFill="accent1"/>
      </w:tcPr>
    </w:tblStylePr>
    <w:tblStylePr w:type="lastRow">
      <w:pPr>
        <w:spacing w:before="0" w:after="0" w:line="240" w:lineRule="auto"/>
      </w:pPr>
      <w:rPr>
        <w:b/>
        <w:bCs/>
      </w:rPr>
      <w:tblPr/>
      <w:tcPr>
        <w:tcBorders>
          <w:top w:val="double" w:sz="6" w:space="0" w:color="4472C4" w:themeColor="accent1"/>
          <w:left w:val="single" w:sz="8" w:space="0" w:color="4472C4" w:themeColor="accent1"/>
          <w:bottom w:val="single" w:sz="8" w:space="0" w:color="4472C4" w:themeColor="accent1"/>
          <w:right w:val="single" w:sz="8" w:space="0" w:color="4472C4" w:themeColor="accent1"/>
        </w:tcBorders>
      </w:tcPr>
    </w:tblStylePr>
    <w:tblStylePr w:type="firstCol">
      <w:rPr>
        <w:b/>
        <w:bCs/>
      </w:rPr>
    </w:tblStylePr>
    <w:tblStylePr w:type="lastCol">
      <w:rPr>
        <w:b/>
        <w:bCs/>
      </w:rPr>
    </w:tblStylePr>
    <w:tblStylePr w:type="band1Vert">
      <w:tblPr/>
      <w:tcPr>
        <w:tcBorders>
          <w:top w:val="single" w:sz="8" w:space="0" w:color="4472C4" w:themeColor="accent1"/>
          <w:left w:val="single" w:sz="8" w:space="0" w:color="4472C4" w:themeColor="accent1"/>
          <w:bottom w:val="single" w:sz="8" w:space="0" w:color="4472C4" w:themeColor="accent1"/>
          <w:right w:val="single" w:sz="8" w:space="0" w:color="4472C4" w:themeColor="accent1"/>
        </w:tcBorders>
      </w:tcPr>
    </w:tblStylePr>
    <w:tblStylePr w:type="band1Horz">
      <w:tblPr/>
      <w:tcPr>
        <w:tcBorders>
          <w:top w:val="single" w:sz="8" w:space="0" w:color="4472C4" w:themeColor="accent1"/>
          <w:left w:val="single" w:sz="8" w:space="0" w:color="4472C4" w:themeColor="accent1"/>
          <w:bottom w:val="single" w:sz="8" w:space="0" w:color="4472C4" w:themeColor="accent1"/>
          <w:right w:val="single" w:sz="8" w:space="0" w:color="4472C4" w:themeColor="accent1"/>
        </w:tcBorders>
      </w:tcPr>
    </w:tblStylePr>
  </w:style>
  <w:style w:type="table" w:styleId="LightList-Accent2">
    <w:name w:val="Light List Accent 2"/>
    <w:basedOn w:val="TableNormal"/>
    <w:uiPriority w:val="61"/>
    <w:semiHidden/>
    <w:unhideWhenUsed/>
    <w:rsid w:val="00C10A5B"/>
    <w:pPr>
      <w:spacing w:after="0" w:line="240" w:lineRule="auto"/>
    </w:pPr>
    <w:tblPr>
      <w:tblStyleRowBandSize w:val="1"/>
      <w:tblStyleColBandSize w:val="1"/>
      <w:tblBorders>
        <w:top w:val="single" w:sz="8" w:space="0" w:color="ED7D31" w:themeColor="accent2"/>
        <w:left w:val="single" w:sz="8" w:space="0" w:color="ED7D31" w:themeColor="accent2"/>
        <w:bottom w:val="single" w:sz="8" w:space="0" w:color="ED7D31" w:themeColor="accent2"/>
        <w:right w:val="single" w:sz="8" w:space="0" w:color="ED7D31" w:themeColor="accent2"/>
      </w:tblBorders>
    </w:tblPr>
    <w:tblStylePr w:type="firstRow">
      <w:pPr>
        <w:spacing w:before="0" w:after="0" w:line="240" w:lineRule="auto"/>
      </w:pPr>
      <w:rPr>
        <w:b/>
        <w:bCs/>
        <w:color w:val="FFFFFF" w:themeColor="background1"/>
      </w:rPr>
      <w:tblPr/>
      <w:tcPr>
        <w:shd w:val="clear" w:color="auto" w:fill="ED7D31" w:themeFill="accent2"/>
      </w:tcPr>
    </w:tblStylePr>
    <w:tblStylePr w:type="lastRow">
      <w:pPr>
        <w:spacing w:before="0" w:after="0" w:line="240" w:lineRule="auto"/>
      </w:pPr>
      <w:rPr>
        <w:b/>
        <w:bCs/>
      </w:rPr>
      <w:tblPr/>
      <w:tcPr>
        <w:tcBorders>
          <w:top w:val="double" w:sz="6" w:space="0" w:color="ED7D31" w:themeColor="accent2"/>
          <w:left w:val="single" w:sz="8" w:space="0" w:color="ED7D31" w:themeColor="accent2"/>
          <w:bottom w:val="single" w:sz="8" w:space="0" w:color="ED7D31" w:themeColor="accent2"/>
          <w:right w:val="single" w:sz="8" w:space="0" w:color="ED7D31" w:themeColor="accent2"/>
        </w:tcBorders>
      </w:tcPr>
    </w:tblStylePr>
    <w:tblStylePr w:type="firstCol">
      <w:rPr>
        <w:b/>
        <w:bCs/>
      </w:rPr>
    </w:tblStylePr>
    <w:tblStylePr w:type="lastCol">
      <w:rPr>
        <w:b/>
        <w:bCs/>
      </w:rPr>
    </w:tblStylePr>
    <w:tblStylePr w:type="band1Vert">
      <w:tblPr/>
      <w:tcPr>
        <w:tcBorders>
          <w:top w:val="single" w:sz="8" w:space="0" w:color="ED7D31" w:themeColor="accent2"/>
          <w:left w:val="single" w:sz="8" w:space="0" w:color="ED7D31" w:themeColor="accent2"/>
          <w:bottom w:val="single" w:sz="8" w:space="0" w:color="ED7D31" w:themeColor="accent2"/>
          <w:right w:val="single" w:sz="8" w:space="0" w:color="ED7D31" w:themeColor="accent2"/>
        </w:tcBorders>
      </w:tcPr>
    </w:tblStylePr>
    <w:tblStylePr w:type="band1Horz">
      <w:tblPr/>
      <w:tcPr>
        <w:tcBorders>
          <w:top w:val="single" w:sz="8" w:space="0" w:color="ED7D31" w:themeColor="accent2"/>
          <w:left w:val="single" w:sz="8" w:space="0" w:color="ED7D31" w:themeColor="accent2"/>
          <w:bottom w:val="single" w:sz="8" w:space="0" w:color="ED7D31" w:themeColor="accent2"/>
          <w:right w:val="single" w:sz="8" w:space="0" w:color="ED7D31" w:themeColor="accent2"/>
        </w:tcBorders>
      </w:tcPr>
    </w:tblStylePr>
  </w:style>
  <w:style w:type="table" w:styleId="LightList-Accent3">
    <w:name w:val="Light List Accent 3"/>
    <w:basedOn w:val="TableNormal"/>
    <w:uiPriority w:val="61"/>
    <w:semiHidden/>
    <w:unhideWhenUsed/>
    <w:rsid w:val="00C10A5B"/>
    <w:pPr>
      <w:spacing w:after="0" w:line="240" w:lineRule="auto"/>
    </w:pPr>
    <w:tblPr>
      <w:tblStyleRowBandSize w:val="1"/>
      <w:tblStyleColBandSize w:val="1"/>
      <w:tblBorders>
        <w:top w:val="single" w:sz="8" w:space="0" w:color="A5A5A5" w:themeColor="accent3"/>
        <w:left w:val="single" w:sz="8" w:space="0" w:color="A5A5A5" w:themeColor="accent3"/>
        <w:bottom w:val="single" w:sz="8" w:space="0" w:color="A5A5A5" w:themeColor="accent3"/>
        <w:right w:val="single" w:sz="8" w:space="0" w:color="A5A5A5" w:themeColor="accent3"/>
      </w:tblBorders>
    </w:tblPr>
    <w:tblStylePr w:type="firstRow">
      <w:pPr>
        <w:spacing w:before="0" w:after="0" w:line="240" w:lineRule="auto"/>
      </w:pPr>
      <w:rPr>
        <w:b/>
        <w:bCs/>
        <w:color w:val="FFFFFF" w:themeColor="background1"/>
      </w:rPr>
      <w:tblPr/>
      <w:tcPr>
        <w:shd w:val="clear" w:color="auto" w:fill="A5A5A5" w:themeFill="accent3"/>
      </w:tcPr>
    </w:tblStylePr>
    <w:tblStylePr w:type="lastRow">
      <w:pPr>
        <w:spacing w:before="0" w:after="0" w:line="240" w:lineRule="auto"/>
      </w:pPr>
      <w:rPr>
        <w:b/>
        <w:bCs/>
      </w:rPr>
      <w:tblPr/>
      <w:tcPr>
        <w:tcBorders>
          <w:top w:val="double" w:sz="6" w:space="0" w:color="A5A5A5" w:themeColor="accent3"/>
          <w:left w:val="single" w:sz="8" w:space="0" w:color="A5A5A5" w:themeColor="accent3"/>
          <w:bottom w:val="single" w:sz="8" w:space="0" w:color="A5A5A5" w:themeColor="accent3"/>
          <w:right w:val="single" w:sz="8" w:space="0" w:color="A5A5A5" w:themeColor="accent3"/>
        </w:tcBorders>
      </w:tcPr>
    </w:tblStylePr>
    <w:tblStylePr w:type="firstCol">
      <w:rPr>
        <w:b/>
        <w:bCs/>
      </w:rPr>
    </w:tblStylePr>
    <w:tblStylePr w:type="lastCol">
      <w:rPr>
        <w:b/>
        <w:bCs/>
      </w:rPr>
    </w:tblStylePr>
    <w:tblStylePr w:type="band1Vert">
      <w:tblPr/>
      <w:tcPr>
        <w:tcBorders>
          <w:top w:val="single" w:sz="8" w:space="0" w:color="A5A5A5" w:themeColor="accent3"/>
          <w:left w:val="single" w:sz="8" w:space="0" w:color="A5A5A5" w:themeColor="accent3"/>
          <w:bottom w:val="single" w:sz="8" w:space="0" w:color="A5A5A5" w:themeColor="accent3"/>
          <w:right w:val="single" w:sz="8" w:space="0" w:color="A5A5A5" w:themeColor="accent3"/>
        </w:tcBorders>
      </w:tcPr>
    </w:tblStylePr>
    <w:tblStylePr w:type="band1Horz">
      <w:tblPr/>
      <w:tcPr>
        <w:tcBorders>
          <w:top w:val="single" w:sz="8" w:space="0" w:color="A5A5A5" w:themeColor="accent3"/>
          <w:left w:val="single" w:sz="8" w:space="0" w:color="A5A5A5" w:themeColor="accent3"/>
          <w:bottom w:val="single" w:sz="8" w:space="0" w:color="A5A5A5" w:themeColor="accent3"/>
          <w:right w:val="single" w:sz="8" w:space="0" w:color="A5A5A5" w:themeColor="accent3"/>
        </w:tcBorders>
      </w:tcPr>
    </w:tblStylePr>
  </w:style>
  <w:style w:type="table" w:styleId="LightList-Accent4">
    <w:name w:val="Light List Accent 4"/>
    <w:basedOn w:val="TableNormal"/>
    <w:uiPriority w:val="61"/>
    <w:semiHidden/>
    <w:unhideWhenUsed/>
    <w:rsid w:val="00C10A5B"/>
    <w:pPr>
      <w:spacing w:after="0" w:line="240" w:lineRule="auto"/>
    </w:pPr>
    <w:tblPr>
      <w:tblStyleRowBandSize w:val="1"/>
      <w:tblStyleColBandSize w:val="1"/>
      <w:tblBorders>
        <w:top w:val="single" w:sz="8" w:space="0" w:color="FFC000" w:themeColor="accent4"/>
        <w:left w:val="single" w:sz="8" w:space="0" w:color="FFC000" w:themeColor="accent4"/>
        <w:bottom w:val="single" w:sz="8" w:space="0" w:color="FFC000" w:themeColor="accent4"/>
        <w:right w:val="single" w:sz="8" w:space="0" w:color="FFC000" w:themeColor="accent4"/>
      </w:tblBorders>
    </w:tblPr>
    <w:tblStylePr w:type="firstRow">
      <w:pPr>
        <w:spacing w:before="0" w:after="0" w:line="240" w:lineRule="auto"/>
      </w:pPr>
      <w:rPr>
        <w:b/>
        <w:bCs/>
        <w:color w:val="FFFFFF" w:themeColor="background1"/>
      </w:rPr>
      <w:tblPr/>
      <w:tcPr>
        <w:shd w:val="clear" w:color="auto" w:fill="FFC000" w:themeFill="accent4"/>
      </w:tcPr>
    </w:tblStylePr>
    <w:tblStylePr w:type="lastRow">
      <w:pPr>
        <w:spacing w:before="0" w:after="0" w:line="240" w:lineRule="auto"/>
      </w:pPr>
      <w:rPr>
        <w:b/>
        <w:bCs/>
      </w:rPr>
      <w:tblPr/>
      <w:tcPr>
        <w:tcBorders>
          <w:top w:val="double" w:sz="6" w:space="0" w:color="FFC000" w:themeColor="accent4"/>
          <w:left w:val="single" w:sz="8" w:space="0" w:color="FFC000" w:themeColor="accent4"/>
          <w:bottom w:val="single" w:sz="8" w:space="0" w:color="FFC000" w:themeColor="accent4"/>
          <w:right w:val="single" w:sz="8" w:space="0" w:color="FFC000" w:themeColor="accent4"/>
        </w:tcBorders>
      </w:tcPr>
    </w:tblStylePr>
    <w:tblStylePr w:type="firstCol">
      <w:rPr>
        <w:b/>
        <w:bCs/>
      </w:rPr>
    </w:tblStylePr>
    <w:tblStylePr w:type="lastCol">
      <w:rPr>
        <w:b/>
        <w:bCs/>
      </w:rPr>
    </w:tblStylePr>
    <w:tblStylePr w:type="band1Vert">
      <w:tblPr/>
      <w:tcPr>
        <w:tcBorders>
          <w:top w:val="single" w:sz="8" w:space="0" w:color="FFC000" w:themeColor="accent4"/>
          <w:left w:val="single" w:sz="8" w:space="0" w:color="FFC000" w:themeColor="accent4"/>
          <w:bottom w:val="single" w:sz="8" w:space="0" w:color="FFC000" w:themeColor="accent4"/>
          <w:right w:val="single" w:sz="8" w:space="0" w:color="FFC000" w:themeColor="accent4"/>
        </w:tcBorders>
      </w:tcPr>
    </w:tblStylePr>
    <w:tblStylePr w:type="band1Horz">
      <w:tblPr/>
      <w:tcPr>
        <w:tcBorders>
          <w:top w:val="single" w:sz="8" w:space="0" w:color="FFC000" w:themeColor="accent4"/>
          <w:left w:val="single" w:sz="8" w:space="0" w:color="FFC000" w:themeColor="accent4"/>
          <w:bottom w:val="single" w:sz="8" w:space="0" w:color="FFC000" w:themeColor="accent4"/>
          <w:right w:val="single" w:sz="8" w:space="0" w:color="FFC000" w:themeColor="accent4"/>
        </w:tcBorders>
      </w:tcPr>
    </w:tblStylePr>
  </w:style>
  <w:style w:type="table" w:styleId="LightList-Accent5">
    <w:name w:val="Light List Accent 5"/>
    <w:basedOn w:val="TableNormal"/>
    <w:uiPriority w:val="61"/>
    <w:semiHidden/>
    <w:unhideWhenUsed/>
    <w:rsid w:val="00C10A5B"/>
    <w:pPr>
      <w:spacing w:after="0" w:line="240" w:lineRule="auto"/>
    </w:pPr>
    <w:tblPr>
      <w:tblStyleRowBandSize w:val="1"/>
      <w:tblStyleColBandSize w:val="1"/>
      <w:tblBorders>
        <w:top w:val="single" w:sz="8" w:space="0" w:color="5B9BD5" w:themeColor="accent5"/>
        <w:left w:val="single" w:sz="8" w:space="0" w:color="5B9BD5" w:themeColor="accent5"/>
        <w:bottom w:val="single" w:sz="8" w:space="0" w:color="5B9BD5" w:themeColor="accent5"/>
        <w:right w:val="single" w:sz="8" w:space="0" w:color="5B9BD5" w:themeColor="accent5"/>
      </w:tblBorders>
    </w:tblPr>
    <w:tblStylePr w:type="firstRow">
      <w:pPr>
        <w:spacing w:before="0" w:after="0" w:line="240" w:lineRule="auto"/>
      </w:pPr>
      <w:rPr>
        <w:b/>
        <w:bCs/>
        <w:color w:val="FFFFFF" w:themeColor="background1"/>
      </w:rPr>
      <w:tblPr/>
      <w:tcPr>
        <w:shd w:val="clear" w:color="auto" w:fill="5B9BD5" w:themeFill="accent5"/>
      </w:tcPr>
    </w:tblStylePr>
    <w:tblStylePr w:type="lastRow">
      <w:pPr>
        <w:spacing w:before="0" w:after="0" w:line="240" w:lineRule="auto"/>
      </w:pPr>
      <w:rPr>
        <w:b/>
        <w:bCs/>
      </w:rPr>
      <w:tblPr/>
      <w:tcPr>
        <w:tcBorders>
          <w:top w:val="double" w:sz="6" w:space="0" w:color="5B9BD5" w:themeColor="accent5"/>
          <w:left w:val="single" w:sz="8" w:space="0" w:color="5B9BD5" w:themeColor="accent5"/>
          <w:bottom w:val="single" w:sz="8" w:space="0" w:color="5B9BD5" w:themeColor="accent5"/>
          <w:right w:val="single" w:sz="8" w:space="0" w:color="5B9BD5" w:themeColor="accent5"/>
        </w:tcBorders>
      </w:tcPr>
    </w:tblStylePr>
    <w:tblStylePr w:type="firstCol">
      <w:rPr>
        <w:b/>
        <w:bCs/>
      </w:rPr>
    </w:tblStylePr>
    <w:tblStylePr w:type="lastCol">
      <w:rPr>
        <w:b/>
        <w:bCs/>
      </w:rPr>
    </w:tblStylePr>
    <w:tblStylePr w:type="band1Vert">
      <w:tblPr/>
      <w:tcPr>
        <w:tcBorders>
          <w:top w:val="single" w:sz="8" w:space="0" w:color="5B9BD5" w:themeColor="accent5"/>
          <w:left w:val="single" w:sz="8" w:space="0" w:color="5B9BD5" w:themeColor="accent5"/>
          <w:bottom w:val="single" w:sz="8" w:space="0" w:color="5B9BD5" w:themeColor="accent5"/>
          <w:right w:val="single" w:sz="8" w:space="0" w:color="5B9BD5" w:themeColor="accent5"/>
        </w:tcBorders>
      </w:tcPr>
    </w:tblStylePr>
    <w:tblStylePr w:type="band1Horz">
      <w:tblPr/>
      <w:tcPr>
        <w:tcBorders>
          <w:top w:val="single" w:sz="8" w:space="0" w:color="5B9BD5" w:themeColor="accent5"/>
          <w:left w:val="single" w:sz="8" w:space="0" w:color="5B9BD5" w:themeColor="accent5"/>
          <w:bottom w:val="single" w:sz="8" w:space="0" w:color="5B9BD5" w:themeColor="accent5"/>
          <w:right w:val="single" w:sz="8" w:space="0" w:color="5B9BD5" w:themeColor="accent5"/>
        </w:tcBorders>
      </w:tcPr>
    </w:tblStylePr>
  </w:style>
  <w:style w:type="table" w:styleId="LightList-Accent6">
    <w:name w:val="Light List Accent 6"/>
    <w:basedOn w:val="TableNormal"/>
    <w:uiPriority w:val="61"/>
    <w:semiHidden/>
    <w:unhideWhenUsed/>
    <w:rsid w:val="00C10A5B"/>
    <w:pPr>
      <w:spacing w:after="0" w:line="240" w:lineRule="auto"/>
    </w:pPr>
    <w:tblPr>
      <w:tblStyleRowBandSize w:val="1"/>
      <w:tblStyleColBandSize w:val="1"/>
      <w:tblBorders>
        <w:top w:val="single" w:sz="8" w:space="0" w:color="70AD47" w:themeColor="accent6"/>
        <w:left w:val="single" w:sz="8" w:space="0" w:color="70AD47" w:themeColor="accent6"/>
        <w:bottom w:val="single" w:sz="8" w:space="0" w:color="70AD47" w:themeColor="accent6"/>
        <w:right w:val="single" w:sz="8" w:space="0" w:color="70AD47" w:themeColor="accent6"/>
      </w:tblBorders>
    </w:tblPr>
    <w:tblStylePr w:type="firstRow">
      <w:pPr>
        <w:spacing w:before="0" w:after="0" w:line="240" w:lineRule="auto"/>
      </w:pPr>
      <w:rPr>
        <w:b/>
        <w:bCs/>
        <w:color w:val="FFFFFF" w:themeColor="background1"/>
      </w:rPr>
      <w:tblPr/>
      <w:tcPr>
        <w:shd w:val="clear" w:color="auto" w:fill="70AD47" w:themeFill="accent6"/>
      </w:tcPr>
    </w:tblStylePr>
    <w:tblStylePr w:type="lastRow">
      <w:pPr>
        <w:spacing w:before="0" w:after="0" w:line="240" w:lineRule="auto"/>
      </w:pPr>
      <w:rPr>
        <w:b/>
        <w:bCs/>
      </w:rPr>
      <w:tblPr/>
      <w:tcPr>
        <w:tcBorders>
          <w:top w:val="double" w:sz="6" w:space="0" w:color="70AD47" w:themeColor="accent6"/>
          <w:left w:val="single" w:sz="8" w:space="0" w:color="70AD47" w:themeColor="accent6"/>
          <w:bottom w:val="single" w:sz="8" w:space="0" w:color="70AD47" w:themeColor="accent6"/>
          <w:right w:val="single" w:sz="8" w:space="0" w:color="70AD47" w:themeColor="accent6"/>
        </w:tcBorders>
      </w:tcPr>
    </w:tblStylePr>
    <w:tblStylePr w:type="firstCol">
      <w:rPr>
        <w:b/>
        <w:bCs/>
      </w:rPr>
    </w:tblStylePr>
    <w:tblStylePr w:type="lastCol">
      <w:rPr>
        <w:b/>
        <w:bCs/>
      </w:rPr>
    </w:tblStylePr>
    <w:tblStylePr w:type="band1Vert">
      <w:tblPr/>
      <w:tcPr>
        <w:tcBorders>
          <w:top w:val="single" w:sz="8" w:space="0" w:color="70AD47" w:themeColor="accent6"/>
          <w:left w:val="single" w:sz="8" w:space="0" w:color="70AD47" w:themeColor="accent6"/>
          <w:bottom w:val="single" w:sz="8" w:space="0" w:color="70AD47" w:themeColor="accent6"/>
          <w:right w:val="single" w:sz="8" w:space="0" w:color="70AD47" w:themeColor="accent6"/>
        </w:tcBorders>
      </w:tcPr>
    </w:tblStylePr>
    <w:tblStylePr w:type="band1Horz">
      <w:tblPr/>
      <w:tcPr>
        <w:tcBorders>
          <w:top w:val="single" w:sz="8" w:space="0" w:color="70AD47" w:themeColor="accent6"/>
          <w:left w:val="single" w:sz="8" w:space="0" w:color="70AD47" w:themeColor="accent6"/>
          <w:bottom w:val="single" w:sz="8" w:space="0" w:color="70AD47" w:themeColor="accent6"/>
          <w:right w:val="single" w:sz="8" w:space="0" w:color="70AD47" w:themeColor="accent6"/>
        </w:tcBorders>
      </w:tcPr>
    </w:tblStylePr>
  </w:style>
  <w:style w:type="table" w:styleId="LightShading">
    <w:name w:val="Light Shading"/>
    <w:basedOn w:val="TableNormal"/>
    <w:uiPriority w:val="60"/>
    <w:semiHidden/>
    <w:unhideWhenUsed/>
    <w:rsid w:val="00C10A5B"/>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semiHidden/>
    <w:unhideWhenUsed/>
    <w:rsid w:val="00C10A5B"/>
    <w:pPr>
      <w:spacing w:after="0" w:line="240" w:lineRule="auto"/>
    </w:pPr>
    <w:rPr>
      <w:color w:val="2F5496" w:themeColor="accent1" w:themeShade="BF"/>
    </w:rPr>
    <w:tblPr>
      <w:tblStyleRowBandSize w:val="1"/>
      <w:tblStyleColBandSize w:val="1"/>
      <w:tblBorders>
        <w:top w:val="single" w:sz="8" w:space="0" w:color="4472C4" w:themeColor="accent1"/>
        <w:bottom w:val="single" w:sz="8" w:space="0" w:color="4472C4" w:themeColor="accent1"/>
      </w:tblBorders>
    </w:tblPr>
    <w:tblStylePr w:type="firstRow">
      <w:pPr>
        <w:spacing w:before="0" w:after="0" w:line="240" w:lineRule="auto"/>
      </w:pPr>
      <w:rPr>
        <w:b/>
        <w:bCs/>
      </w:rPr>
      <w:tblPr/>
      <w:tcPr>
        <w:tcBorders>
          <w:top w:val="single" w:sz="8" w:space="0" w:color="4472C4" w:themeColor="accent1"/>
          <w:left w:val="nil"/>
          <w:bottom w:val="single" w:sz="8" w:space="0" w:color="4472C4" w:themeColor="accent1"/>
          <w:right w:val="nil"/>
          <w:insideH w:val="nil"/>
          <w:insideV w:val="nil"/>
        </w:tcBorders>
      </w:tcPr>
    </w:tblStylePr>
    <w:tblStylePr w:type="lastRow">
      <w:pPr>
        <w:spacing w:before="0" w:after="0" w:line="240" w:lineRule="auto"/>
      </w:pPr>
      <w:rPr>
        <w:b/>
        <w:bCs/>
      </w:rPr>
      <w:tblPr/>
      <w:tcPr>
        <w:tcBorders>
          <w:top w:val="single" w:sz="8" w:space="0" w:color="4472C4" w:themeColor="accent1"/>
          <w:left w:val="nil"/>
          <w:bottom w:val="single" w:sz="8" w:space="0" w:color="4472C4"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0DBF0" w:themeFill="accent1" w:themeFillTint="3F"/>
      </w:tcPr>
    </w:tblStylePr>
    <w:tblStylePr w:type="band1Horz">
      <w:tblPr/>
      <w:tcPr>
        <w:tcBorders>
          <w:left w:val="nil"/>
          <w:right w:val="nil"/>
          <w:insideH w:val="nil"/>
          <w:insideV w:val="nil"/>
        </w:tcBorders>
        <w:shd w:val="clear" w:color="auto" w:fill="D0DBF0" w:themeFill="accent1" w:themeFillTint="3F"/>
      </w:tcPr>
    </w:tblStylePr>
  </w:style>
  <w:style w:type="table" w:styleId="LightShading-Accent2">
    <w:name w:val="Light Shading Accent 2"/>
    <w:basedOn w:val="TableNormal"/>
    <w:uiPriority w:val="60"/>
    <w:semiHidden/>
    <w:unhideWhenUsed/>
    <w:rsid w:val="00C10A5B"/>
    <w:pPr>
      <w:spacing w:after="0" w:line="240" w:lineRule="auto"/>
    </w:pPr>
    <w:rPr>
      <w:color w:val="C45911" w:themeColor="accent2" w:themeShade="BF"/>
    </w:rPr>
    <w:tblPr>
      <w:tblStyleRowBandSize w:val="1"/>
      <w:tblStyleColBandSize w:val="1"/>
      <w:tblBorders>
        <w:top w:val="single" w:sz="8" w:space="0" w:color="ED7D31" w:themeColor="accent2"/>
        <w:bottom w:val="single" w:sz="8" w:space="0" w:color="ED7D31" w:themeColor="accent2"/>
      </w:tblBorders>
    </w:tblPr>
    <w:tblStylePr w:type="firstRow">
      <w:pPr>
        <w:spacing w:before="0" w:after="0" w:line="240" w:lineRule="auto"/>
      </w:pPr>
      <w:rPr>
        <w:b/>
        <w:bCs/>
      </w:rPr>
      <w:tblPr/>
      <w:tcPr>
        <w:tcBorders>
          <w:top w:val="single" w:sz="8" w:space="0" w:color="ED7D31" w:themeColor="accent2"/>
          <w:left w:val="nil"/>
          <w:bottom w:val="single" w:sz="8" w:space="0" w:color="ED7D31" w:themeColor="accent2"/>
          <w:right w:val="nil"/>
          <w:insideH w:val="nil"/>
          <w:insideV w:val="nil"/>
        </w:tcBorders>
      </w:tcPr>
    </w:tblStylePr>
    <w:tblStylePr w:type="lastRow">
      <w:pPr>
        <w:spacing w:before="0" w:after="0" w:line="240" w:lineRule="auto"/>
      </w:pPr>
      <w:rPr>
        <w:b/>
        <w:bCs/>
      </w:rPr>
      <w:tblPr/>
      <w:tcPr>
        <w:tcBorders>
          <w:top w:val="single" w:sz="8" w:space="0" w:color="ED7D31" w:themeColor="accent2"/>
          <w:left w:val="nil"/>
          <w:bottom w:val="single" w:sz="8" w:space="0" w:color="ED7D31"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ADECB" w:themeFill="accent2" w:themeFillTint="3F"/>
      </w:tcPr>
    </w:tblStylePr>
    <w:tblStylePr w:type="band1Horz">
      <w:tblPr/>
      <w:tcPr>
        <w:tcBorders>
          <w:left w:val="nil"/>
          <w:right w:val="nil"/>
          <w:insideH w:val="nil"/>
          <w:insideV w:val="nil"/>
        </w:tcBorders>
        <w:shd w:val="clear" w:color="auto" w:fill="FADECB" w:themeFill="accent2" w:themeFillTint="3F"/>
      </w:tcPr>
    </w:tblStylePr>
  </w:style>
  <w:style w:type="table" w:styleId="LightShading-Accent3">
    <w:name w:val="Light Shading Accent 3"/>
    <w:basedOn w:val="TableNormal"/>
    <w:uiPriority w:val="60"/>
    <w:semiHidden/>
    <w:unhideWhenUsed/>
    <w:rsid w:val="00C10A5B"/>
    <w:pPr>
      <w:spacing w:after="0" w:line="240" w:lineRule="auto"/>
    </w:pPr>
    <w:rPr>
      <w:color w:val="7B7B7B" w:themeColor="accent3" w:themeShade="BF"/>
    </w:rPr>
    <w:tblPr>
      <w:tblStyleRowBandSize w:val="1"/>
      <w:tblStyleColBandSize w:val="1"/>
      <w:tblBorders>
        <w:top w:val="single" w:sz="8" w:space="0" w:color="A5A5A5" w:themeColor="accent3"/>
        <w:bottom w:val="single" w:sz="8" w:space="0" w:color="A5A5A5" w:themeColor="accent3"/>
      </w:tblBorders>
    </w:tblPr>
    <w:tblStylePr w:type="firstRow">
      <w:pPr>
        <w:spacing w:before="0" w:after="0" w:line="240" w:lineRule="auto"/>
      </w:pPr>
      <w:rPr>
        <w:b/>
        <w:bCs/>
      </w:rPr>
      <w:tblPr/>
      <w:tcPr>
        <w:tcBorders>
          <w:top w:val="single" w:sz="8" w:space="0" w:color="A5A5A5" w:themeColor="accent3"/>
          <w:left w:val="nil"/>
          <w:bottom w:val="single" w:sz="8" w:space="0" w:color="A5A5A5" w:themeColor="accent3"/>
          <w:right w:val="nil"/>
          <w:insideH w:val="nil"/>
          <w:insideV w:val="nil"/>
        </w:tcBorders>
      </w:tcPr>
    </w:tblStylePr>
    <w:tblStylePr w:type="lastRow">
      <w:pPr>
        <w:spacing w:before="0" w:after="0" w:line="240" w:lineRule="auto"/>
      </w:pPr>
      <w:rPr>
        <w:b/>
        <w:bCs/>
      </w:rPr>
      <w:tblPr/>
      <w:tcPr>
        <w:tcBorders>
          <w:top w:val="single" w:sz="8" w:space="0" w:color="A5A5A5" w:themeColor="accent3"/>
          <w:left w:val="nil"/>
          <w:bottom w:val="single" w:sz="8" w:space="0" w:color="A5A5A5"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8E8E8" w:themeFill="accent3" w:themeFillTint="3F"/>
      </w:tcPr>
    </w:tblStylePr>
    <w:tblStylePr w:type="band1Horz">
      <w:tblPr/>
      <w:tcPr>
        <w:tcBorders>
          <w:left w:val="nil"/>
          <w:right w:val="nil"/>
          <w:insideH w:val="nil"/>
          <w:insideV w:val="nil"/>
        </w:tcBorders>
        <w:shd w:val="clear" w:color="auto" w:fill="E8E8E8" w:themeFill="accent3" w:themeFillTint="3F"/>
      </w:tcPr>
    </w:tblStylePr>
  </w:style>
  <w:style w:type="table" w:styleId="LightShading-Accent4">
    <w:name w:val="Light Shading Accent 4"/>
    <w:basedOn w:val="TableNormal"/>
    <w:uiPriority w:val="60"/>
    <w:semiHidden/>
    <w:unhideWhenUsed/>
    <w:rsid w:val="00C10A5B"/>
    <w:pPr>
      <w:spacing w:after="0" w:line="240" w:lineRule="auto"/>
    </w:pPr>
    <w:rPr>
      <w:color w:val="BF8F00" w:themeColor="accent4" w:themeShade="BF"/>
    </w:rPr>
    <w:tblPr>
      <w:tblStyleRowBandSize w:val="1"/>
      <w:tblStyleColBandSize w:val="1"/>
      <w:tblBorders>
        <w:top w:val="single" w:sz="8" w:space="0" w:color="FFC000" w:themeColor="accent4"/>
        <w:bottom w:val="single" w:sz="8" w:space="0" w:color="FFC000" w:themeColor="accent4"/>
      </w:tblBorders>
    </w:tblPr>
    <w:tblStylePr w:type="firstRow">
      <w:pPr>
        <w:spacing w:before="0" w:after="0" w:line="240" w:lineRule="auto"/>
      </w:pPr>
      <w:rPr>
        <w:b/>
        <w:bCs/>
      </w:rPr>
      <w:tblPr/>
      <w:tcPr>
        <w:tcBorders>
          <w:top w:val="single" w:sz="8" w:space="0" w:color="FFC000" w:themeColor="accent4"/>
          <w:left w:val="nil"/>
          <w:bottom w:val="single" w:sz="8" w:space="0" w:color="FFC000" w:themeColor="accent4"/>
          <w:right w:val="nil"/>
          <w:insideH w:val="nil"/>
          <w:insideV w:val="nil"/>
        </w:tcBorders>
      </w:tcPr>
    </w:tblStylePr>
    <w:tblStylePr w:type="lastRow">
      <w:pPr>
        <w:spacing w:before="0" w:after="0" w:line="240" w:lineRule="auto"/>
      </w:pPr>
      <w:rPr>
        <w:b/>
        <w:bCs/>
      </w:rPr>
      <w:tblPr/>
      <w:tcPr>
        <w:tcBorders>
          <w:top w:val="single" w:sz="8" w:space="0" w:color="FFC000" w:themeColor="accent4"/>
          <w:left w:val="nil"/>
          <w:bottom w:val="single" w:sz="8" w:space="0" w:color="FFC000"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FEFC0" w:themeFill="accent4" w:themeFillTint="3F"/>
      </w:tcPr>
    </w:tblStylePr>
    <w:tblStylePr w:type="band1Horz">
      <w:tblPr/>
      <w:tcPr>
        <w:tcBorders>
          <w:left w:val="nil"/>
          <w:right w:val="nil"/>
          <w:insideH w:val="nil"/>
          <w:insideV w:val="nil"/>
        </w:tcBorders>
        <w:shd w:val="clear" w:color="auto" w:fill="FFEFC0" w:themeFill="accent4" w:themeFillTint="3F"/>
      </w:tcPr>
    </w:tblStylePr>
  </w:style>
  <w:style w:type="table" w:styleId="LightShading-Accent5">
    <w:name w:val="Light Shading Accent 5"/>
    <w:basedOn w:val="TableNormal"/>
    <w:uiPriority w:val="60"/>
    <w:semiHidden/>
    <w:unhideWhenUsed/>
    <w:rsid w:val="00C10A5B"/>
    <w:pPr>
      <w:spacing w:after="0" w:line="240" w:lineRule="auto"/>
    </w:pPr>
    <w:rPr>
      <w:color w:val="2E74B5" w:themeColor="accent5" w:themeShade="BF"/>
    </w:rPr>
    <w:tblPr>
      <w:tblStyleRowBandSize w:val="1"/>
      <w:tblStyleColBandSize w:val="1"/>
      <w:tblBorders>
        <w:top w:val="single" w:sz="8" w:space="0" w:color="5B9BD5" w:themeColor="accent5"/>
        <w:bottom w:val="single" w:sz="8" w:space="0" w:color="5B9BD5" w:themeColor="accent5"/>
      </w:tblBorders>
    </w:tblPr>
    <w:tblStylePr w:type="firstRow">
      <w:pPr>
        <w:spacing w:before="0" w:after="0" w:line="240" w:lineRule="auto"/>
      </w:pPr>
      <w:rPr>
        <w:b/>
        <w:bCs/>
      </w:rPr>
      <w:tblPr/>
      <w:tcPr>
        <w:tcBorders>
          <w:top w:val="single" w:sz="8" w:space="0" w:color="5B9BD5" w:themeColor="accent5"/>
          <w:left w:val="nil"/>
          <w:bottom w:val="single" w:sz="8" w:space="0" w:color="5B9BD5" w:themeColor="accent5"/>
          <w:right w:val="nil"/>
          <w:insideH w:val="nil"/>
          <w:insideV w:val="nil"/>
        </w:tcBorders>
      </w:tcPr>
    </w:tblStylePr>
    <w:tblStylePr w:type="lastRow">
      <w:pPr>
        <w:spacing w:before="0" w:after="0" w:line="240" w:lineRule="auto"/>
      </w:pPr>
      <w:rPr>
        <w:b/>
        <w:bCs/>
      </w:rPr>
      <w:tblPr/>
      <w:tcPr>
        <w:tcBorders>
          <w:top w:val="single" w:sz="8" w:space="0" w:color="5B9BD5" w:themeColor="accent5"/>
          <w:left w:val="nil"/>
          <w:bottom w:val="single" w:sz="8" w:space="0" w:color="5B9BD5"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6E6F4" w:themeFill="accent5" w:themeFillTint="3F"/>
      </w:tcPr>
    </w:tblStylePr>
    <w:tblStylePr w:type="band1Horz">
      <w:tblPr/>
      <w:tcPr>
        <w:tcBorders>
          <w:left w:val="nil"/>
          <w:right w:val="nil"/>
          <w:insideH w:val="nil"/>
          <w:insideV w:val="nil"/>
        </w:tcBorders>
        <w:shd w:val="clear" w:color="auto" w:fill="D6E6F4" w:themeFill="accent5" w:themeFillTint="3F"/>
      </w:tcPr>
    </w:tblStylePr>
  </w:style>
  <w:style w:type="table" w:styleId="LightShading-Accent6">
    <w:name w:val="Light Shading Accent 6"/>
    <w:basedOn w:val="TableNormal"/>
    <w:uiPriority w:val="60"/>
    <w:semiHidden/>
    <w:unhideWhenUsed/>
    <w:rsid w:val="00C10A5B"/>
    <w:pPr>
      <w:spacing w:after="0" w:line="240" w:lineRule="auto"/>
    </w:pPr>
    <w:rPr>
      <w:color w:val="538135" w:themeColor="accent6" w:themeShade="BF"/>
    </w:rPr>
    <w:tblPr>
      <w:tblStyleRowBandSize w:val="1"/>
      <w:tblStyleColBandSize w:val="1"/>
      <w:tblBorders>
        <w:top w:val="single" w:sz="8" w:space="0" w:color="70AD47" w:themeColor="accent6"/>
        <w:bottom w:val="single" w:sz="8" w:space="0" w:color="70AD47" w:themeColor="accent6"/>
      </w:tblBorders>
    </w:tblPr>
    <w:tblStylePr w:type="firstRow">
      <w:pPr>
        <w:spacing w:before="0" w:after="0" w:line="240" w:lineRule="auto"/>
      </w:pPr>
      <w:rPr>
        <w:b/>
        <w:bCs/>
      </w:rPr>
      <w:tblPr/>
      <w:tcPr>
        <w:tcBorders>
          <w:top w:val="single" w:sz="8" w:space="0" w:color="70AD47" w:themeColor="accent6"/>
          <w:left w:val="nil"/>
          <w:bottom w:val="single" w:sz="8" w:space="0" w:color="70AD47" w:themeColor="accent6"/>
          <w:right w:val="nil"/>
          <w:insideH w:val="nil"/>
          <w:insideV w:val="nil"/>
        </w:tcBorders>
      </w:tcPr>
    </w:tblStylePr>
    <w:tblStylePr w:type="lastRow">
      <w:pPr>
        <w:spacing w:before="0" w:after="0" w:line="240" w:lineRule="auto"/>
      </w:pPr>
      <w:rPr>
        <w:b/>
        <w:bCs/>
      </w:rPr>
      <w:tblPr/>
      <w:tcPr>
        <w:tcBorders>
          <w:top w:val="single" w:sz="8" w:space="0" w:color="70AD47" w:themeColor="accent6"/>
          <w:left w:val="nil"/>
          <w:bottom w:val="single" w:sz="8" w:space="0" w:color="70AD47"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BEBD0" w:themeFill="accent6" w:themeFillTint="3F"/>
      </w:tcPr>
    </w:tblStylePr>
    <w:tblStylePr w:type="band1Horz">
      <w:tblPr/>
      <w:tcPr>
        <w:tcBorders>
          <w:left w:val="nil"/>
          <w:right w:val="nil"/>
          <w:insideH w:val="nil"/>
          <w:insideV w:val="nil"/>
        </w:tcBorders>
        <w:shd w:val="clear" w:color="auto" w:fill="DBEBD0" w:themeFill="accent6" w:themeFillTint="3F"/>
      </w:tcPr>
    </w:tblStylePr>
  </w:style>
  <w:style w:type="character" w:styleId="LineNumber">
    <w:name w:val="line number"/>
    <w:basedOn w:val="DefaultParagraphFont"/>
    <w:uiPriority w:val="99"/>
    <w:semiHidden/>
    <w:unhideWhenUsed/>
    <w:rsid w:val="00C10A5B"/>
    <w:rPr>
      <w:lang w:val="en-GB"/>
    </w:rPr>
  </w:style>
  <w:style w:type="paragraph" w:styleId="List2">
    <w:name w:val="List 2"/>
    <w:basedOn w:val="Normal"/>
    <w:uiPriority w:val="99"/>
    <w:semiHidden/>
    <w:unhideWhenUsed/>
    <w:rsid w:val="00C10A5B"/>
    <w:pPr>
      <w:ind w:left="566" w:hanging="283"/>
      <w:contextualSpacing/>
    </w:pPr>
  </w:style>
  <w:style w:type="paragraph" w:styleId="List3">
    <w:name w:val="List 3"/>
    <w:basedOn w:val="Normal"/>
    <w:uiPriority w:val="99"/>
    <w:semiHidden/>
    <w:unhideWhenUsed/>
    <w:rsid w:val="00C10A5B"/>
    <w:pPr>
      <w:ind w:left="849" w:hanging="283"/>
      <w:contextualSpacing/>
    </w:pPr>
  </w:style>
  <w:style w:type="paragraph" w:styleId="List4">
    <w:name w:val="List 4"/>
    <w:basedOn w:val="Normal"/>
    <w:uiPriority w:val="99"/>
    <w:semiHidden/>
    <w:unhideWhenUsed/>
    <w:rsid w:val="00C10A5B"/>
    <w:pPr>
      <w:ind w:left="1132" w:hanging="283"/>
      <w:contextualSpacing/>
    </w:pPr>
  </w:style>
  <w:style w:type="paragraph" w:styleId="List5">
    <w:name w:val="List 5"/>
    <w:basedOn w:val="Normal"/>
    <w:uiPriority w:val="99"/>
    <w:semiHidden/>
    <w:unhideWhenUsed/>
    <w:rsid w:val="00C10A5B"/>
    <w:pPr>
      <w:ind w:left="1415" w:hanging="283"/>
      <w:contextualSpacing/>
    </w:pPr>
  </w:style>
  <w:style w:type="paragraph" w:styleId="ListBullet">
    <w:name w:val="List Bullet"/>
    <w:basedOn w:val="Normal"/>
    <w:uiPriority w:val="99"/>
    <w:semiHidden/>
    <w:unhideWhenUsed/>
    <w:rsid w:val="00C10A5B"/>
    <w:pPr>
      <w:tabs>
        <w:tab w:val="num" w:pos="360"/>
      </w:tabs>
      <w:ind w:left="360" w:hanging="360"/>
      <w:contextualSpacing/>
    </w:pPr>
  </w:style>
  <w:style w:type="paragraph" w:styleId="ListBullet2">
    <w:name w:val="List Bullet 2"/>
    <w:basedOn w:val="Normal"/>
    <w:uiPriority w:val="99"/>
    <w:semiHidden/>
    <w:unhideWhenUsed/>
    <w:rsid w:val="00C10A5B"/>
    <w:pPr>
      <w:tabs>
        <w:tab w:val="num" w:pos="643"/>
      </w:tabs>
      <w:ind w:left="643" w:hanging="360"/>
      <w:contextualSpacing/>
    </w:pPr>
  </w:style>
  <w:style w:type="paragraph" w:styleId="ListBullet3">
    <w:name w:val="List Bullet 3"/>
    <w:basedOn w:val="Normal"/>
    <w:uiPriority w:val="99"/>
    <w:semiHidden/>
    <w:unhideWhenUsed/>
    <w:rsid w:val="00C10A5B"/>
    <w:pPr>
      <w:tabs>
        <w:tab w:val="num" w:pos="926"/>
      </w:tabs>
      <w:ind w:left="926" w:hanging="360"/>
      <w:contextualSpacing/>
    </w:pPr>
  </w:style>
  <w:style w:type="paragraph" w:styleId="ListBullet4">
    <w:name w:val="List Bullet 4"/>
    <w:basedOn w:val="Normal"/>
    <w:uiPriority w:val="99"/>
    <w:semiHidden/>
    <w:unhideWhenUsed/>
    <w:rsid w:val="00C10A5B"/>
    <w:pPr>
      <w:tabs>
        <w:tab w:val="num" w:pos="1209"/>
      </w:tabs>
      <w:ind w:left="1209" w:hanging="360"/>
      <w:contextualSpacing/>
    </w:pPr>
  </w:style>
  <w:style w:type="paragraph" w:styleId="ListBullet5">
    <w:name w:val="List Bullet 5"/>
    <w:basedOn w:val="Normal"/>
    <w:uiPriority w:val="99"/>
    <w:semiHidden/>
    <w:unhideWhenUsed/>
    <w:rsid w:val="00C10A5B"/>
    <w:pPr>
      <w:tabs>
        <w:tab w:val="num" w:pos="1492"/>
      </w:tabs>
      <w:ind w:left="1492" w:hanging="360"/>
      <w:contextualSpacing/>
    </w:pPr>
  </w:style>
  <w:style w:type="paragraph" w:styleId="ListContinue">
    <w:name w:val="List Continue"/>
    <w:basedOn w:val="Normal"/>
    <w:uiPriority w:val="99"/>
    <w:semiHidden/>
    <w:unhideWhenUsed/>
    <w:rsid w:val="00C10A5B"/>
    <w:pPr>
      <w:spacing w:after="120"/>
      <w:ind w:left="283"/>
      <w:contextualSpacing/>
    </w:pPr>
  </w:style>
  <w:style w:type="paragraph" w:styleId="ListContinue2">
    <w:name w:val="List Continue 2"/>
    <w:basedOn w:val="Normal"/>
    <w:uiPriority w:val="99"/>
    <w:semiHidden/>
    <w:unhideWhenUsed/>
    <w:rsid w:val="00C10A5B"/>
    <w:pPr>
      <w:spacing w:after="120"/>
      <w:ind w:left="566"/>
      <w:contextualSpacing/>
    </w:pPr>
  </w:style>
  <w:style w:type="paragraph" w:styleId="ListContinue3">
    <w:name w:val="List Continue 3"/>
    <w:basedOn w:val="Normal"/>
    <w:uiPriority w:val="99"/>
    <w:semiHidden/>
    <w:unhideWhenUsed/>
    <w:rsid w:val="00C10A5B"/>
    <w:pPr>
      <w:spacing w:after="120"/>
      <w:ind w:left="849"/>
      <w:contextualSpacing/>
    </w:pPr>
  </w:style>
  <w:style w:type="paragraph" w:styleId="ListContinue4">
    <w:name w:val="List Continue 4"/>
    <w:basedOn w:val="Normal"/>
    <w:uiPriority w:val="99"/>
    <w:semiHidden/>
    <w:unhideWhenUsed/>
    <w:rsid w:val="00C10A5B"/>
    <w:pPr>
      <w:spacing w:after="120"/>
      <w:ind w:left="1132"/>
      <w:contextualSpacing/>
    </w:pPr>
  </w:style>
  <w:style w:type="paragraph" w:styleId="ListContinue5">
    <w:name w:val="List Continue 5"/>
    <w:basedOn w:val="Normal"/>
    <w:uiPriority w:val="99"/>
    <w:semiHidden/>
    <w:unhideWhenUsed/>
    <w:rsid w:val="00C10A5B"/>
    <w:pPr>
      <w:spacing w:after="120"/>
      <w:ind w:left="1415"/>
      <w:contextualSpacing/>
    </w:pPr>
  </w:style>
  <w:style w:type="paragraph" w:styleId="ListNumber">
    <w:name w:val="List Number"/>
    <w:basedOn w:val="Normal"/>
    <w:uiPriority w:val="99"/>
    <w:semiHidden/>
    <w:unhideWhenUsed/>
    <w:rsid w:val="00C10A5B"/>
    <w:pPr>
      <w:tabs>
        <w:tab w:val="num" w:pos="360"/>
      </w:tabs>
      <w:ind w:left="360" w:hanging="360"/>
      <w:contextualSpacing/>
    </w:pPr>
  </w:style>
  <w:style w:type="paragraph" w:styleId="ListNumber2">
    <w:name w:val="List Number 2"/>
    <w:basedOn w:val="Normal"/>
    <w:uiPriority w:val="99"/>
    <w:semiHidden/>
    <w:unhideWhenUsed/>
    <w:rsid w:val="00C10A5B"/>
    <w:pPr>
      <w:tabs>
        <w:tab w:val="num" w:pos="643"/>
      </w:tabs>
      <w:ind w:left="643" w:hanging="360"/>
      <w:contextualSpacing/>
    </w:pPr>
  </w:style>
  <w:style w:type="paragraph" w:styleId="ListNumber3">
    <w:name w:val="List Number 3"/>
    <w:basedOn w:val="Normal"/>
    <w:uiPriority w:val="99"/>
    <w:semiHidden/>
    <w:unhideWhenUsed/>
    <w:rsid w:val="00C10A5B"/>
    <w:pPr>
      <w:tabs>
        <w:tab w:val="num" w:pos="926"/>
      </w:tabs>
      <w:ind w:left="926" w:hanging="360"/>
      <w:contextualSpacing/>
    </w:pPr>
  </w:style>
  <w:style w:type="paragraph" w:styleId="ListNumber4">
    <w:name w:val="List Number 4"/>
    <w:basedOn w:val="Normal"/>
    <w:uiPriority w:val="99"/>
    <w:semiHidden/>
    <w:unhideWhenUsed/>
    <w:rsid w:val="00C10A5B"/>
    <w:pPr>
      <w:tabs>
        <w:tab w:val="num" w:pos="1209"/>
      </w:tabs>
      <w:ind w:left="1209" w:hanging="360"/>
      <w:contextualSpacing/>
    </w:pPr>
  </w:style>
  <w:style w:type="paragraph" w:styleId="ListNumber5">
    <w:name w:val="List Number 5"/>
    <w:basedOn w:val="Normal"/>
    <w:uiPriority w:val="99"/>
    <w:semiHidden/>
    <w:unhideWhenUsed/>
    <w:rsid w:val="00C10A5B"/>
    <w:pPr>
      <w:tabs>
        <w:tab w:val="num" w:pos="1800"/>
      </w:tabs>
      <w:ind w:left="1800" w:hanging="360"/>
      <w:contextualSpacing/>
    </w:pPr>
  </w:style>
  <w:style w:type="table" w:styleId="ListTable1Light">
    <w:name w:val="List Table 1 Light"/>
    <w:basedOn w:val="TableNormal"/>
    <w:uiPriority w:val="46"/>
    <w:rsid w:val="00C10A5B"/>
    <w:pPr>
      <w:spacing w:after="0" w:line="240" w:lineRule="auto"/>
    </w:pPr>
    <w:tblPr>
      <w:tblStyleRowBandSize w:val="1"/>
      <w:tblStyleColBandSize w:val="1"/>
    </w:tblPr>
    <w:tblStylePr w:type="firstRow">
      <w:rPr>
        <w:b/>
        <w:bCs/>
      </w:rPr>
      <w:tblPr/>
      <w:tcPr>
        <w:tcBorders>
          <w:bottom w:val="single" w:sz="4" w:space="0" w:color="666666" w:themeColor="text1" w:themeTint="99"/>
        </w:tcBorders>
      </w:tcPr>
    </w:tblStylePr>
    <w:tblStylePr w:type="lastRow">
      <w:rPr>
        <w:b/>
        <w:bCs/>
      </w:rPr>
      <w:tblPr/>
      <w:tcPr>
        <w:tcBorders>
          <w:top w:val="sing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1Light-Accent1">
    <w:name w:val="List Table 1 Light Accent 1"/>
    <w:basedOn w:val="TableNormal"/>
    <w:uiPriority w:val="46"/>
    <w:rsid w:val="00C10A5B"/>
    <w:pPr>
      <w:spacing w:after="0" w:line="240" w:lineRule="auto"/>
    </w:pPr>
    <w:tblPr>
      <w:tblStyleRowBandSize w:val="1"/>
      <w:tblStyleColBandSize w:val="1"/>
    </w:tblPr>
    <w:tblStylePr w:type="firstRow">
      <w:rPr>
        <w:b/>
        <w:bCs/>
      </w:rPr>
      <w:tblPr/>
      <w:tcPr>
        <w:tcBorders>
          <w:bottom w:val="single" w:sz="4" w:space="0" w:color="8EAADB" w:themeColor="accent1" w:themeTint="99"/>
        </w:tcBorders>
      </w:tcPr>
    </w:tblStylePr>
    <w:tblStylePr w:type="lastRow">
      <w:rPr>
        <w:b/>
        <w:bCs/>
      </w:rPr>
      <w:tblPr/>
      <w:tcPr>
        <w:tcBorders>
          <w:top w:val="single" w:sz="4" w:space="0" w:color="8EAADB" w:themeColor="accent1" w:themeTint="99"/>
        </w:tcBorders>
      </w:tcPr>
    </w:tblStylePr>
    <w:tblStylePr w:type="firstCol">
      <w:rPr>
        <w:b/>
        <w:bCs/>
      </w:rPr>
    </w:tblStylePr>
    <w:tblStylePr w:type="lastCol">
      <w:rPr>
        <w:b/>
        <w:bCs/>
      </w:rPr>
    </w:tblStylePr>
    <w:tblStylePr w:type="band1Vert">
      <w:tblPr/>
      <w:tcPr>
        <w:shd w:val="clear" w:color="auto" w:fill="D9E2F3" w:themeFill="accent1" w:themeFillTint="33"/>
      </w:tcPr>
    </w:tblStylePr>
    <w:tblStylePr w:type="band1Horz">
      <w:tblPr/>
      <w:tcPr>
        <w:shd w:val="clear" w:color="auto" w:fill="D9E2F3" w:themeFill="accent1" w:themeFillTint="33"/>
      </w:tcPr>
    </w:tblStylePr>
  </w:style>
  <w:style w:type="table" w:styleId="ListTable1Light-Accent2">
    <w:name w:val="List Table 1 Light Accent 2"/>
    <w:basedOn w:val="TableNormal"/>
    <w:uiPriority w:val="46"/>
    <w:rsid w:val="00C10A5B"/>
    <w:pPr>
      <w:spacing w:after="0" w:line="240" w:lineRule="auto"/>
    </w:pPr>
    <w:tblPr>
      <w:tblStyleRowBandSize w:val="1"/>
      <w:tblStyleColBandSize w:val="1"/>
    </w:tblPr>
    <w:tblStylePr w:type="firstRow">
      <w:rPr>
        <w:b/>
        <w:bCs/>
      </w:rPr>
      <w:tblPr/>
      <w:tcPr>
        <w:tcBorders>
          <w:bottom w:val="single" w:sz="4" w:space="0" w:color="F4B083" w:themeColor="accent2" w:themeTint="99"/>
        </w:tcBorders>
      </w:tcPr>
    </w:tblStylePr>
    <w:tblStylePr w:type="lastRow">
      <w:rPr>
        <w:b/>
        <w:bCs/>
      </w:rPr>
      <w:tblPr/>
      <w:tcPr>
        <w:tcBorders>
          <w:top w:val="single" w:sz="4" w:space="0" w:color="F4B083" w:themeColor="accent2" w:themeTint="99"/>
        </w:tcBorders>
      </w:tcPr>
    </w:tblStylePr>
    <w:tblStylePr w:type="firstCol">
      <w:rPr>
        <w:b/>
        <w:bCs/>
      </w:rPr>
    </w:tblStylePr>
    <w:tblStylePr w:type="lastCol">
      <w:rPr>
        <w:b/>
        <w:bCs/>
      </w:rPr>
    </w:tblStylePr>
    <w:tblStylePr w:type="band1Vert">
      <w:tblPr/>
      <w:tcPr>
        <w:shd w:val="clear" w:color="auto" w:fill="FBE4D5" w:themeFill="accent2" w:themeFillTint="33"/>
      </w:tcPr>
    </w:tblStylePr>
    <w:tblStylePr w:type="band1Horz">
      <w:tblPr/>
      <w:tcPr>
        <w:shd w:val="clear" w:color="auto" w:fill="FBE4D5" w:themeFill="accent2" w:themeFillTint="33"/>
      </w:tcPr>
    </w:tblStylePr>
  </w:style>
  <w:style w:type="table" w:styleId="ListTable1Light-Accent3">
    <w:name w:val="List Table 1 Light Accent 3"/>
    <w:basedOn w:val="TableNormal"/>
    <w:uiPriority w:val="46"/>
    <w:rsid w:val="00C10A5B"/>
    <w:pPr>
      <w:spacing w:after="0" w:line="240" w:lineRule="auto"/>
    </w:pPr>
    <w:tblPr>
      <w:tblStyleRowBandSize w:val="1"/>
      <w:tblStyleColBandSize w:val="1"/>
    </w:tblPr>
    <w:tblStylePr w:type="firstRow">
      <w:rPr>
        <w:b/>
        <w:bCs/>
      </w:rPr>
      <w:tblPr/>
      <w:tcPr>
        <w:tcBorders>
          <w:bottom w:val="single" w:sz="4" w:space="0" w:color="C9C9C9" w:themeColor="accent3" w:themeTint="99"/>
        </w:tcBorders>
      </w:tcPr>
    </w:tblStylePr>
    <w:tblStylePr w:type="lastRow">
      <w:rPr>
        <w:b/>
        <w:bCs/>
      </w:rPr>
      <w:tblPr/>
      <w:tcPr>
        <w:tcBorders>
          <w:top w:val="single" w:sz="4" w:space="0" w:color="C9C9C9" w:themeColor="accent3" w:themeTint="99"/>
        </w:tcBorders>
      </w:tcPr>
    </w:tblStylePr>
    <w:tblStylePr w:type="firstCol">
      <w:rPr>
        <w:b/>
        <w:bCs/>
      </w:rPr>
    </w:tblStylePr>
    <w:tblStylePr w:type="lastCol">
      <w:rPr>
        <w:b/>
        <w:bCs/>
      </w:rPr>
    </w:tblStylePr>
    <w:tblStylePr w:type="band1Vert">
      <w:tblPr/>
      <w:tcPr>
        <w:shd w:val="clear" w:color="auto" w:fill="EDEDED" w:themeFill="accent3" w:themeFillTint="33"/>
      </w:tcPr>
    </w:tblStylePr>
    <w:tblStylePr w:type="band1Horz">
      <w:tblPr/>
      <w:tcPr>
        <w:shd w:val="clear" w:color="auto" w:fill="EDEDED" w:themeFill="accent3" w:themeFillTint="33"/>
      </w:tcPr>
    </w:tblStylePr>
  </w:style>
  <w:style w:type="table" w:styleId="ListTable1Light-Accent4">
    <w:name w:val="List Table 1 Light Accent 4"/>
    <w:basedOn w:val="TableNormal"/>
    <w:uiPriority w:val="46"/>
    <w:rsid w:val="00C10A5B"/>
    <w:pPr>
      <w:spacing w:after="0" w:line="240" w:lineRule="auto"/>
    </w:pPr>
    <w:tblPr>
      <w:tblStyleRowBandSize w:val="1"/>
      <w:tblStyleColBandSize w:val="1"/>
    </w:tblPr>
    <w:tblStylePr w:type="firstRow">
      <w:rPr>
        <w:b/>
        <w:bCs/>
      </w:rPr>
      <w:tblPr/>
      <w:tcPr>
        <w:tcBorders>
          <w:bottom w:val="single" w:sz="4" w:space="0" w:color="FFD966" w:themeColor="accent4" w:themeTint="99"/>
        </w:tcBorders>
      </w:tcPr>
    </w:tblStylePr>
    <w:tblStylePr w:type="lastRow">
      <w:rPr>
        <w:b/>
        <w:bCs/>
      </w:rPr>
      <w:tblPr/>
      <w:tcPr>
        <w:tcBorders>
          <w:top w:val="single" w:sz="4" w:space="0" w:color="FFD966" w:themeColor="accent4" w:themeTint="99"/>
        </w:tcBorders>
      </w:tcPr>
    </w:tblStylePr>
    <w:tblStylePr w:type="firstCol">
      <w:rPr>
        <w:b/>
        <w:bCs/>
      </w:rPr>
    </w:tblStylePr>
    <w:tblStylePr w:type="lastCol">
      <w:rPr>
        <w:b/>
        <w:bCs/>
      </w:rPr>
    </w:tblStylePr>
    <w:tblStylePr w:type="band1Vert">
      <w:tblPr/>
      <w:tcPr>
        <w:shd w:val="clear" w:color="auto" w:fill="FFF2CC" w:themeFill="accent4" w:themeFillTint="33"/>
      </w:tcPr>
    </w:tblStylePr>
    <w:tblStylePr w:type="band1Horz">
      <w:tblPr/>
      <w:tcPr>
        <w:shd w:val="clear" w:color="auto" w:fill="FFF2CC" w:themeFill="accent4" w:themeFillTint="33"/>
      </w:tcPr>
    </w:tblStylePr>
  </w:style>
  <w:style w:type="table" w:styleId="ListTable1Light-Accent5">
    <w:name w:val="List Table 1 Light Accent 5"/>
    <w:basedOn w:val="TableNormal"/>
    <w:uiPriority w:val="46"/>
    <w:rsid w:val="00C10A5B"/>
    <w:pPr>
      <w:spacing w:after="0" w:line="240" w:lineRule="auto"/>
    </w:pPr>
    <w:tblPr>
      <w:tblStyleRowBandSize w:val="1"/>
      <w:tblStyleColBandSize w:val="1"/>
    </w:tblPr>
    <w:tblStylePr w:type="firstRow">
      <w:rPr>
        <w:b/>
        <w:bCs/>
      </w:rPr>
      <w:tblPr/>
      <w:tcPr>
        <w:tcBorders>
          <w:bottom w:val="single" w:sz="4" w:space="0" w:color="9CC2E5" w:themeColor="accent5" w:themeTint="99"/>
        </w:tcBorders>
      </w:tcPr>
    </w:tblStylePr>
    <w:tblStylePr w:type="lastRow">
      <w:rPr>
        <w:b/>
        <w:bCs/>
      </w:rPr>
      <w:tblPr/>
      <w:tcPr>
        <w:tcBorders>
          <w:top w:val="single" w:sz="4" w:space="0" w:color="9CC2E5" w:themeColor="accent5" w:themeTint="99"/>
        </w:tcBorders>
      </w:tcPr>
    </w:tblStylePr>
    <w:tblStylePr w:type="firstCol">
      <w:rPr>
        <w:b/>
        <w:bCs/>
      </w:rPr>
    </w:tblStylePr>
    <w:tblStylePr w:type="lastCol">
      <w:rPr>
        <w:b/>
        <w:bCs/>
      </w:rPr>
    </w:tblStylePr>
    <w:tblStylePr w:type="band1Vert">
      <w:tblPr/>
      <w:tcPr>
        <w:shd w:val="clear" w:color="auto" w:fill="DEEAF6" w:themeFill="accent5" w:themeFillTint="33"/>
      </w:tcPr>
    </w:tblStylePr>
    <w:tblStylePr w:type="band1Horz">
      <w:tblPr/>
      <w:tcPr>
        <w:shd w:val="clear" w:color="auto" w:fill="DEEAF6" w:themeFill="accent5" w:themeFillTint="33"/>
      </w:tcPr>
    </w:tblStylePr>
  </w:style>
  <w:style w:type="table" w:styleId="ListTable1Light-Accent6">
    <w:name w:val="List Table 1 Light Accent 6"/>
    <w:basedOn w:val="TableNormal"/>
    <w:uiPriority w:val="46"/>
    <w:rsid w:val="00C10A5B"/>
    <w:pPr>
      <w:spacing w:after="0" w:line="240" w:lineRule="auto"/>
    </w:pPr>
    <w:tblPr>
      <w:tblStyleRowBandSize w:val="1"/>
      <w:tblStyleColBandSize w:val="1"/>
    </w:tblPr>
    <w:tblStylePr w:type="firstRow">
      <w:rPr>
        <w:b/>
        <w:bCs/>
      </w:rPr>
      <w:tblPr/>
      <w:tcPr>
        <w:tcBorders>
          <w:bottom w:val="single" w:sz="4" w:space="0" w:color="A8D08D" w:themeColor="accent6" w:themeTint="99"/>
        </w:tcBorders>
      </w:tcPr>
    </w:tblStylePr>
    <w:tblStylePr w:type="lastRow">
      <w:rPr>
        <w:b/>
        <w:bCs/>
      </w:rPr>
      <w:tblPr/>
      <w:tcPr>
        <w:tcBorders>
          <w:top w:val="single" w:sz="4" w:space="0" w:color="A8D08D" w:themeColor="accent6" w:themeTint="99"/>
        </w:tcBorders>
      </w:tcPr>
    </w:tblStylePr>
    <w:tblStylePr w:type="firstCol">
      <w:rPr>
        <w:b/>
        <w:bCs/>
      </w:rPr>
    </w:tblStylePr>
    <w:tblStylePr w:type="lastCol">
      <w:rPr>
        <w:b/>
        <w:bCs/>
      </w:rPr>
    </w:tblStylePr>
    <w:tblStylePr w:type="band1Vert">
      <w:tblPr/>
      <w:tcPr>
        <w:shd w:val="clear" w:color="auto" w:fill="E2EFD9" w:themeFill="accent6" w:themeFillTint="33"/>
      </w:tcPr>
    </w:tblStylePr>
    <w:tblStylePr w:type="band1Horz">
      <w:tblPr/>
      <w:tcPr>
        <w:shd w:val="clear" w:color="auto" w:fill="E2EFD9" w:themeFill="accent6" w:themeFillTint="33"/>
      </w:tcPr>
    </w:tblStylePr>
  </w:style>
  <w:style w:type="table" w:styleId="ListTable2">
    <w:name w:val="List Table 2"/>
    <w:basedOn w:val="TableNormal"/>
    <w:uiPriority w:val="47"/>
    <w:rsid w:val="00C10A5B"/>
    <w:pPr>
      <w:spacing w:after="0" w:line="240" w:lineRule="auto"/>
    </w:pPr>
    <w:tblPr>
      <w:tblStyleRowBandSize w:val="1"/>
      <w:tblStyleColBandSize w:val="1"/>
      <w:tblBorders>
        <w:top w:val="single" w:sz="4" w:space="0" w:color="666666" w:themeColor="text1" w:themeTint="99"/>
        <w:bottom w:val="single" w:sz="4" w:space="0" w:color="666666" w:themeColor="text1" w:themeTint="99"/>
        <w:insideH w:val="single" w:sz="4" w:space="0" w:color="666666" w:themeColor="text1"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2-Accent1">
    <w:name w:val="List Table 2 Accent 1"/>
    <w:basedOn w:val="TableNormal"/>
    <w:uiPriority w:val="47"/>
    <w:rsid w:val="00C10A5B"/>
    <w:pPr>
      <w:spacing w:after="0" w:line="240" w:lineRule="auto"/>
    </w:pPr>
    <w:tblPr>
      <w:tblStyleRowBandSize w:val="1"/>
      <w:tblStyleColBandSize w:val="1"/>
      <w:tblBorders>
        <w:top w:val="single" w:sz="4" w:space="0" w:color="8EAADB" w:themeColor="accent1" w:themeTint="99"/>
        <w:bottom w:val="single" w:sz="4" w:space="0" w:color="8EAADB" w:themeColor="accent1" w:themeTint="99"/>
        <w:insideH w:val="single" w:sz="4" w:space="0" w:color="8EAADB" w:themeColor="accent1"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9E2F3" w:themeFill="accent1" w:themeFillTint="33"/>
      </w:tcPr>
    </w:tblStylePr>
    <w:tblStylePr w:type="band1Horz">
      <w:tblPr/>
      <w:tcPr>
        <w:shd w:val="clear" w:color="auto" w:fill="D9E2F3" w:themeFill="accent1" w:themeFillTint="33"/>
      </w:tcPr>
    </w:tblStylePr>
  </w:style>
  <w:style w:type="table" w:styleId="ListTable2-Accent2">
    <w:name w:val="List Table 2 Accent 2"/>
    <w:basedOn w:val="TableNormal"/>
    <w:uiPriority w:val="47"/>
    <w:rsid w:val="00C10A5B"/>
    <w:pPr>
      <w:spacing w:after="0" w:line="240" w:lineRule="auto"/>
    </w:pPr>
    <w:tblPr>
      <w:tblStyleRowBandSize w:val="1"/>
      <w:tblStyleColBandSize w:val="1"/>
      <w:tblBorders>
        <w:top w:val="single" w:sz="4" w:space="0" w:color="F4B083" w:themeColor="accent2" w:themeTint="99"/>
        <w:bottom w:val="single" w:sz="4" w:space="0" w:color="F4B083" w:themeColor="accent2" w:themeTint="99"/>
        <w:insideH w:val="single" w:sz="4" w:space="0" w:color="F4B083" w:themeColor="accent2"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BE4D5" w:themeFill="accent2" w:themeFillTint="33"/>
      </w:tcPr>
    </w:tblStylePr>
    <w:tblStylePr w:type="band1Horz">
      <w:tblPr/>
      <w:tcPr>
        <w:shd w:val="clear" w:color="auto" w:fill="FBE4D5" w:themeFill="accent2" w:themeFillTint="33"/>
      </w:tcPr>
    </w:tblStylePr>
  </w:style>
  <w:style w:type="table" w:styleId="ListTable2-Accent3">
    <w:name w:val="List Table 2 Accent 3"/>
    <w:basedOn w:val="TableNormal"/>
    <w:uiPriority w:val="47"/>
    <w:rsid w:val="00C10A5B"/>
    <w:pPr>
      <w:spacing w:after="0" w:line="240" w:lineRule="auto"/>
    </w:pPr>
    <w:tblPr>
      <w:tblStyleRowBandSize w:val="1"/>
      <w:tblStyleColBandSize w:val="1"/>
      <w:tblBorders>
        <w:top w:val="single" w:sz="4" w:space="0" w:color="C9C9C9" w:themeColor="accent3" w:themeTint="99"/>
        <w:bottom w:val="single" w:sz="4" w:space="0" w:color="C9C9C9" w:themeColor="accent3" w:themeTint="99"/>
        <w:insideH w:val="single" w:sz="4" w:space="0" w:color="C9C9C9" w:themeColor="accent3"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EDEDED" w:themeFill="accent3" w:themeFillTint="33"/>
      </w:tcPr>
    </w:tblStylePr>
    <w:tblStylePr w:type="band1Horz">
      <w:tblPr/>
      <w:tcPr>
        <w:shd w:val="clear" w:color="auto" w:fill="EDEDED" w:themeFill="accent3" w:themeFillTint="33"/>
      </w:tcPr>
    </w:tblStylePr>
  </w:style>
  <w:style w:type="table" w:styleId="ListTable2-Accent4">
    <w:name w:val="List Table 2 Accent 4"/>
    <w:basedOn w:val="TableNormal"/>
    <w:uiPriority w:val="47"/>
    <w:rsid w:val="00C10A5B"/>
    <w:pPr>
      <w:spacing w:after="0" w:line="240" w:lineRule="auto"/>
    </w:pPr>
    <w:tblPr>
      <w:tblStyleRowBandSize w:val="1"/>
      <w:tblStyleColBandSize w:val="1"/>
      <w:tblBorders>
        <w:top w:val="single" w:sz="4" w:space="0" w:color="FFD966" w:themeColor="accent4" w:themeTint="99"/>
        <w:bottom w:val="single" w:sz="4" w:space="0" w:color="FFD966" w:themeColor="accent4" w:themeTint="99"/>
        <w:insideH w:val="single" w:sz="4" w:space="0" w:color="FFD966" w:themeColor="accent4"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FF2CC" w:themeFill="accent4" w:themeFillTint="33"/>
      </w:tcPr>
    </w:tblStylePr>
    <w:tblStylePr w:type="band1Horz">
      <w:tblPr/>
      <w:tcPr>
        <w:shd w:val="clear" w:color="auto" w:fill="FFF2CC" w:themeFill="accent4" w:themeFillTint="33"/>
      </w:tcPr>
    </w:tblStylePr>
  </w:style>
  <w:style w:type="table" w:styleId="ListTable2-Accent5">
    <w:name w:val="List Table 2 Accent 5"/>
    <w:basedOn w:val="TableNormal"/>
    <w:uiPriority w:val="47"/>
    <w:rsid w:val="00C10A5B"/>
    <w:pPr>
      <w:spacing w:after="0" w:line="240" w:lineRule="auto"/>
    </w:pPr>
    <w:tblPr>
      <w:tblStyleRowBandSize w:val="1"/>
      <w:tblStyleColBandSize w:val="1"/>
      <w:tblBorders>
        <w:top w:val="single" w:sz="4" w:space="0" w:color="9CC2E5" w:themeColor="accent5" w:themeTint="99"/>
        <w:bottom w:val="single" w:sz="4" w:space="0" w:color="9CC2E5" w:themeColor="accent5" w:themeTint="99"/>
        <w:insideH w:val="single" w:sz="4" w:space="0" w:color="9CC2E5" w:themeColor="accent5"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EEAF6" w:themeFill="accent5" w:themeFillTint="33"/>
      </w:tcPr>
    </w:tblStylePr>
    <w:tblStylePr w:type="band1Horz">
      <w:tblPr/>
      <w:tcPr>
        <w:shd w:val="clear" w:color="auto" w:fill="DEEAF6" w:themeFill="accent5" w:themeFillTint="33"/>
      </w:tcPr>
    </w:tblStylePr>
  </w:style>
  <w:style w:type="table" w:styleId="ListTable2-Accent6">
    <w:name w:val="List Table 2 Accent 6"/>
    <w:basedOn w:val="TableNormal"/>
    <w:uiPriority w:val="47"/>
    <w:rsid w:val="00C10A5B"/>
    <w:pPr>
      <w:spacing w:after="0" w:line="240" w:lineRule="auto"/>
    </w:pPr>
    <w:tblPr>
      <w:tblStyleRowBandSize w:val="1"/>
      <w:tblStyleColBandSize w:val="1"/>
      <w:tblBorders>
        <w:top w:val="single" w:sz="4" w:space="0" w:color="A8D08D" w:themeColor="accent6" w:themeTint="99"/>
        <w:bottom w:val="single" w:sz="4" w:space="0" w:color="A8D08D" w:themeColor="accent6" w:themeTint="99"/>
        <w:insideH w:val="single" w:sz="4" w:space="0" w:color="A8D08D" w:themeColor="accent6"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E2EFD9" w:themeFill="accent6" w:themeFillTint="33"/>
      </w:tcPr>
    </w:tblStylePr>
    <w:tblStylePr w:type="band1Horz">
      <w:tblPr/>
      <w:tcPr>
        <w:shd w:val="clear" w:color="auto" w:fill="E2EFD9" w:themeFill="accent6" w:themeFillTint="33"/>
      </w:tcPr>
    </w:tblStylePr>
  </w:style>
  <w:style w:type="table" w:styleId="ListTable3">
    <w:name w:val="List Table 3"/>
    <w:basedOn w:val="TableNormal"/>
    <w:uiPriority w:val="48"/>
    <w:rsid w:val="00C10A5B"/>
    <w:pPr>
      <w:spacing w:after="0" w:line="240" w:lineRule="auto"/>
    </w:pPr>
    <w:tblPr>
      <w:tblStyleRowBandSize w:val="1"/>
      <w:tblStyleColBandSize w:val="1"/>
      <w:tblBorders>
        <w:top w:val="single" w:sz="4" w:space="0" w:color="000000" w:themeColor="text1"/>
        <w:left w:val="single" w:sz="4" w:space="0" w:color="000000" w:themeColor="text1"/>
        <w:bottom w:val="single" w:sz="4" w:space="0" w:color="000000" w:themeColor="text1"/>
        <w:right w:val="single" w:sz="4" w:space="0" w:color="000000" w:themeColor="text1"/>
      </w:tblBorders>
    </w:tblPr>
    <w:tblStylePr w:type="firstRow">
      <w:rPr>
        <w:b/>
        <w:bCs/>
        <w:color w:val="FFFFFF" w:themeColor="background1"/>
      </w:rPr>
      <w:tblPr/>
      <w:tcPr>
        <w:shd w:val="clear" w:color="auto" w:fill="000000" w:themeFill="text1"/>
      </w:tcPr>
    </w:tblStylePr>
    <w:tblStylePr w:type="lastRow">
      <w:rPr>
        <w:b/>
        <w:bCs/>
      </w:rPr>
      <w:tblPr/>
      <w:tcPr>
        <w:tcBorders>
          <w:top w:val="double" w:sz="4" w:space="0" w:color="000000" w:themeColor="tex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000000" w:themeColor="text1"/>
          <w:right w:val="single" w:sz="4" w:space="0" w:color="000000" w:themeColor="text1"/>
        </w:tcBorders>
      </w:tcPr>
    </w:tblStylePr>
    <w:tblStylePr w:type="band1Horz">
      <w:tblPr/>
      <w:tcPr>
        <w:tcBorders>
          <w:top w:val="single" w:sz="4" w:space="0" w:color="000000" w:themeColor="text1"/>
          <w:bottom w:val="single" w:sz="4" w:space="0" w:color="000000" w:themeColor="tex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000000" w:themeColor="text1"/>
          <w:left w:val="nil"/>
        </w:tcBorders>
      </w:tcPr>
    </w:tblStylePr>
    <w:tblStylePr w:type="swCell">
      <w:tblPr/>
      <w:tcPr>
        <w:tcBorders>
          <w:top w:val="double" w:sz="4" w:space="0" w:color="000000" w:themeColor="text1"/>
          <w:right w:val="nil"/>
        </w:tcBorders>
      </w:tcPr>
    </w:tblStylePr>
  </w:style>
  <w:style w:type="table" w:styleId="ListTable3-Accent1">
    <w:name w:val="List Table 3 Accent 1"/>
    <w:basedOn w:val="TableNormal"/>
    <w:uiPriority w:val="48"/>
    <w:rsid w:val="00C10A5B"/>
    <w:pPr>
      <w:spacing w:after="0" w:line="240" w:lineRule="auto"/>
    </w:pPr>
    <w:tblPr>
      <w:tblStyleRowBandSize w:val="1"/>
      <w:tblStyleColBandSize w:val="1"/>
      <w:tblBorders>
        <w:top w:val="single" w:sz="4" w:space="0" w:color="4472C4" w:themeColor="accent1"/>
        <w:left w:val="single" w:sz="4" w:space="0" w:color="4472C4" w:themeColor="accent1"/>
        <w:bottom w:val="single" w:sz="4" w:space="0" w:color="4472C4" w:themeColor="accent1"/>
        <w:right w:val="single" w:sz="4" w:space="0" w:color="4472C4" w:themeColor="accent1"/>
      </w:tblBorders>
    </w:tblPr>
    <w:tblStylePr w:type="firstRow">
      <w:rPr>
        <w:b/>
        <w:bCs/>
        <w:color w:val="FFFFFF" w:themeColor="background1"/>
      </w:rPr>
      <w:tblPr/>
      <w:tcPr>
        <w:shd w:val="clear" w:color="auto" w:fill="4472C4" w:themeFill="accent1"/>
      </w:tcPr>
    </w:tblStylePr>
    <w:tblStylePr w:type="lastRow">
      <w:rPr>
        <w:b/>
        <w:bCs/>
      </w:rPr>
      <w:tblPr/>
      <w:tcPr>
        <w:tcBorders>
          <w:top w:val="double" w:sz="4" w:space="0" w:color="4472C4" w:themeColor="accen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4472C4" w:themeColor="accent1"/>
          <w:right w:val="single" w:sz="4" w:space="0" w:color="4472C4" w:themeColor="accent1"/>
        </w:tcBorders>
      </w:tcPr>
    </w:tblStylePr>
    <w:tblStylePr w:type="band1Horz">
      <w:tblPr/>
      <w:tcPr>
        <w:tcBorders>
          <w:top w:val="single" w:sz="4" w:space="0" w:color="4472C4" w:themeColor="accent1"/>
          <w:bottom w:val="single" w:sz="4" w:space="0" w:color="4472C4" w:themeColor="accen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4472C4" w:themeColor="accent1"/>
          <w:left w:val="nil"/>
        </w:tcBorders>
      </w:tcPr>
    </w:tblStylePr>
    <w:tblStylePr w:type="swCell">
      <w:tblPr/>
      <w:tcPr>
        <w:tcBorders>
          <w:top w:val="double" w:sz="4" w:space="0" w:color="4472C4" w:themeColor="accent1"/>
          <w:right w:val="nil"/>
        </w:tcBorders>
      </w:tcPr>
    </w:tblStylePr>
  </w:style>
  <w:style w:type="table" w:styleId="ListTable3-Accent2">
    <w:name w:val="List Table 3 Accent 2"/>
    <w:basedOn w:val="TableNormal"/>
    <w:uiPriority w:val="48"/>
    <w:rsid w:val="00C10A5B"/>
    <w:pPr>
      <w:spacing w:after="0" w:line="240" w:lineRule="auto"/>
    </w:pPr>
    <w:tblPr>
      <w:tblStyleRowBandSize w:val="1"/>
      <w:tblStyleColBandSize w:val="1"/>
      <w:tblBorders>
        <w:top w:val="single" w:sz="4" w:space="0" w:color="ED7D31" w:themeColor="accent2"/>
        <w:left w:val="single" w:sz="4" w:space="0" w:color="ED7D31" w:themeColor="accent2"/>
        <w:bottom w:val="single" w:sz="4" w:space="0" w:color="ED7D31" w:themeColor="accent2"/>
        <w:right w:val="single" w:sz="4" w:space="0" w:color="ED7D31" w:themeColor="accent2"/>
      </w:tblBorders>
    </w:tblPr>
    <w:tblStylePr w:type="firstRow">
      <w:rPr>
        <w:b/>
        <w:bCs/>
        <w:color w:val="FFFFFF" w:themeColor="background1"/>
      </w:rPr>
      <w:tblPr/>
      <w:tcPr>
        <w:shd w:val="clear" w:color="auto" w:fill="ED7D31" w:themeFill="accent2"/>
      </w:tcPr>
    </w:tblStylePr>
    <w:tblStylePr w:type="lastRow">
      <w:rPr>
        <w:b/>
        <w:bCs/>
      </w:rPr>
      <w:tblPr/>
      <w:tcPr>
        <w:tcBorders>
          <w:top w:val="double" w:sz="4" w:space="0" w:color="ED7D31" w:themeColor="accent2"/>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ED7D31" w:themeColor="accent2"/>
          <w:right w:val="single" w:sz="4" w:space="0" w:color="ED7D31" w:themeColor="accent2"/>
        </w:tcBorders>
      </w:tcPr>
    </w:tblStylePr>
    <w:tblStylePr w:type="band1Horz">
      <w:tblPr/>
      <w:tcPr>
        <w:tcBorders>
          <w:top w:val="single" w:sz="4" w:space="0" w:color="ED7D31" w:themeColor="accent2"/>
          <w:bottom w:val="single" w:sz="4" w:space="0" w:color="ED7D31" w:themeColor="accent2"/>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ED7D31" w:themeColor="accent2"/>
          <w:left w:val="nil"/>
        </w:tcBorders>
      </w:tcPr>
    </w:tblStylePr>
    <w:tblStylePr w:type="swCell">
      <w:tblPr/>
      <w:tcPr>
        <w:tcBorders>
          <w:top w:val="double" w:sz="4" w:space="0" w:color="ED7D31" w:themeColor="accent2"/>
          <w:right w:val="nil"/>
        </w:tcBorders>
      </w:tcPr>
    </w:tblStylePr>
  </w:style>
  <w:style w:type="table" w:styleId="ListTable3-Accent3">
    <w:name w:val="List Table 3 Accent 3"/>
    <w:basedOn w:val="TableNormal"/>
    <w:uiPriority w:val="48"/>
    <w:rsid w:val="00C10A5B"/>
    <w:pPr>
      <w:spacing w:after="0" w:line="240" w:lineRule="auto"/>
    </w:pPr>
    <w:tblPr>
      <w:tblStyleRowBandSize w:val="1"/>
      <w:tblStyleColBandSize w:val="1"/>
      <w:tblBorders>
        <w:top w:val="single" w:sz="4" w:space="0" w:color="A5A5A5" w:themeColor="accent3"/>
        <w:left w:val="single" w:sz="4" w:space="0" w:color="A5A5A5" w:themeColor="accent3"/>
        <w:bottom w:val="single" w:sz="4" w:space="0" w:color="A5A5A5" w:themeColor="accent3"/>
        <w:right w:val="single" w:sz="4" w:space="0" w:color="A5A5A5" w:themeColor="accent3"/>
      </w:tblBorders>
    </w:tblPr>
    <w:tblStylePr w:type="firstRow">
      <w:rPr>
        <w:b/>
        <w:bCs/>
        <w:color w:val="FFFFFF" w:themeColor="background1"/>
      </w:rPr>
      <w:tblPr/>
      <w:tcPr>
        <w:shd w:val="clear" w:color="auto" w:fill="A5A5A5" w:themeFill="accent3"/>
      </w:tcPr>
    </w:tblStylePr>
    <w:tblStylePr w:type="lastRow">
      <w:rPr>
        <w:b/>
        <w:bCs/>
      </w:rPr>
      <w:tblPr/>
      <w:tcPr>
        <w:tcBorders>
          <w:top w:val="double" w:sz="4" w:space="0" w:color="A5A5A5" w:themeColor="accent3"/>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A5A5A5" w:themeColor="accent3"/>
          <w:right w:val="single" w:sz="4" w:space="0" w:color="A5A5A5" w:themeColor="accent3"/>
        </w:tcBorders>
      </w:tcPr>
    </w:tblStylePr>
    <w:tblStylePr w:type="band1Horz">
      <w:tblPr/>
      <w:tcPr>
        <w:tcBorders>
          <w:top w:val="single" w:sz="4" w:space="0" w:color="A5A5A5" w:themeColor="accent3"/>
          <w:bottom w:val="single" w:sz="4" w:space="0" w:color="A5A5A5" w:themeColor="accent3"/>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A5A5A5" w:themeColor="accent3"/>
          <w:left w:val="nil"/>
        </w:tcBorders>
      </w:tcPr>
    </w:tblStylePr>
    <w:tblStylePr w:type="swCell">
      <w:tblPr/>
      <w:tcPr>
        <w:tcBorders>
          <w:top w:val="double" w:sz="4" w:space="0" w:color="A5A5A5" w:themeColor="accent3"/>
          <w:right w:val="nil"/>
        </w:tcBorders>
      </w:tcPr>
    </w:tblStylePr>
  </w:style>
  <w:style w:type="table" w:styleId="ListTable3-Accent4">
    <w:name w:val="List Table 3 Accent 4"/>
    <w:basedOn w:val="TableNormal"/>
    <w:uiPriority w:val="48"/>
    <w:rsid w:val="00C10A5B"/>
    <w:pPr>
      <w:spacing w:after="0" w:line="240" w:lineRule="auto"/>
    </w:pPr>
    <w:tblPr>
      <w:tblStyleRowBandSize w:val="1"/>
      <w:tblStyleColBandSize w:val="1"/>
      <w:tblBorders>
        <w:top w:val="single" w:sz="4" w:space="0" w:color="FFC000" w:themeColor="accent4"/>
        <w:left w:val="single" w:sz="4" w:space="0" w:color="FFC000" w:themeColor="accent4"/>
        <w:bottom w:val="single" w:sz="4" w:space="0" w:color="FFC000" w:themeColor="accent4"/>
        <w:right w:val="single" w:sz="4" w:space="0" w:color="FFC000" w:themeColor="accent4"/>
      </w:tblBorders>
    </w:tblPr>
    <w:tblStylePr w:type="firstRow">
      <w:rPr>
        <w:b/>
        <w:bCs/>
        <w:color w:val="FFFFFF" w:themeColor="background1"/>
      </w:rPr>
      <w:tblPr/>
      <w:tcPr>
        <w:shd w:val="clear" w:color="auto" w:fill="FFC000" w:themeFill="accent4"/>
      </w:tcPr>
    </w:tblStylePr>
    <w:tblStylePr w:type="lastRow">
      <w:rPr>
        <w:b/>
        <w:bCs/>
      </w:rPr>
      <w:tblPr/>
      <w:tcPr>
        <w:tcBorders>
          <w:top w:val="double" w:sz="4" w:space="0" w:color="FFC000" w:themeColor="accent4"/>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FFC000" w:themeColor="accent4"/>
          <w:right w:val="single" w:sz="4" w:space="0" w:color="FFC000" w:themeColor="accent4"/>
        </w:tcBorders>
      </w:tcPr>
    </w:tblStylePr>
    <w:tblStylePr w:type="band1Horz">
      <w:tblPr/>
      <w:tcPr>
        <w:tcBorders>
          <w:top w:val="single" w:sz="4" w:space="0" w:color="FFC000" w:themeColor="accent4"/>
          <w:bottom w:val="single" w:sz="4" w:space="0" w:color="FFC000" w:themeColor="accent4"/>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FFC000" w:themeColor="accent4"/>
          <w:left w:val="nil"/>
        </w:tcBorders>
      </w:tcPr>
    </w:tblStylePr>
    <w:tblStylePr w:type="swCell">
      <w:tblPr/>
      <w:tcPr>
        <w:tcBorders>
          <w:top w:val="double" w:sz="4" w:space="0" w:color="FFC000" w:themeColor="accent4"/>
          <w:right w:val="nil"/>
        </w:tcBorders>
      </w:tcPr>
    </w:tblStylePr>
  </w:style>
  <w:style w:type="table" w:styleId="ListTable3-Accent5">
    <w:name w:val="List Table 3 Accent 5"/>
    <w:basedOn w:val="TableNormal"/>
    <w:uiPriority w:val="48"/>
    <w:rsid w:val="00C10A5B"/>
    <w:pPr>
      <w:spacing w:after="0" w:line="240" w:lineRule="auto"/>
    </w:pPr>
    <w:tblPr>
      <w:tblStyleRowBandSize w:val="1"/>
      <w:tblStyleColBandSize w:val="1"/>
      <w:tblBorders>
        <w:top w:val="single" w:sz="4" w:space="0" w:color="5B9BD5" w:themeColor="accent5"/>
        <w:left w:val="single" w:sz="4" w:space="0" w:color="5B9BD5" w:themeColor="accent5"/>
        <w:bottom w:val="single" w:sz="4" w:space="0" w:color="5B9BD5" w:themeColor="accent5"/>
        <w:right w:val="single" w:sz="4" w:space="0" w:color="5B9BD5" w:themeColor="accent5"/>
      </w:tblBorders>
    </w:tblPr>
    <w:tblStylePr w:type="firstRow">
      <w:rPr>
        <w:b/>
        <w:bCs/>
        <w:color w:val="FFFFFF" w:themeColor="background1"/>
      </w:rPr>
      <w:tblPr/>
      <w:tcPr>
        <w:shd w:val="clear" w:color="auto" w:fill="5B9BD5" w:themeFill="accent5"/>
      </w:tcPr>
    </w:tblStylePr>
    <w:tblStylePr w:type="lastRow">
      <w:rPr>
        <w:b/>
        <w:bCs/>
      </w:rPr>
      <w:tblPr/>
      <w:tcPr>
        <w:tcBorders>
          <w:top w:val="double" w:sz="4" w:space="0" w:color="5B9BD5" w:themeColor="accent5"/>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5B9BD5" w:themeColor="accent5"/>
          <w:right w:val="single" w:sz="4" w:space="0" w:color="5B9BD5" w:themeColor="accent5"/>
        </w:tcBorders>
      </w:tcPr>
    </w:tblStylePr>
    <w:tblStylePr w:type="band1Horz">
      <w:tblPr/>
      <w:tcPr>
        <w:tcBorders>
          <w:top w:val="single" w:sz="4" w:space="0" w:color="5B9BD5" w:themeColor="accent5"/>
          <w:bottom w:val="single" w:sz="4" w:space="0" w:color="5B9BD5" w:themeColor="accent5"/>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5B9BD5" w:themeColor="accent5"/>
          <w:left w:val="nil"/>
        </w:tcBorders>
      </w:tcPr>
    </w:tblStylePr>
    <w:tblStylePr w:type="swCell">
      <w:tblPr/>
      <w:tcPr>
        <w:tcBorders>
          <w:top w:val="double" w:sz="4" w:space="0" w:color="5B9BD5" w:themeColor="accent5"/>
          <w:right w:val="nil"/>
        </w:tcBorders>
      </w:tcPr>
    </w:tblStylePr>
  </w:style>
  <w:style w:type="table" w:styleId="ListTable3-Accent6">
    <w:name w:val="List Table 3 Accent 6"/>
    <w:basedOn w:val="TableNormal"/>
    <w:uiPriority w:val="48"/>
    <w:rsid w:val="00C10A5B"/>
    <w:pPr>
      <w:spacing w:after="0" w:line="240" w:lineRule="auto"/>
    </w:pPr>
    <w:tblPr>
      <w:tblStyleRowBandSize w:val="1"/>
      <w:tblStyleColBandSize w:val="1"/>
      <w:tblBorders>
        <w:top w:val="single" w:sz="4" w:space="0" w:color="70AD47" w:themeColor="accent6"/>
        <w:left w:val="single" w:sz="4" w:space="0" w:color="70AD47" w:themeColor="accent6"/>
        <w:bottom w:val="single" w:sz="4" w:space="0" w:color="70AD47" w:themeColor="accent6"/>
        <w:right w:val="single" w:sz="4" w:space="0" w:color="70AD47" w:themeColor="accent6"/>
      </w:tblBorders>
    </w:tblPr>
    <w:tblStylePr w:type="firstRow">
      <w:rPr>
        <w:b/>
        <w:bCs/>
        <w:color w:val="FFFFFF" w:themeColor="background1"/>
      </w:rPr>
      <w:tblPr/>
      <w:tcPr>
        <w:shd w:val="clear" w:color="auto" w:fill="70AD47" w:themeFill="accent6"/>
      </w:tcPr>
    </w:tblStylePr>
    <w:tblStylePr w:type="lastRow">
      <w:rPr>
        <w:b/>
        <w:bCs/>
      </w:rPr>
      <w:tblPr/>
      <w:tcPr>
        <w:tcBorders>
          <w:top w:val="double" w:sz="4" w:space="0" w:color="70AD47" w:themeColor="accent6"/>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70AD47" w:themeColor="accent6"/>
          <w:right w:val="single" w:sz="4" w:space="0" w:color="70AD47" w:themeColor="accent6"/>
        </w:tcBorders>
      </w:tcPr>
    </w:tblStylePr>
    <w:tblStylePr w:type="band1Horz">
      <w:tblPr/>
      <w:tcPr>
        <w:tcBorders>
          <w:top w:val="single" w:sz="4" w:space="0" w:color="70AD47" w:themeColor="accent6"/>
          <w:bottom w:val="single" w:sz="4" w:space="0" w:color="70AD47" w:themeColor="accent6"/>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70AD47" w:themeColor="accent6"/>
          <w:left w:val="nil"/>
        </w:tcBorders>
      </w:tcPr>
    </w:tblStylePr>
    <w:tblStylePr w:type="swCell">
      <w:tblPr/>
      <w:tcPr>
        <w:tcBorders>
          <w:top w:val="double" w:sz="4" w:space="0" w:color="70AD47" w:themeColor="accent6"/>
          <w:right w:val="nil"/>
        </w:tcBorders>
      </w:tcPr>
    </w:tblStylePr>
  </w:style>
  <w:style w:type="table" w:styleId="ListTable4">
    <w:name w:val="List Table 4"/>
    <w:basedOn w:val="TableNormal"/>
    <w:uiPriority w:val="49"/>
    <w:rsid w:val="00C10A5B"/>
    <w:pPr>
      <w:spacing w:after="0" w:line="240" w:lineRule="auto"/>
    </w:p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tblBorders>
    </w:tblPr>
    <w:tblStylePr w:type="firstRow">
      <w:rPr>
        <w:b/>
        <w:bCs/>
        <w:color w:val="FFFFFF"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nil"/>
        </w:tcBorders>
        <w:shd w:val="clear" w:color="auto" w:fill="000000" w:themeFill="text1"/>
      </w:tcPr>
    </w:tblStylePr>
    <w:tblStylePr w:type="lastRow">
      <w:rPr>
        <w:b/>
        <w:bCs/>
      </w:rPr>
      <w:tblPr/>
      <w:tcPr>
        <w:tcBorders>
          <w:top w:val="doub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4-Accent1">
    <w:name w:val="List Table 4 Accent 1"/>
    <w:basedOn w:val="TableNormal"/>
    <w:uiPriority w:val="49"/>
    <w:rsid w:val="00C10A5B"/>
    <w:pPr>
      <w:spacing w:after="0" w:line="240" w:lineRule="auto"/>
    </w:pPr>
    <w:tblPr>
      <w:tblStyleRowBandSize w:val="1"/>
      <w:tblStyleColBandSize w:val="1"/>
      <w:tblBorders>
        <w:top w:val="single" w:sz="4" w:space="0" w:color="8EAADB" w:themeColor="accent1" w:themeTint="99"/>
        <w:left w:val="single" w:sz="4" w:space="0" w:color="8EAADB" w:themeColor="accent1" w:themeTint="99"/>
        <w:bottom w:val="single" w:sz="4" w:space="0" w:color="8EAADB" w:themeColor="accent1" w:themeTint="99"/>
        <w:right w:val="single" w:sz="4" w:space="0" w:color="8EAADB" w:themeColor="accent1" w:themeTint="99"/>
        <w:insideH w:val="single" w:sz="4" w:space="0" w:color="8EAADB" w:themeColor="accent1" w:themeTint="99"/>
      </w:tblBorders>
    </w:tblPr>
    <w:tblStylePr w:type="firstRow">
      <w:rPr>
        <w:b/>
        <w:bCs/>
        <w:color w:val="FFFFFF" w:themeColor="background1"/>
      </w:rPr>
      <w:tblPr/>
      <w:tcPr>
        <w:tcBorders>
          <w:top w:val="single" w:sz="4" w:space="0" w:color="4472C4" w:themeColor="accent1"/>
          <w:left w:val="single" w:sz="4" w:space="0" w:color="4472C4" w:themeColor="accent1"/>
          <w:bottom w:val="single" w:sz="4" w:space="0" w:color="4472C4" w:themeColor="accent1"/>
          <w:right w:val="single" w:sz="4" w:space="0" w:color="4472C4" w:themeColor="accent1"/>
          <w:insideH w:val="nil"/>
        </w:tcBorders>
        <w:shd w:val="clear" w:color="auto" w:fill="4472C4" w:themeFill="accent1"/>
      </w:tcPr>
    </w:tblStylePr>
    <w:tblStylePr w:type="lastRow">
      <w:rPr>
        <w:b/>
        <w:bCs/>
      </w:rPr>
      <w:tblPr/>
      <w:tcPr>
        <w:tcBorders>
          <w:top w:val="double" w:sz="4" w:space="0" w:color="8EAADB" w:themeColor="accent1" w:themeTint="99"/>
        </w:tcBorders>
      </w:tcPr>
    </w:tblStylePr>
    <w:tblStylePr w:type="firstCol">
      <w:rPr>
        <w:b/>
        <w:bCs/>
      </w:rPr>
    </w:tblStylePr>
    <w:tblStylePr w:type="lastCol">
      <w:rPr>
        <w:b/>
        <w:bCs/>
      </w:rPr>
    </w:tblStylePr>
    <w:tblStylePr w:type="band1Vert">
      <w:tblPr/>
      <w:tcPr>
        <w:shd w:val="clear" w:color="auto" w:fill="D9E2F3" w:themeFill="accent1" w:themeFillTint="33"/>
      </w:tcPr>
    </w:tblStylePr>
    <w:tblStylePr w:type="band1Horz">
      <w:tblPr/>
      <w:tcPr>
        <w:shd w:val="clear" w:color="auto" w:fill="D9E2F3" w:themeFill="accent1" w:themeFillTint="33"/>
      </w:tcPr>
    </w:tblStylePr>
  </w:style>
  <w:style w:type="table" w:styleId="ListTable4-Accent2">
    <w:name w:val="List Table 4 Accent 2"/>
    <w:basedOn w:val="TableNormal"/>
    <w:uiPriority w:val="49"/>
    <w:rsid w:val="00C10A5B"/>
    <w:pPr>
      <w:spacing w:after="0" w:line="240" w:lineRule="auto"/>
    </w:pPr>
    <w:tblPr>
      <w:tblStyleRowBandSize w:val="1"/>
      <w:tblStyleColBandSize w:val="1"/>
      <w:tblBorders>
        <w:top w:val="single" w:sz="4" w:space="0" w:color="F4B083" w:themeColor="accent2" w:themeTint="99"/>
        <w:left w:val="single" w:sz="4" w:space="0" w:color="F4B083" w:themeColor="accent2" w:themeTint="99"/>
        <w:bottom w:val="single" w:sz="4" w:space="0" w:color="F4B083" w:themeColor="accent2" w:themeTint="99"/>
        <w:right w:val="single" w:sz="4" w:space="0" w:color="F4B083" w:themeColor="accent2" w:themeTint="99"/>
        <w:insideH w:val="single" w:sz="4" w:space="0" w:color="F4B083" w:themeColor="accent2" w:themeTint="99"/>
      </w:tblBorders>
    </w:tblPr>
    <w:tblStylePr w:type="firstRow">
      <w:rPr>
        <w:b/>
        <w:bCs/>
        <w:color w:val="FFFFFF" w:themeColor="background1"/>
      </w:rPr>
      <w:tblPr/>
      <w:tcPr>
        <w:tcBorders>
          <w:top w:val="single" w:sz="4" w:space="0" w:color="ED7D31" w:themeColor="accent2"/>
          <w:left w:val="single" w:sz="4" w:space="0" w:color="ED7D31" w:themeColor="accent2"/>
          <w:bottom w:val="single" w:sz="4" w:space="0" w:color="ED7D31" w:themeColor="accent2"/>
          <w:right w:val="single" w:sz="4" w:space="0" w:color="ED7D31" w:themeColor="accent2"/>
          <w:insideH w:val="nil"/>
        </w:tcBorders>
        <w:shd w:val="clear" w:color="auto" w:fill="ED7D31" w:themeFill="accent2"/>
      </w:tcPr>
    </w:tblStylePr>
    <w:tblStylePr w:type="lastRow">
      <w:rPr>
        <w:b/>
        <w:bCs/>
      </w:rPr>
      <w:tblPr/>
      <w:tcPr>
        <w:tcBorders>
          <w:top w:val="double" w:sz="4" w:space="0" w:color="F4B083" w:themeColor="accent2" w:themeTint="99"/>
        </w:tcBorders>
      </w:tcPr>
    </w:tblStylePr>
    <w:tblStylePr w:type="firstCol">
      <w:rPr>
        <w:b/>
        <w:bCs/>
      </w:rPr>
    </w:tblStylePr>
    <w:tblStylePr w:type="lastCol">
      <w:rPr>
        <w:b/>
        <w:bCs/>
      </w:rPr>
    </w:tblStylePr>
    <w:tblStylePr w:type="band1Vert">
      <w:tblPr/>
      <w:tcPr>
        <w:shd w:val="clear" w:color="auto" w:fill="FBE4D5" w:themeFill="accent2" w:themeFillTint="33"/>
      </w:tcPr>
    </w:tblStylePr>
    <w:tblStylePr w:type="band1Horz">
      <w:tblPr/>
      <w:tcPr>
        <w:shd w:val="clear" w:color="auto" w:fill="FBE4D5" w:themeFill="accent2" w:themeFillTint="33"/>
      </w:tcPr>
    </w:tblStylePr>
  </w:style>
  <w:style w:type="table" w:styleId="ListTable4-Accent3">
    <w:name w:val="List Table 4 Accent 3"/>
    <w:basedOn w:val="TableNormal"/>
    <w:uiPriority w:val="49"/>
    <w:rsid w:val="00C10A5B"/>
    <w:pPr>
      <w:spacing w:after="0" w:line="240" w:lineRule="auto"/>
    </w:pPr>
    <w:tblPr>
      <w:tblStyleRowBandSize w:val="1"/>
      <w:tblStyleColBandSize w:val="1"/>
      <w:tblBorders>
        <w:top w:val="single" w:sz="4" w:space="0" w:color="C9C9C9" w:themeColor="accent3" w:themeTint="99"/>
        <w:left w:val="single" w:sz="4" w:space="0" w:color="C9C9C9" w:themeColor="accent3" w:themeTint="99"/>
        <w:bottom w:val="single" w:sz="4" w:space="0" w:color="C9C9C9" w:themeColor="accent3" w:themeTint="99"/>
        <w:right w:val="single" w:sz="4" w:space="0" w:color="C9C9C9" w:themeColor="accent3" w:themeTint="99"/>
        <w:insideH w:val="single" w:sz="4" w:space="0" w:color="C9C9C9" w:themeColor="accent3" w:themeTint="99"/>
      </w:tblBorders>
    </w:tblPr>
    <w:tblStylePr w:type="firstRow">
      <w:rPr>
        <w:b/>
        <w:bCs/>
        <w:color w:val="FFFFFF" w:themeColor="background1"/>
      </w:rPr>
      <w:tblPr/>
      <w:tcPr>
        <w:tcBorders>
          <w:top w:val="single" w:sz="4" w:space="0" w:color="A5A5A5" w:themeColor="accent3"/>
          <w:left w:val="single" w:sz="4" w:space="0" w:color="A5A5A5" w:themeColor="accent3"/>
          <w:bottom w:val="single" w:sz="4" w:space="0" w:color="A5A5A5" w:themeColor="accent3"/>
          <w:right w:val="single" w:sz="4" w:space="0" w:color="A5A5A5" w:themeColor="accent3"/>
          <w:insideH w:val="nil"/>
        </w:tcBorders>
        <w:shd w:val="clear" w:color="auto" w:fill="A5A5A5" w:themeFill="accent3"/>
      </w:tcPr>
    </w:tblStylePr>
    <w:tblStylePr w:type="lastRow">
      <w:rPr>
        <w:b/>
        <w:bCs/>
      </w:rPr>
      <w:tblPr/>
      <w:tcPr>
        <w:tcBorders>
          <w:top w:val="double" w:sz="4" w:space="0" w:color="C9C9C9" w:themeColor="accent3" w:themeTint="99"/>
        </w:tcBorders>
      </w:tcPr>
    </w:tblStylePr>
    <w:tblStylePr w:type="firstCol">
      <w:rPr>
        <w:b/>
        <w:bCs/>
      </w:rPr>
    </w:tblStylePr>
    <w:tblStylePr w:type="lastCol">
      <w:rPr>
        <w:b/>
        <w:bCs/>
      </w:rPr>
    </w:tblStylePr>
    <w:tblStylePr w:type="band1Vert">
      <w:tblPr/>
      <w:tcPr>
        <w:shd w:val="clear" w:color="auto" w:fill="EDEDED" w:themeFill="accent3" w:themeFillTint="33"/>
      </w:tcPr>
    </w:tblStylePr>
    <w:tblStylePr w:type="band1Horz">
      <w:tblPr/>
      <w:tcPr>
        <w:shd w:val="clear" w:color="auto" w:fill="EDEDED" w:themeFill="accent3" w:themeFillTint="33"/>
      </w:tcPr>
    </w:tblStylePr>
  </w:style>
  <w:style w:type="table" w:styleId="ListTable4-Accent4">
    <w:name w:val="List Table 4 Accent 4"/>
    <w:basedOn w:val="TableNormal"/>
    <w:uiPriority w:val="49"/>
    <w:rsid w:val="00C10A5B"/>
    <w:pPr>
      <w:spacing w:after="0" w:line="240" w:lineRule="auto"/>
    </w:pPr>
    <w:tblPr>
      <w:tblStyleRowBandSize w:val="1"/>
      <w:tblStyleColBandSize w:val="1"/>
      <w:tblBorders>
        <w:top w:val="single" w:sz="4" w:space="0" w:color="FFD966" w:themeColor="accent4" w:themeTint="99"/>
        <w:left w:val="single" w:sz="4" w:space="0" w:color="FFD966" w:themeColor="accent4" w:themeTint="99"/>
        <w:bottom w:val="single" w:sz="4" w:space="0" w:color="FFD966" w:themeColor="accent4" w:themeTint="99"/>
        <w:right w:val="single" w:sz="4" w:space="0" w:color="FFD966" w:themeColor="accent4" w:themeTint="99"/>
        <w:insideH w:val="single" w:sz="4" w:space="0" w:color="FFD966" w:themeColor="accent4" w:themeTint="99"/>
      </w:tblBorders>
    </w:tblPr>
    <w:tblStylePr w:type="firstRow">
      <w:rPr>
        <w:b/>
        <w:bCs/>
        <w:color w:val="FFFFFF" w:themeColor="background1"/>
      </w:rPr>
      <w:tblPr/>
      <w:tcPr>
        <w:tcBorders>
          <w:top w:val="single" w:sz="4" w:space="0" w:color="FFC000" w:themeColor="accent4"/>
          <w:left w:val="single" w:sz="4" w:space="0" w:color="FFC000" w:themeColor="accent4"/>
          <w:bottom w:val="single" w:sz="4" w:space="0" w:color="FFC000" w:themeColor="accent4"/>
          <w:right w:val="single" w:sz="4" w:space="0" w:color="FFC000" w:themeColor="accent4"/>
          <w:insideH w:val="nil"/>
        </w:tcBorders>
        <w:shd w:val="clear" w:color="auto" w:fill="FFC000" w:themeFill="accent4"/>
      </w:tcPr>
    </w:tblStylePr>
    <w:tblStylePr w:type="lastRow">
      <w:rPr>
        <w:b/>
        <w:bCs/>
      </w:rPr>
      <w:tblPr/>
      <w:tcPr>
        <w:tcBorders>
          <w:top w:val="double" w:sz="4" w:space="0" w:color="FFD966" w:themeColor="accent4" w:themeTint="99"/>
        </w:tcBorders>
      </w:tcPr>
    </w:tblStylePr>
    <w:tblStylePr w:type="firstCol">
      <w:rPr>
        <w:b/>
        <w:bCs/>
      </w:rPr>
    </w:tblStylePr>
    <w:tblStylePr w:type="lastCol">
      <w:rPr>
        <w:b/>
        <w:bCs/>
      </w:rPr>
    </w:tblStylePr>
    <w:tblStylePr w:type="band1Vert">
      <w:tblPr/>
      <w:tcPr>
        <w:shd w:val="clear" w:color="auto" w:fill="FFF2CC" w:themeFill="accent4" w:themeFillTint="33"/>
      </w:tcPr>
    </w:tblStylePr>
    <w:tblStylePr w:type="band1Horz">
      <w:tblPr/>
      <w:tcPr>
        <w:shd w:val="clear" w:color="auto" w:fill="FFF2CC" w:themeFill="accent4" w:themeFillTint="33"/>
      </w:tcPr>
    </w:tblStylePr>
  </w:style>
  <w:style w:type="table" w:styleId="ListTable4-Accent5">
    <w:name w:val="List Table 4 Accent 5"/>
    <w:basedOn w:val="TableNormal"/>
    <w:uiPriority w:val="49"/>
    <w:rsid w:val="00C10A5B"/>
    <w:pPr>
      <w:spacing w:after="0" w:line="240" w:lineRule="auto"/>
    </w:pPr>
    <w:tblPr>
      <w:tblStyleRowBandSize w:val="1"/>
      <w:tblStyleColBandSize w:val="1"/>
      <w:tblBorders>
        <w:top w:val="single" w:sz="4" w:space="0" w:color="9CC2E5" w:themeColor="accent5" w:themeTint="99"/>
        <w:left w:val="single" w:sz="4" w:space="0" w:color="9CC2E5" w:themeColor="accent5" w:themeTint="99"/>
        <w:bottom w:val="single" w:sz="4" w:space="0" w:color="9CC2E5" w:themeColor="accent5" w:themeTint="99"/>
        <w:right w:val="single" w:sz="4" w:space="0" w:color="9CC2E5" w:themeColor="accent5" w:themeTint="99"/>
        <w:insideH w:val="single" w:sz="4" w:space="0" w:color="9CC2E5" w:themeColor="accent5" w:themeTint="99"/>
      </w:tblBorders>
    </w:tblPr>
    <w:tblStylePr w:type="firstRow">
      <w:rPr>
        <w:b/>
        <w:bCs/>
        <w:color w:val="FFFFFF" w:themeColor="background1"/>
      </w:rPr>
      <w:tblPr/>
      <w:tcPr>
        <w:tcBorders>
          <w:top w:val="single" w:sz="4" w:space="0" w:color="5B9BD5" w:themeColor="accent5"/>
          <w:left w:val="single" w:sz="4" w:space="0" w:color="5B9BD5" w:themeColor="accent5"/>
          <w:bottom w:val="single" w:sz="4" w:space="0" w:color="5B9BD5" w:themeColor="accent5"/>
          <w:right w:val="single" w:sz="4" w:space="0" w:color="5B9BD5" w:themeColor="accent5"/>
          <w:insideH w:val="nil"/>
        </w:tcBorders>
        <w:shd w:val="clear" w:color="auto" w:fill="5B9BD5" w:themeFill="accent5"/>
      </w:tcPr>
    </w:tblStylePr>
    <w:tblStylePr w:type="lastRow">
      <w:rPr>
        <w:b/>
        <w:bCs/>
      </w:rPr>
      <w:tblPr/>
      <w:tcPr>
        <w:tcBorders>
          <w:top w:val="double" w:sz="4" w:space="0" w:color="9CC2E5" w:themeColor="accent5" w:themeTint="99"/>
        </w:tcBorders>
      </w:tcPr>
    </w:tblStylePr>
    <w:tblStylePr w:type="firstCol">
      <w:rPr>
        <w:b/>
        <w:bCs/>
      </w:rPr>
    </w:tblStylePr>
    <w:tblStylePr w:type="lastCol">
      <w:rPr>
        <w:b/>
        <w:bCs/>
      </w:rPr>
    </w:tblStylePr>
    <w:tblStylePr w:type="band1Vert">
      <w:tblPr/>
      <w:tcPr>
        <w:shd w:val="clear" w:color="auto" w:fill="DEEAF6" w:themeFill="accent5" w:themeFillTint="33"/>
      </w:tcPr>
    </w:tblStylePr>
    <w:tblStylePr w:type="band1Horz">
      <w:tblPr/>
      <w:tcPr>
        <w:shd w:val="clear" w:color="auto" w:fill="DEEAF6" w:themeFill="accent5" w:themeFillTint="33"/>
      </w:tcPr>
    </w:tblStylePr>
  </w:style>
  <w:style w:type="table" w:styleId="ListTable4-Accent6">
    <w:name w:val="List Table 4 Accent 6"/>
    <w:basedOn w:val="TableNormal"/>
    <w:uiPriority w:val="49"/>
    <w:rsid w:val="00C10A5B"/>
    <w:pPr>
      <w:spacing w:after="0" w:line="240" w:lineRule="auto"/>
    </w:pPr>
    <w:tblPr>
      <w:tblStyleRowBandSize w:val="1"/>
      <w:tblStyleColBandSize w:val="1"/>
      <w:tblBorders>
        <w:top w:val="single" w:sz="4" w:space="0" w:color="A8D08D" w:themeColor="accent6" w:themeTint="99"/>
        <w:left w:val="single" w:sz="4" w:space="0" w:color="A8D08D" w:themeColor="accent6" w:themeTint="99"/>
        <w:bottom w:val="single" w:sz="4" w:space="0" w:color="A8D08D" w:themeColor="accent6" w:themeTint="99"/>
        <w:right w:val="single" w:sz="4" w:space="0" w:color="A8D08D" w:themeColor="accent6" w:themeTint="99"/>
        <w:insideH w:val="single" w:sz="4" w:space="0" w:color="A8D08D" w:themeColor="accent6" w:themeTint="99"/>
      </w:tblBorders>
    </w:tblPr>
    <w:tblStylePr w:type="firstRow">
      <w:rPr>
        <w:b/>
        <w:bCs/>
        <w:color w:val="FFFFFF" w:themeColor="background1"/>
      </w:rPr>
      <w:tblPr/>
      <w:tcPr>
        <w:tcBorders>
          <w:top w:val="single" w:sz="4" w:space="0" w:color="70AD47" w:themeColor="accent6"/>
          <w:left w:val="single" w:sz="4" w:space="0" w:color="70AD47" w:themeColor="accent6"/>
          <w:bottom w:val="single" w:sz="4" w:space="0" w:color="70AD47" w:themeColor="accent6"/>
          <w:right w:val="single" w:sz="4" w:space="0" w:color="70AD47" w:themeColor="accent6"/>
          <w:insideH w:val="nil"/>
        </w:tcBorders>
        <w:shd w:val="clear" w:color="auto" w:fill="70AD47" w:themeFill="accent6"/>
      </w:tcPr>
    </w:tblStylePr>
    <w:tblStylePr w:type="lastRow">
      <w:rPr>
        <w:b/>
        <w:bCs/>
      </w:rPr>
      <w:tblPr/>
      <w:tcPr>
        <w:tcBorders>
          <w:top w:val="double" w:sz="4" w:space="0" w:color="A8D08D" w:themeColor="accent6" w:themeTint="99"/>
        </w:tcBorders>
      </w:tcPr>
    </w:tblStylePr>
    <w:tblStylePr w:type="firstCol">
      <w:rPr>
        <w:b/>
        <w:bCs/>
      </w:rPr>
    </w:tblStylePr>
    <w:tblStylePr w:type="lastCol">
      <w:rPr>
        <w:b/>
        <w:bCs/>
      </w:rPr>
    </w:tblStylePr>
    <w:tblStylePr w:type="band1Vert">
      <w:tblPr/>
      <w:tcPr>
        <w:shd w:val="clear" w:color="auto" w:fill="E2EFD9" w:themeFill="accent6" w:themeFillTint="33"/>
      </w:tcPr>
    </w:tblStylePr>
    <w:tblStylePr w:type="band1Horz">
      <w:tblPr/>
      <w:tcPr>
        <w:shd w:val="clear" w:color="auto" w:fill="E2EFD9" w:themeFill="accent6" w:themeFillTint="33"/>
      </w:tcPr>
    </w:tblStylePr>
  </w:style>
  <w:style w:type="table" w:styleId="ListTable5Dark">
    <w:name w:val="List Table 5 Dark"/>
    <w:basedOn w:val="TableNormal"/>
    <w:uiPriority w:val="50"/>
    <w:rsid w:val="00C10A5B"/>
    <w:pPr>
      <w:spacing w:after="0" w:line="240" w:lineRule="auto"/>
    </w:pPr>
    <w:rPr>
      <w:color w:val="FFFFFF" w:themeColor="background1"/>
    </w:rPr>
    <w:tblPr>
      <w:tblStyleRowBandSize w:val="1"/>
      <w:tblStyleColBandSize w:val="1"/>
      <w:tblBorders>
        <w:top w:val="single" w:sz="24" w:space="0" w:color="000000" w:themeColor="text1"/>
        <w:left w:val="single" w:sz="24" w:space="0" w:color="000000" w:themeColor="text1"/>
        <w:bottom w:val="single" w:sz="24" w:space="0" w:color="000000" w:themeColor="text1"/>
        <w:right w:val="single" w:sz="24" w:space="0" w:color="000000" w:themeColor="text1"/>
      </w:tblBorders>
    </w:tblPr>
    <w:tcPr>
      <w:shd w:val="clear" w:color="auto" w:fill="000000" w:themeFill="text1"/>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1">
    <w:name w:val="List Table 5 Dark Accent 1"/>
    <w:basedOn w:val="TableNormal"/>
    <w:uiPriority w:val="50"/>
    <w:rsid w:val="00C10A5B"/>
    <w:pPr>
      <w:spacing w:after="0" w:line="240" w:lineRule="auto"/>
    </w:pPr>
    <w:rPr>
      <w:color w:val="FFFFFF" w:themeColor="background1"/>
    </w:rPr>
    <w:tblPr>
      <w:tblStyleRowBandSize w:val="1"/>
      <w:tblStyleColBandSize w:val="1"/>
      <w:tblBorders>
        <w:top w:val="single" w:sz="24" w:space="0" w:color="4472C4" w:themeColor="accent1"/>
        <w:left w:val="single" w:sz="24" w:space="0" w:color="4472C4" w:themeColor="accent1"/>
        <w:bottom w:val="single" w:sz="24" w:space="0" w:color="4472C4" w:themeColor="accent1"/>
        <w:right w:val="single" w:sz="24" w:space="0" w:color="4472C4" w:themeColor="accent1"/>
      </w:tblBorders>
    </w:tblPr>
    <w:tcPr>
      <w:shd w:val="clear" w:color="auto" w:fill="4472C4" w:themeFill="accent1"/>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2">
    <w:name w:val="List Table 5 Dark Accent 2"/>
    <w:basedOn w:val="TableNormal"/>
    <w:uiPriority w:val="50"/>
    <w:rsid w:val="00C10A5B"/>
    <w:pPr>
      <w:spacing w:after="0" w:line="240" w:lineRule="auto"/>
    </w:pPr>
    <w:rPr>
      <w:color w:val="FFFFFF" w:themeColor="background1"/>
    </w:rPr>
    <w:tblPr>
      <w:tblStyleRowBandSize w:val="1"/>
      <w:tblStyleColBandSize w:val="1"/>
      <w:tblBorders>
        <w:top w:val="single" w:sz="24" w:space="0" w:color="ED7D31" w:themeColor="accent2"/>
        <w:left w:val="single" w:sz="24" w:space="0" w:color="ED7D31" w:themeColor="accent2"/>
        <w:bottom w:val="single" w:sz="24" w:space="0" w:color="ED7D31" w:themeColor="accent2"/>
        <w:right w:val="single" w:sz="24" w:space="0" w:color="ED7D31" w:themeColor="accent2"/>
      </w:tblBorders>
    </w:tblPr>
    <w:tcPr>
      <w:shd w:val="clear" w:color="auto" w:fill="ED7D31" w:themeFill="accent2"/>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3">
    <w:name w:val="List Table 5 Dark Accent 3"/>
    <w:basedOn w:val="TableNormal"/>
    <w:uiPriority w:val="50"/>
    <w:rsid w:val="00C10A5B"/>
    <w:pPr>
      <w:spacing w:after="0" w:line="240" w:lineRule="auto"/>
    </w:pPr>
    <w:rPr>
      <w:color w:val="FFFFFF" w:themeColor="background1"/>
    </w:rPr>
    <w:tblPr>
      <w:tblStyleRowBandSize w:val="1"/>
      <w:tblStyleColBandSize w:val="1"/>
      <w:tblBorders>
        <w:top w:val="single" w:sz="24" w:space="0" w:color="A5A5A5" w:themeColor="accent3"/>
        <w:left w:val="single" w:sz="24" w:space="0" w:color="A5A5A5" w:themeColor="accent3"/>
        <w:bottom w:val="single" w:sz="24" w:space="0" w:color="A5A5A5" w:themeColor="accent3"/>
        <w:right w:val="single" w:sz="24" w:space="0" w:color="A5A5A5" w:themeColor="accent3"/>
      </w:tblBorders>
    </w:tblPr>
    <w:tcPr>
      <w:shd w:val="clear" w:color="auto" w:fill="A5A5A5" w:themeFill="accent3"/>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4">
    <w:name w:val="List Table 5 Dark Accent 4"/>
    <w:basedOn w:val="TableNormal"/>
    <w:uiPriority w:val="50"/>
    <w:rsid w:val="00C10A5B"/>
    <w:pPr>
      <w:spacing w:after="0" w:line="240" w:lineRule="auto"/>
    </w:pPr>
    <w:rPr>
      <w:color w:val="FFFFFF" w:themeColor="background1"/>
    </w:rPr>
    <w:tblPr>
      <w:tblStyleRowBandSize w:val="1"/>
      <w:tblStyleColBandSize w:val="1"/>
      <w:tblBorders>
        <w:top w:val="single" w:sz="24" w:space="0" w:color="FFC000" w:themeColor="accent4"/>
        <w:left w:val="single" w:sz="24" w:space="0" w:color="FFC000" w:themeColor="accent4"/>
        <w:bottom w:val="single" w:sz="24" w:space="0" w:color="FFC000" w:themeColor="accent4"/>
        <w:right w:val="single" w:sz="24" w:space="0" w:color="FFC000" w:themeColor="accent4"/>
      </w:tblBorders>
    </w:tblPr>
    <w:tcPr>
      <w:shd w:val="clear" w:color="auto" w:fill="FFC000" w:themeFill="accent4"/>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5">
    <w:name w:val="List Table 5 Dark Accent 5"/>
    <w:basedOn w:val="TableNormal"/>
    <w:uiPriority w:val="50"/>
    <w:rsid w:val="00C10A5B"/>
    <w:pPr>
      <w:spacing w:after="0" w:line="240" w:lineRule="auto"/>
    </w:pPr>
    <w:rPr>
      <w:color w:val="FFFFFF" w:themeColor="background1"/>
    </w:rPr>
    <w:tblPr>
      <w:tblStyleRowBandSize w:val="1"/>
      <w:tblStyleColBandSize w:val="1"/>
      <w:tblBorders>
        <w:top w:val="single" w:sz="24" w:space="0" w:color="5B9BD5" w:themeColor="accent5"/>
        <w:left w:val="single" w:sz="24" w:space="0" w:color="5B9BD5" w:themeColor="accent5"/>
        <w:bottom w:val="single" w:sz="24" w:space="0" w:color="5B9BD5" w:themeColor="accent5"/>
        <w:right w:val="single" w:sz="24" w:space="0" w:color="5B9BD5" w:themeColor="accent5"/>
      </w:tblBorders>
    </w:tblPr>
    <w:tcPr>
      <w:shd w:val="clear" w:color="auto" w:fill="5B9BD5" w:themeFill="accent5"/>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6">
    <w:name w:val="List Table 5 Dark Accent 6"/>
    <w:basedOn w:val="TableNormal"/>
    <w:uiPriority w:val="50"/>
    <w:rsid w:val="00C10A5B"/>
    <w:pPr>
      <w:spacing w:after="0" w:line="240" w:lineRule="auto"/>
    </w:pPr>
    <w:rPr>
      <w:color w:val="FFFFFF" w:themeColor="background1"/>
    </w:rPr>
    <w:tblPr>
      <w:tblStyleRowBandSize w:val="1"/>
      <w:tblStyleColBandSize w:val="1"/>
      <w:tblBorders>
        <w:top w:val="single" w:sz="24" w:space="0" w:color="70AD47" w:themeColor="accent6"/>
        <w:left w:val="single" w:sz="24" w:space="0" w:color="70AD47" w:themeColor="accent6"/>
        <w:bottom w:val="single" w:sz="24" w:space="0" w:color="70AD47" w:themeColor="accent6"/>
        <w:right w:val="single" w:sz="24" w:space="0" w:color="70AD47" w:themeColor="accent6"/>
      </w:tblBorders>
    </w:tblPr>
    <w:tcPr>
      <w:shd w:val="clear" w:color="auto" w:fill="70AD47" w:themeFill="accent6"/>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6Colorful">
    <w:name w:val="List Table 6 Colorful"/>
    <w:basedOn w:val="TableNormal"/>
    <w:uiPriority w:val="51"/>
    <w:rsid w:val="00C10A5B"/>
    <w:pPr>
      <w:spacing w:after="0" w:line="240" w:lineRule="auto"/>
    </w:pPr>
    <w:rPr>
      <w:color w:val="000000" w:themeColor="text1"/>
    </w:rPr>
    <w:tblPr>
      <w:tblStyleRowBandSize w:val="1"/>
      <w:tblStyleColBandSize w:val="1"/>
      <w:tblBorders>
        <w:top w:val="single" w:sz="4" w:space="0" w:color="000000" w:themeColor="text1"/>
        <w:bottom w:val="single" w:sz="4" w:space="0" w:color="000000" w:themeColor="text1"/>
      </w:tblBorders>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6Colorful-Accent1">
    <w:name w:val="List Table 6 Colorful Accent 1"/>
    <w:basedOn w:val="TableNormal"/>
    <w:uiPriority w:val="51"/>
    <w:rsid w:val="00C10A5B"/>
    <w:pPr>
      <w:spacing w:after="0" w:line="240" w:lineRule="auto"/>
    </w:pPr>
    <w:rPr>
      <w:color w:val="2F5496" w:themeColor="accent1" w:themeShade="BF"/>
    </w:rPr>
    <w:tblPr>
      <w:tblStyleRowBandSize w:val="1"/>
      <w:tblStyleColBandSize w:val="1"/>
      <w:tblBorders>
        <w:top w:val="single" w:sz="4" w:space="0" w:color="4472C4" w:themeColor="accent1"/>
        <w:bottom w:val="single" w:sz="4" w:space="0" w:color="4472C4" w:themeColor="accent1"/>
      </w:tblBorders>
    </w:tblPr>
    <w:tblStylePr w:type="firstRow">
      <w:rPr>
        <w:b/>
        <w:bCs/>
      </w:rPr>
      <w:tblPr/>
      <w:tcPr>
        <w:tcBorders>
          <w:bottom w:val="single" w:sz="4" w:space="0" w:color="4472C4" w:themeColor="accent1"/>
        </w:tcBorders>
      </w:tcPr>
    </w:tblStylePr>
    <w:tblStylePr w:type="lastRow">
      <w:rPr>
        <w:b/>
        <w:bCs/>
      </w:rPr>
      <w:tblPr/>
      <w:tcPr>
        <w:tcBorders>
          <w:top w:val="double" w:sz="4" w:space="0" w:color="4472C4" w:themeColor="accent1"/>
        </w:tcBorders>
      </w:tcPr>
    </w:tblStylePr>
    <w:tblStylePr w:type="firstCol">
      <w:rPr>
        <w:b/>
        <w:bCs/>
      </w:rPr>
    </w:tblStylePr>
    <w:tblStylePr w:type="lastCol">
      <w:rPr>
        <w:b/>
        <w:bCs/>
      </w:rPr>
    </w:tblStylePr>
    <w:tblStylePr w:type="band1Vert">
      <w:tblPr/>
      <w:tcPr>
        <w:shd w:val="clear" w:color="auto" w:fill="D9E2F3" w:themeFill="accent1" w:themeFillTint="33"/>
      </w:tcPr>
    </w:tblStylePr>
    <w:tblStylePr w:type="band1Horz">
      <w:tblPr/>
      <w:tcPr>
        <w:shd w:val="clear" w:color="auto" w:fill="D9E2F3" w:themeFill="accent1" w:themeFillTint="33"/>
      </w:tcPr>
    </w:tblStylePr>
  </w:style>
  <w:style w:type="table" w:styleId="ListTable6Colorful-Accent2">
    <w:name w:val="List Table 6 Colorful Accent 2"/>
    <w:basedOn w:val="TableNormal"/>
    <w:uiPriority w:val="51"/>
    <w:rsid w:val="00C10A5B"/>
    <w:pPr>
      <w:spacing w:after="0" w:line="240" w:lineRule="auto"/>
    </w:pPr>
    <w:rPr>
      <w:color w:val="C45911" w:themeColor="accent2" w:themeShade="BF"/>
    </w:rPr>
    <w:tblPr>
      <w:tblStyleRowBandSize w:val="1"/>
      <w:tblStyleColBandSize w:val="1"/>
      <w:tblBorders>
        <w:top w:val="single" w:sz="4" w:space="0" w:color="ED7D31" w:themeColor="accent2"/>
        <w:bottom w:val="single" w:sz="4" w:space="0" w:color="ED7D31" w:themeColor="accent2"/>
      </w:tblBorders>
    </w:tblPr>
    <w:tblStylePr w:type="firstRow">
      <w:rPr>
        <w:b/>
        <w:bCs/>
      </w:rPr>
      <w:tblPr/>
      <w:tcPr>
        <w:tcBorders>
          <w:bottom w:val="single" w:sz="4" w:space="0" w:color="ED7D31" w:themeColor="accent2"/>
        </w:tcBorders>
      </w:tcPr>
    </w:tblStylePr>
    <w:tblStylePr w:type="lastRow">
      <w:rPr>
        <w:b/>
        <w:bCs/>
      </w:rPr>
      <w:tblPr/>
      <w:tcPr>
        <w:tcBorders>
          <w:top w:val="double" w:sz="4" w:space="0" w:color="ED7D31" w:themeColor="accent2"/>
        </w:tcBorders>
      </w:tcPr>
    </w:tblStylePr>
    <w:tblStylePr w:type="firstCol">
      <w:rPr>
        <w:b/>
        <w:bCs/>
      </w:rPr>
    </w:tblStylePr>
    <w:tblStylePr w:type="lastCol">
      <w:rPr>
        <w:b/>
        <w:bCs/>
      </w:rPr>
    </w:tblStylePr>
    <w:tblStylePr w:type="band1Vert">
      <w:tblPr/>
      <w:tcPr>
        <w:shd w:val="clear" w:color="auto" w:fill="FBE4D5" w:themeFill="accent2" w:themeFillTint="33"/>
      </w:tcPr>
    </w:tblStylePr>
    <w:tblStylePr w:type="band1Horz">
      <w:tblPr/>
      <w:tcPr>
        <w:shd w:val="clear" w:color="auto" w:fill="FBE4D5" w:themeFill="accent2" w:themeFillTint="33"/>
      </w:tcPr>
    </w:tblStylePr>
  </w:style>
  <w:style w:type="table" w:styleId="ListTable6Colorful-Accent3">
    <w:name w:val="List Table 6 Colorful Accent 3"/>
    <w:basedOn w:val="TableNormal"/>
    <w:uiPriority w:val="51"/>
    <w:rsid w:val="00C10A5B"/>
    <w:pPr>
      <w:spacing w:after="0" w:line="240" w:lineRule="auto"/>
    </w:pPr>
    <w:rPr>
      <w:color w:val="7B7B7B" w:themeColor="accent3" w:themeShade="BF"/>
    </w:rPr>
    <w:tblPr>
      <w:tblStyleRowBandSize w:val="1"/>
      <w:tblStyleColBandSize w:val="1"/>
      <w:tblBorders>
        <w:top w:val="single" w:sz="4" w:space="0" w:color="A5A5A5" w:themeColor="accent3"/>
        <w:bottom w:val="single" w:sz="4" w:space="0" w:color="A5A5A5" w:themeColor="accent3"/>
      </w:tblBorders>
    </w:tblPr>
    <w:tblStylePr w:type="firstRow">
      <w:rPr>
        <w:b/>
        <w:bCs/>
      </w:rPr>
      <w:tblPr/>
      <w:tcPr>
        <w:tcBorders>
          <w:bottom w:val="single" w:sz="4" w:space="0" w:color="A5A5A5" w:themeColor="accent3"/>
        </w:tcBorders>
      </w:tcPr>
    </w:tblStylePr>
    <w:tblStylePr w:type="lastRow">
      <w:rPr>
        <w:b/>
        <w:bCs/>
      </w:rPr>
      <w:tblPr/>
      <w:tcPr>
        <w:tcBorders>
          <w:top w:val="double" w:sz="4" w:space="0" w:color="A5A5A5" w:themeColor="accent3"/>
        </w:tcBorders>
      </w:tcPr>
    </w:tblStylePr>
    <w:tblStylePr w:type="firstCol">
      <w:rPr>
        <w:b/>
        <w:bCs/>
      </w:rPr>
    </w:tblStylePr>
    <w:tblStylePr w:type="lastCol">
      <w:rPr>
        <w:b/>
        <w:bCs/>
      </w:rPr>
    </w:tblStylePr>
    <w:tblStylePr w:type="band1Vert">
      <w:tblPr/>
      <w:tcPr>
        <w:shd w:val="clear" w:color="auto" w:fill="EDEDED" w:themeFill="accent3" w:themeFillTint="33"/>
      </w:tcPr>
    </w:tblStylePr>
    <w:tblStylePr w:type="band1Horz">
      <w:tblPr/>
      <w:tcPr>
        <w:shd w:val="clear" w:color="auto" w:fill="EDEDED" w:themeFill="accent3" w:themeFillTint="33"/>
      </w:tcPr>
    </w:tblStylePr>
  </w:style>
  <w:style w:type="table" w:styleId="ListTable6Colorful-Accent4">
    <w:name w:val="List Table 6 Colorful Accent 4"/>
    <w:basedOn w:val="TableNormal"/>
    <w:uiPriority w:val="51"/>
    <w:rsid w:val="00C10A5B"/>
    <w:pPr>
      <w:spacing w:after="0" w:line="240" w:lineRule="auto"/>
    </w:pPr>
    <w:rPr>
      <w:color w:val="BF8F00" w:themeColor="accent4" w:themeShade="BF"/>
    </w:rPr>
    <w:tblPr>
      <w:tblStyleRowBandSize w:val="1"/>
      <w:tblStyleColBandSize w:val="1"/>
      <w:tblBorders>
        <w:top w:val="single" w:sz="4" w:space="0" w:color="FFC000" w:themeColor="accent4"/>
        <w:bottom w:val="single" w:sz="4" w:space="0" w:color="FFC000" w:themeColor="accent4"/>
      </w:tblBorders>
    </w:tblPr>
    <w:tblStylePr w:type="firstRow">
      <w:rPr>
        <w:b/>
        <w:bCs/>
      </w:rPr>
      <w:tblPr/>
      <w:tcPr>
        <w:tcBorders>
          <w:bottom w:val="single" w:sz="4" w:space="0" w:color="FFC000" w:themeColor="accent4"/>
        </w:tcBorders>
      </w:tcPr>
    </w:tblStylePr>
    <w:tblStylePr w:type="lastRow">
      <w:rPr>
        <w:b/>
        <w:bCs/>
      </w:rPr>
      <w:tblPr/>
      <w:tcPr>
        <w:tcBorders>
          <w:top w:val="double" w:sz="4" w:space="0" w:color="FFC000" w:themeColor="accent4"/>
        </w:tcBorders>
      </w:tcPr>
    </w:tblStylePr>
    <w:tblStylePr w:type="firstCol">
      <w:rPr>
        <w:b/>
        <w:bCs/>
      </w:rPr>
    </w:tblStylePr>
    <w:tblStylePr w:type="lastCol">
      <w:rPr>
        <w:b/>
        <w:bCs/>
      </w:rPr>
    </w:tblStylePr>
    <w:tblStylePr w:type="band1Vert">
      <w:tblPr/>
      <w:tcPr>
        <w:shd w:val="clear" w:color="auto" w:fill="FFF2CC" w:themeFill="accent4" w:themeFillTint="33"/>
      </w:tcPr>
    </w:tblStylePr>
    <w:tblStylePr w:type="band1Horz">
      <w:tblPr/>
      <w:tcPr>
        <w:shd w:val="clear" w:color="auto" w:fill="FFF2CC" w:themeFill="accent4" w:themeFillTint="33"/>
      </w:tcPr>
    </w:tblStylePr>
  </w:style>
  <w:style w:type="table" w:styleId="ListTable6Colorful-Accent5">
    <w:name w:val="List Table 6 Colorful Accent 5"/>
    <w:basedOn w:val="TableNormal"/>
    <w:uiPriority w:val="51"/>
    <w:rsid w:val="00C10A5B"/>
    <w:pPr>
      <w:spacing w:after="0" w:line="240" w:lineRule="auto"/>
    </w:pPr>
    <w:rPr>
      <w:color w:val="2E74B5" w:themeColor="accent5" w:themeShade="BF"/>
    </w:rPr>
    <w:tblPr>
      <w:tblStyleRowBandSize w:val="1"/>
      <w:tblStyleColBandSize w:val="1"/>
      <w:tblBorders>
        <w:top w:val="single" w:sz="4" w:space="0" w:color="5B9BD5" w:themeColor="accent5"/>
        <w:bottom w:val="single" w:sz="4" w:space="0" w:color="5B9BD5" w:themeColor="accent5"/>
      </w:tblBorders>
    </w:tblPr>
    <w:tblStylePr w:type="firstRow">
      <w:rPr>
        <w:b/>
        <w:bCs/>
      </w:rPr>
      <w:tblPr/>
      <w:tcPr>
        <w:tcBorders>
          <w:bottom w:val="single" w:sz="4" w:space="0" w:color="5B9BD5" w:themeColor="accent5"/>
        </w:tcBorders>
      </w:tcPr>
    </w:tblStylePr>
    <w:tblStylePr w:type="lastRow">
      <w:rPr>
        <w:b/>
        <w:bCs/>
      </w:rPr>
      <w:tblPr/>
      <w:tcPr>
        <w:tcBorders>
          <w:top w:val="double" w:sz="4" w:space="0" w:color="5B9BD5" w:themeColor="accent5"/>
        </w:tcBorders>
      </w:tcPr>
    </w:tblStylePr>
    <w:tblStylePr w:type="firstCol">
      <w:rPr>
        <w:b/>
        <w:bCs/>
      </w:rPr>
    </w:tblStylePr>
    <w:tblStylePr w:type="lastCol">
      <w:rPr>
        <w:b/>
        <w:bCs/>
      </w:rPr>
    </w:tblStylePr>
    <w:tblStylePr w:type="band1Vert">
      <w:tblPr/>
      <w:tcPr>
        <w:shd w:val="clear" w:color="auto" w:fill="DEEAF6" w:themeFill="accent5" w:themeFillTint="33"/>
      </w:tcPr>
    </w:tblStylePr>
    <w:tblStylePr w:type="band1Horz">
      <w:tblPr/>
      <w:tcPr>
        <w:shd w:val="clear" w:color="auto" w:fill="DEEAF6" w:themeFill="accent5" w:themeFillTint="33"/>
      </w:tcPr>
    </w:tblStylePr>
  </w:style>
  <w:style w:type="table" w:styleId="ListTable6Colorful-Accent6">
    <w:name w:val="List Table 6 Colorful Accent 6"/>
    <w:basedOn w:val="TableNormal"/>
    <w:uiPriority w:val="51"/>
    <w:rsid w:val="00C10A5B"/>
    <w:pPr>
      <w:spacing w:after="0" w:line="240" w:lineRule="auto"/>
    </w:pPr>
    <w:rPr>
      <w:color w:val="538135" w:themeColor="accent6" w:themeShade="BF"/>
    </w:rPr>
    <w:tblPr>
      <w:tblStyleRowBandSize w:val="1"/>
      <w:tblStyleColBandSize w:val="1"/>
      <w:tblBorders>
        <w:top w:val="single" w:sz="4" w:space="0" w:color="70AD47" w:themeColor="accent6"/>
        <w:bottom w:val="single" w:sz="4" w:space="0" w:color="70AD47" w:themeColor="accent6"/>
      </w:tblBorders>
    </w:tblPr>
    <w:tblStylePr w:type="firstRow">
      <w:rPr>
        <w:b/>
        <w:bCs/>
      </w:rPr>
      <w:tblPr/>
      <w:tcPr>
        <w:tcBorders>
          <w:bottom w:val="single" w:sz="4" w:space="0" w:color="70AD47" w:themeColor="accent6"/>
        </w:tcBorders>
      </w:tcPr>
    </w:tblStylePr>
    <w:tblStylePr w:type="lastRow">
      <w:rPr>
        <w:b/>
        <w:bCs/>
      </w:rPr>
      <w:tblPr/>
      <w:tcPr>
        <w:tcBorders>
          <w:top w:val="double" w:sz="4" w:space="0" w:color="70AD47" w:themeColor="accent6"/>
        </w:tcBorders>
      </w:tcPr>
    </w:tblStylePr>
    <w:tblStylePr w:type="firstCol">
      <w:rPr>
        <w:b/>
        <w:bCs/>
      </w:rPr>
    </w:tblStylePr>
    <w:tblStylePr w:type="lastCol">
      <w:rPr>
        <w:b/>
        <w:bCs/>
      </w:rPr>
    </w:tblStylePr>
    <w:tblStylePr w:type="band1Vert">
      <w:tblPr/>
      <w:tcPr>
        <w:shd w:val="clear" w:color="auto" w:fill="E2EFD9" w:themeFill="accent6" w:themeFillTint="33"/>
      </w:tcPr>
    </w:tblStylePr>
    <w:tblStylePr w:type="band1Horz">
      <w:tblPr/>
      <w:tcPr>
        <w:shd w:val="clear" w:color="auto" w:fill="E2EFD9" w:themeFill="accent6" w:themeFillTint="33"/>
      </w:tcPr>
    </w:tblStylePr>
  </w:style>
  <w:style w:type="table" w:styleId="ListTable7Colorful">
    <w:name w:val="List Table 7 Colorful"/>
    <w:basedOn w:val="TableNormal"/>
    <w:uiPriority w:val="52"/>
    <w:rsid w:val="00C10A5B"/>
    <w:pPr>
      <w:spacing w:after="0" w:line="240" w:lineRule="auto"/>
    </w:pPr>
    <w:rPr>
      <w:color w:val="000000" w:themeColor="text1"/>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000000" w:themeColor="text1"/>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000000" w:themeColor="text1"/>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000000" w:themeColor="text1"/>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000000" w:themeColor="text1"/>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1">
    <w:name w:val="List Table 7 Colorful Accent 1"/>
    <w:basedOn w:val="TableNormal"/>
    <w:uiPriority w:val="52"/>
    <w:rsid w:val="00C10A5B"/>
    <w:pPr>
      <w:spacing w:after="0" w:line="240" w:lineRule="auto"/>
    </w:pPr>
    <w:rPr>
      <w:color w:val="2F5496" w:themeColor="accent1"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4472C4" w:themeColor="accent1"/>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4472C4" w:themeColor="accent1"/>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4472C4" w:themeColor="accent1"/>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4472C4" w:themeColor="accent1"/>
        </w:tcBorders>
        <w:shd w:val="clear" w:color="auto" w:fill="FFFFFF" w:themeFill="background1"/>
      </w:tcPr>
    </w:tblStylePr>
    <w:tblStylePr w:type="band1Vert">
      <w:tblPr/>
      <w:tcPr>
        <w:shd w:val="clear" w:color="auto" w:fill="D9E2F3" w:themeFill="accent1" w:themeFillTint="33"/>
      </w:tcPr>
    </w:tblStylePr>
    <w:tblStylePr w:type="band1Horz">
      <w:tblPr/>
      <w:tcPr>
        <w:shd w:val="clear" w:color="auto" w:fill="D9E2F3" w:themeFill="accen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2">
    <w:name w:val="List Table 7 Colorful Accent 2"/>
    <w:basedOn w:val="TableNormal"/>
    <w:uiPriority w:val="52"/>
    <w:rsid w:val="00C10A5B"/>
    <w:pPr>
      <w:spacing w:after="0" w:line="240" w:lineRule="auto"/>
    </w:pPr>
    <w:rPr>
      <w:color w:val="C45911" w:themeColor="accent2"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ED7D31" w:themeColor="accent2"/>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ED7D31" w:themeColor="accent2"/>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ED7D31" w:themeColor="accent2"/>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ED7D31" w:themeColor="accent2"/>
        </w:tcBorders>
        <w:shd w:val="clear" w:color="auto" w:fill="FFFFFF" w:themeFill="background1"/>
      </w:tcPr>
    </w:tblStylePr>
    <w:tblStylePr w:type="band1Vert">
      <w:tblPr/>
      <w:tcPr>
        <w:shd w:val="clear" w:color="auto" w:fill="FBE4D5" w:themeFill="accent2" w:themeFillTint="33"/>
      </w:tcPr>
    </w:tblStylePr>
    <w:tblStylePr w:type="band1Horz">
      <w:tblPr/>
      <w:tcPr>
        <w:shd w:val="clear" w:color="auto" w:fill="FBE4D5" w:themeFill="accent2"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3">
    <w:name w:val="List Table 7 Colorful Accent 3"/>
    <w:basedOn w:val="TableNormal"/>
    <w:uiPriority w:val="52"/>
    <w:rsid w:val="00C10A5B"/>
    <w:pPr>
      <w:spacing w:after="0" w:line="240" w:lineRule="auto"/>
    </w:pPr>
    <w:rPr>
      <w:color w:val="7B7B7B" w:themeColor="accent3"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A5A5A5" w:themeColor="accent3"/>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A5A5A5" w:themeColor="accent3"/>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A5A5A5" w:themeColor="accent3"/>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A5A5A5" w:themeColor="accent3"/>
        </w:tcBorders>
        <w:shd w:val="clear" w:color="auto" w:fill="FFFFFF" w:themeFill="background1"/>
      </w:tcPr>
    </w:tblStylePr>
    <w:tblStylePr w:type="band1Vert">
      <w:tblPr/>
      <w:tcPr>
        <w:shd w:val="clear" w:color="auto" w:fill="EDEDED" w:themeFill="accent3" w:themeFillTint="33"/>
      </w:tcPr>
    </w:tblStylePr>
    <w:tblStylePr w:type="band1Horz">
      <w:tblPr/>
      <w:tcPr>
        <w:shd w:val="clear" w:color="auto" w:fill="EDEDED" w:themeFill="accent3"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4">
    <w:name w:val="List Table 7 Colorful Accent 4"/>
    <w:basedOn w:val="TableNormal"/>
    <w:uiPriority w:val="52"/>
    <w:rsid w:val="00C10A5B"/>
    <w:pPr>
      <w:spacing w:after="0" w:line="240" w:lineRule="auto"/>
    </w:pPr>
    <w:rPr>
      <w:color w:val="BF8F00" w:themeColor="accent4"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FFC000" w:themeColor="accent4"/>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FFC000" w:themeColor="accent4"/>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FFC000" w:themeColor="accent4"/>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FFC000" w:themeColor="accent4"/>
        </w:tcBorders>
        <w:shd w:val="clear" w:color="auto" w:fill="FFFFFF" w:themeFill="background1"/>
      </w:tcPr>
    </w:tblStylePr>
    <w:tblStylePr w:type="band1Vert">
      <w:tblPr/>
      <w:tcPr>
        <w:shd w:val="clear" w:color="auto" w:fill="FFF2CC" w:themeFill="accent4" w:themeFillTint="33"/>
      </w:tcPr>
    </w:tblStylePr>
    <w:tblStylePr w:type="band1Horz">
      <w:tblPr/>
      <w:tcPr>
        <w:shd w:val="clear" w:color="auto" w:fill="FFF2CC" w:themeFill="accent4"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5">
    <w:name w:val="List Table 7 Colorful Accent 5"/>
    <w:basedOn w:val="TableNormal"/>
    <w:uiPriority w:val="52"/>
    <w:rsid w:val="00C10A5B"/>
    <w:pPr>
      <w:spacing w:after="0" w:line="240" w:lineRule="auto"/>
    </w:pPr>
    <w:rPr>
      <w:color w:val="2E74B5" w:themeColor="accent5"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5B9BD5" w:themeColor="accent5"/>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5B9BD5" w:themeColor="accent5"/>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5B9BD5" w:themeColor="accent5"/>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5B9BD5" w:themeColor="accent5"/>
        </w:tcBorders>
        <w:shd w:val="clear" w:color="auto" w:fill="FFFFFF" w:themeFill="background1"/>
      </w:tcPr>
    </w:tblStylePr>
    <w:tblStylePr w:type="band1Vert">
      <w:tblPr/>
      <w:tcPr>
        <w:shd w:val="clear" w:color="auto" w:fill="DEEAF6" w:themeFill="accent5" w:themeFillTint="33"/>
      </w:tcPr>
    </w:tblStylePr>
    <w:tblStylePr w:type="band1Horz">
      <w:tblPr/>
      <w:tcPr>
        <w:shd w:val="clear" w:color="auto" w:fill="DEEAF6" w:themeFill="accent5"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6">
    <w:name w:val="List Table 7 Colorful Accent 6"/>
    <w:basedOn w:val="TableNormal"/>
    <w:uiPriority w:val="52"/>
    <w:rsid w:val="00C10A5B"/>
    <w:pPr>
      <w:spacing w:after="0" w:line="240" w:lineRule="auto"/>
    </w:pPr>
    <w:rPr>
      <w:color w:val="538135" w:themeColor="accent6"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70AD47" w:themeColor="accent6"/>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70AD47" w:themeColor="accent6"/>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70AD47" w:themeColor="accent6"/>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70AD47" w:themeColor="accent6"/>
        </w:tcBorders>
        <w:shd w:val="clear" w:color="auto" w:fill="FFFFFF" w:themeFill="background1"/>
      </w:tcPr>
    </w:tblStylePr>
    <w:tblStylePr w:type="band1Vert">
      <w:tblPr/>
      <w:tcPr>
        <w:shd w:val="clear" w:color="auto" w:fill="E2EFD9" w:themeFill="accent6" w:themeFillTint="33"/>
      </w:tcPr>
    </w:tblStylePr>
    <w:tblStylePr w:type="band1Horz">
      <w:tblPr/>
      <w:tcPr>
        <w:shd w:val="clear" w:color="auto" w:fill="E2EFD9" w:themeFill="accent6"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paragraph" w:styleId="MacroText">
    <w:name w:val="macro"/>
    <w:link w:val="MacroTextChar"/>
    <w:uiPriority w:val="99"/>
    <w:semiHidden/>
    <w:unhideWhenUsed/>
    <w:rsid w:val="00C10A5B"/>
    <w:pPr>
      <w:tabs>
        <w:tab w:val="left" w:pos="480"/>
        <w:tab w:val="left" w:pos="960"/>
        <w:tab w:val="left" w:pos="1440"/>
        <w:tab w:val="left" w:pos="1920"/>
        <w:tab w:val="left" w:pos="2400"/>
        <w:tab w:val="left" w:pos="2880"/>
        <w:tab w:val="left" w:pos="3360"/>
        <w:tab w:val="left" w:pos="3840"/>
        <w:tab w:val="left" w:pos="4320"/>
      </w:tabs>
      <w:spacing w:after="0" w:line="240" w:lineRule="auto"/>
      <w:jc w:val="both"/>
    </w:pPr>
    <w:rPr>
      <w:rFonts w:ascii="Consolas" w:eastAsia="SimSun" w:hAnsi="Consolas" w:cs="Times New Roman"/>
      <w:kern w:val="0"/>
      <w:sz w:val="20"/>
      <w:szCs w:val="20"/>
      <w:lang w:val="en-GB"/>
      <w14:ligatures w14:val="none"/>
    </w:rPr>
  </w:style>
  <w:style w:type="character" w:customStyle="1" w:styleId="MacroTextChar">
    <w:name w:val="Macro Text Char"/>
    <w:basedOn w:val="DefaultParagraphFont"/>
    <w:link w:val="MacroText"/>
    <w:uiPriority w:val="99"/>
    <w:semiHidden/>
    <w:rsid w:val="00C10A5B"/>
    <w:rPr>
      <w:rFonts w:ascii="Consolas" w:eastAsia="SimSun" w:hAnsi="Consolas" w:cs="Times New Roman"/>
      <w:kern w:val="0"/>
      <w:sz w:val="20"/>
      <w:szCs w:val="20"/>
      <w:lang w:val="en-GB"/>
      <w14:ligatures w14:val="none"/>
    </w:rPr>
  </w:style>
  <w:style w:type="table" w:styleId="MediumGrid1">
    <w:name w:val="Medium Grid 1"/>
    <w:basedOn w:val="TableNormal"/>
    <w:uiPriority w:val="67"/>
    <w:semiHidden/>
    <w:unhideWhenUsed/>
    <w:rsid w:val="00C10A5B"/>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semiHidden/>
    <w:unhideWhenUsed/>
    <w:rsid w:val="00C10A5B"/>
    <w:pPr>
      <w:spacing w:after="0" w:line="240" w:lineRule="auto"/>
    </w:pPr>
    <w:tblPr>
      <w:tblStyleRowBandSize w:val="1"/>
      <w:tblStyleColBandSize w:val="1"/>
      <w:tblBorders>
        <w:top w:val="single" w:sz="8" w:space="0" w:color="7295D2" w:themeColor="accent1" w:themeTint="BF"/>
        <w:left w:val="single" w:sz="8" w:space="0" w:color="7295D2" w:themeColor="accent1" w:themeTint="BF"/>
        <w:bottom w:val="single" w:sz="8" w:space="0" w:color="7295D2" w:themeColor="accent1" w:themeTint="BF"/>
        <w:right w:val="single" w:sz="8" w:space="0" w:color="7295D2" w:themeColor="accent1" w:themeTint="BF"/>
        <w:insideH w:val="single" w:sz="8" w:space="0" w:color="7295D2" w:themeColor="accent1" w:themeTint="BF"/>
        <w:insideV w:val="single" w:sz="8" w:space="0" w:color="7295D2" w:themeColor="accent1" w:themeTint="BF"/>
      </w:tblBorders>
    </w:tblPr>
    <w:tcPr>
      <w:shd w:val="clear" w:color="auto" w:fill="D0DBF0" w:themeFill="accent1" w:themeFillTint="3F"/>
    </w:tcPr>
    <w:tblStylePr w:type="firstRow">
      <w:rPr>
        <w:b/>
        <w:bCs/>
      </w:rPr>
    </w:tblStylePr>
    <w:tblStylePr w:type="lastRow">
      <w:rPr>
        <w:b/>
        <w:bCs/>
      </w:rPr>
      <w:tblPr/>
      <w:tcPr>
        <w:tcBorders>
          <w:top w:val="single" w:sz="18" w:space="0" w:color="7295D2" w:themeColor="accent1" w:themeTint="BF"/>
        </w:tcBorders>
      </w:tcPr>
    </w:tblStylePr>
    <w:tblStylePr w:type="firstCol">
      <w:rPr>
        <w:b/>
        <w:bCs/>
      </w:rPr>
    </w:tblStylePr>
    <w:tblStylePr w:type="lastCol">
      <w:rPr>
        <w:b/>
        <w:bCs/>
      </w:rPr>
    </w:tblStylePr>
    <w:tblStylePr w:type="band1Vert">
      <w:tblPr/>
      <w:tcPr>
        <w:shd w:val="clear" w:color="auto" w:fill="A1B8E1" w:themeFill="accent1" w:themeFillTint="7F"/>
      </w:tcPr>
    </w:tblStylePr>
    <w:tblStylePr w:type="band1Horz">
      <w:tblPr/>
      <w:tcPr>
        <w:shd w:val="clear" w:color="auto" w:fill="A1B8E1" w:themeFill="accent1" w:themeFillTint="7F"/>
      </w:tcPr>
    </w:tblStylePr>
  </w:style>
  <w:style w:type="table" w:styleId="MediumGrid1-Accent2">
    <w:name w:val="Medium Grid 1 Accent 2"/>
    <w:basedOn w:val="TableNormal"/>
    <w:uiPriority w:val="67"/>
    <w:semiHidden/>
    <w:unhideWhenUsed/>
    <w:rsid w:val="00C10A5B"/>
    <w:pPr>
      <w:spacing w:after="0" w:line="240" w:lineRule="auto"/>
    </w:pPr>
    <w:tblPr>
      <w:tblStyleRowBandSize w:val="1"/>
      <w:tblStyleColBandSize w:val="1"/>
      <w:tblBorders>
        <w:top w:val="single" w:sz="8" w:space="0" w:color="F19D64" w:themeColor="accent2" w:themeTint="BF"/>
        <w:left w:val="single" w:sz="8" w:space="0" w:color="F19D64" w:themeColor="accent2" w:themeTint="BF"/>
        <w:bottom w:val="single" w:sz="8" w:space="0" w:color="F19D64" w:themeColor="accent2" w:themeTint="BF"/>
        <w:right w:val="single" w:sz="8" w:space="0" w:color="F19D64" w:themeColor="accent2" w:themeTint="BF"/>
        <w:insideH w:val="single" w:sz="8" w:space="0" w:color="F19D64" w:themeColor="accent2" w:themeTint="BF"/>
        <w:insideV w:val="single" w:sz="8" w:space="0" w:color="F19D64" w:themeColor="accent2" w:themeTint="BF"/>
      </w:tblBorders>
    </w:tblPr>
    <w:tcPr>
      <w:shd w:val="clear" w:color="auto" w:fill="FADECB" w:themeFill="accent2" w:themeFillTint="3F"/>
    </w:tcPr>
    <w:tblStylePr w:type="firstRow">
      <w:rPr>
        <w:b/>
        <w:bCs/>
      </w:rPr>
    </w:tblStylePr>
    <w:tblStylePr w:type="lastRow">
      <w:rPr>
        <w:b/>
        <w:bCs/>
      </w:rPr>
      <w:tblPr/>
      <w:tcPr>
        <w:tcBorders>
          <w:top w:val="single" w:sz="18" w:space="0" w:color="F19D64" w:themeColor="accent2" w:themeTint="BF"/>
        </w:tcBorders>
      </w:tcPr>
    </w:tblStylePr>
    <w:tblStylePr w:type="firstCol">
      <w:rPr>
        <w:b/>
        <w:bCs/>
      </w:rPr>
    </w:tblStylePr>
    <w:tblStylePr w:type="lastCol">
      <w:rPr>
        <w:b/>
        <w:bCs/>
      </w:rPr>
    </w:tblStylePr>
    <w:tblStylePr w:type="band1Vert">
      <w:tblPr/>
      <w:tcPr>
        <w:shd w:val="clear" w:color="auto" w:fill="F6BE98" w:themeFill="accent2" w:themeFillTint="7F"/>
      </w:tcPr>
    </w:tblStylePr>
    <w:tblStylePr w:type="band1Horz">
      <w:tblPr/>
      <w:tcPr>
        <w:shd w:val="clear" w:color="auto" w:fill="F6BE98" w:themeFill="accent2" w:themeFillTint="7F"/>
      </w:tcPr>
    </w:tblStylePr>
  </w:style>
  <w:style w:type="table" w:styleId="MediumGrid1-Accent3">
    <w:name w:val="Medium Grid 1 Accent 3"/>
    <w:basedOn w:val="TableNormal"/>
    <w:uiPriority w:val="67"/>
    <w:semiHidden/>
    <w:unhideWhenUsed/>
    <w:rsid w:val="00C10A5B"/>
    <w:pPr>
      <w:spacing w:after="0" w:line="240" w:lineRule="auto"/>
    </w:pPr>
    <w:tblPr>
      <w:tblStyleRowBandSize w:val="1"/>
      <w:tblStyleColBandSize w:val="1"/>
      <w:tblBorders>
        <w:top w:val="single" w:sz="8" w:space="0" w:color="BBBBBB" w:themeColor="accent3" w:themeTint="BF"/>
        <w:left w:val="single" w:sz="8" w:space="0" w:color="BBBBBB" w:themeColor="accent3" w:themeTint="BF"/>
        <w:bottom w:val="single" w:sz="8" w:space="0" w:color="BBBBBB" w:themeColor="accent3" w:themeTint="BF"/>
        <w:right w:val="single" w:sz="8" w:space="0" w:color="BBBBBB" w:themeColor="accent3" w:themeTint="BF"/>
        <w:insideH w:val="single" w:sz="8" w:space="0" w:color="BBBBBB" w:themeColor="accent3" w:themeTint="BF"/>
        <w:insideV w:val="single" w:sz="8" w:space="0" w:color="BBBBBB" w:themeColor="accent3" w:themeTint="BF"/>
      </w:tblBorders>
    </w:tblPr>
    <w:tcPr>
      <w:shd w:val="clear" w:color="auto" w:fill="E8E8E8" w:themeFill="accent3" w:themeFillTint="3F"/>
    </w:tcPr>
    <w:tblStylePr w:type="firstRow">
      <w:rPr>
        <w:b/>
        <w:bCs/>
      </w:rPr>
    </w:tblStylePr>
    <w:tblStylePr w:type="lastRow">
      <w:rPr>
        <w:b/>
        <w:bCs/>
      </w:rPr>
      <w:tblPr/>
      <w:tcPr>
        <w:tcBorders>
          <w:top w:val="single" w:sz="18" w:space="0" w:color="BBBBBB" w:themeColor="accent3" w:themeTint="BF"/>
        </w:tcBorders>
      </w:tcPr>
    </w:tblStylePr>
    <w:tblStylePr w:type="firstCol">
      <w:rPr>
        <w:b/>
        <w:bCs/>
      </w:rPr>
    </w:tblStylePr>
    <w:tblStylePr w:type="lastCol">
      <w:rPr>
        <w:b/>
        <w:bCs/>
      </w:rPr>
    </w:tblStylePr>
    <w:tblStylePr w:type="band1Vert">
      <w:tblPr/>
      <w:tcPr>
        <w:shd w:val="clear" w:color="auto" w:fill="D2D2D2" w:themeFill="accent3" w:themeFillTint="7F"/>
      </w:tcPr>
    </w:tblStylePr>
    <w:tblStylePr w:type="band1Horz">
      <w:tblPr/>
      <w:tcPr>
        <w:shd w:val="clear" w:color="auto" w:fill="D2D2D2" w:themeFill="accent3" w:themeFillTint="7F"/>
      </w:tcPr>
    </w:tblStylePr>
  </w:style>
  <w:style w:type="table" w:styleId="MediumGrid1-Accent4">
    <w:name w:val="Medium Grid 1 Accent 4"/>
    <w:basedOn w:val="TableNormal"/>
    <w:uiPriority w:val="67"/>
    <w:semiHidden/>
    <w:unhideWhenUsed/>
    <w:rsid w:val="00C10A5B"/>
    <w:pPr>
      <w:spacing w:after="0" w:line="240" w:lineRule="auto"/>
    </w:pPr>
    <w:tblPr>
      <w:tblStyleRowBandSize w:val="1"/>
      <w:tblStyleColBandSize w:val="1"/>
      <w:tblBorders>
        <w:top w:val="single" w:sz="8" w:space="0" w:color="FFCF40" w:themeColor="accent4" w:themeTint="BF"/>
        <w:left w:val="single" w:sz="8" w:space="0" w:color="FFCF40" w:themeColor="accent4" w:themeTint="BF"/>
        <w:bottom w:val="single" w:sz="8" w:space="0" w:color="FFCF40" w:themeColor="accent4" w:themeTint="BF"/>
        <w:right w:val="single" w:sz="8" w:space="0" w:color="FFCF40" w:themeColor="accent4" w:themeTint="BF"/>
        <w:insideH w:val="single" w:sz="8" w:space="0" w:color="FFCF40" w:themeColor="accent4" w:themeTint="BF"/>
        <w:insideV w:val="single" w:sz="8" w:space="0" w:color="FFCF40" w:themeColor="accent4" w:themeTint="BF"/>
      </w:tblBorders>
    </w:tblPr>
    <w:tcPr>
      <w:shd w:val="clear" w:color="auto" w:fill="FFEFC0" w:themeFill="accent4" w:themeFillTint="3F"/>
    </w:tcPr>
    <w:tblStylePr w:type="firstRow">
      <w:rPr>
        <w:b/>
        <w:bCs/>
      </w:rPr>
    </w:tblStylePr>
    <w:tblStylePr w:type="lastRow">
      <w:rPr>
        <w:b/>
        <w:bCs/>
      </w:rPr>
      <w:tblPr/>
      <w:tcPr>
        <w:tcBorders>
          <w:top w:val="single" w:sz="18" w:space="0" w:color="FFCF40" w:themeColor="accent4" w:themeTint="BF"/>
        </w:tcBorders>
      </w:tcPr>
    </w:tblStylePr>
    <w:tblStylePr w:type="firstCol">
      <w:rPr>
        <w:b/>
        <w:bCs/>
      </w:rPr>
    </w:tblStylePr>
    <w:tblStylePr w:type="lastCol">
      <w:rPr>
        <w:b/>
        <w:bCs/>
      </w:rPr>
    </w:tblStylePr>
    <w:tblStylePr w:type="band1Vert">
      <w:tblPr/>
      <w:tcPr>
        <w:shd w:val="clear" w:color="auto" w:fill="FFDF80" w:themeFill="accent4" w:themeFillTint="7F"/>
      </w:tcPr>
    </w:tblStylePr>
    <w:tblStylePr w:type="band1Horz">
      <w:tblPr/>
      <w:tcPr>
        <w:shd w:val="clear" w:color="auto" w:fill="FFDF80" w:themeFill="accent4" w:themeFillTint="7F"/>
      </w:tcPr>
    </w:tblStylePr>
  </w:style>
  <w:style w:type="table" w:styleId="MediumGrid1-Accent5">
    <w:name w:val="Medium Grid 1 Accent 5"/>
    <w:basedOn w:val="TableNormal"/>
    <w:uiPriority w:val="67"/>
    <w:semiHidden/>
    <w:unhideWhenUsed/>
    <w:rsid w:val="00C10A5B"/>
    <w:pPr>
      <w:spacing w:after="0" w:line="240" w:lineRule="auto"/>
    </w:pPr>
    <w:tblPr>
      <w:tblStyleRowBandSize w:val="1"/>
      <w:tblStyleColBandSize w:val="1"/>
      <w:tblBorders>
        <w:top w:val="single" w:sz="8" w:space="0" w:color="84B3DF" w:themeColor="accent5" w:themeTint="BF"/>
        <w:left w:val="single" w:sz="8" w:space="0" w:color="84B3DF" w:themeColor="accent5" w:themeTint="BF"/>
        <w:bottom w:val="single" w:sz="8" w:space="0" w:color="84B3DF" w:themeColor="accent5" w:themeTint="BF"/>
        <w:right w:val="single" w:sz="8" w:space="0" w:color="84B3DF" w:themeColor="accent5" w:themeTint="BF"/>
        <w:insideH w:val="single" w:sz="8" w:space="0" w:color="84B3DF" w:themeColor="accent5" w:themeTint="BF"/>
        <w:insideV w:val="single" w:sz="8" w:space="0" w:color="84B3DF" w:themeColor="accent5" w:themeTint="BF"/>
      </w:tblBorders>
    </w:tblPr>
    <w:tcPr>
      <w:shd w:val="clear" w:color="auto" w:fill="D6E6F4" w:themeFill="accent5" w:themeFillTint="3F"/>
    </w:tcPr>
    <w:tblStylePr w:type="firstRow">
      <w:rPr>
        <w:b/>
        <w:bCs/>
      </w:rPr>
    </w:tblStylePr>
    <w:tblStylePr w:type="lastRow">
      <w:rPr>
        <w:b/>
        <w:bCs/>
      </w:rPr>
      <w:tblPr/>
      <w:tcPr>
        <w:tcBorders>
          <w:top w:val="single" w:sz="18" w:space="0" w:color="84B3DF" w:themeColor="accent5" w:themeTint="BF"/>
        </w:tcBorders>
      </w:tcPr>
    </w:tblStylePr>
    <w:tblStylePr w:type="firstCol">
      <w:rPr>
        <w:b/>
        <w:bCs/>
      </w:rPr>
    </w:tblStylePr>
    <w:tblStylePr w:type="lastCol">
      <w:rPr>
        <w:b/>
        <w:bCs/>
      </w:rPr>
    </w:tblStylePr>
    <w:tblStylePr w:type="band1Vert">
      <w:tblPr/>
      <w:tcPr>
        <w:shd w:val="clear" w:color="auto" w:fill="ADCCEA" w:themeFill="accent5" w:themeFillTint="7F"/>
      </w:tcPr>
    </w:tblStylePr>
    <w:tblStylePr w:type="band1Horz">
      <w:tblPr/>
      <w:tcPr>
        <w:shd w:val="clear" w:color="auto" w:fill="ADCCEA" w:themeFill="accent5" w:themeFillTint="7F"/>
      </w:tcPr>
    </w:tblStylePr>
  </w:style>
  <w:style w:type="table" w:styleId="MediumGrid1-Accent6">
    <w:name w:val="Medium Grid 1 Accent 6"/>
    <w:basedOn w:val="TableNormal"/>
    <w:uiPriority w:val="67"/>
    <w:semiHidden/>
    <w:unhideWhenUsed/>
    <w:rsid w:val="00C10A5B"/>
    <w:pPr>
      <w:spacing w:after="0" w:line="240" w:lineRule="auto"/>
    </w:pPr>
    <w:tblPr>
      <w:tblStyleRowBandSize w:val="1"/>
      <w:tblStyleColBandSize w:val="1"/>
      <w:tblBorders>
        <w:top w:val="single" w:sz="8" w:space="0" w:color="93C571" w:themeColor="accent6" w:themeTint="BF"/>
        <w:left w:val="single" w:sz="8" w:space="0" w:color="93C571" w:themeColor="accent6" w:themeTint="BF"/>
        <w:bottom w:val="single" w:sz="8" w:space="0" w:color="93C571" w:themeColor="accent6" w:themeTint="BF"/>
        <w:right w:val="single" w:sz="8" w:space="0" w:color="93C571" w:themeColor="accent6" w:themeTint="BF"/>
        <w:insideH w:val="single" w:sz="8" w:space="0" w:color="93C571" w:themeColor="accent6" w:themeTint="BF"/>
        <w:insideV w:val="single" w:sz="8" w:space="0" w:color="93C571" w:themeColor="accent6" w:themeTint="BF"/>
      </w:tblBorders>
    </w:tblPr>
    <w:tcPr>
      <w:shd w:val="clear" w:color="auto" w:fill="DBEBD0" w:themeFill="accent6" w:themeFillTint="3F"/>
    </w:tcPr>
    <w:tblStylePr w:type="firstRow">
      <w:rPr>
        <w:b/>
        <w:bCs/>
      </w:rPr>
    </w:tblStylePr>
    <w:tblStylePr w:type="lastRow">
      <w:rPr>
        <w:b/>
        <w:bCs/>
      </w:rPr>
      <w:tblPr/>
      <w:tcPr>
        <w:tcBorders>
          <w:top w:val="single" w:sz="18" w:space="0" w:color="93C571" w:themeColor="accent6" w:themeTint="BF"/>
        </w:tcBorders>
      </w:tcPr>
    </w:tblStylePr>
    <w:tblStylePr w:type="firstCol">
      <w:rPr>
        <w:b/>
        <w:bCs/>
      </w:rPr>
    </w:tblStylePr>
    <w:tblStylePr w:type="lastCol">
      <w:rPr>
        <w:b/>
        <w:bCs/>
      </w:rPr>
    </w:tblStylePr>
    <w:tblStylePr w:type="band1Vert">
      <w:tblPr/>
      <w:tcPr>
        <w:shd w:val="clear" w:color="auto" w:fill="B7D8A0" w:themeFill="accent6" w:themeFillTint="7F"/>
      </w:tcPr>
    </w:tblStylePr>
    <w:tblStylePr w:type="band1Horz">
      <w:tblPr/>
      <w:tcPr>
        <w:shd w:val="clear" w:color="auto" w:fill="B7D8A0" w:themeFill="accent6" w:themeFillTint="7F"/>
      </w:tcPr>
    </w:tblStylePr>
  </w:style>
  <w:style w:type="table" w:styleId="MediumGrid2">
    <w:name w:val="Medium Grid 2"/>
    <w:basedOn w:val="TableNormal"/>
    <w:uiPriority w:val="68"/>
    <w:semiHidden/>
    <w:unhideWhenUsed/>
    <w:rsid w:val="00C10A5B"/>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semiHidden/>
    <w:unhideWhenUsed/>
    <w:rsid w:val="00C10A5B"/>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472C4" w:themeColor="accent1"/>
        <w:left w:val="single" w:sz="8" w:space="0" w:color="4472C4" w:themeColor="accent1"/>
        <w:bottom w:val="single" w:sz="8" w:space="0" w:color="4472C4" w:themeColor="accent1"/>
        <w:right w:val="single" w:sz="8" w:space="0" w:color="4472C4" w:themeColor="accent1"/>
        <w:insideH w:val="single" w:sz="8" w:space="0" w:color="4472C4" w:themeColor="accent1"/>
        <w:insideV w:val="single" w:sz="8" w:space="0" w:color="4472C4" w:themeColor="accent1"/>
      </w:tblBorders>
    </w:tblPr>
    <w:tcPr>
      <w:shd w:val="clear" w:color="auto" w:fill="D0DBF0" w:themeFill="accent1" w:themeFillTint="3F"/>
    </w:tcPr>
    <w:tblStylePr w:type="firstRow">
      <w:rPr>
        <w:b/>
        <w:bCs/>
        <w:color w:val="000000" w:themeColor="text1"/>
      </w:rPr>
      <w:tblPr/>
      <w:tcPr>
        <w:shd w:val="clear" w:color="auto" w:fill="ECF1F9"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9E2F3" w:themeFill="accent1" w:themeFillTint="33"/>
      </w:tcPr>
    </w:tblStylePr>
    <w:tblStylePr w:type="band1Vert">
      <w:tblPr/>
      <w:tcPr>
        <w:shd w:val="clear" w:color="auto" w:fill="A1B8E1" w:themeFill="accent1" w:themeFillTint="7F"/>
      </w:tcPr>
    </w:tblStylePr>
    <w:tblStylePr w:type="band1Horz">
      <w:tblPr/>
      <w:tcPr>
        <w:tcBorders>
          <w:insideH w:val="single" w:sz="6" w:space="0" w:color="4472C4" w:themeColor="accent1"/>
          <w:insideV w:val="single" w:sz="6" w:space="0" w:color="4472C4" w:themeColor="accent1"/>
        </w:tcBorders>
        <w:shd w:val="clear" w:color="auto" w:fill="A1B8E1"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semiHidden/>
    <w:unhideWhenUsed/>
    <w:rsid w:val="00C10A5B"/>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D7D31" w:themeColor="accent2"/>
        <w:left w:val="single" w:sz="8" w:space="0" w:color="ED7D31" w:themeColor="accent2"/>
        <w:bottom w:val="single" w:sz="8" w:space="0" w:color="ED7D31" w:themeColor="accent2"/>
        <w:right w:val="single" w:sz="8" w:space="0" w:color="ED7D31" w:themeColor="accent2"/>
        <w:insideH w:val="single" w:sz="8" w:space="0" w:color="ED7D31" w:themeColor="accent2"/>
        <w:insideV w:val="single" w:sz="8" w:space="0" w:color="ED7D31" w:themeColor="accent2"/>
      </w:tblBorders>
    </w:tblPr>
    <w:tcPr>
      <w:shd w:val="clear" w:color="auto" w:fill="FADECB" w:themeFill="accent2" w:themeFillTint="3F"/>
    </w:tcPr>
    <w:tblStylePr w:type="firstRow">
      <w:rPr>
        <w:b/>
        <w:bCs/>
        <w:color w:val="000000" w:themeColor="text1"/>
      </w:rPr>
      <w:tblPr/>
      <w:tcPr>
        <w:shd w:val="clear" w:color="auto" w:fill="FDF2EA"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BE4D5" w:themeFill="accent2" w:themeFillTint="33"/>
      </w:tcPr>
    </w:tblStylePr>
    <w:tblStylePr w:type="band1Vert">
      <w:tblPr/>
      <w:tcPr>
        <w:shd w:val="clear" w:color="auto" w:fill="F6BE98" w:themeFill="accent2" w:themeFillTint="7F"/>
      </w:tcPr>
    </w:tblStylePr>
    <w:tblStylePr w:type="band1Horz">
      <w:tblPr/>
      <w:tcPr>
        <w:tcBorders>
          <w:insideH w:val="single" w:sz="6" w:space="0" w:color="ED7D31" w:themeColor="accent2"/>
          <w:insideV w:val="single" w:sz="6" w:space="0" w:color="ED7D31" w:themeColor="accent2"/>
        </w:tcBorders>
        <w:shd w:val="clear" w:color="auto" w:fill="F6BE98"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semiHidden/>
    <w:unhideWhenUsed/>
    <w:rsid w:val="00C10A5B"/>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5A5A5" w:themeColor="accent3"/>
        <w:left w:val="single" w:sz="8" w:space="0" w:color="A5A5A5" w:themeColor="accent3"/>
        <w:bottom w:val="single" w:sz="8" w:space="0" w:color="A5A5A5" w:themeColor="accent3"/>
        <w:right w:val="single" w:sz="8" w:space="0" w:color="A5A5A5" w:themeColor="accent3"/>
        <w:insideH w:val="single" w:sz="8" w:space="0" w:color="A5A5A5" w:themeColor="accent3"/>
        <w:insideV w:val="single" w:sz="8" w:space="0" w:color="A5A5A5" w:themeColor="accent3"/>
      </w:tblBorders>
    </w:tblPr>
    <w:tcPr>
      <w:shd w:val="clear" w:color="auto" w:fill="E8E8E8" w:themeFill="accent3" w:themeFillTint="3F"/>
    </w:tcPr>
    <w:tblStylePr w:type="firstRow">
      <w:rPr>
        <w:b/>
        <w:bCs/>
        <w:color w:val="000000" w:themeColor="text1"/>
      </w:rPr>
      <w:tblPr/>
      <w:tcPr>
        <w:shd w:val="clear" w:color="auto" w:fill="F6F6F6"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DEDED" w:themeFill="accent3" w:themeFillTint="33"/>
      </w:tcPr>
    </w:tblStylePr>
    <w:tblStylePr w:type="band1Vert">
      <w:tblPr/>
      <w:tcPr>
        <w:shd w:val="clear" w:color="auto" w:fill="D2D2D2" w:themeFill="accent3" w:themeFillTint="7F"/>
      </w:tcPr>
    </w:tblStylePr>
    <w:tblStylePr w:type="band1Horz">
      <w:tblPr/>
      <w:tcPr>
        <w:tcBorders>
          <w:insideH w:val="single" w:sz="6" w:space="0" w:color="A5A5A5" w:themeColor="accent3"/>
          <w:insideV w:val="single" w:sz="6" w:space="0" w:color="A5A5A5" w:themeColor="accent3"/>
        </w:tcBorders>
        <w:shd w:val="clear" w:color="auto" w:fill="D2D2D2"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semiHidden/>
    <w:unhideWhenUsed/>
    <w:rsid w:val="00C10A5B"/>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FC000" w:themeColor="accent4"/>
        <w:left w:val="single" w:sz="8" w:space="0" w:color="FFC000" w:themeColor="accent4"/>
        <w:bottom w:val="single" w:sz="8" w:space="0" w:color="FFC000" w:themeColor="accent4"/>
        <w:right w:val="single" w:sz="8" w:space="0" w:color="FFC000" w:themeColor="accent4"/>
        <w:insideH w:val="single" w:sz="8" w:space="0" w:color="FFC000" w:themeColor="accent4"/>
        <w:insideV w:val="single" w:sz="8" w:space="0" w:color="FFC000" w:themeColor="accent4"/>
      </w:tblBorders>
    </w:tblPr>
    <w:tcPr>
      <w:shd w:val="clear" w:color="auto" w:fill="FFEFC0" w:themeFill="accent4" w:themeFillTint="3F"/>
    </w:tcPr>
    <w:tblStylePr w:type="firstRow">
      <w:rPr>
        <w:b/>
        <w:bCs/>
        <w:color w:val="000000" w:themeColor="text1"/>
      </w:rPr>
      <w:tblPr/>
      <w:tcPr>
        <w:shd w:val="clear" w:color="auto" w:fill="FFF8E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FF2CC" w:themeFill="accent4" w:themeFillTint="33"/>
      </w:tcPr>
    </w:tblStylePr>
    <w:tblStylePr w:type="band1Vert">
      <w:tblPr/>
      <w:tcPr>
        <w:shd w:val="clear" w:color="auto" w:fill="FFDF80" w:themeFill="accent4" w:themeFillTint="7F"/>
      </w:tcPr>
    </w:tblStylePr>
    <w:tblStylePr w:type="band1Horz">
      <w:tblPr/>
      <w:tcPr>
        <w:tcBorders>
          <w:insideH w:val="single" w:sz="6" w:space="0" w:color="FFC000" w:themeColor="accent4"/>
          <w:insideV w:val="single" w:sz="6" w:space="0" w:color="FFC000" w:themeColor="accent4"/>
        </w:tcBorders>
        <w:shd w:val="clear" w:color="auto" w:fill="FFDF8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semiHidden/>
    <w:unhideWhenUsed/>
    <w:rsid w:val="00C10A5B"/>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5B9BD5" w:themeColor="accent5"/>
        <w:left w:val="single" w:sz="8" w:space="0" w:color="5B9BD5" w:themeColor="accent5"/>
        <w:bottom w:val="single" w:sz="8" w:space="0" w:color="5B9BD5" w:themeColor="accent5"/>
        <w:right w:val="single" w:sz="8" w:space="0" w:color="5B9BD5" w:themeColor="accent5"/>
        <w:insideH w:val="single" w:sz="8" w:space="0" w:color="5B9BD5" w:themeColor="accent5"/>
        <w:insideV w:val="single" w:sz="8" w:space="0" w:color="5B9BD5" w:themeColor="accent5"/>
      </w:tblBorders>
    </w:tblPr>
    <w:tcPr>
      <w:shd w:val="clear" w:color="auto" w:fill="D6E6F4" w:themeFill="accent5" w:themeFillTint="3F"/>
    </w:tcPr>
    <w:tblStylePr w:type="firstRow">
      <w:rPr>
        <w:b/>
        <w:bCs/>
        <w:color w:val="000000" w:themeColor="text1"/>
      </w:rPr>
      <w:tblPr/>
      <w:tcPr>
        <w:shd w:val="clear" w:color="auto" w:fill="EEF5FB"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EEAF6" w:themeFill="accent5" w:themeFillTint="33"/>
      </w:tcPr>
    </w:tblStylePr>
    <w:tblStylePr w:type="band1Vert">
      <w:tblPr/>
      <w:tcPr>
        <w:shd w:val="clear" w:color="auto" w:fill="ADCCEA" w:themeFill="accent5" w:themeFillTint="7F"/>
      </w:tcPr>
    </w:tblStylePr>
    <w:tblStylePr w:type="band1Horz">
      <w:tblPr/>
      <w:tcPr>
        <w:tcBorders>
          <w:insideH w:val="single" w:sz="6" w:space="0" w:color="5B9BD5" w:themeColor="accent5"/>
          <w:insideV w:val="single" w:sz="6" w:space="0" w:color="5B9BD5" w:themeColor="accent5"/>
        </w:tcBorders>
        <w:shd w:val="clear" w:color="auto" w:fill="ADCCEA"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semiHidden/>
    <w:unhideWhenUsed/>
    <w:rsid w:val="00C10A5B"/>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70AD47" w:themeColor="accent6"/>
        <w:left w:val="single" w:sz="8" w:space="0" w:color="70AD47" w:themeColor="accent6"/>
        <w:bottom w:val="single" w:sz="8" w:space="0" w:color="70AD47" w:themeColor="accent6"/>
        <w:right w:val="single" w:sz="8" w:space="0" w:color="70AD47" w:themeColor="accent6"/>
        <w:insideH w:val="single" w:sz="8" w:space="0" w:color="70AD47" w:themeColor="accent6"/>
        <w:insideV w:val="single" w:sz="8" w:space="0" w:color="70AD47" w:themeColor="accent6"/>
      </w:tblBorders>
    </w:tblPr>
    <w:tcPr>
      <w:shd w:val="clear" w:color="auto" w:fill="DBEBD0" w:themeFill="accent6" w:themeFillTint="3F"/>
    </w:tcPr>
    <w:tblStylePr w:type="firstRow">
      <w:rPr>
        <w:b/>
        <w:bCs/>
        <w:color w:val="000000" w:themeColor="text1"/>
      </w:rPr>
      <w:tblPr/>
      <w:tcPr>
        <w:shd w:val="clear" w:color="auto" w:fill="F0F7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2EFD9" w:themeFill="accent6" w:themeFillTint="33"/>
      </w:tcPr>
    </w:tblStylePr>
    <w:tblStylePr w:type="band1Vert">
      <w:tblPr/>
      <w:tcPr>
        <w:shd w:val="clear" w:color="auto" w:fill="B7D8A0" w:themeFill="accent6" w:themeFillTint="7F"/>
      </w:tcPr>
    </w:tblStylePr>
    <w:tblStylePr w:type="band1Horz">
      <w:tblPr/>
      <w:tcPr>
        <w:tcBorders>
          <w:insideH w:val="single" w:sz="6" w:space="0" w:color="70AD47" w:themeColor="accent6"/>
          <w:insideV w:val="single" w:sz="6" w:space="0" w:color="70AD47" w:themeColor="accent6"/>
        </w:tcBorders>
        <w:shd w:val="clear" w:color="auto" w:fill="B7D8A0"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semiHidden/>
    <w:unhideWhenUsed/>
    <w:rsid w:val="00C10A5B"/>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semiHidden/>
    <w:unhideWhenUsed/>
    <w:rsid w:val="00C10A5B"/>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0DBF0"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472C4"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472C4"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472C4"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472C4"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1B8E1"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1B8E1" w:themeFill="accent1" w:themeFillTint="7F"/>
      </w:tcPr>
    </w:tblStylePr>
  </w:style>
  <w:style w:type="table" w:styleId="MediumGrid3-Accent2">
    <w:name w:val="Medium Grid 3 Accent 2"/>
    <w:basedOn w:val="TableNormal"/>
    <w:uiPriority w:val="69"/>
    <w:semiHidden/>
    <w:unhideWhenUsed/>
    <w:rsid w:val="00C10A5B"/>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ADECB"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ED7D31"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ED7D31"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ED7D31"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ED7D31"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6BE98"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6BE98" w:themeFill="accent2" w:themeFillTint="7F"/>
      </w:tcPr>
    </w:tblStylePr>
  </w:style>
  <w:style w:type="table" w:styleId="MediumGrid3-Accent3">
    <w:name w:val="Medium Grid 3 Accent 3"/>
    <w:basedOn w:val="TableNormal"/>
    <w:uiPriority w:val="69"/>
    <w:semiHidden/>
    <w:unhideWhenUsed/>
    <w:rsid w:val="00C10A5B"/>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8E8E8"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A5A5A5"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A5A5A5"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A5A5A5"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A5A5A5"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2D2D2"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2D2D2" w:themeFill="accent3" w:themeFillTint="7F"/>
      </w:tcPr>
    </w:tblStylePr>
  </w:style>
  <w:style w:type="table" w:styleId="MediumGrid3-Accent4">
    <w:name w:val="Medium Grid 3 Accent 4"/>
    <w:basedOn w:val="TableNormal"/>
    <w:uiPriority w:val="69"/>
    <w:semiHidden/>
    <w:unhideWhenUsed/>
    <w:rsid w:val="00C10A5B"/>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FEFC0"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FC000"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FC000"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FC000"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FC000"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FDF8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FDF80" w:themeFill="accent4" w:themeFillTint="7F"/>
      </w:tcPr>
    </w:tblStylePr>
  </w:style>
  <w:style w:type="table" w:styleId="MediumGrid3-Accent5">
    <w:name w:val="Medium Grid 3 Accent 5"/>
    <w:basedOn w:val="TableNormal"/>
    <w:uiPriority w:val="69"/>
    <w:semiHidden/>
    <w:unhideWhenUsed/>
    <w:rsid w:val="00C10A5B"/>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6E6F4"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5B9BD5"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5B9BD5"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5B9BD5"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5B9BD5"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DCCEA"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DCCEA" w:themeFill="accent5" w:themeFillTint="7F"/>
      </w:tcPr>
    </w:tblStylePr>
  </w:style>
  <w:style w:type="table" w:styleId="MediumGrid3-Accent6">
    <w:name w:val="Medium Grid 3 Accent 6"/>
    <w:basedOn w:val="TableNormal"/>
    <w:uiPriority w:val="69"/>
    <w:semiHidden/>
    <w:unhideWhenUsed/>
    <w:rsid w:val="00C10A5B"/>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BEB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70AD47"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70AD47"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70AD47"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70AD47"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7D8A0"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7D8A0" w:themeFill="accent6" w:themeFillTint="7F"/>
      </w:tcPr>
    </w:tblStylePr>
  </w:style>
  <w:style w:type="table" w:styleId="MediumList1">
    <w:name w:val="Medium List 1"/>
    <w:basedOn w:val="TableNormal"/>
    <w:uiPriority w:val="65"/>
    <w:semiHidden/>
    <w:unhideWhenUsed/>
    <w:rsid w:val="00C10A5B"/>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44546A"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semiHidden/>
    <w:unhideWhenUsed/>
    <w:rsid w:val="00C10A5B"/>
    <w:pPr>
      <w:spacing w:after="0" w:line="240" w:lineRule="auto"/>
    </w:pPr>
    <w:rPr>
      <w:color w:val="000000" w:themeColor="text1"/>
    </w:rPr>
    <w:tblPr>
      <w:tblStyleRowBandSize w:val="1"/>
      <w:tblStyleColBandSize w:val="1"/>
      <w:tblBorders>
        <w:top w:val="single" w:sz="8" w:space="0" w:color="4472C4" w:themeColor="accent1"/>
        <w:bottom w:val="single" w:sz="8" w:space="0" w:color="4472C4" w:themeColor="accent1"/>
      </w:tblBorders>
    </w:tblPr>
    <w:tblStylePr w:type="firstRow">
      <w:rPr>
        <w:rFonts w:asciiTheme="majorHAnsi" w:eastAsiaTheme="majorEastAsia" w:hAnsiTheme="majorHAnsi" w:cstheme="majorBidi"/>
      </w:rPr>
      <w:tblPr/>
      <w:tcPr>
        <w:tcBorders>
          <w:top w:val="nil"/>
          <w:bottom w:val="single" w:sz="8" w:space="0" w:color="4472C4" w:themeColor="accent1"/>
        </w:tcBorders>
      </w:tcPr>
    </w:tblStylePr>
    <w:tblStylePr w:type="lastRow">
      <w:rPr>
        <w:b/>
        <w:bCs/>
        <w:color w:val="44546A" w:themeColor="text2"/>
      </w:rPr>
      <w:tblPr/>
      <w:tcPr>
        <w:tcBorders>
          <w:top w:val="single" w:sz="8" w:space="0" w:color="4472C4" w:themeColor="accent1"/>
          <w:bottom w:val="single" w:sz="8" w:space="0" w:color="4472C4" w:themeColor="accent1"/>
        </w:tcBorders>
      </w:tcPr>
    </w:tblStylePr>
    <w:tblStylePr w:type="firstCol">
      <w:rPr>
        <w:b/>
        <w:bCs/>
      </w:rPr>
    </w:tblStylePr>
    <w:tblStylePr w:type="lastCol">
      <w:rPr>
        <w:b/>
        <w:bCs/>
      </w:rPr>
      <w:tblPr/>
      <w:tcPr>
        <w:tcBorders>
          <w:top w:val="single" w:sz="8" w:space="0" w:color="4472C4" w:themeColor="accent1"/>
          <w:bottom w:val="single" w:sz="8" w:space="0" w:color="4472C4" w:themeColor="accent1"/>
        </w:tcBorders>
      </w:tcPr>
    </w:tblStylePr>
    <w:tblStylePr w:type="band1Vert">
      <w:tblPr/>
      <w:tcPr>
        <w:shd w:val="clear" w:color="auto" w:fill="D0DBF0" w:themeFill="accent1" w:themeFillTint="3F"/>
      </w:tcPr>
    </w:tblStylePr>
    <w:tblStylePr w:type="band1Horz">
      <w:tblPr/>
      <w:tcPr>
        <w:shd w:val="clear" w:color="auto" w:fill="D0DBF0" w:themeFill="accent1" w:themeFillTint="3F"/>
      </w:tcPr>
    </w:tblStylePr>
  </w:style>
  <w:style w:type="table" w:styleId="MediumList1-Accent2">
    <w:name w:val="Medium List 1 Accent 2"/>
    <w:basedOn w:val="TableNormal"/>
    <w:uiPriority w:val="65"/>
    <w:semiHidden/>
    <w:unhideWhenUsed/>
    <w:rsid w:val="00C10A5B"/>
    <w:pPr>
      <w:spacing w:after="0" w:line="240" w:lineRule="auto"/>
    </w:pPr>
    <w:rPr>
      <w:color w:val="000000" w:themeColor="text1"/>
    </w:rPr>
    <w:tblPr>
      <w:tblStyleRowBandSize w:val="1"/>
      <w:tblStyleColBandSize w:val="1"/>
      <w:tblBorders>
        <w:top w:val="single" w:sz="8" w:space="0" w:color="ED7D31" w:themeColor="accent2"/>
        <w:bottom w:val="single" w:sz="8" w:space="0" w:color="ED7D31" w:themeColor="accent2"/>
      </w:tblBorders>
    </w:tblPr>
    <w:tblStylePr w:type="firstRow">
      <w:rPr>
        <w:rFonts w:asciiTheme="majorHAnsi" w:eastAsiaTheme="majorEastAsia" w:hAnsiTheme="majorHAnsi" w:cstheme="majorBidi"/>
      </w:rPr>
      <w:tblPr/>
      <w:tcPr>
        <w:tcBorders>
          <w:top w:val="nil"/>
          <w:bottom w:val="single" w:sz="8" w:space="0" w:color="ED7D31" w:themeColor="accent2"/>
        </w:tcBorders>
      </w:tcPr>
    </w:tblStylePr>
    <w:tblStylePr w:type="lastRow">
      <w:rPr>
        <w:b/>
        <w:bCs/>
        <w:color w:val="44546A" w:themeColor="text2"/>
      </w:rPr>
      <w:tblPr/>
      <w:tcPr>
        <w:tcBorders>
          <w:top w:val="single" w:sz="8" w:space="0" w:color="ED7D31" w:themeColor="accent2"/>
          <w:bottom w:val="single" w:sz="8" w:space="0" w:color="ED7D31" w:themeColor="accent2"/>
        </w:tcBorders>
      </w:tcPr>
    </w:tblStylePr>
    <w:tblStylePr w:type="firstCol">
      <w:rPr>
        <w:b/>
        <w:bCs/>
      </w:rPr>
    </w:tblStylePr>
    <w:tblStylePr w:type="lastCol">
      <w:rPr>
        <w:b/>
        <w:bCs/>
      </w:rPr>
      <w:tblPr/>
      <w:tcPr>
        <w:tcBorders>
          <w:top w:val="single" w:sz="8" w:space="0" w:color="ED7D31" w:themeColor="accent2"/>
          <w:bottom w:val="single" w:sz="8" w:space="0" w:color="ED7D31" w:themeColor="accent2"/>
        </w:tcBorders>
      </w:tcPr>
    </w:tblStylePr>
    <w:tblStylePr w:type="band1Vert">
      <w:tblPr/>
      <w:tcPr>
        <w:shd w:val="clear" w:color="auto" w:fill="FADECB" w:themeFill="accent2" w:themeFillTint="3F"/>
      </w:tcPr>
    </w:tblStylePr>
    <w:tblStylePr w:type="band1Horz">
      <w:tblPr/>
      <w:tcPr>
        <w:shd w:val="clear" w:color="auto" w:fill="FADECB" w:themeFill="accent2" w:themeFillTint="3F"/>
      </w:tcPr>
    </w:tblStylePr>
  </w:style>
  <w:style w:type="table" w:styleId="MediumList1-Accent3">
    <w:name w:val="Medium List 1 Accent 3"/>
    <w:basedOn w:val="TableNormal"/>
    <w:uiPriority w:val="65"/>
    <w:semiHidden/>
    <w:unhideWhenUsed/>
    <w:rsid w:val="00C10A5B"/>
    <w:pPr>
      <w:spacing w:after="0" w:line="240" w:lineRule="auto"/>
    </w:pPr>
    <w:rPr>
      <w:color w:val="000000" w:themeColor="text1"/>
    </w:rPr>
    <w:tblPr>
      <w:tblStyleRowBandSize w:val="1"/>
      <w:tblStyleColBandSize w:val="1"/>
      <w:tblBorders>
        <w:top w:val="single" w:sz="8" w:space="0" w:color="A5A5A5" w:themeColor="accent3"/>
        <w:bottom w:val="single" w:sz="8" w:space="0" w:color="A5A5A5" w:themeColor="accent3"/>
      </w:tblBorders>
    </w:tblPr>
    <w:tblStylePr w:type="firstRow">
      <w:rPr>
        <w:rFonts w:asciiTheme="majorHAnsi" w:eastAsiaTheme="majorEastAsia" w:hAnsiTheme="majorHAnsi" w:cstheme="majorBidi"/>
      </w:rPr>
      <w:tblPr/>
      <w:tcPr>
        <w:tcBorders>
          <w:top w:val="nil"/>
          <w:bottom w:val="single" w:sz="8" w:space="0" w:color="A5A5A5" w:themeColor="accent3"/>
        </w:tcBorders>
      </w:tcPr>
    </w:tblStylePr>
    <w:tblStylePr w:type="lastRow">
      <w:rPr>
        <w:b/>
        <w:bCs/>
        <w:color w:val="44546A" w:themeColor="text2"/>
      </w:rPr>
      <w:tblPr/>
      <w:tcPr>
        <w:tcBorders>
          <w:top w:val="single" w:sz="8" w:space="0" w:color="A5A5A5" w:themeColor="accent3"/>
          <w:bottom w:val="single" w:sz="8" w:space="0" w:color="A5A5A5" w:themeColor="accent3"/>
        </w:tcBorders>
      </w:tcPr>
    </w:tblStylePr>
    <w:tblStylePr w:type="firstCol">
      <w:rPr>
        <w:b/>
        <w:bCs/>
      </w:rPr>
    </w:tblStylePr>
    <w:tblStylePr w:type="lastCol">
      <w:rPr>
        <w:b/>
        <w:bCs/>
      </w:rPr>
      <w:tblPr/>
      <w:tcPr>
        <w:tcBorders>
          <w:top w:val="single" w:sz="8" w:space="0" w:color="A5A5A5" w:themeColor="accent3"/>
          <w:bottom w:val="single" w:sz="8" w:space="0" w:color="A5A5A5" w:themeColor="accent3"/>
        </w:tcBorders>
      </w:tcPr>
    </w:tblStylePr>
    <w:tblStylePr w:type="band1Vert">
      <w:tblPr/>
      <w:tcPr>
        <w:shd w:val="clear" w:color="auto" w:fill="E8E8E8" w:themeFill="accent3" w:themeFillTint="3F"/>
      </w:tcPr>
    </w:tblStylePr>
    <w:tblStylePr w:type="band1Horz">
      <w:tblPr/>
      <w:tcPr>
        <w:shd w:val="clear" w:color="auto" w:fill="E8E8E8" w:themeFill="accent3" w:themeFillTint="3F"/>
      </w:tcPr>
    </w:tblStylePr>
  </w:style>
  <w:style w:type="table" w:styleId="MediumList1-Accent4">
    <w:name w:val="Medium List 1 Accent 4"/>
    <w:basedOn w:val="TableNormal"/>
    <w:uiPriority w:val="65"/>
    <w:semiHidden/>
    <w:unhideWhenUsed/>
    <w:rsid w:val="00C10A5B"/>
    <w:pPr>
      <w:spacing w:after="0" w:line="240" w:lineRule="auto"/>
    </w:pPr>
    <w:rPr>
      <w:color w:val="000000" w:themeColor="text1"/>
    </w:rPr>
    <w:tblPr>
      <w:tblStyleRowBandSize w:val="1"/>
      <w:tblStyleColBandSize w:val="1"/>
      <w:tblBorders>
        <w:top w:val="single" w:sz="8" w:space="0" w:color="FFC000" w:themeColor="accent4"/>
        <w:bottom w:val="single" w:sz="8" w:space="0" w:color="FFC000" w:themeColor="accent4"/>
      </w:tblBorders>
    </w:tblPr>
    <w:tblStylePr w:type="firstRow">
      <w:rPr>
        <w:rFonts w:asciiTheme="majorHAnsi" w:eastAsiaTheme="majorEastAsia" w:hAnsiTheme="majorHAnsi" w:cstheme="majorBidi"/>
      </w:rPr>
      <w:tblPr/>
      <w:tcPr>
        <w:tcBorders>
          <w:top w:val="nil"/>
          <w:bottom w:val="single" w:sz="8" w:space="0" w:color="FFC000" w:themeColor="accent4"/>
        </w:tcBorders>
      </w:tcPr>
    </w:tblStylePr>
    <w:tblStylePr w:type="lastRow">
      <w:rPr>
        <w:b/>
        <w:bCs/>
        <w:color w:val="44546A" w:themeColor="text2"/>
      </w:rPr>
      <w:tblPr/>
      <w:tcPr>
        <w:tcBorders>
          <w:top w:val="single" w:sz="8" w:space="0" w:color="FFC000" w:themeColor="accent4"/>
          <w:bottom w:val="single" w:sz="8" w:space="0" w:color="FFC000" w:themeColor="accent4"/>
        </w:tcBorders>
      </w:tcPr>
    </w:tblStylePr>
    <w:tblStylePr w:type="firstCol">
      <w:rPr>
        <w:b/>
        <w:bCs/>
      </w:rPr>
    </w:tblStylePr>
    <w:tblStylePr w:type="lastCol">
      <w:rPr>
        <w:b/>
        <w:bCs/>
      </w:rPr>
      <w:tblPr/>
      <w:tcPr>
        <w:tcBorders>
          <w:top w:val="single" w:sz="8" w:space="0" w:color="FFC000" w:themeColor="accent4"/>
          <w:bottom w:val="single" w:sz="8" w:space="0" w:color="FFC000" w:themeColor="accent4"/>
        </w:tcBorders>
      </w:tcPr>
    </w:tblStylePr>
    <w:tblStylePr w:type="band1Vert">
      <w:tblPr/>
      <w:tcPr>
        <w:shd w:val="clear" w:color="auto" w:fill="FFEFC0" w:themeFill="accent4" w:themeFillTint="3F"/>
      </w:tcPr>
    </w:tblStylePr>
    <w:tblStylePr w:type="band1Horz">
      <w:tblPr/>
      <w:tcPr>
        <w:shd w:val="clear" w:color="auto" w:fill="FFEFC0" w:themeFill="accent4" w:themeFillTint="3F"/>
      </w:tcPr>
    </w:tblStylePr>
  </w:style>
  <w:style w:type="table" w:styleId="MediumList1-Accent5">
    <w:name w:val="Medium List 1 Accent 5"/>
    <w:basedOn w:val="TableNormal"/>
    <w:uiPriority w:val="65"/>
    <w:semiHidden/>
    <w:unhideWhenUsed/>
    <w:rsid w:val="00C10A5B"/>
    <w:pPr>
      <w:spacing w:after="0" w:line="240" w:lineRule="auto"/>
    </w:pPr>
    <w:rPr>
      <w:color w:val="000000" w:themeColor="text1"/>
    </w:rPr>
    <w:tblPr>
      <w:tblStyleRowBandSize w:val="1"/>
      <w:tblStyleColBandSize w:val="1"/>
      <w:tblBorders>
        <w:top w:val="single" w:sz="8" w:space="0" w:color="5B9BD5" w:themeColor="accent5"/>
        <w:bottom w:val="single" w:sz="8" w:space="0" w:color="5B9BD5" w:themeColor="accent5"/>
      </w:tblBorders>
    </w:tblPr>
    <w:tblStylePr w:type="firstRow">
      <w:rPr>
        <w:rFonts w:asciiTheme="majorHAnsi" w:eastAsiaTheme="majorEastAsia" w:hAnsiTheme="majorHAnsi" w:cstheme="majorBidi"/>
      </w:rPr>
      <w:tblPr/>
      <w:tcPr>
        <w:tcBorders>
          <w:top w:val="nil"/>
          <w:bottom w:val="single" w:sz="8" w:space="0" w:color="5B9BD5" w:themeColor="accent5"/>
        </w:tcBorders>
      </w:tcPr>
    </w:tblStylePr>
    <w:tblStylePr w:type="lastRow">
      <w:rPr>
        <w:b/>
        <w:bCs/>
        <w:color w:val="44546A" w:themeColor="text2"/>
      </w:rPr>
      <w:tblPr/>
      <w:tcPr>
        <w:tcBorders>
          <w:top w:val="single" w:sz="8" w:space="0" w:color="5B9BD5" w:themeColor="accent5"/>
          <w:bottom w:val="single" w:sz="8" w:space="0" w:color="5B9BD5" w:themeColor="accent5"/>
        </w:tcBorders>
      </w:tcPr>
    </w:tblStylePr>
    <w:tblStylePr w:type="firstCol">
      <w:rPr>
        <w:b/>
        <w:bCs/>
      </w:rPr>
    </w:tblStylePr>
    <w:tblStylePr w:type="lastCol">
      <w:rPr>
        <w:b/>
        <w:bCs/>
      </w:rPr>
      <w:tblPr/>
      <w:tcPr>
        <w:tcBorders>
          <w:top w:val="single" w:sz="8" w:space="0" w:color="5B9BD5" w:themeColor="accent5"/>
          <w:bottom w:val="single" w:sz="8" w:space="0" w:color="5B9BD5" w:themeColor="accent5"/>
        </w:tcBorders>
      </w:tcPr>
    </w:tblStylePr>
    <w:tblStylePr w:type="band1Vert">
      <w:tblPr/>
      <w:tcPr>
        <w:shd w:val="clear" w:color="auto" w:fill="D6E6F4" w:themeFill="accent5" w:themeFillTint="3F"/>
      </w:tcPr>
    </w:tblStylePr>
    <w:tblStylePr w:type="band1Horz">
      <w:tblPr/>
      <w:tcPr>
        <w:shd w:val="clear" w:color="auto" w:fill="D6E6F4" w:themeFill="accent5" w:themeFillTint="3F"/>
      </w:tcPr>
    </w:tblStylePr>
  </w:style>
  <w:style w:type="table" w:styleId="MediumList1-Accent6">
    <w:name w:val="Medium List 1 Accent 6"/>
    <w:basedOn w:val="TableNormal"/>
    <w:uiPriority w:val="65"/>
    <w:semiHidden/>
    <w:unhideWhenUsed/>
    <w:rsid w:val="00C10A5B"/>
    <w:pPr>
      <w:spacing w:after="0" w:line="240" w:lineRule="auto"/>
    </w:pPr>
    <w:rPr>
      <w:color w:val="000000" w:themeColor="text1"/>
    </w:rPr>
    <w:tblPr>
      <w:tblStyleRowBandSize w:val="1"/>
      <w:tblStyleColBandSize w:val="1"/>
      <w:tblBorders>
        <w:top w:val="single" w:sz="8" w:space="0" w:color="70AD47" w:themeColor="accent6"/>
        <w:bottom w:val="single" w:sz="8" w:space="0" w:color="70AD47" w:themeColor="accent6"/>
      </w:tblBorders>
    </w:tblPr>
    <w:tblStylePr w:type="firstRow">
      <w:rPr>
        <w:rFonts w:asciiTheme="majorHAnsi" w:eastAsiaTheme="majorEastAsia" w:hAnsiTheme="majorHAnsi" w:cstheme="majorBidi"/>
      </w:rPr>
      <w:tblPr/>
      <w:tcPr>
        <w:tcBorders>
          <w:top w:val="nil"/>
          <w:bottom w:val="single" w:sz="8" w:space="0" w:color="70AD47" w:themeColor="accent6"/>
        </w:tcBorders>
      </w:tcPr>
    </w:tblStylePr>
    <w:tblStylePr w:type="lastRow">
      <w:rPr>
        <w:b/>
        <w:bCs/>
        <w:color w:val="44546A" w:themeColor="text2"/>
      </w:rPr>
      <w:tblPr/>
      <w:tcPr>
        <w:tcBorders>
          <w:top w:val="single" w:sz="8" w:space="0" w:color="70AD47" w:themeColor="accent6"/>
          <w:bottom w:val="single" w:sz="8" w:space="0" w:color="70AD47" w:themeColor="accent6"/>
        </w:tcBorders>
      </w:tcPr>
    </w:tblStylePr>
    <w:tblStylePr w:type="firstCol">
      <w:rPr>
        <w:b/>
        <w:bCs/>
      </w:rPr>
    </w:tblStylePr>
    <w:tblStylePr w:type="lastCol">
      <w:rPr>
        <w:b/>
        <w:bCs/>
      </w:rPr>
      <w:tblPr/>
      <w:tcPr>
        <w:tcBorders>
          <w:top w:val="single" w:sz="8" w:space="0" w:color="70AD47" w:themeColor="accent6"/>
          <w:bottom w:val="single" w:sz="8" w:space="0" w:color="70AD47" w:themeColor="accent6"/>
        </w:tcBorders>
      </w:tcPr>
    </w:tblStylePr>
    <w:tblStylePr w:type="band1Vert">
      <w:tblPr/>
      <w:tcPr>
        <w:shd w:val="clear" w:color="auto" w:fill="DBEBD0" w:themeFill="accent6" w:themeFillTint="3F"/>
      </w:tcPr>
    </w:tblStylePr>
    <w:tblStylePr w:type="band1Horz">
      <w:tblPr/>
      <w:tcPr>
        <w:shd w:val="clear" w:color="auto" w:fill="DBEBD0" w:themeFill="accent6" w:themeFillTint="3F"/>
      </w:tcPr>
    </w:tblStylePr>
  </w:style>
  <w:style w:type="table" w:styleId="MediumList2">
    <w:name w:val="Medium List 2"/>
    <w:basedOn w:val="TableNormal"/>
    <w:uiPriority w:val="66"/>
    <w:semiHidden/>
    <w:unhideWhenUsed/>
    <w:rsid w:val="00C10A5B"/>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semiHidden/>
    <w:unhideWhenUsed/>
    <w:rsid w:val="00C10A5B"/>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472C4" w:themeColor="accent1"/>
        <w:left w:val="single" w:sz="8" w:space="0" w:color="4472C4" w:themeColor="accent1"/>
        <w:bottom w:val="single" w:sz="8" w:space="0" w:color="4472C4" w:themeColor="accent1"/>
        <w:right w:val="single" w:sz="8" w:space="0" w:color="4472C4" w:themeColor="accent1"/>
      </w:tblBorders>
    </w:tblPr>
    <w:tblStylePr w:type="firstRow">
      <w:rPr>
        <w:sz w:val="24"/>
        <w:szCs w:val="24"/>
      </w:rPr>
      <w:tblPr/>
      <w:tcPr>
        <w:tcBorders>
          <w:top w:val="nil"/>
          <w:left w:val="nil"/>
          <w:bottom w:val="single" w:sz="24" w:space="0" w:color="4472C4" w:themeColor="accent1"/>
          <w:right w:val="nil"/>
          <w:insideH w:val="nil"/>
          <w:insideV w:val="nil"/>
        </w:tcBorders>
        <w:shd w:val="clear" w:color="auto" w:fill="FFFFFF" w:themeFill="background1"/>
      </w:tcPr>
    </w:tblStylePr>
    <w:tblStylePr w:type="lastRow">
      <w:tblPr/>
      <w:tcPr>
        <w:tcBorders>
          <w:top w:val="single" w:sz="8" w:space="0" w:color="4472C4"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472C4" w:themeColor="accent1"/>
          <w:insideH w:val="nil"/>
          <w:insideV w:val="nil"/>
        </w:tcBorders>
        <w:shd w:val="clear" w:color="auto" w:fill="FFFFFF" w:themeFill="background1"/>
      </w:tcPr>
    </w:tblStylePr>
    <w:tblStylePr w:type="lastCol">
      <w:tblPr/>
      <w:tcPr>
        <w:tcBorders>
          <w:top w:val="nil"/>
          <w:left w:val="single" w:sz="8" w:space="0" w:color="4472C4"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0DBF0" w:themeFill="accent1" w:themeFillTint="3F"/>
      </w:tcPr>
    </w:tblStylePr>
    <w:tblStylePr w:type="band1Horz">
      <w:tblPr/>
      <w:tcPr>
        <w:tcBorders>
          <w:top w:val="nil"/>
          <w:bottom w:val="nil"/>
          <w:insideH w:val="nil"/>
          <w:insideV w:val="nil"/>
        </w:tcBorders>
        <w:shd w:val="clear" w:color="auto" w:fill="D0DBF0"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semiHidden/>
    <w:unhideWhenUsed/>
    <w:rsid w:val="00C10A5B"/>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D7D31" w:themeColor="accent2"/>
        <w:left w:val="single" w:sz="8" w:space="0" w:color="ED7D31" w:themeColor="accent2"/>
        <w:bottom w:val="single" w:sz="8" w:space="0" w:color="ED7D31" w:themeColor="accent2"/>
        <w:right w:val="single" w:sz="8" w:space="0" w:color="ED7D31" w:themeColor="accent2"/>
      </w:tblBorders>
    </w:tblPr>
    <w:tblStylePr w:type="firstRow">
      <w:rPr>
        <w:sz w:val="24"/>
        <w:szCs w:val="24"/>
      </w:rPr>
      <w:tblPr/>
      <w:tcPr>
        <w:tcBorders>
          <w:top w:val="nil"/>
          <w:left w:val="nil"/>
          <w:bottom w:val="single" w:sz="24" w:space="0" w:color="ED7D31" w:themeColor="accent2"/>
          <w:right w:val="nil"/>
          <w:insideH w:val="nil"/>
          <w:insideV w:val="nil"/>
        </w:tcBorders>
        <w:shd w:val="clear" w:color="auto" w:fill="FFFFFF" w:themeFill="background1"/>
      </w:tcPr>
    </w:tblStylePr>
    <w:tblStylePr w:type="lastRow">
      <w:tblPr/>
      <w:tcPr>
        <w:tcBorders>
          <w:top w:val="single" w:sz="8" w:space="0" w:color="ED7D31" w:themeColor="accent2"/>
          <w:left w:val="nil"/>
          <w:right w:val="nil"/>
          <w:insideH w:val="nil"/>
          <w:insideV w:val="nil"/>
        </w:tcBorders>
        <w:shd w:val="clear" w:color="auto" w:fill="FFFFFF" w:themeFill="background1"/>
      </w:tcPr>
    </w:tblStylePr>
    <w:tblStylePr w:type="firstCol">
      <w:tblPr/>
      <w:tcPr>
        <w:tcBorders>
          <w:top w:val="nil"/>
          <w:left w:val="nil"/>
          <w:bottom w:val="nil"/>
          <w:right w:val="single" w:sz="8" w:space="0" w:color="ED7D31" w:themeColor="accent2"/>
          <w:insideH w:val="nil"/>
          <w:insideV w:val="nil"/>
        </w:tcBorders>
        <w:shd w:val="clear" w:color="auto" w:fill="FFFFFF" w:themeFill="background1"/>
      </w:tcPr>
    </w:tblStylePr>
    <w:tblStylePr w:type="lastCol">
      <w:tblPr/>
      <w:tcPr>
        <w:tcBorders>
          <w:top w:val="nil"/>
          <w:left w:val="single" w:sz="8" w:space="0" w:color="ED7D31"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ADECB" w:themeFill="accent2" w:themeFillTint="3F"/>
      </w:tcPr>
    </w:tblStylePr>
    <w:tblStylePr w:type="band1Horz">
      <w:tblPr/>
      <w:tcPr>
        <w:tcBorders>
          <w:top w:val="nil"/>
          <w:bottom w:val="nil"/>
          <w:insideH w:val="nil"/>
          <w:insideV w:val="nil"/>
        </w:tcBorders>
        <w:shd w:val="clear" w:color="auto" w:fill="FADECB"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semiHidden/>
    <w:unhideWhenUsed/>
    <w:rsid w:val="00C10A5B"/>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5A5A5" w:themeColor="accent3"/>
        <w:left w:val="single" w:sz="8" w:space="0" w:color="A5A5A5" w:themeColor="accent3"/>
        <w:bottom w:val="single" w:sz="8" w:space="0" w:color="A5A5A5" w:themeColor="accent3"/>
        <w:right w:val="single" w:sz="8" w:space="0" w:color="A5A5A5" w:themeColor="accent3"/>
      </w:tblBorders>
    </w:tblPr>
    <w:tblStylePr w:type="firstRow">
      <w:rPr>
        <w:sz w:val="24"/>
        <w:szCs w:val="24"/>
      </w:rPr>
      <w:tblPr/>
      <w:tcPr>
        <w:tcBorders>
          <w:top w:val="nil"/>
          <w:left w:val="nil"/>
          <w:bottom w:val="single" w:sz="24" w:space="0" w:color="A5A5A5" w:themeColor="accent3"/>
          <w:right w:val="nil"/>
          <w:insideH w:val="nil"/>
          <w:insideV w:val="nil"/>
        </w:tcBorders>
        <w:shd w:val="clear" w:color="auto" w:fill="FFFFFF" w:themeFill="background1"/>
      </w:tcPr>
    </w:tblStylePr>
    <w:tblStylePr w:type="lastRow">
      <w:tblPr/>
      <w:tcPr>
        <w:tcBorders>
          <w:top w:val="single" w:sz="8" w:space="0" w:color="A5A5A5"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A5A5A5" w:themeColor="accent3"/>
          <w:insideH w:val="nil"/>
          <w:insideV w:val="nil"/>
        </w:tcBorders>
        <w:shd w:val="clear" w:color="auto" w:fill="FFFFFF" w:themeFill="background1"/>
      </w:tcPr>
    </w:tblStylePr>
    <w:tblStylePr w:type="lastCol">
      <w:tblPr/>
      <w:tcPr>
        <w:tcBorders>
          <w:top w:val="nil"/>
          <w:left w:val="single" w:sz="8" w:space="0" w:color="A5A5A5"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8E8E8" w:themeFill="accent3" w:themeFillTint="3F"/>
      </w:tcPr>
    </w:tblStylePr>
    <w:tblStylePr w:type="band1Horz">
      <w:tblPr/>
      <w:tcPr>
        <w:tcBorders>
          <w:top w:val="nil"/>
          <w:bottom w:val="nil"/>
          <w:insideH w:val="nil"/>
          <w:insideV w:val="nil"/>
        </w:tcBorders>
        <w:shd w:val="clear" w:color="auto" w:fill="E8E8E8"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semiHidden/>
    <w:unhideWhenUsed/>
    <w:rsid w:val="00C10A5B"/>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FC000" w:themeColor="accent4"/>
        <w:left w:val="single" w:sz="8" w:space="0" w:color="FFC000" w:themeColor="accent4"/>
        <w:bottom w:val="single" w:sz="8" w:space="0" w:color="FFC000" w:themeColor="accent4"/>
        <w:right w:val="single" w:sz="8" w:space="0" w:color="FFC000" w:themeColor="accent4"/>
      </w:tblBorders>
    </w:tblPr>
    <w:tblStylePr w:type="firstRow">
      <w:rPr>
        <w:sz w:val="24"/>
        <w:szCs w:val="24"/>
      </w:rPr>
      <w:tblPr/>
      <w:tcPr>
        <w:tcBorders>
          <w:top w:val="nil"/>
          <w:left w:val="nil"/>
          <w:bottom w:val="single" w:sz="24" w:space="0" w:color="FFC000" w:themeColor="accent4"/>
          <w:right w:val="nil"/>
          <w:insideH w:val="nil"/>
          <w:insideV w:val="nil"/>
        </w:tcBorders>
        <w:shd w:val="clear" w:color="auto" w:fill="FFFFFF" w:themeFill="background1"/>
      </w:tcPr>
    </w:tblStylePr>
    <w:tblStylePr w:type="lastRow">
      <w:tblPr/>
      <w:tcPr>
        <w:tcBorders>
          <w:top w:val="single" w:sz="8" w:space="0" w:color="FFC000"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FC000" w:themeColor="accent4"/>
          <w:insideH w:val="nil"/>
          <w:insideV w:val="nil"/>
        </w:tcBorders>
        <w:shd w:val="clear" w:color="auto" w:fill="FFFFFF" w:themeFill="background1"/>
      </w:tcPr>
    </w:tblStylePr>
    <w:tblStylePr w:type="lastCol">
      <w:tblPr/>
      <w:tcPr>
        <w:tcBorders>
          <w:top w:val="nil"/>
          <w:left w:val="single" w:sz="8" w:space="0" w:color="FFC000"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FEFC0" w:themeFill="accent4" w:themeFillTint="3F"/>
      </w:tcPr>
    </w:tblStylePr>
    <w:tblStylePr w:type="band1Horz">
      <w:tblPr/>
      <w:tcPr>
        <w:tcBorders>
          <w:top w:val="nil"/>
          <w:bottom w:val="nil"/>
          <w:insideH w:val="nil"/>
          <w:insideV w:val="nil"/>
        </w:tcBorders>
        <w:shd w:val="clear" w:color="auto" w:fill="FFEFC0"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semiHidden/>
    <w:unhideWhenUsed/>
    <w:rsid w:val="00C10A5B"/>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5B9BD5" w:themeColor="accent5"/>
        <w:left w:val="single" w:sz="8" w:space="0" w:color="5B9BD5" w:themeColor="accent5"/>
        <w:bottom w:val="single" w:sz="8" w:space="0" w:color="5B9BD5" w:themeColor="accent5"/>
        <w:right w:val="single" w:sz="8" w:space="0" w:color="5B9BD5" w:themeColor="accent5"/>
      </w:tblBorders>
    </w:tblPr>
    <w:tblStylePr w:type="firstRow">
      <w:rPr>
        <w:sz w:val="24"/>
        <w:szCs w:val="24"/>
      </w:rPr>
      <w:tblPr/>
      <w:tcPr>
        <w:tcBorders>
          <w:top w:val="nil"/>
          <w:left w:val="nil"/>
          <w:bottom w:val="single" w:sz="24" w:space="0" w:color="5B9BD5" w:themeColor="accent5"/>
          <w:right w:val="nil"/>
          <w:insideH w:val="nil"/>
          <w:insideV w:val="nil"/>
        </w:tcBorders>
        <w:shd w:val="clear" w:color="auto" w:fill="FFFFFF" w:themeFill="background1"/>
      </w:tcPr>
    </w:tblStylePr>
    <w:tblStylePr w:type="lastRow">
      <w:tblPr/>
      <w:tcPr>
        <w:tcBorders>
          <w:top w:val="single" w:sz="8" w:space="0" w:color="5B9BD5"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5B9BD5" w:themeColor="accent5"/>
          <w:insideH w:val="nil"/>
          <w:insideV w:val="nil"/>
        </w:tcBorders>
        <w:shd w:val="clear" w:color="auto" w:fill="FFFFFF" w:themeFill="background1"/>
      </w:tcPr>
    </w:tblStylePr>
    <w:tblStylePr w:type="lastCol">
      <w:tblPr/>
      <w:tcPr>
        <w:tcBorders>
          <w:top w:val="nil"/>
          <w:left w:val="single" w:sz="8" w:space="0" w:color="5B9BD5"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6E6F4" w:themeFill="accent5" w:themeFillTint="3F"/>
      </w:tcPr>
    </w:tblStylePr>
    <w:tblStylePr w:type="band1Horz">
      <w:tblPr/>
      <w:tcPr>
        <w:tcBorders>
          <w:top w:val="nil"/>
          <w:bottom w:val="nil"/>
          <w:insideH w:val="nil"/>
          <w:insideV w:val="nil"/>
        </w:tcBorders>
        <w:shd w:val="clear" w:color="auto" w:fill="D6E6F4"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semiHidden/>
    <w:unhideWhenUsed/>
    <w:rsid w:val="00C10A5B"/>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70AD47" w:themeColor="accent6"/>
        <w:left w:val="single" w:sz="8" w:space="0" w:color="70AD47" w:themeColor="accent6"/>
        <w:bottom w:val="single" w:sz="8" w:space="0" w:color="70AD47" w:themeColor="accent6"/>
        <w:right w:val="single" w:sz="8" w:space="0" w:color="70AD47" w:themeColor="accent6"/>
      </w:tblBorders>
    </w:tblPr>
    <w:tblStylePr w:type="firstRow">
      <w:rPr>
        <w:sz w:val="24"/>
        <w:szCs w:val="24"/>
      </w:rPr>
      <w:tblPr/>
      <w:tcPr>
        <w:tcBorders>
          <w:top w:val="nil"/>
          <w:left w:val="nil"/>
          <w:bottom w:val="single" w:sz="24" w:space="0" w:color="70AD47" w:themeColor="accent6"/>
          <w:right w:val="nil"/>
          <w:insideH w:val="nil"/>
          <w:insideV w:val="nil"/>
        </w:tcBorders>
        <w:shd w:val="clear" w:color="auto" w:fill="FFFFFF" w:themeFill="background1"/>
      </w:tcPr>
    </w:tblStylePr>
    <w:tblStylePr w:type="lastRow">
      <w:tblPr/>
      <w:tcPr>
        <w:tcBorders>
          <w:top w:val="single" w:sz="8" w:space="0" w:color="70AD47"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70AD47" w:themeColor="accent6"/>
          <w:insideH w:val="nil"/>
          <w:insideV w:val="nil"/>
        </w:tcBorders>
        <w:shd w:val="clear" w:color="auto" w:fill="FFFFFF" w:themeFill="background1"/>
      </w:tcPr>
    </w:tblStylePr>
    <w:tblStylePr w:type="lastCol">
      <w:tblPr/>
      <w:tcPr>
        <w:tcBorders>
          <w:top w:val="nil"/>
          <w:left w:val="single" w:sz="8" w:space="0" w:color="70AD47"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BEBD0" w:themeFill="accent6" w:themeFillTint="3F"/>
      </w:tcPr>
    </w:tblStylePr>
    <w:tblStylePr w:type="band1Horz">
      <w:tblPr/>
      <w:tcPr>
        <w:tcBorders>
          <w:top w:val="nil"/>
          <w:bottom w:val="nil"/>
          <w:insideH w:val="nil"/>
          <w:insideV w:val="nil"/>
        </w:tcBorders>
        <w:shd w:val="clear" w:color="auto" w:fill="DBEB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Shading1">
    <w:name w:val="Medium Shading 1"/>
    <w:basedOn w:val="TableNormal"/>
    <w:uiPriority w:val="63"/>
    <w:semiHidden/>
    <w:unhideWhenUsed/>
    <w:rsid w:val="00C10A5B"/>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semiHidden/>
    <w:unhideWhenUsed/>
    <w:rsid w:val="00C10A5B"/>
    <w:pPr>
      <w:spacing w:after="0" w:line="240" w:lineRule="auto"/>
    </w:pPr>
    <w:tblPr>
      <w:tblStyleRowBandSize w:val="1"/>
      <w:tblStyleColBandSize w:val="1"/>
      <w:tblBorders>
        <w:top w:val="single" w:sz="8" w:space="0" w:color="7295D2" w:themeColor="accent1" w:themeTint="BF"/>
        <w:left w:val="single" w:sz="8" w:space="0" w:color="7295D2" w:themeColor="accent1" w:themeTint="BF"/>
        <w:bottom w:val="single" w:sz="8" w:space="0" w:color="7295D2" w:themeColor="accent1" w:themeTint="BF"/>
        <w:right w:val="single" w:sz="8" w:space="0" w:color="7295D2" w:themeColor="accent1" w:themeTint="BF"/>
        <w:insideH w:val="single" w:sz="8" w:space="0" w:color="7295D2" w:themeColor="accent1" w:themeTint="BF"/>
      </w:tblBorders>
    </w:tblPr>
    <w:tblStylePr w:type="firstRow">
      <w:pPr>
        <w:spacing w:before="0" w:after="0" w:line="240" w:lineRule="auto"/>
      </w:pPr>
      <w:rPr>
        <w:b/>
        <w:bCs/>
        <w:color w:val="FFFFFF" w:themeColor="background1"/>
      </w:rPr>
      <w:tblPr/>
      <w:tcPr>
        <w:tcBorders>
          <w:top w:val="single" w:sz="8" w:space="0" w:color="7295D2" w:themeColor="accent1" w:themeTint="BF"/>
          <w:left w:val="single" w:sz="8" w:space="0" w:color="7295D2" w:themeColor="accent1" w:themeTint="BF"/>
          <w:bottom w:val="single" w:sz="8" w:space="0" w:color="7295D2" w:themeColor="accent1" w:themeTint="BF"/>
          <w:right w:val="single" w:sz="8" w:space="0" w:color="7295D2" w:themeColor="accent1" w:themeTint="BF"/>
          <w:insideH w:val="nil"/>
          <w:insideV w:val="nil"/>
        </w:tcBorders>
        <w:shd w:val="clear" w:color="auto" w:fill="4472C4" w:themeFill="accent1"/>
      </w:tcPr>
    </w:tblStylePr>
    <w:tblStylePr w:type="lastRow">
      <w:pPr>
        <w:spacing w:before="0" w:after="0" w:line="240" w:lineRule="auto"/>
      </w:pPr>
      <w:rPr>
        <w:b/>
        <w:bCs/>
      </w:rPr>
      <w:tblPr/>
      <w:tcPr>
        <w:tcBorders>
          <w:top w:val="double" w:sz="6" w:space="0" w:color="7295D2" w:themeColor="accent1" w:themeTint="BF"/>
          <w:left w:val="single" w:sz="8" w:space="0" w:color="7295D2" w:themeColor="accent1" w:themeTint="BF"/>
          <w:bottom w:val="single" w:sz="8" w:space="0" w:color="7295D2" w:themeColor="accent1" w:themeTint="BF"/>
          <w:right w:val="single" w:sz="8" w:space="0" w:color="7295D2" w:themeColor="accent1" w:themeTint="BF"/>
          <w:insideH w:val="nil"/>
          <w:insideV w:val="nil"/>
        </w:tcBorders>
      </w:tcPr>
    </w:tblStylePr>
    <w:tblStylePr w:type="firstCol">
      <w:rPr>
        <w:b/>
        <w:bCs/>
      </w:rPr>
    </w:tblStylePr>
    <w:tblStylePr w:type="lastCol">
      <w:rPr>
        <w:b/>
        <w:bCs/>
      </w:rPr>
    </w:tblStylePr>
    <w:tblStylePr w:type="band1Vert">
      <w:tblPr/>
      <w:tcPr>
        <w:shd w:val="clear" w:color="auto" w:fill="D0DBF0" w:themeFill="accent1" w:themeFillTint="3F"/>
      </w:tcPr>
    </w:tblStylePr>
    <w:tblStylePr w:type="band1Horz">
      <w:tblPr/>
      <w:tcPr>
        <w:tcBorders>
          <w:insideH w:val="nil"/>
          <w:insideV w:val="nil"/>
        </w:tcBorders>
        <w:shd w:val="clear" w:color="auto" w:fill="D0DBF0"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semiHidden/>
    <w:unhideWhenUsed/>
    <w:rsid w:val="00C10A5B"/>
    <w:pPr>
      <w:spacing w:after="0" w:line="240" w:lineRule="auto"/>
    </w:pPr>
    <w:tblPr>
      <w:tblStyleRowBandSize w:val="1"/>
      <w:tblStyleColBandSize w:val="1"/>
      <w:tblBorders>
        <w:top w:val="single" w:sz="8" w:space="0" w:color="F19D64" w:themeColor="accent2" w:themeTint="BF"/>
        <w:left w:val="single" w:sz="8" w:space="0" w:color="F19D64" w:themeColor="accent2" w:themeTint="BF"/>
        <w:bottom w:val="single" w:sz="8" w:space="0" w:color="F19D64" w:themeColor="accent2" w:themeTint="BF"/>
        <w:right w:val="single" w:sz="8" w:space="0" w:color="F19D64" w:themeColor="accent2" w:themeTint="BF"/>
        <w:insideH w:val="single" w:sz="8" w:space="0" w:color="F19D64" w:themeColor="accent2" w:themeTint="BF"/>
      </w:tblBorders>
    </w:tblPr>
    <w:tblStylePr w:type="firstRow">
      <w:pPr>
        <w:spacing w:before="0" w:after="0" w:line="240" w:lineRule="auto"/>
      </w:pPr>
      <w:rPr>
        <w:b/>
        <w:bCs/>
        <w:color w:val="FFFFFF" w:themeColor="background1"/>
      </w:rPr>
      <w:tblPr/>
      <w:tcPr>
        <w:tcBorders>
          <w:top w:val="single" w:sz="8" w:space="0" w:color="F19D64" w:themeColor="accent2" w:themeTint="BF"/>
          <w:left w:val="single" w:sz="8" w:space="0" w:color="F19D64" w:themeColor="accent2" w:themeTint="BF"/>
          <w:bottom w:val="single" w:sz="8" w:space="0" w:color="F19D64" w:themeColor="accent2" w:themeTint="BF"/>
          <w:right w:val="single" w:sz="8" w:space="0" w:color="F19D64" w:themeColor="accent2" w:themeTint="BF"/>
          <w:insideH w:val="nil"/>
          <w:insideV w:val="nil"/>
        </w:tcBorders>
        <w:shd w:val="clear" w:color="auto" w:fill="ED7D31" w:themeFill="accent2"/>
      </w:tcPr>
    </w:tblStylePr>
    <w:tblStylePr w:type="lastRow">
      <w:pPr>
        <w:spacing w:before="0" w:after="0" w:line="240" w:lineRule="auto"/>
      </w:pPr>
      <w:rPr>
        <w:b/>
        <w:bCs/>
      </w:rPr>
      <w:tblPr/>
      <w:tcPr>
        <w:tcBorders>
          <w:top w:val="double" w:sz="6" w:space="0" w:color="F19D64" w:themeColor="accent2" w:themeTint="BF"/>
          <w:left w:val="single" w:sz="8" w:space="0" w:color="F19D64" w:themeColor="accent2" w:themeTint="BF"/>
          <w:bottom w:val="single" w:sz="8" w:space="0" w:color="F19D64" w:themeColor="accent2" w:themeTint="BF"/>
          <w:right w:val="single" w:sz="8" w:space="0" w:color="F19D64" w:themeColor="accent2" w:themeTint="BF"/>
          <w:insideH w:val="nil"/>
          <w:insideV w:val="nil"/>
        </w:tcBorders>
      </w:tcPr>
    </w:tblStylePr>
    <w:tblStylePr w:type="firstCol">
      <w:rPr>
        <w:b/>
        <w:bCs/>
      </w:rPr>
    </w:tblStylePr>
    <w:tblStylePr w:type="lastCol">
      <w:rPr>
        <w:b/>
        <w:bCs/>
      </w:rPr>
    </w:tblStylePr>
    <w:tblStylePr w:type="band1Vert">
      <w:tblPr/>
      <w:tcPr>
        <w:shd w:val="clear" w:color="auto" w:fill="FADECB" w:themeFill="accent2" w:themeFillTint="3F"/>
      </w:tcPr>
    </w:tblStylePr>
    <w:tblStylePr w:type="band1Horz">
      <w:tblPr/>
      <w:tcPr>
        <w:tcBorders>
          <w:insideH w:val="nil"/>
          <w:insideV w:val="nil"/>
        </w:tcBorders>
        <w:shd w:val="clear" w:color="auto" w:fill="FADECB"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semiHidden/>
    <w:unhideWhenUsed/>
    <w:rsid w:val="00C10A5B"/>
    <w:pPr>
      <w:spacing w:after="0" w:line="240" w:lineRule="auto"/>
    </w:pPr>
    <w:tblPr>
      <w:tblStyleRowBandSize w:val="1"/>
      <w:tblStyleColBandSize w:val="1"/>
      <w:tblBorders>
        <w:top w:val="single" w:sz="8" w:space="0" w:color="BBBBBB" w:themeColor="accent3" w:themeTint="BF"/>
        <w:left w:val="single" w:sz="8" w:space="0" w:color="BBBBBB" w:themeColor="accent3" w:themeTint="BF"/>
        <w:bottom w:val="single" w:sz="8" w:space="0" w:color="BBBBBB" w:themeColor="accent3" w:themeTint="BF"/>
        <w:right w:val="single" w:sz="8" w:space="0" w:color="BBBBBB" w:themeColor="accent3" w:themeTint="BF"/>
        <w:insideH w:val="single" w:sz="8" w:space="0" w:color="BBBBBB" w:themeColor="accent3" w:themeTint="BF"/>
      </w:tblBorders>
    </w:tblPr>
    <w:tblStylePr w:type="firstRow">
      <w:pPr>
        <w:spacing w:before="0" w:after="0" w:line="240" w:lineRule="auto"/>
      </w:pPr>
      <w:rPr>
        <w:b/>
        <w:bCs/>
        <w:color w:val="FFFFFF" w:themeColor="background1"/>
      </w:rPr>
      <w:tblPr/>
      <w:tcPr>
        <w:tcBorders>
          <w:top w:val="single" w:sz="8" w:space="0" w:color="BBBBBB" w:themeColor="accent3" w:themeTint="BF"/>
          <w:left w:val="single" w:sz="8" w:space="0" w:color="BBBBBB" w:themeColor="accent3" w:themeTint="BF"/>
          <w:bottom w:val="single" w:sz="8" w:space="0" w:color="BBBBBB" w:themeColor="accent3" w:themeTint="BF"/>
          <w:right w:val="single" w:sz="8" w:space="0" w:color="BBBBBB" w:themeColor="accent3" w:themeTint="BF"/>
          <w:insideH w:val="nil"/>
          <w:insideV w:val="nil"/>
        </w:tcBorders>
        <w:shd w:val="clear" w:color="auto" w:fill="A5A5A5" w:themeFill="accent3"/>
      </w:tcPr>
    </w:tblStylePr>
    <w:tblStylePr w:type="lastRow">
      <w:pPr>
        <w:spacing w:before="0" w:after="0" w:line="240" w:lineRule="auto"/>
      </w:pPr>
      <w:rPr>
        <w:b/>
        <w:bCs/>
      </w:rPr>
      <w:tblPr/>
      <w:tcPr>
        <w:tcBorders>
          <w:top w:val="double" w:sz="6" w:space="0" w:color="BBBBBB" w:themeColor="accent3" w:themeTint="BF"/>
          <w:left w:val="single" w:sz="8" w:space="0" w:color="BBBBBB" w:themeColor="accent3" w:themeTint="BF"/>
          <w:bottom w:val="single" w:sz="8" w:space="0" w:color="BBBBBB" w:themeColor="accent3" w:themeTint="BF"/>
          <w:right w:val="single" w:sz="8" w:space="0" w:color="BBBBBB" w:themeColor="accent3" w:themeTint="BF"/>
          <w:insideH w:val="nil"/>
          <w:insideV w:val="nil"/>
        </w:tcBorders>
      </w:tcPr>
    </w:tblStylePr>
    <w:tblStylePr w:type="firstCol">
      <w:rPr>
        <w:b/>
        <w:bCs/>
      </w:rPr>
    </w:tblStylePr>
    <w:tblStylePr w:type="lastCol">
      <w:rPr>
        <w:b/>
        <w:bCs/>
      </w:rPr>
    </w:tblStylePr>
    <w:tblStylePr w:type="band1Vert">
      <w:tblPr/>
      <w:tcPr>
        <w:shd w:val="clear" w:color="auto" w:fill="E8E8E8" w:themeFill="accent3" w:themeFillTint="3F"/>
      </w:tcPr>
    </w:tblStylePr>
    <w:tblStylePr w:type="band1Horz">
      <w:tblPr/>
      <w:tcPr>
        <w:tcBorders>
          <w:insideH w:val="nil"/>
          <w:insideV w:val="nil"/>
        </w:tcBorders>
        <w:shd w:val="clear" w:color="auto" w:fill="E8E8E8"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semiHidden/>
    <w:unhideWhenUsed/>
    <w:rsid w:val="00C10A5B"/>
    <w:pPr>
      <w:spacing w:after="0" w:line="240" w:lineRule="auto"/>
    </w:pPr>
    <w:tblPr>
      <w:tblStyleRowBandSize w:val="1"/>
      <w:tblStyleColBandSize w:val="1"/>
      <w:tblBorders>
        <w:top w:val="single" w:sz="8" w:space="0" w:color="FFCF40" w:themeColor="accent4" w:themeTint="BF"/>
        <w:left w:val="single" w:sz="8" w:space="0" w:color="FFCF40" w:themeColor="accent4" w:themeTint="BF"/>
        <w:bottom w:val="single" w:sz="8" w:space="0" w:color="FFCF40" w:themeColor="accent4" w:themeTint="BF"/>
        <w:right w:val="single" w:sz="8" w:space="0" w:color="FFCF40" w:themeColor="accent4" w:themeTint="BF"/>
        <w:insideH w:val="single" w:sz="8" w:space="0" w:color="FFCF40" w:themeColor="accent4" w:themeTint="BF"/>
      </w:tblBorders>
    </w:tblPr>
    <w:tblStylePr w:type="firstRow">
      <w:pPr>
        <w:spacing w:before="0" w:after="0" w:line="240" w:lineRule="auto"/>
      </w:pPr>
      <w:rPr>
        <w:b/>
        <w:bCs/>
        <w:color w:val="FFFFFF" w:themeColor="background1"/>
      </w:rPr>
      <w:tblPr/>
      <w:tcPr>
        <w:tcBorders>
          <w:top w:val="single" w:sz="8" w:space="0" w:color="FFCF40" w:themeColor="accent4" w:themeTint="BF"/>
          <w:left w:val="single" w:sz="8" w:space="0" w:color="FFCF40" w:themeColor="accent4" w:themeTint="BF"/>
          <w:bottom w:val="single" w:sz="8" w:space="0" w:color="FFCF40" w:themeColor="accent4" w:themeTint="BF"/>
          <w:right w:val="single" w:sz="8" w:space="0" w:color="FFCF40" w:themeColor="accent4" w:themeTint="BF"/>
          <w:insideH w:val="nil"/>
          <w:insideV w:val="nil"/>
        </w:tcBorders>
        <w:shd w:val="clear" w:color="auto" w:fill="FFC000" w:themeFill="accent4"/>
      </w:tcPr>
    </w:tblStylePr>
    <w:tblStylePr w:type="lastRow">
      <w:pPr>
        <w:spacing w:before="0" w:after="0" w:line="240" w:lineRule="auto"/>
      </w:pPr>
      <w:rPr>
        <w:b/>
        <w:bCs/>
      </w:rPr>
      <w:tblPr/>
      <w:tcPr>
        <w:tcBorders>
          <w:top w:val="double" w:sz="6" w:space="0" w:color="FFCF40" w:themeColor="accent4" w:themeTint="BF"/>
          <w:left w:val="single" w:sz="8" w:space="0" w:color="FFCF40" w:themeColor="accent4" w:themeTint="BF"/>
          <w:bottom w:val="single" w:sz="8" w:space="0" w:color="FFCF40" w:themeColor="accent4" w:themeTint="BF"/>
          <w:right w:val="single" w:sz="8" w:space="0" w:color="FFCF40" w:themeColor="accent4" w:themeTint="BF"/>
          <w:insideH w:val="nil"/>
          <w:insideV w:val="nil"/>
        </w:tcBorders>
      </w:tcPr>
    </w:tblStylePr>
    <w:tblStylePr w:type="firstCol">
      <w:rPr>
        <w:b/>
        <w:bCs/>
      </w:rPr>
    </w:tblStylePr>
    <w:tblStylePr w:type="lastCol">
      <w:rPr>
        <w:b/>
        <w:bCs/>
      </w:rPr>
    </w:tblStylePr>
    <w:tblStylePr w:type="band1Vert">
      <w:tblPr/>
      <w:tcPr>
        <w:shd w:val="clear" w:color="auto" w:fill="FFEFC0" w:themeFill="accent4" w:themeFillTint="3F"/>
      </w:tcPr>
    </w:tblStylePr>
    <w:tblStylePr w:type="band1Horz">
      <w:tblPr/>
      <w:tcPr>
        <w:tcBorders>
          <w:insideH w:val="nil"/>
          <w:insideV w:val="nil"/>
        </w:tcBorders>
        <w:shd w:val="clear" w:color="auto" w:fill="FFEFC0"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semiHidden/>
    <w:unhideWhenUsed/>
    <w:rsid w:val="00C10A5B"/>
    <w:pPr>
      <w:spacing w:after="0" w:line="240" w:lineRule="auto"/>
    </w:pPr>
    <w:tblPr>
      <w:tblStyleRowBandSize w:val="1"/>
      <w:tblStyleColBandSize w:val="1"/>
      <w:tblBorders>
        <w:top w:val="single" w:sz="8" w:space="0" w:color="84B3DF" w:themeColor="accent5" w:themeTint="BF"/>
        <w:left w:val="single" w:sz="8" w:space="0" w:color="84B3DF" w:themeColor="accent5" w:themeTint="BF"/>
        <w:bottom w:val="single" w:sz="8" w:space="0" w:color="84B3DF" w:themeColor="accent5" w:themeTint="BF"/>
        <w:right w:val="single" w:sz="8" w:space="0" w:color="84B3DF" w:themeColor="accent5" w:themeTint="BF"/>
        <w:insideH w:val="single" w:sz="8" w:space="0" w:color="84B3DF" w:themeColor="accent5" w:themeTint="BF"/>
      </w:tblBorders>
    </w:tblPr>
    <w:tblStylePr w:type="firstRow">
      <w:pPr>
        <w:spacing w:before="0" w:after="0" w:line="240" w:lineRule="auto"/>
      </w:pPr>
      <w:rPr>
        <w:b/>
        <w:bCs/>
        <w:color w:val="FFFFFF" w:themeColor="background1"/>
      </w:rPr>
      <w:tblPr/>
      <w:tcPr>
        <w:tcBorders>
          <w:top w:val="single" w:sz="8" w:space="0" w:color="84B3DF" w:themeColor="accent5" w:themeTint="BF"/>
          <w:left w:val="single" w:sz="8" w:space="0" w:color="84B3DF" w:themeColor="accent5" w:themeTint="BF"/>
          <w:bottom w:val="single" w:sz="8" w:space="0" w:color="84B3DF" w:themeColor="accent5" w:themeTint="BF"/>
          <w:right w:val="single" w:sz="8" w:space="0" w:color="84B3DF" w:themeColor="accent5" w:themeTint="BF"/>
          <w:insideH w:val="nil"/>
          <w:insideV w:val="nil"/>
        </w:tcBorders>
        <w:shd w:val="clear" w:color="auto" w:fill="5B9BD5" w:themeFill="accent5"/>
      </w:tcPr>
    </w:tblStylePr>
    <w:tblStylePr w:type="lastRow">
      <w:pPr>
        <w:spacing w:before="0" w:after="0" w:line="240" w:lineRule="auto"/>
      </w:pPr>
      <w:rPr>
        <w:b/>
        <w:bCs/>
      </w:rPr>
      <w:tblPr/>
      <w:tcPr>
        <w:tcBorders>
          <w:top w:val="double" w:sz="6" w:space="0" w:color="84B3DF" w:themeColor="accent5" w:themeTint="BF"/>
          <w:left w:val="single" w:sz="8" w:space="0" w:color="84B3DF" w:themeColor="accent5" w:themeTint="BF"/>
          <w:bottom w:val="single" w:sz="8" w:space="0" w:color="84B3DF" w:themeColor="accent5" w:themeTint="BF"/>
          <w:right w:val="single" w:sz="8" w:space="0" w:color="84B3DF" w:themeColor="accent5" w:themeTint="BF"/>
          <w:insideH w:val="nil"/>
          <w:insideV w:val="nil"/>
        </w:tcBorders>
      </w:tcPr>
    </w:tblStylePr>
    <w:tblStylePr w:type="firstCol">
      <w:rPr>
        <w:b/>
        <w:bCs/>
      </w:rPr>
    </w:tblStylePr>
    <w:tblStylePr w:type="lastCol">
      <w:rPr>
        <w:b/>
        <w:bCs/>
      </w:rPr>
    </w:tblStylePr>
    <w:tblStylePr w:type="band1Vert">
      <w:tblPr/>
      <w:tcPr>
        <w:shd w:val="clear" w:color="auto" w:fill="D6E6F4" w:themeFill="accent5" w:themeFillTint="3F"/>
      </w:tcPr>
    </w:tblStylePr>
    <w:tblStylePr w:type="band1Horz">
      <w:tblPr/>
      <w:tcPr>
        <w:tcBorders>
          <w:insideH w:val="nil"/>
          <w:insideV w:val="nil"/>
        </w:tcBorders>
        <w:shd w:val="clear" w:color="auto" w:fill="D6E6F4"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semiHidden/>
    <w:unhideWhenUsed/>
    <w:rsid w:val="00C10A5B"/>
    <w:pPr>
      <w:spacing w:after="0" w:line="240" w:lineRule="auto"/>
    </w:pPr>
    <w:tblPr>
      <w:tblStyleRowBandSize w:val="1"/>
      <w:tblStyleColBandSize w:val="1"/>
      <w:tblBorders>
        <w:top w:val="single" w:sz="8" w:space="0" w:color="93C571" w:themeColor="accent6" w:themeTint="BF"/>
        <w:left w:val="single" w:sz="8" w:space="0" w:color="93C571" w:themeColor="accent6" w:themeTint="BF"/>
        <w:bottom w:val="single" w:sz="8" w:space="0" w:color="93C571" w:themeColor="accent6" w:themeTint="BF"/>
        <w:right w:val="single" w:sz="8" w:space="0" w:color="93C571" w:themeColor="accent6" w:themeTint="BF"/>
        <w:insideH w:val="single" w:sz="8" w:space="0" w:color="93C571" w:themeColor="accent6" w:themeTint="BF"/>
      </w:tblBorders>
    </w:tblPr>
    <w:tblStylePr w:type="firstRow">
      <w:pPr>
        <w:spacing w:before="0" w:after="0" w:line="240" w:lineRule="auto"/>
      </w:pPr>
      <w:rPr>
        <w:b/>
        <w:bCs/>
        <w:color w:val="FFFFFF" w:themeColor="background1"/>
      </w:rPr>
      <w:tblPr/>
      <w:tcPr>
        <w:tcBorders>
          <w:top w:val="single" w:sz="8" w:space="0" w:color="93C571" w:themeColor="accent6" w:themeTint="BF"/>
          <w:left w:val="single" w:sz="8" w:space="0" w:color="93C571" w:themeColor="accent6" w:themeTint="BF"/>
          <w:bottom w:val="single" w:sz="8" w:space="0" w:color="93C571" w:themeColor="accent6" w:themeTint="BF"/>
          <w:right w:val="single" w:sz="8" w:space="0" w:color="93C571" w:themeColor="accent6" w:themeTint="BF"/>
          <w:insideH w:val="nil"/>
          <w:insideV w:val="nil"/>
        </w:tcBorders>
        <w:shd w:val="clear" w:color="auto" w:fill="70AD47" w:themeFill="accent6"/>
      </w:tcPr>
    </w:tblStylePr>
    <w:tblStylePr w:type="lastRow">
      <w:pPr>
        <w:spacing w:before="0" w:after="0" w:line="240" w:lineRule="auto"/>
      </w:pPr>
      <w:rPr>
        <w:b/>
        <w:bCs/>
      </w:rPr>
      <w:tblPr/>
      <w:tcPr>
        <w:tcBorders>
          <w:top w:val="double" w:sz="6" w:space="0" w:color="93C571" w:themeColor="accent6" w:themeTint="BF"/>
          <w:left w:val="single" w:sz="8" w:space="0" w:color="93C571" w:themeColor="accent6" w:themeTint="BF"/>
          <w:bottom w:val="single" w:sz="8" w:space="0" w:color="93C571" w:themeColor="accent6" w:themeTint="BF"/>
          <w:right w:val="single" w:sz="8" w:space="0" w:color="93C571" w:themeColor="accent6" w:themeTint="BF"/>
          <w:insideH w:val="nil"/>
          <w:insideV w:val="nil"/>
        </w:tcBorders>
      </w:tcPr>
    </w:tblStylePr>
    <w:tblStylePr w:type="firstCol">
      <w:rPr>
        <w:b/>
        <w:bCs/>
      </w:rPr>
    </w:tblStylePr>
    <w:tblStylePr w:type="lastCol">
      <w:rPr>
        <w:b/>
        <w:bCs/>
      </w:rPr>
    </w:tblStylePr>
    <w:tblStylePr w:type="band1Vert">
      <w:tblPr/>
      <w:tcPr>
        <w:shd w:val="clear" w:color="auto" w:fill="DBEBD0" w:themeFill="accent6" w:themeFillTint="3F"/>
      </w:tcPr>
    </w:tblStylePr>
    <w:tblStylePr w:type="band1Horz">
      <w:tblPr/>
      <w:tcPr>
        <w:tcBorders>
          <w:insideH w:val="nil"/>
          <w:insideV w:val="nil"/>
        </w:tcBorders>
        <w:shd w:val="clear" w:color="auto" w:fill="DBEB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semiHidden/>
    <w:unhideWhenUsed/>
    <w:rsid w:val="00C10A5B"/>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semiHidden/>
    <w:unhideWhenUsed/>
    <w:rsid w:val="00C10A5B"/>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472C4"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472C4" w:themeFill="accent1"/>
      </w:tcPr>
    </w:tblStylePr>
    <w:tblStylePr w:type="lastCol">
      <w:rPr>
        <w:b/>
        <w:bCs/>
        <w:color w:val="FFFFFF" w:themeColor="background1"/>
      </w:rPr>
      <w:tblPr/>
      <w:tcPr>
        <w:tcBorders>
          <w:left w:val="nil"/>
          <w:right w:val="nil"/>
          <w:insideH w:val="nil"/>
          <w:insideV w:val="nil"/>
        </w:tcBorders>
        <w:shd w:val="clear" w:color="auto" w:fill="4472C4"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semiHidden/>
    <w:unhideWhenUsed/>
    <w:rsid w:val="00C10A5B"/>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ED7D31"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ED7D31" w:themeFill="accent2"/>
      </w:tcPr>
    </w:tblStylePr>
    <w:tblStylePr w:type="lastCol">
      <w:rPr>
        <w:b/>
        <w:bCs/>
        <w:color w:val="FFFFFF" w:themeColor="background1"/>
      </w:rPr>
      <w:tblPr/>
      <w:tcPr>
        <w:tcBorders>
          <w:left w:val="nil"/>
          <w:right w:val="nil"/>
          <w:insideH w:val="nil"/>
          <w:insideV w:val="nil"/>
        </w:tcBorders>
        <w:shd w:val="clear" w:color="auto" w:fill="ED7D31"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semiHidden/>
    <w:unhideWhenUsed/>
    <w:rsid w:val="00C10A5B"/>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A5A5A5"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A5A5A5" w:themeFill="accent3"/>
      </w:tcPr>
    </w:tblStylePr>
    <w:tblStylePr w:type="lastCol">
      <w:rPr>
        <w:b/>
        <w:bCs/>
        <w:color w:val="FFFFFF" w:themeColor="background1"/>
      </w:rPr>
      <w:tblPr/>
      <w:tcPr>
        <w:tcBorders>
          <w:left w:val="nil"/>
          <w:right w:val="nil"/>
          <w:insideH w:val="nil"/>
          <w:insideV w:val="nil"/>
        </w:tcBorders>
        <w:shd w:val="clear" w:color="auto" w:fill="A5A5A5"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semiHidden/>
    <w:unhideWhenUsed/>
    <w:rsid w:val="00C10A5B"/>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FC000"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FC000" w:themeFill="accent4"/>
      </w:tcPr>
    </w:tblStylePr>
    <w:tblStylePr w:type="lastCol">
      <w:rPr>
        <w:b/>
        <w:bCs/>
        <w:color w:val="FFFFFF" w:themeColor="background1"/>
      </w:rPr>
      <w:tblPr/>
      <w:tcPr>
        <w:tcBorders>
          <w:left w:val="nil"/>
          <w:right w:val="nil"/>
          <w:insideH w:val="nil"/>
          <w:insideV w:val="nil"/>
        </w:tcBorders>
        <w:shd w:val="clear" w:color="auto" w:fill="FFC000"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semiHidden/>
    <w:unhideWhenUsed/>
    <w:rsid w:val="00C10A5B"/>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5B9BD5"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5B9BD5" w:themeFill="accent5"/>
      </w:tcPr>
    </w:tblStylePr>
    <w:tblStylePr w:type="lastCol">
      <w:rPr>
        <w:b/>
        <w:bCs/>
        <w:color w:val="FFFFFF" w:themeColor="background1"/>
      </w:rPr>
      <w:tblPr/>
      <w:tcPr>
        <w:tcBorders>
          <w:left w:val="nil"/>
          <w:right w:val="nil"/>
          <w:insideH w:val="nil"/>
          <w:insideV w:val="nil"/>
        </w:tcBorders>
        <w:shd w:val="clear" w:color="auto" w:fill="5B9BD5"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semiHidden/>
    <w:unhideWhenUsed/>
    <w:rsid w:val="00C10A5B"/>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70AD47"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70AD47" w:themeFill="accent6"/>
      </w:tcPr>
    </w:tblStylePr>
    <w:tblStylePr w:type="lastCol">
      <w:rPr>
        <w:b/>
        <w:bCs/>
        <w:color w:val="FFFFFF" w:themeColor="background1"/>
      </w:rPr>
      <w:tblPr/>
      <w:tcPr>
        <w:tcBorders>
          <w:left w:val="nil"/>
          <w:right w:val="nil"/>
          <w:insideH w:val="nil"/>
          <w:insideV w:val="nil"/>
        </w:tcBorders>
        <w:shd w:val="clear" w:color="auto" w:fill="70AD47"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paragraph" w:styleId="MessageHeader">
    <w:name w:val="Message Header"/>
    <w:basedOn w:val="Normal"/>
    <w:link w:val="MessageHeaderChar"/>
    <w:uiPriority w:val="99"/>
    <w:semiHidden/>
    <w:unhideWhenUsed/>
    <w:rsid w:val="00C10A5B"/>
    <w:pPr>
      <w:pBdr>
        <w:top w:val="single" w:sz="6" w:space="1" w:color="auto"/>
        <w:left w:val="single" w:sz="6" w:space="1" w:color="auto"/>
        <w:bottom w:val="single" w:sz="6" w:space="1" w:color="auto"/>
        <w:right w:val="single" w:sz="6" w:space="1" w:color="auto"/>
      </w:pBdr>
      <w:shd w:val="pct20" w:color="auto" w:fill="auto"/>
      <w:ind w:left="1134" w:hanging="1134"/>
    </w:pPr>
    <w:rPr>
      <w:rFonts w:asciiTheme="majorHAnsi" w:eastAsiaTheme="majorEastAsia" w:hAnsiTheme="majorHAnsi" w:cstheme="majorBidi"/>
      <w:sz w:val="24"/>
      <w:szCs w:val="24"/>
    </w:rPr>
  </w:style>
  <w:style w:type="character" w:customStyle="1" w:styleId="MessageHeaderChar">
    <w:name w:val="Message Header Char"/>
    <w:basedOn w:val="DefaultParagraphFont"/>
    <w:link w:val="MessageHeader"/>
    <w:uiPriority w:val="99"/>
    <w:semiHidden/>
    <w:rsid w:val="00C10A5B"/>
    <w:rPr>
      <w:rFonts w:asciiTheme="majorHAnsi" w:eastAsiaTheme="majorEastAsia" w:hAnsiTheme="majorHAnsi" w:cstheme="majorBidi"/>
      <w:kern w:val="0"/>
      <w:sz w:val="24"/>
      <w:szCs w:val="24"/>
      <w:shd w:val="pct20" w:color="auto" w:fill="auto"/>
      <w:lang w:val="en-GB"/>
      <w14:ligatures w14:val="none"/>
    </w:rPr>
  </w:style>
  <w:style w:type="paragraph" w:styleId="NoSpacing">
    <w:name w:val="No Spacing"/>
    <w:uiPriority w:val="1"/>
    <w:qFormat/>
    <w:rsid w:val="00C10A5B"/>
    <w:pPr>
      <w:tabs>
        <w:tab w:val="left" w:pos="567"/>
        <w:tab w:val="left" w:pos="1134"/>
        <w:tab w:val="left" w:pos="1701"/>
        <w:tab w:val="left" w:pos="2268"/>
      </w:tabs>
      <w:spacing w:after="0" w:line="240" w:lineRule="auto"/>
      <w:jc w:val="both"/>
    </w:pPr>
    <w:rPr>
      <w:rFonts w:ascii="Times New Roman" w:eastAsia="SimSun" w:hAnsi="Times New Roman" w:cs="Times New Roman"/>
      <w:kern w:val="0"/>
      <w:lang w:val="en-GB"/>
      <w14:ligatures w14:val="none"/>
    </w:rPr>
  </w:style>
  <w:style w:type="paragraph" w:styleId="NormalWeb">
    <w:name w:val="Normal (Web)"/>
    <w:basedOn w:val="Normal"/>
    <w:uiPriority w:val="99"/>
    <w:semiHidden/>
    <w:unhideWhenUsed/>
    <w:rsid w:val="00C10A5B"/>
    <w:rPr>
      <w:sz w:val="24"/>
      <w:szCs w:val="24"/>
    </w:rPr>
  </w:style>
  <w:style w:type="paragraph" w:styleId="NormalIndent">
    <w:name w:val="Normal Indent"/>
    <w:basedOn w:val="Normal"/>
    <w:uiPriority w:val="99"/>
    <w:semiHidden/>
    <w:unhideWhenUsed/>
    <w:rsid w:val="00C10A5B"/>
    <w:pPr>
      <w:ind w:left="720"/>
    </w:pPr>
  </w:style>
  <w:style w:type="paragraph" w:styleId="NoteHeading">
    <w:name w:val="Note Heading"/>
    <w:basedOn w:val="Normal"/>
    <w:next w:val="Normal"/>
    <w:link w:val="NoteHeadingChar"/>
    <w:uiPriority w:val="99"/>
    <w:semiHidden/>
    <w:unhideWhenUsed/>
    <w:rsid w:val="00C10A5B"/>
  </w:style>
  <w:style w:type="character" w:customStyle="1" w:styleId="NoteHeadingChar">
    <w:name w:val="Note Heading Char"/>
    <w:basedOn w:val="DefaultParagraphFont"/>
    <w:link w:val="NoteHeading"/>
    <w:uiPriority w:val="99"/>
    <w:semiHidden/>
    <w:rsid w:val="00C10A5B"/>
    <w:rPr>
      <w:rFonts w:ascii="Times New Roman" w:eastAsia="SimSun" w:hAnsi="Times New Roman" w:cs="Times New Roman"/>
      <w:kern w:val="0"/>
      <w:lang w:val="en-GB"/>
      <w14:ligatures w14:val="none"/>
    </w:rPr>
  </w:style>
  <w:style w:type="table" w:styleId="PlainTable1">
    <w:name w:val="Plain Table 1"/>
    <w:basedOn w:val="TableNormal"/>
    <w:uiPriority w:val="41"/>
    <w:rsid w:val="00C10A5B"/>
    <w:pPr>
      <w:spacing w:after="0" w:line="240" w:lineRule="auto"/>
    </w:p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PlainTable2">
    <w:name w:val="Plain Table 2"/>
    <w:basedOn w:val="TableNormal"/>
    <w:uiPriority w:val="42"/>
    <w:rsid w:val="00C10A5B"/>
    <w:pPr>
      <w:spacing w:after="0" w:line="240" w:lineRule="auto"/>
    </w:p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styleId="PlainTable3">
    <w:name w:val="Plain Table 3"/>
    <w:basedOn w:val="TableNormal"/>
    <w:uiPriority w:val="43"/>
    <w:rsid w:val="00C10A5B"/>
    <w:pPr>
      <w:spacing w:after="0" w:line="240" w:lineRule="auto"/>
    </w:pPr>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styleId="PlainTable4">
    <w:name w:val="Plain Table 4"/>
    <w:basedOn w:val="TableNormal"/>
    <w:uiPriority w:val="44"/>
    <w:rsid w:val="00C10A5B"/>
    <w:pPr>
      <w:spacing w:after="0" w:line="240" w:lineRule="auto"/>
    </w:pPr>
    <w:tblPr>
      <w:tblStyleRowBandSize w:val="1"/>
      <w:tblStyleColBandSize w:val="1"/>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PlainTable5">
    <w:name w:val="Plain Table 5"/>
    <w:basedOn w:val="TableNormal"/>
    <w:uiPriority w:val="45"/>
    <w:rsid w:val="00C10A5B"/>
    <w:pPr>
      <w:spacing w:after="0" w:line="240" w:lineRule="auto"/>
    </w:p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7F7F7F" w:themeColor="text1" w:themeTint="80"/>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7F7F7F" w:themeColor="text1" w:themeTint="80"/>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7F7F7F" w:themeColor="text1" w:themeTint="80"/>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7F7F7F" w:themeColor="text1" w:themeTint="80"/>
        </w:tcBorders>
        <w:shd w:val="clear" w:color="auto" w:fill="FFFFFF" w:themeFill="background1"/>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paragraph" w:styleId="PlainText">
    <w:name w:val="Plain Text"/>
    <w:basedOn w:val="Normal"/>
    <w:link w:val="PlainTextChar"/>
    <w:uiPriority w:val="99"/>
    <w:semiHidden/>
    <w:unhideWhenUsed/>
    <w:rsid w:val="00C10A5B"/>
    <w:rPr>
      <w:rFonts w:ascii="Consolas" w:hAnsi="Consolas"/>
      <w:sz w:val="21"/>
      <w:szCs w:val="21"/>
    </w:rPr>
  </w:style>
  <w:style w:type="character" w:customStyle="1" w:styleId="PlainTextChar">
    <w:name w:val="Plain Text Char"/>
    <w:basedOn w:val="DefaultParagraphFont"/>
    <w:link w:val="PlainText"/>
    <w:uiPriority w:val="99"/>
    <w:semiHidden/>
    <w:rsid w:val="00C10A5B"/>
    <w:rPr>
      <w:rFonts w:ascii="Consolas" w:eastAsia="SimSun" w:hAnsi="Consolas" w:cs="Times New Roman"/>
      <w:kern w:val="0"/>
      <w:sz w:val="21"/>
      <w:szCs w:val="21"/>
      <w:lang w:val="en-GB"/>
      <w14:ligatures w14:val="none"/>
    </w:rPr>
  </w:style>
  <w:style w:type="paragraph" w:styleId="Quote">
    <w:name w:val="Quote"/>
    <w:basedOn w:val="Normal"/>
    <w:next w:val="Normal"/>
    <w:link w:val="QuoteChar"/>
    <w:uiPriority w:val="29"/>
    <w:qFormat/>
    <w:rsid w:val="00C10A5B"/>
    <w:pPr>
      <w:spacing w:before="200" w:after="160"/>
      <w:ind w:left="864" w:right="864"/>
      <w:jc w:val="center"/>
    </w:pPr>
    <w:rPr>
      <w:i/>
      <w:iCs/>
      <w:color w:val="404040" w:themeColor="text1" w:themeTint="BF"/>
    </w:rPr>
  </w:style>
  <w:style w:type="character" w:customStyle="1" w:styleId="QuoteChar">
    <w:name w:val="Quote Char"/>
    <w:basedOn w:val="DefaultParagraphFont"/>
    <w:link w:val="Quote"/>
    <w:uiPriority w:val="29"/>
    <w:rsid w:val="00C10A5B"/>
    <w:rPr>
      <w:rFonts w:ascii="Times New Roman" w:eastAsia="SimSun" w:hAnsi="Times New Roman" w:cs="Times New Roman"/>
      <w:i/>
      <w:iCs/>
      <w:color w:val="404040" w:themeColor="text1" w:themeTint="BF"/>
      <w:kern w:val="0"/>
      <w:lang w:val="en-GB"/>
      <w14:ligatures w14:val="none"/>
    </w:rPr>
  </w:style>
  <w:style w:type="paragraph" w:styleId="Salutation">
    <w:name w:val="Salutation"/>
    <w:basedOn w:val="Normal"/>
    <w:next w:val="Normal"/>
    <w:link w:val="SalutationChar"/>
    <w:uiPriority w:val="99"/>
    <w:semiHidden/>
    <w:unhideWhenUsed/>
    <w:rsid w:val="00C10A5B"/>
  </w:style>
  <w:style w:type="character" w:customStyle="1" w:styleId="SalutationChar">
    <w:name w:val="Salutation Char"/>
    <w:basedOn w:val="DefaultParagraphFont"/>
    <w:link w:val="Salutation"/>
    <w:uiPriority w:val="99"/>
    <w:semiHidden/>
    <w:rsid w:val="00C10A5B"/>
    <w:rPr>
      <w:rFonts w:ascii="Times New Roman" w:eastAsia="SimSun" w:hAnsi="Times New Roman" w:cs="Times New Roman"/>
      <w:kern w:val="0"/>
      <w:lang w:val="en-GB"/>
      <w14:ligatures w14:val="none"/>
    </w:rPr>
  </w:style>
  <w:style w:type="paragraph" w:styleId="Signature">
    <w:name w:val="Signature"/>
    <w:basedOn w:val="Normal"/>
    <w:link w:val="SignatureChar"/>
    <w:uiPriority w:val="99"/>
    <w:semiHidden/>
    <w:unhideWhenUsed/>
    <w:rsid w:val="00C10A5B"/>
    <w:pPr>
      <w:ind w:left="4252"/>
    </w:pPr>
  </w:style>
  <w:style w:type="character" w:customStyle="1" w:styleId="SignatureChar">
    <w:name w:val="Signature Char"/>
    <w:basedOn w:val="DefaultParagraphFont"/>
    <w:link w:val="Signature"/>
    <w:uiPriority w:val="99"/>
    <w:semiHidden/>
    <w:rsid w:val="00C10A5B"/>
    <w:rPr>
      <w:rFonts w:ascii="Times New Roman" w:eastAsia="SimSun" w:hAnsi="Times New Roman" w:cs="Times New Roman"/>
      <w:kern w:val="0"/>
      <w:lang w:val="en-GB"/>
      <w14:ligatures w14:val="none"/>
    </w:rPr>
  </w:style>
  <w:style w:type="character" w:styleId="SmartHyperlink">
    <w:name w:val="Smart Hyperlink"/>
    <w:basedOn w:val="DefaultParagraphFont"/>
    <w:uiPriority w:val="99"/>
    <w:semiHidden/>
    <w:unhideWhenUsed/>
    <w:rsid w:val="00C10A5B"/>
    <w:rPr>
      <w:u w:val="dotted"/>
      <w:lang w:val="en-GB"/>
    </w:rPr>
  </w:style>
  <w:style w:type="character" w:styleId="SmartLink">
    <w:name w:val="Smart Link"/>
    <w:basedOn w:val="DefaultParagraphFont"/>
    <w:uiPriority w:val="99"/>
    <w:semiHidden/>
    <w:unhideWhenUsed/>
    <w:rsid w:val="00C10A5B"/>
    <w:rPr>
      <w:color w:val="0000FF"/>
      <w:u w:val="single"/>
      <w:shd w:val="clear" w:color="auto" w:fill="F3F2F1"/>
      <w:lang w:val="en-GB"/>
    </w:rPr>
  </w:style>
  <w:style w:type="character" w:styleId="SubtleEmphasis">
    <w:name w:val="Subtle Emphasis"/>
    <w:basedOn w:val="DefaultParagraphFont"/>
    <w:uiPriority w:val="19"/>
    <w:qFormat/>
    <w:rsid w:val="00C10A5B"/>
    <w:rPr>
      <w:i/>
      <w:iCs/>
      <w:color w:val="404040" w:themeColor="text1" w:themeTint="BF"/>
      <w:lang w:val="en-GB"/>
    </w:rPr>
  </w:style>
  <w:style w:type="character" w:styleId="SubtleReference">
    <w:name w:val="Subtle Reference"/>
    <w:basedOn w:val="DefaultParagraphFont"/>
    <w:uiPriority w:val="31"/>
    <w:qFormat/>
    <w:rsid w:val="00C10A5B"/>
    <w:rPr>
      <w:smallCaps/>
      <w:color w:val="5A5A5A" w:themeColor="text1" w:themeTint="A5"/>
      <w:lang w:val="en-GB"/>
    </w:rPr>
  </w:style>
  <w:style w:type="table" w:styleId="Table3Deffects1">
    <w:name w:val="Table 3D effects 1"/>
    <w:basedOn w:val="TableNormal"/>
    <w:uiPriority w:val="99"/>
    <w:semiHidden/>
    <w:unhideWhenUsed/>
    <w:rsid w:val="00C10A5B"/>
    <w:pPr>
      <w:tabs>
        <w:tab w:val="left" w:pos="567"/>
        <w:tab w:val="left" w:pos="1134"/>
        <w:tab w:val="left" w:pos="1701"/>
        <w:tab w:val="left" w:pos="2268"/>
      </w:tabs>
      <w:spacing w:after="0" w:line="240" w:lineRule="auto"/>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uiPriority w:val="99"/>
    <w:semiHidden/>
    <w:unhideWhenUsed/>
    <w:rsid w:val="00C10A5B"/>
    <w:pPr>
      <w:tabs>
        <w:tab w:val="left" w:pos="567"/>
        <w:tab w:val="left" w:pos="1134"/>
        <w:tab w:val="left" w:pos="1701"/>
        <w:tab w:val="left" w:pos="2268"/>
      </w:tabs>
      <w:spacing w:after="0" w:line="240" w:lineRule="auto"/>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uiPriority w:val="99"/>
    <w:semiHidden/>
    <w:unhideWhenUsed/>
    <w:rsid w:val="00C10A5B"/>
    <w:pPr>
      <w:tabs>
        <w:tab w:val="left" w:pos="567"/>
        <w:tab w:val="left" w:pos="1134"/>
        <w:tab w:val="left" w:pos="1701"/>
        <w:tab w:val="left" w:pos="2268"/>
      </w:tabs>
      <w:spacing w:after="0" w:line="240" w:lineRule="auto"/>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uiPriority w:val="99"/>
    <w:semiHidden/>
    <w:unhideWhenUsed/>
    <w:rsid w:val="00C10A5B"/>
    <w:pPr>
      <w:tabs>
        <w:tab w:val="left" w:pos="567"/>
        <w:tab w:val="left" w:pos="1134"/>
        <w:tab w:val="left" w:pos="1701"/>
        <w:tab w:val="left" w:pos="2268"/>
      </w:tabs>
      <w:spacing w:after="0" w:line="240" w:lineRule="auto"/>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uiPriority w:val="99"/>
    <w:semiHidden/>
    <w:unhideWhenUsed/>
    <w:rsid w:val="00C10A5B"/>
    <w:pPr>
      <w:tabs>
        <w:tab w:val="left" w:pos="567"/>
        <w:tab w:val="left" w:pos="1134"/>
        <w:tab w:val="left" w:pos="1701"/>
        <w:tab w:val="left" w:pos="2268"/>
      </w:tabs>
      <w:spacing w:after="0" w:line="240" w:lineRule="auto"/>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uiPriority w:val="99"/>
    <w:semiHidden/>
    <w:unhideWhenUsed/>
    <w:rsid w:val="00C10A5B"/>
    <w:pPr>
      <w:tabs>
        <w:tab w:val="left" w:pos="567"/>
        <w:tab w:val="left" w:pos="1134"/>
        <w:tab w:val="left" w:pos="1701"/>
        <w:tab w:val="left" w:pos="2268"/>
      </w:tabs>
      <w:spacing w:after="0" w:line="240" w:lineRule="auto"/>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uiPriority w:val="99"/>
    <w:semiHidden/>
    <w:unhideWhenUsed/>
    <w:rsid w:val="00C10A5B"/>
    <w:pPr>
      <w:tabs>
        <w:tab w:val="left" w:pos="567"/>
        <w:tab w:val="left" w:pos="1134"/>
        <w:tab w:val="left" w:pos="1701"/>
        <w:tab w:val="left" w:pos="2268"/>
      </w:tabs>
      <w:spacing w:after="0" w:line="240" w:lineRule="auto"/>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uiPriority w:val="99"/>
    <w:semiHidden/>
    <w:unhideWhenUsed/>
    <w:rsid w:val="00C10A5B"/>
    <w:pPr>
      <w:tabs>
        <w:tab w:val="left" w:pos="567"/>
        <w:tab w:val="left" w:pos="1134"/>
        <w:tab w:val="left" w:pos="1701"/>
        <w:tab w:val="left" w:pos="2268"/>
      </w:tabs>
      <w:spacing w:after="0" w:line="240" w:lineRule="auto"/>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uiPriority w:val="99"/>
    <w:semiHidden/>
    <w:unhideWhenUsed/>
    <w:rsid w:val="00C10A5B"/>
    <w:pPr>
      <w:tabs>
        <w:tab w:val="left" w:pos="567"/>
        <w:tab w:val="left" w:pos="1134"/>
        <w:tab w:val="left" w:pos="1701"/>
        <w:tab w:val="left" w:pos="2268"/>
      </w:tabs>
      <w:spacing w:after="0" w:line="240" w:lineRule="auto"/>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uiPriority w:val="99"/>
    <w:semiHidden/>
    <w:unhideWhenUsed/>
    <w:rsid w:val="00C10A5B"/>
    <w:pPr>
      <w:tabs>
        <w:tab w:val="left" w:pos="567"/>
        <w:tab w:val="left" w:pos="1134"/>
        <w:tab w:val="left" w:pos="1701"/>
        <w:tab w:val="left" w:pos="2268"/>
      </w:tabs>
      <w:spacing w:after="0" w:line="240" w:lineRule="auto"/>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uiPriority w:val="99"/>
    <w:semiHidden/>
    <w:unhideWhenUsed/>
    <w:rsid w:val="00C10A5B"/>
    <w:pPr>
      <w:tabs>
        <w:tab w:val="left" w:pos="567"/>
        <w:tab w:val="left" w:pos="1134"/>
        <w:tab w:val="left" w:pos="1701"/>
        <w:tab w:val="left" w:pos="2268"/>
      </w:tabs>
      <w:spacing w:after="0" w:line="240" w:lineRule="auto"/>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uiPriority w:val="99"/>
    <w:semiHidden/>
    <w:unhideWhenUsed/>
    <w:rsid w:val="00C10A5B"/>
    <w:pPr>
      <w:tabs>
        <w:tab w:val="left" w:pos="567"/>
        <w:tab w:val="left" w:pos="1134"/>
        <w:tab w:val="left" w:pos="1701"/>
        <w:tab w:val="left" w:pos="2268"/>
      </w:tabs>
      <w:spacing w:after="0" w:line="240" w:lineRule="auto"/>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uiPriority w:val="99"/>
    <w:semiHidden/>
    <w:unhideWhenUsed/>
    <w:rsid w:val="00C10A5B"/>
    <w:pPr>
      <w:tabs>
        <w:tab w:val="left" w:pos="567"/>
        <w:tab w:val="left" w:pos="1134"/>
        <w:tab w:val="left" w:pos="1701"/>
        <w:tab w:val="left" w:pos="2268"/>
      </w:tabs>
      <w:spacing w:after="0" w:line="240" w:lineRule="auto"/>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uiPriority w:val="99"/>
    <w:semiHidden/>
    <w:unhideWhenUsed/>
    <w:rsid w:val="00C10A5B"/>
    <w:pPr>
      <w:tabs>
        <w:tab w:val="left" w:pos="567"/>
        <w:tab w:val="left" w:pos="1134"/>
        <w:tab w:val="left" w:pos="1701"/>
        <w:tab w:val="left" w:pos="2268"/>
      </w:tabs>
      <w:spacing w:after="0" w:line="240" w:lineRule="auto"/>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uiPriority w:val="99"/>
    <w:semiHidden/>
    <w:unhideWhenUsed/>
    <w:rsid w:val="00C10A5B"/>
    <w:pPr>
      <w:tabs>
        <w:tab w:val="left" w:pos="567"/>
        <w:tab w:val="left" w:pos="1134"/>
        <w:tab w:val="left" w:pos="1701"/>
        <w:tab w:val="left" w:pos="2268"/>
      </w:tabs>
      <w:spacing w:after="0" w:line="240" w:lineRule="auto"/>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uiPriority w:val="99"/>
    <w:semiHidden/>
    <w:unhideWhenUsed/>
    <w:rsid w:val="00C10A5B"/>
    <w:pPr>
      <w:tabs>
        <w:tab w:val="left" w:pos="567"/>
        <w:tab w:val="left" w:pos="1134"/>
        <w:tab w:val="left" w:pos="1701"/>
        <w:tab w:val="left" w:pos="2268"/>
      </w:tabs>
      <w:spacing w:after="0" w:line="240" w:lineRule="auto"/>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uiPriority w:val="99"/>
    <w:semiHidden/>
    <w:unhideWhenUsed/>
    <w:rsid w:val="00C10A5B"/>
    <w:pPr>
      <w:tabs>
        <w:tab w:val="left" w:pos="567"/>
        <w:tab w:val="left" w:pos="1134"/>
        <w:tab w:val="left" w:pos="1701"/>
        <w:tab w:val="left" w:pos="2268"/>
      </w:tabs>
      <w:spacing w:after="0" w:line="240" w:lineRule="auto"/>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10">
    <w:name w:val="Table Grid 1"/>
    <w:basedOn w:val="TableNormal"/>
    <w:uiPriority w:val="99"/>
    <w:semiHidden/>
    <w:unhideWhenUsed/>
    <w:rsid w:val="00C10A5B"/>
    <w:pPr>
      <w:tabs>
        <w:tab w:val="left" w:pos="567"/>
        <w:tab w:val="left" w:pos="1134"/>
        <w:tab w:val="left" w:pos="1701"/>
        <w:tab w:val="left" w:pos="2268"/>
      </w:tabs>
      <w:spacing w:after="0" w:line="240" w:lineRule="auto"/>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0">
    <w:name w:val="Table Grid 2"/>
    <w:basedOn w:val="TableNormal"/>
    <w:uiPriority w:val="99"/>
    <w:semiHidden/>
    <w:unhideWhenUsed/>
    <w:rsid w:val="00C10A5B"/>
    <w:pPr>
      <w:tabs>
        <w:tab w:val="left" w:pos="567"/>
        <w:tab w:val="left" w:pos="1134"/>
        <w:tab w:val="left" w:pos="1701"/>
        <w:tab w:val="left" w:pos="2268"/>
      </w:tabs>
      <w:spacing w:after="0" w:line="240" w:lineRule="auto"/>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uiPriority w:val="99"/>
    <w:semiHidden/>
    <w:unhideWhenUsed/>
    <w:rsid w:val="00C10A5B"/>
    <w:pPr>
      <w:tabs>
        <w:tab w:val="left" w:pos="567"/>
        <w:tab w:val="left" w:pos="1134"/>
        <w:tab w:val="left" w:pos="1701"/>
        <w:tab w:val="left" w:pos="2268"/>
      </w:tabs>
      <w:spacing w:after="0" w:line="240" w:lineRule="auto"/>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uiPriority w:val="99"/>
    <w:semiHidden/>
    <w:unhideWhenUsed/>
    <w:rsid w:val="00C10A5B"/>
    <w:pPr>
      <w:tabs>
        <w:tab w:val="left" w:pos="567"/>
        <w:tab w:val="left" w:pos="1134"/>
        <w:tab w:val="left" w:pos="1701"/>
        <w:tab w:val="left" w:pos="2268"/>
      </w:tabs>
      <w:spacing w:after="0" w:line="240" w:lineRule="auto"/>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uiPriority w:val="99"/>
    <w:semiHidden/>
    <w:unhideWhenUsed/>
    <w:rsid w:val="00C10A5B"/>
    <w:pPr>
      <w:tabs>
        <w:tab w:val="left" w:pos="567"/>
        <w:tab w:val="left" w:pos="1134"/>
        <w:tab w:val="left" w:pos="1701"/>
        <w:tab w:val="left" w:pos="2268"/>
      </w:tabs>
      <w:spacing w:after="0" w:line="240" w:lineRule="auto"/>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uiPriority w:val="99"/>
    <w:semiHidden/>
    <w:unhideWhenUsed/>
    <w:rsid w:val="00C10A5B"/>
    <w:pPr>
      <w:tabs>
        <w:tab w:val="left" w:pos="567"/>
        <w:tab w:val="left" w:pos="1134"/>
        <w:tab w:val="left" w:pos="1701"/>
        <w:tab w:val="left" w:pos="2268"/>
      </w:tabs>
      <w:spacing w:after="0" w:line="240" w:lineRule="auto"/>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uiPriority w:val="99"/>
    <w:semiHidden/>
    <w:unhideWhenUsed/>
    <w:rsid w:val="00C10A5B"/>
    <w:pPr>
      <w:tabs>
        <w:tab w:val="left" w:pos="567"/>
        <w:tab w:val="left" w:pos="1134"/>
        <w:tab w:val="left" w:pos="1701"/>
        <w:tab w:val="left" w:pos="2268"/>
      </w:tabs>
      <w:spacing w:after="0" w:line="240" w:lineRule="auto"/>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uiPriority w:val="99"/>
    <w:semiHidden/>
    <w:unhideWhenUsed/>
    <w:rsid w:val="00C10A5B"/>
    <w:pPr>
      <w:tabs>
        <w:tab w:val="left" w:pos="567"/>
        <w:tab w:val="left" w:pos="1134"/>
        <w:tab w:val="left" w:pos="1701"/>
        <w:tab w:val="left" w:pos="2268"/>
      </w:tabs>
      <w:spacing w:after="0" w:line="240" w:lineRule="auto"/>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GridLight">
    <w:name w:val="Grid Table Light"/>
    <w:basedOn w:val="TableNormal"/>
    <w:uiPriority w:val="40"/>
    <w:rsid w:val="00C10A5B"/>
    <w:pPr>
      <w:spacing w:after="0" w:line="240" w:lineRule="auto"/>
    </w:p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table" w:styleId="TableList1">
    <w:name w:val="Table List 1"/>
    <w:basedOn w:val="TableNormal"/>
    <w:uiPriority w:val="99"/>
    <w:semiHidden/>
    <w:unhideWhenUsed/>
    <w:rsid w:val="00C10A5B"/>
    <w:pPr>
      <w:tabs>
        <w:tab w:val="left" w:pos="567"/>
        <w:tab w:val="left" w:pos="1134"/>
        <w:tab w:val="left" w:pos="1701"/>
        <w:tab w:val="left" w:pos="2268"/>
      </w:tabs>
      <w:spacing w:after="0" w:line="240" w:lineRule="auto"/>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uiPriority w:val="99"/>
    <w:semiHidden/>
    <w:unhideWhenUsed/>
    <w:rsid w:val="00C10A5B"/>
    <w:pPr>
      <w:tabs>
        <w:tab w:val="left" w:pos="567"/>
        <w:tab w:val="left" w:pos="1134"/>
        <w:tab w:val="left" w:pos="1701"/>
        <w:tab w:val="left" w:pos="2268"/>
      </w:tabs>
      <w:spacing w:after="0" w:line="240" w:lineRule="auto"/>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uiPriority w:val="99"/>
    <w:semiHidden/>
    <w:unhideWhenUsed/>
    <w:rsid w:val="00C10A5B"/>
    <w:pPr>
      <w:tabs>
        <w:tab w:val="left" w:pos="567"/>
        <w:tab w:val="left" w:pos="1134"/>
        <w:tab w:val="left" w:pos="1701"/>
        <w:tab w:val="left" w:pos="2268"/>
      </w:tabs>
      <w:spacing w:after="0" w:line="240" w:lineRule="auto"/>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uiPriority w:val="99"/>
    <w:semiHidden/>
    <w:unhideWhenUsed/>
    <w:rsid w:val="00C10A5B"/>
    <w:pPr>
      <w:tabs>
        <w:tab w:val="left" w:pos="567"/>
        <w:tab w:val="left" w:pos="1134"/>
        <w:tab w:val="left" w:pos="1701"/>
        <w:tab w:val="left" w:pos="2268"/>
      </w:tabs>
      <w:spacing w:after="0" w:line="240" w:lineRule="auto"/>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uiPriority w:val="99"/>
    <w:semiHidden/>
    <w:unhideWhenUsed/>
    <w:rsid w:val="00C10A5B"/>
    <w:pPr>
      <w:tabs>
        <w:tab w:val="left" w:pos="567"/>
        <w:tab w:val="left" w:pos="1134"/>
        <w:tab w:val="left" w:pos="1701"/>
        <w:tab w:val="left" w:pos="2268"/>
      </w:tabs>
      <w:spacing w:after="0" w:line="240" w:lineRule="auto"/>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uiPriority w:val="99"/>
    <w:semiHidden/>
    <w:unhideWhenUsed/>
    <w:rsid w:val="00C10A5B"/>
    <w:pPr>
      <w:tabs>
        <w:tab w:val="left" w:pos="567"/>
        <w:tab w:val="left" w:pos="1134"/>
        <w:tab w:val="left" w:pos="1701"/>
        <w:tab w:val="left" w:pos="2268"/>
      </w:tabs>
      <w:spacing w:after="0" w:line="240" w:lineRule="auto"/>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uiPriority w:val="99"/>
    <w:semiHidden/>
    <w:unhideWhenUsed/>
    <w:rsid w:val="00C10A5B"/>
    <w:pPr>
      <w:tabs>
        <w:tab w:val="left" w:pos="567"/>
        <w:tab w:val="left" w:pos="1134"/>
        <w:tab w:val="left" w:pos="1701"/>
        <w:tab w:val="left" w:pos="2268"/>
      </w:tabs>
      <w:spacing w:after="0" w:line="240" w:lineRule="auto"/>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uiPriority w:val="99"/>
    <w:semiHidden/>
    <w:unhideWhenUsed/>
    <w:rsid w:val="00C10A5B"/>
    <w:pPr>
      <w:tabs>
        <w:tab w:val="left" w:pos="567"/>
        <w:tab w:val="left" w:pos="1134"/>
        <w:tab w:val="left" w:pos="1701"/>
        <w:tab w:val="left" w:pos="2268"/>
      </w:tabs>
      <w:spacing w:after="0" w:line="240" w:lineRule="auto"/>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paragraph" w:styleId="TableofAuthorities">
    <w:name w:val="table of authorities"/>
    <w:basedOn w:val="Normal"/>
    <w:next w:val="Normal"/>
    <w:uiPriority w:val="99"/>
    <w:semiHidden/>
    <w:unhideWhenUsed/>
    <w:rsid w:val="00C10A5B"/>
    <w:pPr>
      <w:tabs>
        <w:tab w:val="clear" w:pos="567"/>
        <w:tab w:val="clear" w:pos="1134"/>
        <w:tab w:val="clear" w:pos="1701"/>
        <w:tab w:val="clear" w:pos="2268"/>
      </w:tabs>
      <w:ind w:left="220" w:hanging="220"/>
    </w:pPr>
  </w:style>
  <w:style w:type="paragraph" w:styleId="TableofFigures">
    <w:name w:val="table of figures"/>
    <w:basedOn w:val="Normal"/>
    <w:next w:val="Normal"/>
    <w:uiPriority w:val="99"/>
    <w:semiHidden/>
    <w:unhideWhenUsed/>
    <w:rsid w:val="00C10A5B"/>
    <w:pPr>
      <w:tabs>
        <w:tab w:val="clear" w:pos="567"/>
        <w:tab w:val="clear" w:pos="1134"/>
        <w:tab w:val="clear" w:pos="1701"/>
        <w:tab w:val="clear" w:pos="2268"/>
      </w:tabs>
    </w:pPr>
  </w:style>
  <w:style w:type="table" w:styleId="TableProfessional">
    <w:name w:val="Table Professional"/>
    <w:basedOn w:val="TableNormal"/>
    <w:uiPriority w:val="99"/>
    <w:semiHidden/>
    <w:unhideWhenUsed/>
    <w:rsid w:val="00C10A5B"/>
    <w:pPr>
      <w:tabs>
        <w:tab w:val="left" w:pos="567"/>
        <w:tab w:val="left" w:pos="1134"/>
        <w:tab w:val="left" w:pos="1701"/>
        <w:tab w:val="left" w:pos="2268"/>
      </w:tabs>
      <w:spacing w:after="0" w:line="240" w:lineRule="auto"/>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uiPriority w:val="99"/>
    <w:semiHidden/>
    <w:unhideWhenUsed/>
    <w:rsid w:val="00C10A5B"/>
    <w:pPr>
      <w:tabs>
        <w:tab w:val="left" w:pos="567"/>
        <w:tab w:val="left" w:pos="1134"/>
        <w:tab w:val="left" w:pos="1701"/>
        <w:tab w:val="left" w:pos="2268"/>
      </w:tabs>
      <w:spacing w:after="0" w:line="240" w:lineRule="auto"/>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uiPriority w:val="99"/>
    <w:semiHidden/>
    <w:unhideWhenUsed/>
    <w:rsid w:val="00C10A5B"/>
    <w:pPr>
      <w:tabs>
        <w:tab w:val="left" w:pos="567"/>
        <w:tab w:val="left" w:pos="1134"/>
        <w:tab w:val="left" w:pos="1701"/>
        <w:tab w:val="left" w:pos="2268"/>
      </w:tabs>
      <w:spacing w:after="0" w:line="240" w:lineRule="auto"/>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uiPriority w:val="99"/>
    <w:semiHidden/>
    <w:unhideWhenUsed/>
    <w:rsid w:val="00C10A5B"/>
    <w:pPr>
      <w:tabs>
        <w:tab w:val="left" w:pos="567"/>
        <w:tab w:val="left" w:pos="1134"/>
        <w:tab w:val="left" w:pos="1701"/>
        <w:tab w:val="left" w:pos="2268"/>
      </w:tabs>
      <w:spacing w:after="0" w:line="240" w:lineRule="auto"/>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uiPriority w:val="99"/>
    <w:semiHidden/>
    <w:unhideWhenUsed/>
    <w:rsid w:val="00C10A5B"/>
    <w:pPr>
      <w:tabs>
        <w:tab w:val="left" w:pos="567"/>
        <w:tab w:val="left" w:pos="1134"/>
        <w:tab w:val="left" w:pos="1701"/>
        <w:tab w:val="left" w:pos="2268"/>
      </w:tabs>
      <w:spacing w:after="0" w:line="240" w:lineRule="auto"/>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uiPriority w:val="99"/>
    <w:semiHidden/>
    <w:unhideWhenUsed/>
    <w:rsid w:val="00C10A5B"/>
    <w:pPr>
      <w:tabs>
        <w:tab w:val="left" w:pos="567"/>
        <w:tab w:val="left" w:pos="1134"/>
        <w:tab w:val="left" w:pos="1701"/>
        <w:tab w:val="left" w:pos="2268"/>
      </w:tabs>
      <w:spacing w:after="0" w:line="240" w:lineRule="auto"/>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uiPriority w:val="99"/>
    <w:semiHidden/>
    <w:unhideWhenUsed/>
    <w:rsid w:val="00C10A5B"/>
    <w:pPr>
      <w:tabs>
        <w:tab w:val="left" w:pos="567"/>
        <w:tab w:val="left" w:pos="1134"/>
        <w:tab w:val="left" w:pos="1701"/>
        <w:tab w:val="left" w:pos="2268"/>
      </w:tabs>
      <w:spacing w:after="0" w:line="240"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uiPriority w:val="99"/>
    <w:semiHidden/>
    <w:unhideWhenUsed/>
    <w:rsid w:val="00C10A5B"/>
    <w:pPr>
      <w:tabs>
        <w:tab w:val="left" w:pos="567"/>
        <w:tab w:val="left" w:pos="1134"/>
        <w:tab w:val="left" w:pos="1701"/>
        <w:tab w:val="left" w:pos="2268"/>
      </w:tabs>
      <w:spacing w:after="0" w:line="240" w:lineRule="auto"/>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uiPriority w:val="99"/>
    <w:semiHidden/>
    <w:unhideWhenUsed/>
    <w:rsid w:val="00C10A5B"/>
    <w:pPr>
      <w:tabs>
        <w:tab w:val="left" w:pos="567"/>
        <w:tab w:val="left" w:pos="1134"/>
        <w:tab w:val="left" w:pos="1701"/>
        <w:tab w:val="left" w:pos="2268"/>
      </w:tabs>
      <w:spacing w:after="0" w:line="240" w:lineRule="auto"/>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uiPriority w:val="99"/>
    <w:semiHidden/>
    <w:unhideWhenUsed/>
    <w:rsid w:val="00C10A5B"/>
    <w:pPr>
      <w:tabs>
        <w:tab w:val="left" w:pos="567"/>
        <w:tab w:val="left" w:pos="1134"/>
        <w:tab w:val="left" w:pos="1701"/>
        <w:tab w:val="left" w:pos="2268"/>
      </w:tabs>
      <w:spacing w:after="0" w:line="240" w:lineRule="auto"/>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paragraph" w:styleId="TOAHeading">
    <w:name w:val="toa heading"/>
    <w:basedOn w:val="Normal"/>
    <w:next w:val="Normal"/>
    <w:uiPriority w:val="99"/>
    <w:semiHidden/>
    <w:unhideWhenUsed/>
    <w:rsid w:val="00C10A5B"/>
    <w:pPr>
      <w:spacing w:before="120"/>
    </w:pPr>
    <w:rPr>
      <w:rFonts w:asciiTheme="majorHAnsi" w:eastAsiaTheme="majorEastAsia" w:hAnsiTheme="majorHAnsi" w:cstheme="majorBidi"/>
      <w:b/>
      <w:bCs/>
      <w:sz w:val="24"/>
      <w:szCs w:val="24"/>
    </w:rPr>
  </w:style>
  <w:style w:type="paragraph" w:styleId="TOCHeading">
    <w:name w:val="TOC Heading"/>
    <w:basedOn w:val="Heading1"/>
    <w:next w:val="Normal"/>
    <w:uiPriority w:val="39"/>
    <w:semiHidden/>
    <w:unhideWhenUsed/>
    <w:qFormat/>
    <w:rsid w:val="00C10A5B"/>
    <w:pPr>
      <w:numPr>
        <w:numId w:val="0"/>
      </w:numPr>
      <w:tabs>
        <w:tab w:val="left" w:pos="567"/>
      </w:tabs>
      <w:spacing w:after="0"/>
      <w:jc w:val="both"/>
      <w:outlineLvl w:val="9"/>
    </w:pPr>
    <w:rPr>
      <w:rFonts w:asciiTheme="majorHAnsi" w:hAnsiTheme="majorHAnsi"/>
      <w:b w:val="0"/>
      <w:bCs w:val="0"/>
      <w:color w:val="2F5496" w:themeColor="accent1" w:themeShade="BF"/>
      <w:kern w:val="0"/>
      <w:sz w:val="32"/>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046293426">
      <w:bodyDiv w:val="1"/>
      <w:marLeft w:val="0"/>
      <w:marRight w:val="0"/>
      <w:marTop w:val="0"/>
      <w:marBottom w:val="0"/>
      <w:divBdr>
        <w:top w:val="none" w:sz="0" w:space="0" w:color="auto"/>
        <w:left w:val="none" w:sz="0" w:space="0" w:color="auto"/>
        <w:bottom w:val="none" w:sz="0" w:space="0" w:color="auto"/>
        <w:right w:val="none" w:sz="0" w:space="0" w:color="auto"/>
      </w:divBdr>
      <w:divsChild>
        <w:div w:id="599145448">
          <w:marLeft w:val="0"/>
          <w:marRight w:val="0"/>
          <w:marTop w:val="0"/>
          <w:marBottom w:val="0"/>
          <w:divBdr>
            <w:top w:val="none" w:sz="0" w:space="0" w:color="auto"/>
            <w:left w:val="none" w:sz="0" w:space="0" w:color="auto"/>
            <w:bottom w:val="none" w:sz="0" w:space="0" w:color="auto"/>
            <w:right w:val="none" w:sz="0" w:space="0" w:color="auto"/>
          </w:divBdr>
        </w:div>
        <w:div w:id="990787213">
          <w:marLeft w:val="0"/>
          <w:marRight w:val="0"/>
          <w:marTop w:val="0"/>
          <w:marBottom w:val="0"/>
          <w:divBdr>
            <w:top w:val="none" w:sz="0" w:space="0" w:color="auto"/>
            <w:left w:val="none" w:sz="0" w:space="0" w:color="auto"/>
            <w:bottom w:val="none" w:sz="0" w:space="0" w:color="auto"/>
            <w:right w:val="none" w:sz="0" w:space="0" w:color="auto"/>
          </w:divBdr>
        </w:div>
        <w:div w:id="1602256549">
          <w:marLeft w:val="0"/>
          <w:marRight w:val="0"/>
          <w:marTop w:val="0"/>
          <w:marBottom w:val="0"/>
          <w:divBdr>
            <w:top w:val="none" w:sz="0" w:space="0" w:color="auto"/>
            <w:left w:val="none" w:sz="0" w:space="0" w:color="auto"/>
            <w:bottom w:val="none" w:sz="0" w:space="0" w:color="auto"/>
            <w:right w:val="none" w:sz="0" w:space="0" w:color="auto"/>
          </w:divBdr>
        </w:div>
      </w:divsChild>
    </w:div>
    <w:div w:id="123053280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image" Target="media/image3.png"/><Relationship Id="rId18" Type="http://schemas.openxmlformats.org/officeDocument/2006/relationships/header" Target="header3.xml"/><Relationship Id="rId26" Type="http://schemas.openxmlformats.org/officeDocument/2006/relationships/hyperlink" Target="https://www.cbd.int/meetings/NP-MOP-03" TargetMode="External"/><Relationship Id="rId3" Type="http://schemas.openxmlformats.org/officeDocument/2006/relationships/customXml" Target="../customXml/item3.xml"/><Relationship Id="rId21" Type="http://schemas.openxmlformats.org/officeDocument/2006/relationships/hyperlink" Target="https://www.cbd.int/meetings/NP-MOP-03" TargetMode="External"/><Relationship Id="rId34" Type="http://schemas.openxmlformats.org/officeDocument/2006/relationships/theme" Target="theme/theme1.xml"/><Relationship Id="rId7" Type="http://schemas.openxmlformats.org/officeDocument/2006/relationships/settings" Target="settings.xml"/><Relationship Id="rId12" Type="http://schemas.openxmlformats.org/officeDocument/2006/relationships/image" Target="media/image2.png"/><Relationship Id="rId17" Type="http://schemas.openxmlformats.org/officeDocument/2006/relationships/footer" Target="footer2.xml"/><Relationship Id="rId25" Type="http://schemas.openxmlformats.org/officeDocument/2006/relationships/hyperlink" Target="https://www.cbd.int/meetings/NP-MOP-03" TargetMode="External"/><Relationship Id="rId33" Type="http://schemas.openxmlformats.org/officeDocument/2006/relationships/glossaryDocument" Target="glossary/document.xml"/><Relationship Id="rId2" Type="http://schemas.openxmlformats.org/officeDocument/2006/relationships/customXml" Target="../customXml/item2.xml"/><Relationship Id="rId16" Type="http://schemas.openxmlformats.org/officeDocument/2006/relationships/footer" Target="footer1.xml"/><Relationship Id="rId20" Type="http://schemas.openxmlformats.org/officeDocument/2006/relationships/hyperlink" Target="https://www.cbd.int/decisions/np-mop/?m=np-mop-05" TargetMode="External"/><Relationship Id="rId29" Type="http://schemas.openxmlformats.org/officeDocument/2006/relationships/chart" Target="charts/chart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emf"/><Relationship Id="rId24" Type="http://schemas.openxmlformats.org/officeDocument/2006/relationships/hyperlink" Target="https://www.cbd.int/decisions/np-mop/?m=np-mop-05" TargetMode="External"/><Relationship Id="rId32" Type="http://schemas.openxmlformats.org/officeDocument/2006/relationships/fontTable" Target="fontTable.xml"/><Relationship Id="rId5" Type="http://schemas.openxmlformats.org/officeDocument/2006/relationships/numbering" Target="numbering.xml"/><Relationship Id="rId15" Type="http://schemas.openxmlformats.org/officeDocument/2006/relationships/header" Target="header2.xml"/><Relationship Id="rId23" Type="http://schemas.openxmlformats.org/officeDocument/2006/relationships/hyperlink" Target="https://www.cbd.int/decisions/np-mop/?m=np-mop-05" TargetMode="External"/><Relationship Id="rId28" Type="http://schemas.openxmlformats.org/officeDocument/2006/relationships/hyperlink" Target="https://www.cbd.int/doc/decisions/np-mop-05/np-mop-05-dec-03-en.pdf" TargetMode="External"/><Relationship Id="rId10" Type="http://schemas.openxmlformats.org/officeDocument/2006/relationships/endnotes" Target="endnotes.xml"/><Relationship Id="rId19" Type="http://schemas.openxmlformats.org/officeDocument/2006/relationships/hyperlink" Target="https://www.cbd.int/meetings/NP-MOP-03" TargetMode="External"/><Relationship Id="rId31" Type="http://schemas.openxmlformats.org/officeDocument/2006/relationships/hyperlink" Target="https://www.cbd.int/doc/decisions/np-mop-05/np-mop-05-dec-07-en.pdf" TargetMode="Externa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eader" Target="header1.xml"/><Relationship Id="rId22" Type="http://schemas.openxmlformats.org/officeDocument/2006/relationships/hyperlink" Target="https://www.cbd.int/meetings/NP-MOP-03" TargetMode="External"/><Relationship Id="rId27" Type="http://schemas.openxmlformats.org/officeDocument/2006/relationships/hyperlink" Target="https://www.cbd.int/decision/np-mop/default.shtml?id=13409" TargetMode="External"/><Relationship Id="rId30" Type="http://schemas.openxmlformats.org/officeDocument/2006/relationships/chart" Target="charts/chart2.xml"/><Relationship Id="rId8" Type="http://schemas.openxmlformats.org/officeDocument/2006/relationships/webSettings" Target="webSettings.xml"/></Relationships>
</file>

<file path=word/_rels/footnotes.xml.rels><?xml version="1.0" encoding="UTF-8" standalone="yes"?>
<Relationships xmlns="http://schemas.openxmlformats.org/package/2006/relationships"><Relationship Id="rId26" Type="http://schemas.openxmlformats.org/officeDocument/2006/relationships/hyperlink" Target="https://www.cbd.int/documents/CBD/SBI/7/INF/2" TargetMode="External"/><Relationship Id="rId21" Type="http://schemas.openxmlformats.org/officeDocument/2006/relationships/hyperlink" Target="https://www.cbd.int/documents/CBD/SBI/7/INF/4" TargetMode="External"/><Relationship Id="rId42" Type="http://schemas.openxmlformats.org/officeDocument/2006/relationships/hyperlink" Target="https://www.cbd.int/documents/CBD/SBI/7/INF/2" TargetMode="External"/><Relationship Id="rId47" Type="http://schemas.openxmlformats.org/officeDocument/2006/relationships/hyperlink" Target="https://www.cbd.int/documents/CBD/SBI/7/INF/2" TargetMode="External"/><Relationship Id="rId63" Type="http://schemas.openxmlformats.org/officeDocument/2006/relationships/hyperlink" Target="https://www.cbd.int/doc/decisions/cop-15/cop-15-dec-08-en.pdf" TargetMode="External"/><Relationship Id="rId68" Type="http://schemas.openxmlformats.org/officeDocument/2006/relationships/hyperlink" Target="https://www.cbd.int/doc/decisions/np-mop-03/np-mop-03-dec-01-en.pdf" TargetMode="External"/><Relationship Id="rId84" Type="http://schemas.openxmlformats.org/officeDocument/2006/relationships/hyperlink" Target="https://www.cbd.int/documents/CBD/SBI/7/INF/2" TargetMode="External"/><Relationship Id="rId89" Type="http://schemas.openxmlformats.org/officeDocument/2006/relationships/hyperlink" Target="https://www.cbd.int/documents/CBD/SBI/7/INF/4" TargetMode="External"/><Relationship Id="rId16" Type="http://schemas.openxmlformats.org/officeDocument/2006/relationships/hyperlink" Target="https://www.cbd.int/abs/text/articles?sec=abs-17" TargetMode="External"/><Relationship Id="rId11" Type="http://schemas.openxmlformats.org/officeDocument/2006/relationships/hyperlink" Target="https://www.cbd.int/documents/CBD/SBI/7/INF/4" TargetMode="External"/><Relationship Id="rId32" Type="http://schemas.openxmlformats.org/officeDocument/2006/relationships/hyperlink" Target="https://www.cbd.int/documents/CBD/SBI/7/INF/2" TargetMode="External"/><Relationship Id="rId37" Type="http://schemas.openxmlformats.org/officeDocument/2006/relationships/hyperlink" Target="https://www.cbd.int/documents/CBD/SBI/7/INF/2" TargetMode="External"/><Relationship Id="rId53" Type="http://schemas.openxmlformats.org/officeDocument/2006/relationships/hyperlink" Target="https://www.cbd.int/documents/CBD/SBI/7/INF/3" TargetMode="External"/><Relationship Id="rId58" Type="http://schemas.openxmlformats.org/officeDocument/2006/relationships/hyperlink" Target="https://www.cbd.int/documents/CBD/SBI/7/INF/3" TargetMode="External"/><Relationship Id="rId74" Type="http://schemas.openxmlformats.org/officeDocument/2006/relationships/hyperlink" Target="https://www.cbd.int/documents/CBD/SBI/7/INF/2" TargetMode="External"/><Relationship Id="rId79" Type="http://schemas.openxmlformats.org/officeDocument/2006/relationships/hyperlink" Target="https://www.cbd.int/documents/CBD/SBI/7/INF/3" TargetMode="External"/><Relationship Id="rId5" Type="http://schemas.openxmlformats.org/officeDocument/2006/relationships/hyperlink" Target="https://www.cbd.int/documents/CBD/SBI/7/INF/6" TargetMode="External"/><Relationship Id="rId90" Type="http://schemas.openxmlformats.org/officeDocument/2006/relationships/hyperlink" Target="http://www.cbd.int/abs/art10.shtml" TargetMode="External"/><Relationship Id="rId22" Type="http://schemas.openxmlformats.org/officeDocument/2006/relationships/hyperlink" Target="https://www.cbd.int/documents/CBD/SBI/7/INF/4" TargetMode="External"/><Relationship Id="rId27" Type="http://schemas.openxmlformats.org/officeDocument/2006/relationships/hyperlink" Target="https://www.cbd.int/documents/CBD/SBI/7/INF/2" TargetMode="External"/><Relationship Id="rId43" Type="http://schemas.openxmlformats.org/officeDocument/2006/relationships/hyperlink" Target="https://www.cbd.int/documents/CBD/SBI/7/INF/2" TargetMode="External"/><Relationship Id="rId48" Type="http://schemas.openxmlformats.org/officeDocument/2006/relationships/hyperlink" Target="https://www.cbd.int/documents/CBD/SBI/7/INF/2" TargetMode="External"/><Relationship Id="rId64" Type="http://schemas.openxmlformats.org/officeDocument/2006/relationships/hyperlink" Target="https://www.cbd.int/documents/CBD/SBI/7/INF/2" TargetMode="External"/><Relationship Id="rId69" Type="http://schemas.openxmlformats.org/officeDocument/2006/relationships/hyperlink" Target="https://www.cbd.int/documents/CBD/SBI/7/INF/2" TargetMode="External"/><Relationship Id="rId8" Type="http://schemas.openxmlformats.org/officeDocument/2006/relationships/hyperlink" Target="https://www.cbd.int/documents/CBD/SBI/7/INF/3" TargetMode="External"/><Relationship Id="rId51" Type="http://schemas.openxmlformats.org/officeDocument/2006/relationships/hyperlink" Target="https://www.cbd.int/documents/CBD/SBI/7/INF/4" TargetMode="External"/><Relationship Id="rId72" Type="http://schemas.openxmlformats.org/officeDocument/2006/relationships/hyperlink" Target="https://www.cbd.int/documents/CBD/SBI/7/INF/2" TargetMode="External"/><Relationship Id="rId80" Type="http://schemas.openxmlformats.org/officeDocument/2006/relationships/hyperlink" Target="https://www.cbd.int/documents/CBD/SBI/7/INF/2" TargetMode="External"/><Relationship Id="rId85" Type="http://schemas.openxmlformats.org/officeDocument/2006/relationships/hyperlink" Target="https://www.cbd.int/documents/CBD/SBI/7/INF/5" TargetMode="External"/><Relationship Id="rId93" Type="http://schemas.openxmlformats.org/officeDocument/2006/relationships/hyperlink" Target="https://www.cbd.int/documents/CBD/SBI/7/INF/2" TargetMode="External"/><Relationship Id="rId3" Type="http://schemas.openxmlformats.org/officeDocument/2006/relationships/hyperlink" Target="https://www.cbd.int/documents/CBD/SBI/7/INF/4" TargetMode="External"/><Relationship Id="rId12" Type="http://schemas.openxmlformats.org/officeDocument/2006/relationships/hyperlink" Target="https://www.cbd.int/documents/CBD/SBI/7/INF/3" TargetMode="External"/><Relationship Id="rId17" Type="http://schemas.openxmlformats.org/officeDocument/2006/relationships/hyperlink" Target="https://www.cbd.int/documents/CBD/SBI/7/INF/2" TargetMode="External"/><Relationship Id="rId25" Type="http://schemas.openxmlformats.org/officeDocument/2006/relationships/hyperlink" Target="https://www.cbd.int/documents/CBD/SBI/7/INF/3" TargetMode="External"/><Relationship Id="rId33" Type="http://schemas.openxmlformats.org/officeDocument/2006/relationships/hyperlink" Target="https://www.cbd.int/documents/CBD/SBI/7/INF/3" TargetMode="External"/><Relationship Id="rId38" Type="http://schemas.openxmlformats.org/officeDocument/2006/relationships/hyperlink" Target="https://www.cbd.int/documents/CBD/SBI/7/INF/3" TargetMode="External"/><Relationship Id="rId46" Type="http://schemas.openxmlformats.org/officeDocument/2006/relationships/hyperlink" Target="https://www.cbd.int/documents/CBD/SBI/7/INF/3" TargetMode="External"/><Relationship Id="rId59" Type="http://schemas.openxmlformats.org/officeDocument/2006/relationships/hyperlink" Target="https://www.cbd.int/documents/CBD/SBI/7/INF/5" TargetMode="External"/><Relationship Id="rId67" Type="http://schemas.openxmlformats.org/officeDocument/2006/relationships/hyperlink" Target="https://www.cbd.int/documents/CBD/SBI/7/INF/2" TargetMode="External"/><Relationship Id="rId20" Type="http://schemas.openxmlformats.org/officeDocument/2006/relationships/hyperlink" Target="https://www.cbd.int/documents/CBD/SBI/7/INF/2" TargetMode="External"/><Relationship Id="rId41" Type="http://schemas.openxmlformats.org/officeDocument/2006/relationships/hyperlink" Target="https://www.cbd.int/documents/CBD/SBI/7/INF/2" TargetMode="External"/><Relationship Id="rId54" Type="http://schemas.openxmlformats.org/officeDocument/2006/relationships/hyperlink" Target="https://gbf-indicators.org/metadata/headline/C-1" TargetMode="External"/><Relationship Id="rId62" Type="http://schemas.openxmlformats.org/officeDocument/2006/relationships/hyperlink" Target="https://www.cbd.int/doc/decisions/cop-15/cop-15-dec-08-en.pdf" TargetMode="External"/><Relationship Id="rId70" Type="http://schemas.openxmlformats.org/officeDocument/2006/relationships/hyperlink" Target="https://www.cbd.int/documents/CBD/SBI/7/INF/2" TargetMode="External"/><Relationship Id="rId75" Type="http://schemas.openxmlformats.org/officeDocument/2006/relationships/hyperlink" Target="https://www.cbd.int/documents/CBD/SBI/7/INF/2" TargetMode="External"/><Relationship Id="rId83" Type="http://schemas.openxmlformats.org/officeDocument/2006/relationships/hyperlink" Target="https://www.cbd.int/documents/CBD/SBI/7/INF/4" TargetMode="External"/><Relationship Id="rId88" Type="http://schemas.openxmlformats.org/officeDocument/2006/relationships/hyperlink" Target="https://www.cbd.int/documents/CBD/SBI/7/INF/5" TargetMode="External"/><Relationship Id="rId91" Type="http://schemas.openxmlformats.org/officeDocument/2006/relationships/hyperlink" Target="https://www.cbd.int/documents/CBD/NP/MOP/5/10" TargetMode="External"/><Relationship Id="rId1" Type="http://schemas.openxmlformats.org/officeDocument/2006/relationships/hyperlink" Target="https://www.cbd.int/documents/CBD/SBI/7/INF/2" TargetMode="External"/><Relationship Id="rId6" Type="http://schemas.openxmlformats.org/officeDocument/2006/relationships/hyperlink" Target="https://www.cbd.int/documents/CBD/SBI/7/INF/7" TargetMode="External"/><Relationship Id="rId15" Type="http://schemas.openxmlformats.org/officeDocument/2006/relationships/hyperlink" Target="https://www.cbd.int/documents/CBD/SBI/7/INF/3" TargetMode="External"/><Relationship Id="rId23" Type="http://schemas.openxmlformats.org/officeDocument/2006/relationships/hyperlink" Target="https://www.cbd.int/documents/CBD/SBI/7/INF/4" TargetMode="External"/><Relationship Id="rId28" Type="http://schemas.openxmlformats.org/officeDocument/2006/relationships/hyperlink" Target="https://www.cbd.int/documents/CBD/SBI/7/INF/2" TargetMode="External"/><Relationship Id="rId36" Type="http://schemas.openxmlformats.org/officeDocument/2006/relationships/hyperlink" Target="https://www.cbd.int/documents/CBD/SBI/7/INF/3" TargetMode="External"/><Relationship Id="rId49" Type="http://schemas.openxmlformats.org/officeDocument/2006/relationships/hyperlink" Target="https://www.cbd.int/documents/CBD/SBI/7/INF/3" TargetMode="External"/><Relationship Id="rId57" Type="http://schemas.openxmlformats.org/officeDocument/2006/relationships/hyperlink" Target="https://www.cbd.int/documents/CBD/SBI/7/INF/5" TargetMode="External"/><Relationship Id="rId10" Type="http://schemas.openxmlformats.org/officeDocument/2006/relationships/hyperlink" Target="https://www.cbd.int/documents/CBD/SBI/7/INF/2" TargetMode="External"/><Relationship Id="rId31" Type="http://schemas.openxmlformats.org/officeDocument/2006/relationships/hyperlink" Target="https://www.cbd.int/documents/CBD/SBI/7/INF/4" TargetMode="External"/><Relationship Id="rId44" Type="http://schemas.openxmlformats.org/officeDocument/2006/relationships/hyperlink" Target="https://www.cbd.int/documents/CBD/SBI/7/INF/3" TargetMode="External"/><Relationship Id="rId52" Type="http://schemas.openxmlformats.org/officeDocument/2006/relationships/hyperlink" Target="https://www.cbd.int/documents/CBD/SBI/7/INF/3" TargetMode="External"/><Relationship Id="rId60" Type="http://schemas.openxmlformats.org/officeDocument/2006/relationships/hyperlink" Target="https://www.cbd.int/documents/CBD/SBI/7/INF/2" TargetMode="External"/><Relationship Id="rId65" Type="http://schemas.openxmlformats.org/officeDocument/2006/relationships/hyperlink" Target="https://www.cbd.int/documents/CBD/SBI/7/INF/3" TargetMode="External"/><Relationship Id="rId73" Type="http://schemas.openxmlformats.org/officeDocument/2006/relationships/hyperlink" Target="https://www.cbd.int/documents/CBD/SBI/7/INF/3" TargetMode="External"/><Relationship Id="rId78" Type="http://schemas.openxmlformats.org/officeDocument/2006/relationships/hyperlink" Target="https://www.cbd.int/documents/CBD/SBI/7/INF/2" TargetMode="External"/><Relationship Id="rId81" Type="http://schemas.openxmlformats.org/officeDocument/2006/relationships/hyperlink" Target="https://www.cbd.int/documents/CBD/SBI/7/INF/5" TargetMode="External"/><Relationship Id="rId86" Type="http://schemas.openxmlformats.org/officeDocument/2006/relationships/hyperlink" Target="https://absch.cbd.int/en/kb" TargetMode="External"/><Relationship Id="rId94" Type="http://schemas.openxmlformats.org/officeDocument/2006/relationships/hyperlink" Target="https://www.cbd.int/doc/decisions/np-mop-05/np-mop-05-dec-03-en.pdf" TargetMode="External"/><Relationship Id="rId4" Type="http://schemas.openxmlformats.org/officeDocument/2006/relationships/hyperlink" Target="https://www.cbd.int/documents/CBD/SBI/7/INF/5" TargetMode="External"/><Relationship Id="rId9" Type="http://schemas.openxmlformats.org/officeDocument/2006/relationships/hyperlink" Target="https://www.cbd.int/documents/CBD/SBI/7/INF/4" TargetMode="External"/><Relationship Id="rId13" Type="http://schemas.openxmlformats.org/officeDocument/2006/relationships/hyperlink" Target="https://www.cbd.int/documents/CBD/SBI/7/INF/3" TargetMode="External"/><Relationship Id="rId18" Type="http://schemas.openxmlformats.org/officeDocument/2006/relationships/hyperlink" Target="https://www.cbd.int/documents/CBD/SBI/7/INF/3" TargetMode="External"/><Relationship Id="rId39" Type="http://schemas.openxmlformats.org/officeDocument/2006/relationships/hyperlink" Target="https://www.cbd.int/documents/CBD/SBI/7/INF/2" TargetMode="External"/><Relationship Id="rId34" Type="http://schemas.openxmlformats.org/officeDocument/2006/relationships/hyperlink" Target="https://www.cbd.int/documents/CBD/SBI/7/INF/3" TargetMode="External"/><Relationship Id="rId50" Type="http://schemas.openxmlformats.org/officeDocument/2006/relationships/hyperlink" Target="https://www.cbd.int/documents/CBD/SBI/7/INF/4" TargetMode="External"/><Relationship Id="rId55" Type="http://schemas.openxmlformats.org/officeDocument/2006/relationships/hyperlink" Target="https://gbf-indicators.org/metadata/headline/C-2" TargetMode="External"/><Relationship Id="rId76" Type="http://schemas.openxmlformats.org/officeDocument/2006/relationships/hyperlink" Target="https://www.cbd.int/documents/CBD/SBI/7/INF/3" TargetMode="External"/><Relationship Id="rId7" Type="http://schemas.openxmlformats.org/officeDocument/2006/relationships/hyperlink" Target="https://www.cbd.int/documents/CBD/SBI/7/INF/2" TargetMode="External"/><Relationship Id="rId71" Type="http://schemas.openxmlformats.org/officeDocument/2006/relationships/hyperlink" Target="https://www.cbd.int/documents/CBD/SBI/7/INF/2" TargetMode="External"/><Relationship Id="rId92" Type="http://schemas.openxmlformats.org/officeDocument/2006/relationships/hyperlink" Target="https://www.cbd.int/documents/CBD/SBI/7/INF/2" TargetMode="External"/><Relationship Id="rId2" Type="http://schemas.openxmlformats.org/officeDocument/2006/relationships/hyperlink" Target="https://www.cbd.int/documents/CBD/SBI/7/INF/3" TargetMode="External"/><Relationship Id="rId29" Type="http://schemas.openxmlformats.org/officeDocument/2006/relationships/hyperlink" Target="https://www.cbd.int/documents/CBD/SBI/7/INF/3" TargetMode="External"/><Relationship Id="rId24" Type="http://schemas.openxmlformats.org/officeDocument/2006/relationships/hyperlink" Target="https://www.cbd.int/documents/CBD/SBI/7/INF/3" TargetMode="External"/><Relationship Id="rId40" Type="http://schemas.openxmlformats.org/officeDocument/2006/relationships/hyperlink" Target="https://www.cbd.int/documents/CBD/SBI/7/INF/3" TargetMode="External"/><Relationship Id="rId45" Type="http://schemas.openxmlformats.org/officeDocument/2006/relationships/hyperlink" Target="https://www.cbd.int/documents/CBD/SBI/7/INF/2" TargetMode="External"/><Relationship Id="rId66" Type="http://schemas.openxmlformats.org/officeDocument/2006/relationships/hyperlink" Target="https://www.cbd.int/documents/CBD/SBI/7/INF/7" TargetMode="External"/><Relationship Id="rId87" Type="http://schemas.openxmlformats.org/officeDocument/2006/relationships/hyperlink" Target="https://www.cbd.int/documents/CBD/SBI/7/INF/4" TargetMode="External"/><Relationship Id="rId61" Type="http://schemas.openxmlformats.org/officeDocument/2006/relationships/hyperlink" Target="https://www.cbd.int/doc/decisions/np-mop-05/np-mop-05-dec-03-en.pdf" TargetMode="External"/><Relationship Id="rId82" Type="http://schemas.openxmlformats.org/officeDocument/2006/relationships/hyperlink" Target="https://www.cbd.int/documents/CBD/SBI/7/INF/3" TargetMode="External"/><Relationship Id="rId19" Type="http://schemas.openxmlformats.org/officeDocument/2006/relationships/hyperlink" Target="https://www.cbd.int/documents/CBD/SBI/7/INF/4" TargetMode="External"/><Relationship Id="rId14" Type="http://schemas.openxmlformats.org/officeDocument/2006/relationships/hyperlink" Target="https://www.cbd.int/documents/CBD/SBI/7/INF/4" TargetMode="External"/><Relationship Id="rId30" Type="http://schemas.openxmlformats.org/officeDocument/2006/relationships/hyperlink" Target="https://www.cbd.int/documents/CBD/SBI/7/INF/4" TargetMode="External"/><Relationship Id="rId35" Type="http://schemas.openxmlformats.org/officeDocument/2006/relationships/hyperlink" Target="https://www.cbd.int/documents/CBD/SBI/7/INF/2" TargetMode="External"/><Relationship Id="rId56" Type="http://schemas.openxmlformats.org/officeDocument/2006/relationships/hyperlink" Target="https://www.cbd.int/documents/CBD/SBI/7/INF/2" TargetMode="External"/><Relationship Id="rId77" Type="http://schemas.openxmlformats.org/officeDocument/2006/relationships/hyperlink" Target="https://www.cbd.int/documents/CBD/SBI/7/INF/2"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scbd\Downloads\template-general.dotm" TargetMode="External"/></Relationships>
</file>

<file path=word/charts/_rels/chart1.xml.rels><?xml version="1.0" encoding="UTF-8" standalone="yes"?>
<Relationships xmlns="http://schemas.openxmlformats.org/package/2006/relationships"><Relationship Id="rId3" Type="http://schemas.openxmlformats.org/officeDocument/2006/relationships/oleObject" Target="https://unitednations-my.sharepoint.com/personal/diasm_un_org/Documents/Microsoft%20Teams%20Chat%20Files/records_vs_parties-used%20in%20doc.xlsx" TargetMode="External"/><Relationship Id="rId2" Type="http://schemas.microsoft.com/office/2011/relationships/chartColorStyle" Target="colors1.xml"/><Relationship Id="rId1" Type="http://schemas.microsoft.com/office/2011/relationships/chartStyle" Target="style1.xml"/></Relationships>
</file>

<file path=word/charts/_rels/chart2.xml.rels><?xml version="1.0" encoding="UTF-8" standalone="yes"?>
<Relationships xmlns="http://schemas.openxmlformats.org/package/2006/relationships"><Relationship Id="rId3" Type="http://schemas.openxmlformats.org/officeDocument/2006/relationships/themeOverride" Target="../theme/themeOverride1.xml"/><Relationship Id="rId2" Type="http://schemas.microsoft.com/office/2011/relationships/chartColorStyle" Target="colors2.xml"/><Relationship Id="rId1" Type="http://schemas.microsoft.com/office/2011/relationships/chartStyle" Target="style2.xml"/><Relationship Id="rId4" Type="http://schemas.openxmlformats.org/officeDocument/2006/relationships/oleObject" Target="https://unitednations.sharepoint.com/sites/MEA-CBD-Nagoya/Shared%20Documents/Global%20Overview/Assessment%20and%20review%202026/simple%20table%20draft.xlsx" TargetMode="External"/></Relationships>
</file>

<file path=word/charts/chart1.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barChart>
        <c:barDir val="col"/>
        <c:grouping val="clustered"/>
        <c:varyColors val="0"/>
        <c:ser>
          <c:idx val="0"/>
          <c:order val="0"/>
          <c:tx>
            <c:strRef>
              <c:f>'Chart Data'!$B$1</c:f>
              <c:strCache>
                <c:ptCount val="1"/>
                <c:pt idx="0">
                  <c:v>Number of records</c:v>
                </c:pt>
              </c:strCache>
            </c:strRef>
          </c:tx>
          <c:spPr>
            <a:solidFill>
              <a:schemeClr val="accent1"/>
            </a:solidFill>
            <a:ln>
              <a:noFill/>
            </a:ln>
            <a:effectLst/>
          </c:spPr>
          <c:invertIfNegative val="0"/>
          <c:dLbls>
            <c:dLbl>
              <c:idx val="0"/>
              <c:showLegendKey val="0"/>
              <c:showVal val="1"/>
              <c:showCatName val="0"/>
              <c:showSerName val="0"/>
              <c:showPercent val="0"/>
              <c:showBubbleSize val="1"/>
              <c:extLst>
                <c:ext xmlns:c15="http://schemas.microsoft.com/office/drawing/2012/chart" uri="{CE6537A1-D6FC-4f65-9D91-7224C49458BB}"/>
                <c:ext xmlns:c16="http://schemas.microsoft.com/office/drawing/2014/chart" uri="{C3380CC4-5D6E-409C-BE32-E72D297353CC}">
                  <c16:uniqueId val="{00000000-B806-4B48-B4E1-48C5025DF6B1}"/>
                </c:ext>
              </c:extLst>
            </c:dLbl>
            <c:dLbl>
              <c:idx val="1"/>
              <c:showLegendKey val="0"/>
              <c:showVal val="1"/>
              <c:showCatName val="0"/>
              <c:showSerName val="0"/>
              <c:showPercent val="0"/>
              <c:showBubbleSize val="1"/>
              <c:extLst>
                <c:ext xmlns:c15="http://schemas.microsoft.com/office/drawing/2012/chart" uri="{CE6537A1-D6FC-4f65-9D91-7224C49458BB}"/>
                <c:ext xmlns:c16="http://schemas.microsoft.com/office/drawing/2014/chart" uri="{C3380CC4-5D6E-409C-BE32-E72D297353CC}">
                  <c16:uniqueId val="{00000001-B806-4B48-B4E1-48C5025DF6B1}"/>
                </c:ext>
              </c:extLst>
            </c:dLbl>
            <c:dLbl>
              <c:idx val="2"/>
              <c:showLegendKey val="0"/>
              <c:showVal val="1"/>
              <c:showCatName val="0"/>
              <c:showSerName val="0"/>
              <c:showPercent val="0"/>
              <c:showBubbleSize val="1"/>
              <c:extLst>
                <c:ext xmlns:c15="http://schemas.microsoft.com/office/drawing/2012/chart" uri="{CE6537A1-D6FC-4f65-9D91-7224C49458BB}"/>
                <c:ext xmlns:c16="http://schemas.microsoft.com/office/drawing/2014/chart" uri="{C3380CC4-5D6E-409C-BE32-E72D297353CC}">
                  <c16:uniqueId val="{00000002-B806-4B48-B4E1-48C5025DF6B1}"/>
                </c:ext>
              </c:extLst>
            </c:dLbl>
            <c:dLbl>
              <c:idx val="3"/>
              <c:showLegendKey val="0"/>
              <c:showVal val="1"/>
              <c:showCatName val="0"/>
              <c:showSerName val="0"/>
              <c:showPercent val="0"/>
              <c:showBubbleSize val="1"/>
              <c:extLst>
                <c:ext xmlns:c15="http://schemas.microsoft.com/office/drawing/2012/chart" uri="{CE6537A1-D6FC-4f65-9D91-7224C49458BB}"/>
                <c:ext xmlns:c16="http://schemas.microsoft.com/office/drawing/2014/chart" uri="{C3380CC4-5D6E-409C-BE32-E72D297353CC}">
                  <c16:uniqueId val="{00000003-B806-4B48-B4E1-48C5025DF6B1}"/>
                </c:ext>
              </c:extLst>
            </c:dLbl>
            <c:dLbl>
              <c:idx val="4"/>
              <c:showLegendKey val="0"/>
              <c:showVal val="1"/>
              <c:showCatName val="0"/>
              <c:showSerName val="0"/>
              <c:showPercent val="0"/>
              <c:showBubbleSize val="1"/>
              <c:extLst>
                <c:ext xmlns:c15="http://schemas.microsoft.com/office/drawing/2012/chart" uri="{CE6537A1-D6FC-4f65-9D91-7224C49458BB}"/>
                <c:ext xmlns:c16="http://schemas.microsoft.com/office/drawing/2014/chart" uri="{C3380CC4-5D6E-409C-BE32-E72D297353CC}">
                  <c16:uniqueId val="{00000004-B806-4B48-B4E1-48C5025DF6B1}"/>
                </c:ext>
              </c:extLst>
            </c:dLbl>
            <c:dLbl>
              <c:idx val="5"/>
              <c:showLegendKey val="0"/>
              <c:showVal val="1"/>
              <c:showCatName val="0"/>
              <c:showSerName val="0"/>
              <c:showPercent val="0"/>
              <c:showBubbleSize val="1"/>
              <c:extLst>
                <c:ext xmlns:c15="http://schemas.microsoft.com/office/drawing/2012/chart" uri="{CE6537A1-D6FC-4f65-9D91-7224C49458BB}"/>
                <c:ext xmlns:c16="http://schemas.microsoft.com/office/drawing/2014/chart" uri="{C3380CC4-5D6E-409C-BE32-E72D297353CC}">
                  <c16:uniqueId val="{00000005-B806-4B48-B4E1-48C5025DF6B1}"/>
                </c:ext>
              </c:extLst>
            </c:dLbl>
            <c:dLbl>
              <c:idx val="6"/>
              <c:showLegendKey val="0"/>
              <c:showVal val="1"/>
              <c:showCatName val="0"/>
              <c:showSerName val="0"/>
              <c:showPercent val="0"/>
              <c:showBubbleSize val="1"/>
              <c:extLst>
                <c:ext xmlns:c15="http://schemas.microsoft.com/office/drawing/2012/chart" uri="{CE6537A1-D6FC-4f65-9D91-7224C49458BB}"/>
                <c:ext xmlns:c16="http://schemas.microsoft.com/office/drawing/2014/chart" uri="{C3380CC4-5D6E-409C-BE32-E72D297353CC}">
                  <c16:uniqueId val="{00000006-B806-4B48-B4E1-48C5025DF6B1}"/>
                </c:ext>
              </c:extLst>
            </c:dLbl>
            <c:dLbl>
              <c:idx val="7"/>
              <c:layout>
                <c:manualLayout>
                  <c:x val="-1.5229205539113876E-3"/>
                  <c:y val="0"/>
                </c:manualLayout>
              </c:layout>
              <c:showLegendKey val="0"/>
              <c:showVal val="1"/>
              <c:showCatName val="0"/>
              <c:showSerName val="0"/>
              <c:showPercent val="0"/>
              <c:showBubbleSize val="1"/>
              <c:separator> </c:separator>
              <c:extLst>
                <c:ext xmlns:c15="http://schemas.microsoft.com/office/drawing/2012/chart" uri="{CE6537A1-D6FC-4f65-9D91-7224C49458BB}"/>
                <c:ext xmlns:c16="http://schemas.microsoft.com/office/drawing/2014/chart" uri="{C3380CC4-5D6E-409C-BE32-E72D297353CC}">
                  <c16:uniqueId val="{00000007-B806-4B48-B4E1-48C5025DF6B1}"/>
                </c:ext>
              </c:extLst>
            </c:dLbl>
            <c:spPr>
              <a:noFill/>
              <a:ln>
                <a:noFill/>
              </a:ln>
              <a:effectLst/>
            </c:spPr>
            <c:txPr>
              <a:bodyPr rot="0" spcFirstLastPara="1" vertOverflow="ellipsis" vert="horz" wrap="square" lIns="38100" tIns="19050" rIns="38100" bIns="19050" anchor="ctr" anchorCtr="1">
                <a:spAutoFit/>
              </a:bodyPr>
              <a:lstStyle/>
              <a:p>
                <a:pPr>
                  <a:defRPr sz="1000" b="0" i="0" u="none" strike="noStrike" kern="1200" baseline="0">
                    <a:solidFill>
                      <a:schemeClr val="tx1">
                        <a:lumMod val="75000"/>
                        <a:lumOff val="25000"/>
                      </a:schemeClr>
                    </a:solidFill>
                    <a:latin typeface="+mn-lt"/>
                    <a:ea typeface="+mn-ea"/>
                    <a:cs typeface="+mn-cs"/>
                  </a:defRPr>
                </a:pPr>
                <a:endParaRPr lang="en-US"/>
              </a:p>
            </c:txPr>
            <c:showLegendKey val="0"/>
            <c:showVal val="1"/>
            <c:showCatName val="0"/>
            <c:showSerName val="0"/>
            <c:showPercent val="0"/>
            <c:showBubbleSize val="1"/>
            <c:separator> </c:separator>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'Chart Data'!$A$2:$A$9</c:f>
              <c:strCache>
                <c:ptCount val="8"/>
                <c:pt idx="0">
                  <c:v>CNA</c:v>
                </c:pt>
                <c:pt idx="1">
                  <c:v>MSR</c:v>
                </c:pt>
                <c:pt idx="2">
                  <c:v>NMCC</c:v>
                </c:pt>
                <c:pt idx="3">
                  <c:v>PRO</c:v>
                </c:pt>
                <c:pt idx="4">
                  <c:v>IRCC</c:v>
                </c:pt>
                <c:pt idx="5">
                  <c:v>CPC</c:v>
                </c:pt>
                <c:pt idx="6">
                  <c:v>CP</c:v>
                </c:pt>
                <c:pt idx="7">
                  <c:v>NDB</c:v>
                </c:pt>
              </c:strCache>
            </c:strRef>
          </c:cat>
          <c:val>
            <c:numRef>
              <c:f>'Chart Data'!$B$2:$B$9</c:f>
              <c:numCache>
                <c:formatCode>General</c:formatCode>
                <c:ptCount val="8"/>
                <c:pt idx="0">
                  <c:v>162</c:v>
                </c:pt>
                <c:pt idx="1">
                  <c:v>356</c:v>
                </c:pt>
                <c:pt idx="2">
                  <c:v>13</c:v>
                </c:pt>
                <c:pt idx="3">
                  <c:v>39</c:v>
                </c:pt>
                <c:pt idx="4">
                  <c:v>6269</c:v>
                </c:pt>
                <c:pt idx="5">
                  <c:v>371</c:v>
                </c:pt>
                <c:pt idx="6">
                  <c:v>106</c:v>
                </c:pt>
                <c:pt idx="7">
                  <c:v>66</c:v>
                </c:pt>
              </c:numCache>
            </c:numRef>
          </c:val>
          <c:extLst>
            <c:ext xmlns:c16="http://schemas.microsoft.com/office/drawing/2014/chart" uri="{C3380CC4-5D6E-409C-BE32-E72D297353CC}">
              <c16:uniqueId val="{00000008-B806-4B48-B4E1-48C5025DF6B1}"/>
            </c:ext>
          </c:extLst>
        </c:ser>
        <c:dLbls>
          <c:showLegendKey val="0"/>
          <c:showVal val="0"/>
          <c:showCatName val="0"/>
          <c:showSerName val="0"/>
          <c:showPercent val="0"/>
          <c:showBubbleSize val="0"/>
        </c:dLbls>
        <c:gapWidth val="247"/>
        <c:axId val="29874755"/>
        <c:axId val="83946201"/>
      </c:barChart>
      <c:lineChart>
        <c:grouping val="standard"/>
        <c:varyColors val="0"/>
        <c:ser>
          <c:idx val="1"/>
          <c:order val="1"/>
          <c:tx>
            <c:strRef>
              <c:f>'Chart Data'!$C$1</c:f>
              <c:strCache>
                <c:ptCount val="1"/>
                <c:pt idx="0">
                  <c:v>Percentage of Parties</c:v>
                </c:pt>
              </c:strCache>
            </c:strRef>
          </c:tx>
          <c:spPr>
            <a:ln w="28575" cap="rnd">
              <a:solidFill>
                <a:schemeClr val="accent2"/>
              </a:solidFill>
              <a:round/>
            </a:ln>
            <a:effectLst/>
          </c:spPr>
          <c:marker>
            <c:symbol val="circle"/>
            <c:size val="5"/>
            <c:spPr>
              <a:solidFill>
                <a:schemeClr val="accent2"/>
              </a:solidFill>
              <a:ln w="9525">
                <a:solidFill>
                  <a:schemeClr val="accent2"/>
                </a:solidFill>
              </a:ln>
              <a:effectLst/>
            </c:spPr>
          </c:marker>
          <c:dLbls>
            <c:dLbl>
              <c:idx val="2"/>
              <c:layout>
                <c:manualLayout>
                  <c:x val="-1.959524963645182E-2"/>
                  <c:y val="-4.9806935250884962E-2"/>
                </c:manualLayout>
              </c:layout>
              <c:dLblPos val="r"/>
              <c:showLegendKey val="0"/>
              <c:showVal val="1"/>
              <c:showCatName val="0"/>
              <c:showSerName val="0"/>
              <c:showPercent val="0"/>
              <c:showBubbleSize val="1"/>
              <c:separator>; </c:separator>
              <c:extLst>
                <c:ext xmlns:c15="http://schemas.microsoft.com/office/drawing/2012/chart" uri="{CE6537A1-D6FC-4f65-9D91-7224C49458BB}"/>
                <c:ext xmlns:c16="http://schemas.microsoft.com/office/drawing/2014/chart" uri="{C3380CC4-5D6E-409C-BE32-E72D297353CC}">
                  <c16:uniqueId val="{00000009-B806-4B48-B4E1-48C5025DF6B1}"/>
                </c:ext>
              </c:extLst>
            </c:dLbl>
            <c:spPr>
              <a:noFill/>
              <a:ln>
                <a:noFill/>
              </a:ln>
              <a:effectLst/>
            </c:spPr>
            <c:txPr>
              <a:bodyPr rot="0" spcFirstLastPara="1" vertOverflow="ellipsis" vert="horz" wrap="square" lIns="38100" tIns="19050" rIns="38100" bIns="19050" anchor="ctr" anchorCtr="1">
                <a:spAutoFit/>
              </a:bodyPr>
              <a:lstStyle/>
              <a:p>
                <a:pPr>
                  <a:defRPr sz="1000" b="1" i="0" u="none" strike="noStrike" kern="1200" baseline="0">
                    <a:solidFill>
                      <a:srgbClr val="FF0000"/>
                    </a:solidFill>
                    <a:latin typeface="+mn-lt"/>
                    <a:ea typeface="+mn-ea"/>
                    <a:cs typeface="+mn-cs"/>
                  </a:defRPr>
                </a:pPr>
                <a:endParaRPr lang="en-US"/>
              </a:p>
            </c:txPr>
            <c:dLblPos val="t"/>
            <c:showLegendKey val="0"/>
            <c:showVal val="1"/>
            <c:showCatName val="0"/>
            <c:showSerName val="0"/>
            <c:showPercent val="0"/>
            <c:showBubbleSize val="1"/>
            <c:separator>; </c:separator>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'Chart Data'!$A$2:$A$9</c:f>
              <c:strCache>
                <c:ptCount val="8"/>
                <c:pt idx="0">
                  <c:v>CNA</c:v>
                </c:pt>
                <c:pt idx="1">
                  <c:v>MSR</c:v>
                </c:pt>
                <c:pt idx="2">
                  <c:v>NMCC</c:v>
                </c:pt>
                <c:pt idx="3">
                  <c:v>PRO</c:v>
                </c:pt>
                <c:pt idx="4">
                  <c:v>IRCC</c:v>
                </c:pt>
                <c:pt idx="5">
                  <c:v>CPC</c:v>
                </c:pt>
                <c:pt idx="6">
                  <c:v>CP</c:v>
                </c:pt>
                <c:pt idx="7">
                  <c:v>NDB</c:v>
                </c:pt>
              </c:strCache>
            </c:strRef>
          </c:cat>
          <c:val>
            <c:numRef>
              <c:f>'Chart Data'!$C$2:$C$9</c:f>
              <c:numCache>
                <c:formatCode>0%</c:formatCode>
                <c:ptCount val="8"/>
                <c:pt idx="0">
                  <c:v>0.57746478873239437</c:v>
                </c:pt>
                <c:pt idx="1">
                  <c:v>0.57042253521126762</c:v>
                </c:pt>
                <c:pt idx="2">
                  <c:v>8.4507042253521125E-2</c:v>
                </c:pt>
                <c:pt idx="3">
                  <c:v>0.21126760563380281</c:v>
                </c:pt>
                <c:pt idx="4">
                  <c:v>0.23943661971830985</c:v>
                </c:pt>
                <c:pt idx="5">
                  <c:v>9.8591549295774641E-2</c:v>
                </c:pt>
                <c:pt idx="6">
                  <c:v>0.3380281690140845</c:v>
                </c:pt>
                <c:pt idx="7">
                  <c:v>0.323943661971831</c:v>
                </c:pt>
              </c:numCache>
            </c:numRef>
          </c:val>
          <c:smooth val="1"/>
          <c:extLst>
            <c:ext xmlns:c16="http://schemas.microsoft.com/office/drawing/2014/chart" uri="{C3380CC4-5D6E-409C-BE32-E72D297353CC}">
              <c16:uniqueId val="{0000000A-B806-4B48-B4E1-48C5025DF6B1}"/>
            </c:ext>
          </c:extLst>
        </c:ser>
        <c:dLbls>
          <c:showLegendKey val="0"/>
          <c:showVal val="0"/>
          <c:showCatName val="0"/>
          <c:showSerName val="0"/>
          <c:showPercent val="0"/>
          <c:showBubbleSize val="0"/>
        </c:dLbls>
        <c:hiLowLines>
          <c:spPr>
            <a:ln w="9525" cap="flat" cmpd="sng" algn="ctr">
              <a:solidFill>
                <a:schemeClr val="tx1">
                  <a:lumMod val="75000"/>
                  <a:lumOff val="25000"/>
                </a:schemeClr>
              </a:solidFill>
              <a:round/>
            </a:ln>
            <a:effectLst/>
          </c:spPr>
        </c:hiLowLines>
        <c:marker val="1"/>
        <c:smooth val="0"/>
        <c:axId val="21477385"/>
        <c:axId val="12260091"/>
      </c:lineChart>
      <c:catAx>
        <c:axId val="29874755"/>
        <c:scaling>
          <c:orientation val="minMax"/>
        </c:scaling>
        <c:delete val="0"/>
        <c:axPos val="b"/>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83946201"/>
        <c:crosses val="autoZero"/>
        <c:auto val="1"/>
        <c:lblAlgn val="ctr"/>
        <c:lblOffset val="100"/>
        <c:noMultiLvlLbl val="0"/>
      </c:catAx>
      <c:valAx>
        <c:axId val="83946201"/>
        <c:scaling>
          <c:orientation val="minMax"/>
        </c:scaling>
        <c:delete val="0"/>
        <c:axPos val="l"/>
        <c:majorGridlines>
          <c:spPr>
            <a:ln w="9525" cap="flat" cmpd="sng" algn="ctr">
              <a:solidFill>
                <a:schemeClr val="tx1">
                  <a:lumMod val="15000"/>
                  <a:lumOff val="85000"/>
                </a:schemeClr>
              </a:solidFill>
              <a:round/>
            </a:ln>
            <a:effectLst/>
          </c:spPr>
        </c:majorGridlines>
        <c:title>
          <c:tx>
            <c:rich>
              <a:bodyPr rot="-5400000" spcFirstLastPara="1" vertOverflow="ellipsis" vert="horz" wrap="square" anchor="ctr" anchorCtr="1"/>
              <a:lstStyle/>
              <a:p>
                <a:pPr>
                  <a:defRPr sz="1000" b="1" i="0" u="none" strike="noStrike" kern="1200" baseline="0">
                    <a:solidFill>
                      <a:schemeClr val="accent1"/>
                    </a:solidFill>
                    <a:latin typeface="+mn-lt"/>
                    <a:ea typeface="+mn-ea"/>
                    <a:cs typeface="+mn-cs"/>
                  </a:defRPr>
                </a:pPr>
                <a:r>
                  <a:rPr lang="en-CA" b="1">
                    <a:solidFill>
                      <a:schemeClr val="accent1"/>
                    </a:solidFill>
                  </a:rPr>
                  <a:t>Number of records</a:t>
                </a:r>
              </a:p>
            </c:rich>
          </c:tx>
          <c:overlay val="0"/>
          <c:spPr>
            <a:noFill/>
            <a:ln>
              <a:noFill/>
            </a:ln>
            <a:effectLst/>
          </c:spPr>
          <c:txPr>
            <a:bodyPr rot="-5400000" spcFirstLastPara="1" vertOverflow="ellipsis" vert="horz" wrap="square" anchor="ctr" anchorCtr="1"/>
            <a:lstStyle/>
            <a:p>
              <a:pPr>
                <a:defRPr sz="1000" b="1" i="0" u="none" strike="noStrike" kern="1200" baseline="0">
                  <a:solidFill>
                    <a:schemeClr val="accent1"/>
                  </a:solidFill>
                  <a:latin typeface="+mn-lt"/>
                  <a:ea typeface="+mn-ea"/>
                  <a:cs typeface="+mn-cs"/>
                </a:defRPr>
              </a:pPr>
              <a:endParaRPr lang="en-US"/>
            </a:p>
          </c:txPr>
        </c:title>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29874755"/>
        <c:crosses val="autoZero"/>
        <c:crossBetween val="between"/>
      </c:valAx>
      <c:catAx>
        <c:axId val="21477385"/>
        <c:scaling>
          <c:orientation val="minMax"/>
        </c:scaling>
        <c:delete val="1"/>
        <c:axPos val="b"/>
        <c:numFmt formatCode="General" sourceLinked="1"/>
        <c:majorTickMark val="none"/>
        <c:minorTickMark val="none"/>
        <c:tickLblPos val="nextTo"/>
        <c:crossAx val="12260091"/>
        <c:crosses val="autoZero"/>
        <c:auto val="1"/>
        <c:lblAlgn val="ctr"/>
        <c:lblOffset val="100"/>
        <c:noMultiLvlLbl val="0"/>
      </c:catAx>
      <c:valAx>
        <c:axId val="12260091"/>
        <c:scaling>
          <c:orientation val="minMax"/>
        </c:scaling>
        <c:delete val="0"/>
        <c:axPos val="r"/>
        <c:title>
          <c:tx>
            <c:rich>
              <a:bodyPr rot="-5400000" spcFirstLastPara="1" vertOverflow="ellipsis" vert="horz" wrap="square" anchor="ctr" anchorCtr="1"/>
              <a:lstStyle/>
              <a:p>
                <a:pPr>
                  <a:defRPr sz="1000" b="0" i="0" u="none" strike="noStrike" kern="1200" baseline="0">
                    <a:solidFill>
                      <a:schemeClr val="tx1">
                        <a:lumMod val="65000"/>
                        <a:lumOff val="35000"/>
                      </a:schemeClr>
                    </a:solidFill>
                    <a:latin typeface="+mn-lt"/>
                    <a:ea typeface="+mn-ea"/>
                    <a:cs typeface="+mn-cs"/>
                  </a:defRPr>
                </a:pPr>
                <a:r>
                  <a:rPr lang="en-CA" b="1">
                    <a:solidFill>
                      <a:srgbClr val="C00000"/>
                    </a:solidFill>
                  </a:rPr>
                  <a:t>Per</a:t>
                </a:r>
                <a:r>
                  <a:rPr lang="en-CA" b="1" baseline="0">
                    <a:solidFill>
                      <a:srgbClr val="C00000"/>
                    </a:solidFill>
                  </a:rPr>
                  <a:t>centage</a:t>
                </a:r>
                <a:r>
                  <a:rPr lang="en-CA" b="1">
                    <a:solidFill>
                      <a:srgbClr val="C00000"/>
                    </a:solidFill>
                  </a:rPr>
                  <a:t> of Parties</a:t>
                </a:r>
              </a:p>
            </c:rich>
          </c:tx>
          <c:overlay val="0"/>
          <c:spPr>
            <a:noFill/>
            <a:ln>
              <a:noFill/>
            </a:ln>
            <a:effectLst/>
          </c:spPr>
          <c:txPr>
            <a:bodyPr rot="-5400000" spcFirstLastPara="1" vertOverflow="ellipsis" vert="horz" wrap="square" anchor="ctr" anchorCtr="1"/>
            <a:lstStyle/>
            <a:p>
              <a:pPr>
                <a:defRPr sz="1000" b="0" i="0" u="none" strike="noStrike" kern="1200" baseline="0">
                  <a:solidFill>
                    <a:schemeClr val="tx1">
                      <a:lumMod val="65000"/>
                      <a:lumOff val="35000"/>
                    </a:schemeClr>
                  </a:solidFill>
                  <a:latin typeface="+mn-lt"/>
                  <a:ea typeface="+mn-ea"/>
                  <a:cs typeface="+mn-cs"/>
                </a:defRPr>
              </a:pPr>
              <a:endParaRPr lang="en-US"/>
            </a:p>
          </c:txPr>
        </c:title>
        <c:numFmt formatCode="0%"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21477385"/>
        <c:crosses val="max"/>
        <c:crossBetween val="between"/>
      </c:valAx>
      <c:spPr>
        <a:noFill/>
        <a:ln>
          <a:noFill/>
        </a:ln>
        <a:effectLst/>
      </c:spPr>
    </c:plotArea>
    <c:legend>
      <c:legendPos val="b"/>
      <c:layout>
        <c:manualLayout>
          <c:xMode val="edge"/>
          <c:yMode val="edge"/>
          <c:x val="0.10208906180963372"/>
          <c:y val="0.93984792926647298"/>
          <c:w val="0.31913389727992997"/>
          <c:h val="4.251234185754877E-2"/>
        </c:manualLayout>
      </c:layout>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legend>
    <c:plotVisOnly val="1"/>
    <c:dispBlanksAs val="gap"/>
    <c:showDLblsOverMax val="1"/>
  </c:chart>
  <c:spPr>
    <a:solidFill>
      <a:schemeClr val="bg1"/>
    </a:solidFill>
    <a:ln w="9525" cap="flat" cmpd="sng" algn="ctr">
      <a:solidFill>
        <a:schemeClr val="tx1">
          <a:lumMod val="15000"/>
          <a:lumOff val="85000"/>
        </a:schemeClr>
      </a:solidFill>
      <a:round/>
    </a:ln>
    <a:effectLst/>
  </c:spPr>
  <c:txPr>
    <a:bodyPr/>
    <a:lstStyle/>
    <a:p>
      <a:pPr>
        <a:defRPr/>
      </a:pPr>
      <a:endParaRPr lang="en-US"/>
    </a:p>
  </c:txPr>
  <c:externalData r:id="rId3">
    <c:autoUpdate val="0"/>
  </c:externalData>
</c:chartSpace>
</file>

<file path=word/charts/chart2.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autoTitleDeleted val="1"/>
    <c:plotArea>
      <c:layout>
        <c:manualLayout>
          <c:layoutTarget val="inner"/>
          <c:xMode val="edge"/>
          <c:yMode val="edge"/>
          <c:x val="8.4456036745406818E-2"/>
          <c:y val="5.0925925925925923E-2"/>
          <c:w val="0.88776618547681552"/>
          <c:h val="0.5203675518682036"/>
        </c:manualLayout>
      </c:layout>
      <c:barChart>
        <c:barDir val="col"/>
        <c:grouping val="clustered"/>
        <c:varyColors val="0"/>
        <c:ser>
          <c:idx val="0"/>
          <c:order val="0"/>
          <c:tx>
            <c:strRef>
              <c:f>Tables!$O$99</c:f>
              <c:strCache>
                <c:ptCount val="1"/>
                <c:pt idx="0">
                  <c:v>Have published information on the ABS Clearing-House, and no indication of more information to be published</c:v>
                </c:pt>
              </c:strCache>
            </c:strRef>
          </c:tx>
          <c:spPr>
            <a:solidFill>
              <a:schemeClr val="accent1"/>
            </a:solid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en-US"/>
              </a:p>
            </c:txP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Tables!$N$100:$N$104</c:f>
              <c:strCache>
                <c:ptCount val="5"/>
                <c:pt idx="0">
                  <c:v>African States</c:v>
                </c:pt>
                <c:pt idx="1">
                  <c:v>Asia-Pacific States</c:v>
                </c:pt>
                <c:pt idx="2">
                  <c:v>Eastern European States</c:v>
                </c:pt>
                <c:pt idx="3">
                  <c:v>Latin America and the Caribbean States</c:v>
                </c:pt>
                <c:pt idx="4">
                  <c:v>Western European and other States</c:v>
                </c:pt>
              </c:strCache>
            </c:strRef>
          </c:cat>
          <c:val>
            <c:numRef>
              <c:f>Tables!$O$100:$O$104</c:f>
              <c:numCache>
                <c:formatCode>0%</c:formatCode>
                <c:ptCount val="5"/>
                <c:pt idx="0">
                  <c:v>0.26530612244897961</c:v>
                </c:pt>
                <c:pt idx="1">
                  <c:v>0.23809523809523808</c:v>
                </c:pt>
                <c:pt idx="2">
                  <c:v>0.61538461538461542</c:v>
                </c:pt>
                <c:pt idx="3">
                  <c:v>0.4</c:v>
                </c:pt>
                <c:pt idx="4">
                  <c:v>0.83333333333333337</c:v>
                </c:pt>
              </c:numCache>
            </c:numRef>
          </c:val>
          <c:extLst>
            <c:ext xmlns:c16="http://schemas.microsoft.com/office/drawing/2014/chart" uri="{C3380CC4-5D6E-409C-BE32-E72D297353CC}">
              <c16:uniqueId val="{00000000-AA59-4542-B521-458F354575ED}"/>
            </c:ext>
          </c:extLst>
        </c:ser>
        <c:ser>
          <c:idx val="1"/>
          <c:order val="1"/>
          <c:tx>
            <c:strRef>
              <c:f>Tables!$P$99</c:f>
              <c:strCache>
                <c:ptCount val="1"/>
                <c:pt idx="0">
                  <c:v>Have published information on the ABS Clearing-House, and more information available to be published</c:v>
                </c:pt>
              </c:strCache>
            </c:strRef>
          </c:tx>
          <c:spPr>
            <a:solidFill>
              <a:schemeClr val="accent2"/>
            </a:solid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en-US"/>
              </a:p>
            </c:txP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Tables!$N$100:$N$104</c:f>
              <c:strCache>
                <c:ptCount val="5"/>
                <c:pt idx="0">
                  <c:v>African States</c:v>
                </c:pt>
                <c:pt idx="1">
                  <c:v>Asia-Pacific States</c:v>
                </c:pt>
                <c:pt idx="2">
                  <c:v>Eastern European States</c:v>
                </c:pt>
                <c:pt idx="3">
                  <c:v>Latin America and the Caribbean States</c:v>
                </c:pt>
                <c:pt idx="4">
                  <c:v>Western European and other States</c:v>
                </c:pt>
              </c:strCache>
            </c:strRef>
          </c:cat>
          <c:val>
            <c:numRef>
              <c:f>Tables!$P$100:$P$104</c:f>
              <c:numCache>
                <c:formatCode>0%</c:formatCode>
                <c:ptCount val="5"/>
                <c:pt idx="0">
                  <c:v>0.55102040816326525</c:v>
                </c:pt>
                <c:pt idx="1">
                  <c:v>0.16666666666666666</c:v>
                </c:pt>
                <c:pt idx="2">
                  <c:v>0.30769230769230771</c:v>
                </c:pt>
                <c:pt idx="3">
                  <c:v>0.5</c:v>
                </c:pt>
                <c:pt idx="4">
                  <c:v>0.1111111111111111</c:v>
                </c:pt>
              </c:numCache>
            </c:numRef>
          </c:val>
          <c:extLst>
            <c:ext xmlns:c16="http://schemas.microsoft.com/office/drawing/2014/chart" uri="{C3380CC4-5D6E-409C-BE32-E72D297353CC}">
              <c16:uniqueId val="{00000001-AA59-4542-B521-458F354575ED}"/>
            </c:ext>
          </c:extLst>
        </c:ser>
        <c:ser>
          <c:idx val="2"/>
          <c:order val="2"/>
          <c:tx>
            <c:strRef>
              <c:f>Tables!$Q$99</c:f>
              <c:strCache>
                <c:ptCount val="1"/>
                <c:pt idx="0">
                  <c:v>No information on the ABS Clearing-House, but there is information available to be published</c:v>
                </c:pt>
              </c:strCache>
            </c:strRef>
          </c:tx>
          <c:spPr>
            <a:solidFill>
              <a:schemeClr val="accent3"/>
            </a:solid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en-US"/>
              </a:p>
            </c:txP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Tables!$N$100:$N$104</c:f>
              <c:strCache>
                <c:ptCount val="5"/>
                <c:pt idx="0">
                  <c:v>African States</c:v>
                </c:pt>
                <c:pt idx="1">
                  <c:v>Asia-Pacific States</c:v>
                </c:pt>
                <c:pt idx="2">
                  <c:v>Eastern European States</c:v>
                </c:pt>
                <c:pt idx="3">
                  <c:v>Latin America and the Caribbean States</c:v>
                </c:pt>
                <c:pt idx="4">
                  <c:v>Western European and other States</c:v>
                </c:pt>
              </c:strCache>
            </c:strRef>
          </c:cat>
          <c:val>
            <c:numRef>
              <c:f>Tables!$Q$100:$Q$104</c:f>
              <c:numCache>
                <c:formatCode>0%</c:formatCode>
                <c:ptCount val="5"/>
                <c:pt idx="0">
                  <c:v>0.10204081632653061</c:v>
                </c:pt>
                <c:pt idx="1">
                  <c:v>0.2857142857142857</c:v>
                </c:pt>
                <c:pt idx="2">
                  <c:v>7.6923076923076927E-2</c:v>
                </c:pt>
                <c:pt idx="3">
                  <c:v>0</c:v>
                </c:pt>
                <c:pt idx="4">
                  <c:v>0</c:v>
                </c:pt>
              </c:numCache>
            </c:numRef>
          </c:val>
          <c:extLst>
            <c:ext xmlns:c16="http://schemas.microsoft.com/office/drawing/2014/chart" uri="{C3380CC4-5D6E-409C-BE32-E72D297353CC}">
              <c16:uniqueId val="{00000002-AA59-4542-B521-458F354575ED}"/>
            </c:ext>
          </c:extLst>
        </c:ser>
        <c:ser>
          <c:idx val="3"/>
          <c:order val="3"/>
          <c:tx>
            <c:strRef>
              <c:f>Tables!$R$99</c:f>
              <c:strCache>
                <c:ptCount val="1"/>
                <c:pt idx="0">
                  <c:v>No information available</c:v>
                </c:pt>
              </c:strCache>
            </c:strRef>
          </c:tx>
          <c:spPr>
            <a:solidFill>
              <a:schemeClr val="accent4"/>
            </a:solid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en-US"/>
              </a:p>
            </c:txP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Tables!$N$100:$N$104</c:f>
              <c:strCache>
                <c:ptCount val="5"/>
                <c:pt idx="0">
                  <c:v>African States</c:v>
                </c:pt>
                <c:pt idx="1">
                  <c:v>Asia-Pacific States</c:v>
                </c:pt>
                <c:pt idx="2">
                  <c:v>Eastern European States</c:v>
                </c:pt>
                <c:pt idx="3">
                  <c:v>Latin America and the Caribbean States</c:v>
                </c:pt>
                <c:pt idx="4">
                  <c:v>Western European and other States</c:v>
                </c:pt>
              </c:strCache>
            </c:strRef>
          </c:cat>
          <c:val>
            <c:numRef>
              <c:f>Tables!$R$100:$R$104</c:f>
              <c:numCache>
                <c:formatCode>0%</c:formatCode>
                <c:ptCount val="5"/>
                <c:pt idx="0">
                  <c:v>8.1632653061224483E-2</c:v>
                </c:pt>
                <c:pt idx="1">
                  <c:v>0.30952380952380953</c:v>
                </c:pt>
                <c:pt idx="2">
                  <c:v>0</c:v>
                </c:pt>
                <c:pt idx="3">
                  <c:v>0.1</c:v>
                </c:pt>
                <c:pt idx="4">
                  <c:v>5.5555555555555552E-2</c:v>
                </c:pt>
              </c:numCache>
            </c:numRef>
          </c:val>
          <c:extLst>
            <c:ext xmlns:c16="http://schemas.microsoft.com/office/drawing/2014/chart" uri="{C3380CC4-5D6E-409C-BE32-E72D297353CC}">
              <c16:uniqueId val="{00000003-AA59-4542-B521-458F354575ED}"/>
            </c:ext>
          </c:extLst>
        </c:ser>
        <c:dLbls>
          <c:showLegendKey val="0"/>
          <c:showVal val="1"/>
          <c:showCatName val="0"/>
          <c:showSerName val="0"/>
          <c:showPercent val="0"/>
          <c:showBubbleSize val="0"/>
        </c:dLbls>
        <c:gapWidth val="75"/>
        <c:axId val="1428356015"/>
        <c:axId val="1428356495"/>
      </c:barChart>
      <c:catAx>
        <c:axId val="1428356015"/>
        <c:scaling>
          <c:orientation val="minMax"/>
        </c:scaling>
        <c:delete val="0"/>
        <c:axPos val="b"/>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1428356495"/>
        <c:crosses val="autoZero"/>
        <c:auto val="1"/>
        <c:lblAlgn val="ctr"/>
        <c:lblOffset val="100"/>
        <c:noMultiLvlLbl val="0"/>
      </c:catAx>
      <c:valAx>
        <c:axId val="1428356495"/>
        <c:scaling>
          <c:orientation val="minMax"/>
        </c:scaling>
        <c:delete val="0"/>
        <c:axPos val="l"/>
        <c:numFmt formatCode="0%"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1428356015"/>
        <c:crosses val="autoZero"/>
        <c:crossBetween val="between"/>
      </c:valAx>
      <c:spPr>
        <a:noFill/>
        <a:ln>
          <a:noFill/>
        </a:ln>
        <a:effectLst/>
      </c:spPr>
    </c:plotArea>
    <c:legend>
      <c:legendPos val="b"/>
      <c:layout>
        <c:manualLayout>
          <c:xMode val="edge"/>
          <c:yMode val="edge"/>
          <c:x val="5.2954101891109752E-2"/>
          <c:y val="0.71032561479970691"/>
          <c:w val="0.90986203647620989"/>
          <c:h val="0.19241752515543672"/>
        </c:manualLayout>
      </c:layout>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legend>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en-US"/>
    </a:p>
  </c:txPr>
  <c:externalData r:id="rId4">
    <c:autoUpdate val="0"/>
  </c:externalData>
</c:chartSpace>
</file>

<file path=word/charts/colors1.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2.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style1.xml><?xml version="1.0" encoding="utf-8"?>
<cs:chartStyle xmlns:cs="http://schemas.microsoft.com/office/drawing/2012/chartStyle" xmlns:a="http://schemas.openxmlformats.org/drawingml/2006/main" id="322">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2.xml><?xml version="1.0" encoding="utf-8"?>
<cs:chartStyle xmlns:cs="http://schemas.microsoft.com/office/drawing/2012/chartStyle" xmlns:a="http://schemas.openxmlformats.org/drawingml/2006/main" id="2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CD2337E717F940B6802459FDA6E9CB9B"/>
        <w:category>
          <w:name w:val="General"/>
          <w:gallery w:val="placeholder"/>
        </w:category>
        <w:types>
          <w:type w:val="bbPlcHdr"/>
        </w:types>
        <w:behaviors>
          <w:behavior w:val="content"/>
        </w:behaviors>
        <w:guid w:val="{B61505DD-6472-43FB-9095-084836D23BD0}"/>
      </w:docPartPr>
      <w:docPartBody>
        <w:p w:rsidR="009F75B6" w:rsidRDefault="00A84D4D">
          <w:pPr>
            <w:pStyle w:val="CD2337E717F940B6802459FDA6E9CB9B"/>
          </w:pPr>
          <w:r w:rsidRPr="009B5A49">
            <w:rPr>
              <w:rStyle w:val="PlaceholderText"/>
            </w:rPr>
            <w:t>[Title]</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Times New Roman Bold">
    <w:altName w:val="Times New Roman"/>
    <w:panose1 w:val="02020803070505020304"/>
    <w:charset w:val="00"/>
    <w:family w:val="auto"/>
    <w:pitch w:val="variable"/>
    <w:sig w:usb0="00000003" w:usb1="00000000" w:usb2="00000000" w:usb3="00000000" w:csb0="00000001"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DengXian Light">
    <w:charset w:val="86"/>
    <w:family w:val="auto"/>
    <w:pitch w:val="variable"/>
    <w:sig w:usb0="A00002BF" w:usb1="38CF7CFA" w:usb2="00000016" w:usb3="00000000" w:csb0="0004000F" w:csb1="00000000"/>
  </w:font>
  <w:font w:name="DengXian">
    <w:panose1 w:val="02010600030101010101"/>
    <w:charset w:val="86"/>
    <w:family w:val="auto"/>
    <w:pitch w:val="variable"/>
    <w:sig w:usb0="A00002BF" w:usb1="38CF7CFA" w:usb2="00000016" w:usb3="00000000" w:csb0="0004000F" w:csb1="00000000"/>
  </w:font>
  <w:font w:name="Simplified Arabic">
    <w:charset w:val="B2"/>
    <w:family w:val="roman"/>
    <w:pitch w:val="variable"/>
    <w:sig w:usb0="00002003" w:usb1="80000000" w:usb2="00000008" w:usb3="00000000" w:csb0="00000041"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Consolas">
    <w:panose1 w:val="020B0609020204030204"/>
    <w:charset w:val="00"/>
    <w:family w:val="modern"/>
    <w:pitch w:val="fixed"/>
    <w:sig w:usb0="E00006FF" w:usb1="0000FCFF" w:usb2="00000001" w:usb3="00000000" w:csb0="0000019F" w:csb1="00000000"/>
  </w:font>
  <w:font w:name="Malgun Gothic">
    <w:panose1 w:val="020B0503020000020004"/>
    <w:charset w:val="81"/>
    <w:family w:val="swiss"/>
    <w:pitch w:val="variable"/>
    <w:sig w:usb0="9000002F" w:usb1="29D77CFB" w:usb2="00000012" w:usb3="00000000" w:csb0="00080001"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revisionView w:inkAnnotations="0"/>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40588"/>
    <w:rsid w:val="000006E7"/>
    <w:rsid w:val="00015FAA"/>
    <w:rsid w:val="0003118F"/>
    <w:rsid w:val="0007040F"/>
    <w:rsid w:val="00095437"/>
    <w:rsid w:val="000A5B45"/>
    <w:rsid w:val="000B5493"/>
    <w:rsid w:val="000C508F"/>
    <w:rsid w:val="000F294F"/>
    <w:rsid w:val="0011578E"/>
    <w:rsid w:val="001258F5"/>
    <w:rsid w:val="0014032F"/>
    <w:rsid w:val="001F426E"/>
    <w:rsid w:val="002134B4"/>
    <w:rsid w:val="002B4256"/>
    <w:rsid w:val="002B6A7E"/>
    <w:rsid w:val="002E3B07"/>
    <w:rsid w:val="002F3F7A"/>
    <w:rsid w:val="00370587"/>
    <w:rsid w:val="003B7D5D"/>
    <w:rsid w:val="003D6429"/>
    <w:rsid w:val="00495C96"/>
    <w:rsid w:val="004B1BBA"/>
    <w:rsid w:val="004C16CF"/>
    <w:rsid w:val="004C3099"/>
    <w:rsid w:val="00543E97"/>
    <w:rsid w:val="005C0502"/>
    <w:rsid w:val="005F11D1"/>
    <w:rsid w:val="0066090C"/>
    <w:rsid w:val="00662C8C"/>
    <w:rsid w:val="00664CC4"/>
    <w:rsid w:val="006922C4"/>
    <w:rsid w:val="006A4FC5"/>
    <w:rsid w:val="007013E8"/>
    <w:rsid w:val="007171E7"/>
    <w:rsid w:val="007441C1"/>
    <w:rsid w:val="00752ECB"/>
    <w:rsid w:val="00765FA7"/>
    <w:rsid w:val="00773C5D"/>
    <w:rsid w:val="00795F81"/>
    <w:rsid w:val="007C33FB"/>
    <w:rsid w:val="007D505C"/>
    <w:rsid w:val="007D7ABA"/>
    <w:rsid w:val="00877048"/>
    <w:rsid w:val="00890245"/>
    <w:rsid w:val="008927F0"/>
    <w:rsid w:val="008A63B0"/>
    <w:rsid w:val="008B5E42"/>
    <w:rsid w:val="008F7E8E"/>
    <w:rsid w:val="00910EAF"/>
    <w:rsid w:val="00942A6A"/>
    <w:rsid w:val="00957796"/>
    <w:rsid w:val="00960515"/>
    <w:rsid w:val="009645FC"/>
    <w:rsid w:val="009B163E"/>
    <w:rsid w:val="009C3CF7"/>
    <w:rsid w:val="009D4C05"/>
    <w:rsid w:val="009F75B6"/>
    <w:rsid w:val="00A42D8A"/>
    <w:rsid w:val="00A84D4D"/>
    <w:rsid w:val="00A97F82"/>
    <w:rsid w:val="00AA27C5"/>
    <w:rsid w:val="00AB5D19"/>
    <w:rsid w:val="00B00CE6"/>
    <w:rsid w:val="00B013E3"/>
    <w:rsid w:val="00B54245"/>
    <w:rsid w:val="00B60242"/>
    <w:rsid w:val="00B9423A"/>
    <w:rsid w:val="00BA0FB1"/>
    <w:rsid w:val="00BD12D3"/>
    <w:rsid w:val="00C41BF2"/>
    <w:rsid w:val="00C466AB"/>
    <w:rsid w:val="00C50227"/>
    <w:rsid w:val="00C515B0"/>
    <w:rsid w:val="00C834C4"/>
    <w:rsid w:val="00C846C2"/>
    <w:rsid w:val="00CB5B6E"/>
    <w:rsid w:val="00CB78C5"/>
    <w:rsid w:val="00D40588"/>
    <w:rsid w:val="00D8122F"/>
    <w:rsid w:val="00D97AAC"/>
    <w:rsid w:val="00DA7D10"/>
    <w:rsid w:val="00DB373B"/>
    <w:rsid w:val="00DD3B3C"/>
    <w:rsid w:val="00DD4464"/>
    <w:rsid w:val="00DD48EB"/>
    <w:rsid w:val="00E019B6"/>
    <w:rsid w:val="00E103D5"/>
    <w:rsid w:val="00E15411"/>
    <w:rsid w:val="00E25702"/>
    <w:rsid w:val="00E358A5"/>
    <w:rsid w:val="00E402B2"/>
    <w:rsid w:val="00E4701F"/>
    <w:rsid w:val="00E80DB9"/>
    <w:rsid w:val="00EE00F7"/>
    <w:rsid w:val="00F47578"/>
    <w:rsid w:val="00F65D76"/>
    <w:rsid w:val="00FC5BAA"/>
    <w:rsid w:val="00FF5719"/>
    <w:rsid w:val="00FF67C9"/>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zh-CN"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1258F5"/>
    <w:rPr>
      <w:color w:val="808080"/>
    </w:rPr>
  </w:style>
  <w:style w:type="paragraph" w:customStyle="1" w:styleId="CD2337E717F940B6802459FDA6E9CB9B">
    <w:name w:val="CD2337E717F940B6802459FDA6E9CB9B"/>
    <w:rPr>
      <w:kern w:val="2"/>
      <w:lang w:val="en-CA" w:eastAsia="en-CA"/>
      <w14:ligatures w14:val="standardContextual"/>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word/theme/themeOverride1.xml><?xml version="1.0" encoding="utf-8"?>
<a:themeOverride xmlns:a="http://schemas.openxmlformats.org/drawingml/2006/main">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Overrid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ct:contentTypeSchema xmlns:ct="http://schemas.microsoft.com/office/2006/metadata/contentType" xmlns:ma="http://schemas.microsoft.com/office/2006/metadata/properties/metaAttributes" ct:_="" ma:_="" ma:contentTypeName="Document" ma:contentTypeID="0x01010069BFACF6D92CD24AA50050CE23F68F74" ma:contentTypeVersion="18" ma:contentTypeDescription="Create a new document." ma:contentTypeScope="" ma:versionID="02df9ec3d1724fd38fbdb31ffb36738f">
  <xsd:schema xmlns:xsd="http://www.w3.org/2001/XMLSchema" xmlns:xs="http://www.w3.org/2001/XMLSchema" xmlns:p="http://schemas.microsoft.com/office/2006/metadata/properties" xmlns:ns2="358298e0-1b7e-4ebe-8695-94439b74f0d1" xmlns:ns3="13ad741f-c0db-4e29-b5a6-03b4a1bc18ba" xmlns:ns4="985ec44e-1bab-4c0b-9df0-6ba128686fc9" targetNamespace="http://schemas.microsoft.com/office/2006/metadata/properties" ma:root="true" ma:fieldsID="e4a1d0b9a3a4cf739a6dfd7525babeaa" ns2:_="" ns3:_="" ns4:_="">
    <xsd:import namespace="358298e0-1b7e-4ebe-8695-94439b74f0d1"/>
    <xsd:import namespace="13ad741f-c0db-4e29-b5a6-03b4a1bc18ba"/>
    <xsd:import namespace="985ec44e-1bab-4c0b-9df0-6ba128686fc9"/>
    <xsd:element name="properties">
      <xsd:complexType>
        <xsd:sequence>
          <xsd:element name="documentManagement">
            <xsd:complexType>
              <xsd:all>
                <xsd:element ref="ns2:MediaServiceMetadata" minOccurs="0"/>
                <xsd:element ref="ns2:MediaServiceFastMetadata" minOccurs="0"/>
                <xsd:element ref="ns3:SharedWithUsers" minOccurs="0"/>
                <xsd:element ref="ns3:SharedWithDetails" minOccurs="0"/>
                <xsd:element ref="ns2:MediaServiceAutoTags" minOccurs="0"/>
                <xsd:element ref="ns2:MediaServiceOCR" minOccurs="0"/>
                <xsd:element ref="ns2:MediaServiceDateTaken" minOccurs="0"/>
                <xsd:element ref="ns2:MediaServiceGenerationTime" minOccurs="0"/>
                <xsd:element ref="ns2:MediaServiceEventHashCode" minOccurs="0"/>
                <xsd:element ref="ns2:MediaServiceAutoKeyPoints" minOccurs="0"/>
                <xsd:element ref="ns2:MediaServiceKeyPoints" minOccurs="0"/>
                <xsd:element ref="ns2:MediaServiceLocation" minOccurs="0"/>
                <xsd:element ref="ns2:MediaLengthInSeconds" minOccurs="0"/>
                <xsd:element ref="ns2:lcf76f155ced4ddcb4097134ff3c332f" minOccurs="0"/>
                <xsd:element ref="ns4:TaxCatchAll"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358298e0-1b7e-4ebe-8695-94439b74f0d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2" nillable="true" ma:displayName="Tags" ma:internalName="MediaServiceAutoTags" ma:readOnly="true">
      <xsd:simpleType>
        <xsd:restriction base="dms:Text"/>
      </xsd:simpleType>
    </xsd:element>
    <xsd:element name="MediaServiceOCR" ma:index="13" nillable="true" ma:displayName="Extracted Text" ma:internalName="MediaServiceOCR" ma:readOnly="true">
      <xsd:simpleType>
        <xsd:restriction base="dms:Note">
          <xsd:maxLength value="255"/>
        </xsd:restriction>
      </xsd:simpleType>
    </xsd:element>
    <xsd:element name="MediaServiceDateTaken" ma:index="14" nillable="true" ma:displayName="MediaServiceDateTaken" ma:hidden="true" ma:internalName="MediaServiceDateTaken" ma:readOnly="true">
      <xsd:simpleType>
        <xsd:restriction base="dms:Text"/>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MediaServiceLocation" ma:index="19" nillable="true" ma:displayName="Location" ma:internalName="MediaServiceLocation" ma:readOnly="true">
      <xsd:simpleType>
        <xsd:restriction base="dms:Text"/>
      </xsd:simpleType>
    </xsd:element>
    <xsd:element name="MediaLengthInSeconds" ma:index="20" nillable="true" ma:displayName="MediaLengthInSeconds" ma:hidden="true"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78175662-8596-484a-92c7-351d01561e22"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13ad741f-c0db-4e29-b5a6-03b4a1bc18ba" elementFormDefault="qualified">
    <xsd:import namespace="http://schemas.microsoft.com/office/2006/documentManagement/types"/>
    <xsd:import namespace="http://schemas.microsoft.com/office/infopath/2007/PartnerControls"/>
    <xsd:element name="SharedWithUsers" ma:index="1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Shared With Details" ma:internalName="SharedWithDetail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985ec44e-1bab-4c0b-9df0-6ba128686fc9" elementFormDefault="qualified">
    <xsd:import namespace="http://schemas.microsoft.com/office/2006/documentManagement/types"/>
    <xsd:import namespace="http://schemas.microsoft.com/office/infopath/2007/PartnerControls"/>
    <xsd:element name="TaxCatchAll" ma:index="23" nillable="true" ma:displayName="Taxonomy Catch All Column" ma:hidden="true" ma:list="{ba081904-bce8-4032-99c9-02153865886d}" ma:internalName="TaxCatchAll" ma:showField="CatchAllData" ma:web="13ad741f-c0db-4e29-b5a6-03b4a1bc18ba">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TaxCatchAll xmlns="985ec44e-1bab-4c0b-9df0-6ba128686fc9" xsi:nil="true"/>
    <lcf76f155ced4ddcb4097134ff3c332f xmlns="358298e0-1b7e-4ebe-8695-94439b74f0d1">
      <Terms xmlns="http://schemas.microsoft.com/office/infopath/2007/PartnerControls"/>
    </lcf76f155ced4ddcb4097134ff3c332f>
  </documentManagement>
</p:properties>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93B887EC-ACD4-4F1D-8FA9-040A4F171191}">
  <ds:schemaRefs>
    <ds:schemaRef ds:uri="http://schemas.openxmlformats.org/officeDocument/2006/bibliography"/>
  </ds:schemaRefs>
</ds:datastoreItem>
</file>

<file path=customXml/itemProps2.xml><?xml version="1.0" encoding="utf-8"?>
<ds:datastoreItem xmlns:ds="http://schemas.openxmlformats.org/officeDocument/2006/customXml" ds:itemID="{87FEEF74-D574-42DD-957B-71FC7720EC9D}">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358298e0-1b7e-4ebe-8695-94439b74f0d1"/>
    <ds:schemaRef ds:uri="13ad741f-c0db-4e29-b5a6-03b4a1bc18ba"/>
    <ds:schemaRef ds:uri="985ec44e-1bab-4c0b-9df0-6ba128686fc9"/>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AE130F31-9707-4C23-8EBB-8B172C31F984}">
  <ds:schemaRefs>
    <ds:schemaRef ds:uri="http://schemas.microsoft.com/office/2006/metadata/properties"/>
    <ds:schemaRef ds:uri="http://schemas.microsoft.com/office/infopath/2007/PartnerControls"/>
    <ds:schemaRef ds:uri="985ec44e-1bab-4c0b-9df0-6ba128686fc9"/>
    <ds:schemaRef ds:uri="358298e0-1b7e-4ebe-8695-94439b74f0d1"/>
  </ds:schemaRefs>
</ds:datastoreItem>
</file>

<file path=customXml/itemProps4.xml><?xml version="1.0" encoding="utf-8"?>
<ds:datastoreItem xmlns:ds="http://schemas.openxmlformats.org/officeDocument/2006/customXml" ds:itemID="{E56DACA2-8C2E-46A4-AF4A-CE8311E2CCEE}">
  <ds:schemaRefs>
    <ds:schemaRef ds:uri="http://schemas.microsoft.com/sharepoint/v3/contenttype/forms"/>
  </ds:schemaRefs>
</ds:datastoreItem>
</file>

<file path=docMetadata/LabelInfo.xml><?xml version="1.0" encoding="utf-8"?>
<clbl:labelList xmlns:clbl="http://schemas.microsoft.com/office/2020/mipLabelMetadata">
  <clbl:label id="{606bed3f-efae-4d70-a15b-866bb27c918d}" enabled="1" method="Privileged" siteId="{0f9e35db-544f-4f60-bdcc-5ea416e6dc70}" removed="0"/>
</clbl:labelList>
</file>

<file path=docProps/app.xml><?xml version="1.0" encoding="utf-8"?>
<Properties xmlns="http://schemas.openxmlformats.org/officeDocument/2006/extended-properties" xmlns:vt="http://schemas.openxmlformats.org/officeDocument/2006/docPropsVTypes">
  <Template>template-general.dotm</Template>
  <TotalTime>19</TotalTime>
  <Pages>49</Pages>
  <Words>24145</Words>
  <Characters>137627</Characters>
  <Application>Microsoft Office Word</Application>
  <DocSecurity>0</DocSecurity>
  <Lines>1146</Lines>
  <Paragraphs>322</Paragraphs>
  <ScaleCrop>false</ScaleCrop>
  <Company/>
  <LinksUpToDate>false</LinksUpToDate>
  <CharactersWithSpaces>161450</CharactersWithSpaces>
  <SharedDoc>false</SharedDoc>
  <HLinks>
    <vt:vector size="714" baseType="variant">
      <vt:variant>
        <vt:i4>7536689</vt:i4>
      </vt:variant>
      <vt:variant>
        <vt:i4>105</vt:i4>
      </vt:variant>
      <vt:variant>
        <vt:i4>0</vt:i4>
      </vt:variant>
      <vt:variant>
        <vt:i4>5</vt:i4>
      </vt:variant>
      <vt:variant>
        <vt:lpwstr>https://www.cbd.int/doc/decisions/np-mop-05/np-mop-05-dec-07-en.pdf</vt:lpwstr>
      </vt:variant>
      <vt:variant>
        <vt:lpwstr/>
      </vt:variant>
      <vt:variant>
        <vt:i4>7798833</vt:i4>
      </vt:variant>
      <vt:variant>
        <vt:i4>102</vt:i4>
      </vt:variant>
      <vt:variant>
        <vt:i4>0</vt:i4>
      </vt:variant>
      <vt:variant>
        <vt:i4>5</vt:i4>
      </vt:variant>
      <vt:variant>
        <vt:lpwstr>https://www.cbd.int/doc/decisions/np-mop-05/np-mop-05-dec-03-en.pdf</vt:lpwstr>
      </vt:variant>
      <vt:variant>
        <vt:lpwstr/>
      </vt:variant>
      <vt:variant>
        <vt:i4>6881340</vt:i4>
      </vt:variant>
      <vt:variant>
        <vt:i4>99</vt:i4>
      </vt:variant>
      <vt:variant>
        <vt:i4>0</vt:i4>
      </vt:variant>
      <vt:variant>
        <vt:i4>5</vt:i4>
      </vt:variant>
      <vt:variant>
        <vt:lpwstr>https://www.cbd.int/decision/np-mop/default.shtml?id=13409</vt:lpwstr>
      </vt:variant>
      <vt:variant>
        <vt:lpwstr/>
      </vt:variant>
      <vt:variant>
        <vt:i4>8060974</vt:i4>
      </vt:variant>
      <vt:variant>
        <vt:i4>96</vt:i4>
      </vt:variant>
      <vt:variant>
        <vt:i4>0</vt:i4>
      </vt:variant>
      <vt:variant>
        <vt:i4>5</vt:i4>
      </vt:variant>
      <vt:variant>
        <vt:lpwstr>https://www.cbd.int/meetings/NP-MOP-03</vt:lpwstr>
      </vt:variant>
      <vt:variant>
        <vt:lpwstr/>
      </vt:variant>
      <vt:variant>
        <vt:i4>8060974</vt:i4>
      </vt:variant>
      <vt:variant>
        <vt:i4>93</vt:i4>
      </vt:variant>
      <vt:variant>
        <vt:i4>0</vt:i4>
      </vt:variant>
      <vt:variant>
        <vt:i4>5</vt:i4>
      </vt:variant>
      <vt:variant>
        <vt:lpwstr>https://www.cbd.int/meetings/NP-MOP-03</vt:lpwstr>
      </vt:variant>
      <vt:variant>
        <vt:lpwstr/>
      </vt:variant>
      <vt:variant>
        <vt:i4>5439581</vt:i4>
      </vt:variant>
      <vt:variant>
        <vt:i4>90</vt:i4>
      </vt:variant>
      <vt:variant>
        <vt:i4>0</vt:i4>
      </vt:variant>
      <vt:variant>
        <vt:i4>5</vt:i4>
      </vt:variant>
      <vt:variant>
        <vt:lpwstr>https://www.cbd.int/decisions/np-mop/?m=np-mop-05</vt:lpwstr>
      </vt:variant>
      <vt:variant>
        <vt:lpwstr/>
      </vt:variant>
      <vt:variant>
        <vt:i4>5439581</vt:i4>
      </vt:variant>
      <vt:variant>
        <vt:i4>87</vt:i4>
      </vt:variant>
      <vt:variant>
        <vt:i4>0</vt:i4>
      </vt:variant>
      <vt:variant>
        <vt:i4>5</vt:i4>
      </vt:variant>
      <vt:variant>
        <vt:lpwstr>https://www.cbd.int/decisions/np-mop/?m=np-mop-05</vt:lpwstr>
      </vt:variant>
      <vt:variant>
        <vt:lpwstr/>
      </vt:variant>
      <vt:variant>
        <vt:i4>8060974</vt:i4>
      </vt:variant>
      <vt:variant>
        <vt:i4>84</vt:i4>
      </vt:variant>
      <vt:variant>
        <vt:i4>0</vt:i4>
      </vt:variant>
      <vt:variant>
        <vt:i4>5</vt:i4>
      </vt:variant>
      <vt:variant>
        <vt:lpwstr>https://www.cbd.int/meetings/NP-MOP-03</vt:lpwstr>
      </vt:variant>
      <vt:variant>
        <vt:lpwstr/>
      </vt:variant>
      <vt:variant>
        <vt:i4>8060974</vt:i4>
      </vt:variant>
      <vt:variant>
        <vt:i4>81</vt:i4>
      </vt:variant>
      <vt:variant>
        <vt:i4>0</vt:i4>
      </vt:variant>
      <vt:variant>
        <vt:i4>5</vt:i4>
      </vt:variant>
      <vt:variant>
        <vt:lpwstr>https://www.cbd.int/meetings/NP-MOP-03</vt:lpwstr>
      </vt:variant>
      <vt:variant>
        <vt:lpwstr/>
      </vt:variant>
      <vt:variant>
        <vt:i4>5439581</vt:i4>
      </vt:variant>
      <vt:variant>
        <vt:i4>78</vt:i4>
      </vt:variant>
      <vt:variant>
        <vt:i4>0</vt:i4>
      </vt:variant>
      <vt:variant>
        <vt:i4>5</vt:i4>
      </vt:variant>
      <vt:variant>
        <vt:lpwstr>https://www.cbd.int/decisions/np-mop/?m=np-mop-05</vt:lpwstr>
      </vt:variant>
      <vt:variant>
        <vt:lpwstr/>
      </vt:variant>
      <vt:variant>
        <vt:i4>8060974</vt:i4>
      </vt:variant>
      <vt:variant>
        <vt:i4>75</vt:i4>
      </vt:variant>
      <vt:variant>
        <vt:i4>0</vt:i4>
      </vt:variant>
      <vt:variant>
        <vt:i4>5</vt:i4>
      </vt:variant>
      <vt:variant>
        <vt:lpwstr>https://www.cbd.int/meetings/NP-MOP-03</vt:lpwstr>
      </vt:variant>
      <vt:variant>
        <vt:lpwstr/>
      </vt:variant>
      <vt:variant>
        <vt:i4>2031673</vt:i4>
      </vt:variant>
      <vt:variant>
        <vt:i4>68</vt:i4>
      </vt:variant>
      <vt:variant>
        <vt:i4>0</vt:i4>
      </vt:variant>
      <vt:variant>
        <vt:i4>5</vt:i4>
      </vt:variant>
      <vt:variant>
        <vt:lpwstr/>
      </vt:variant>
      <vt:variant>
        <vt:lpwstr>_Toc228803312</vt:lpwstr>
      </vt:variant>
      <vt:variant>
        <vt:i4>2031673</vt:i4>
      </vt:variant>
      <vt:variant>
        <vt:i4>62</vt:i4>
      </vt:variant>
      <vt:variant>
        <vt:i4>0</vt:i4>
      </vt:variant>
      <vt:variant>
        <vt:i4>5</vt:i4>
      </vt:variant>
      <vt:variant>
        <vt:lpwstr/>
      </vt:variant>
      <vt:variant>
        <vt:lpwstr>_Toc228803311</vt:lpwstr>
      </vt:variant>
      <vt:variant>
        <vt:i4>2031673</vt:i4>
      </vt:variant>
      <vt:variant>
        <vt:i4>56</vt:i4>
      </vt:variant>
      <vt:variant>
        <vt:i4>0</vt:i4>
      </vt:variant>
      <vt:variant>
        <vt:i4>5</vt:i4>
      </vt:variant>
      <vt:variant>
        <vt:lpwstr/>
      </vt:variant>
      <vt:variant>
        <vt:lpwstr>_Toc228803310</vt:lpwstr>
      </vt:variant>
      <vt:variant>
        <vt:i4>1966137</vt:i4>
      </vt:variant>
      <vt:variant>
        <vt:i4>50</vt:i4>
      </vt:variant>
      <vt:variant>
        <vt:i4>0</vt:i4>
      </vt:variant>
      <vt:variant>
        <vt:i4>5</vt:i4>
      </vt:variant>
      <vt:variant>
        <vt:lpwstr/>
      </vt:variant>
      <vt:variant>
        <vt:lpwstr>_Toc228803309</vt:lpwstr>
      </vt:variant>
      <vt:variant>
        <vt:i4>1966137</vt:i4>
      </vt:variant>
      <vt:variant>
        <vt:i4>44</vt:i4>
      </vt:variant>
      <vt:variant>
        <vt:i4>0</vt:i4>
      </vt:variant>
      <vt:variant>
        <vt:i4>5</vt:i4>
      </vt:variant>
      <vt:variant>
        <vt:lpwstr/>
      </vt:variant>
      <vt:variant>
        <vt:lpwstr>_Toc228803308</vt:lpwstr>
      </vt:variant>
      <vt:variant>
        <vt:i4>1966137</vt:i4>
      </vt:variant>
      <vt:variant>
        <vt:i4>38</vt:i4>
      </vt:variant>
      <vt:variant>
        <vt:i4>0</vt:i4>
      </vt:variant>
      <vt:variant>
        <vt:i4>5</vt:i4>
      </vt:variant>
      <vt:variant>
        <vt:lpwstr/>
      </vt:variant>
      <vt:variant>
        <vt:lpwstr>_Toc228803307</vt:lpwstr>
      </vt:variant>
      <vt:variant>
        <vt:i4>1966137</vt:i4>
      </vt:variant>
      <vt:variant>
        <vt:i4>32</vt:i4>
      </vt:variant>
      <vt:variant>
        <vt:i4>0</vt:i4>
      </vt:variant>
      <vt:variant>
        <vt:i4>5</vt:i4>
      </vt:variant>
      <vt:variant>
        <vt:lpwstr/>
      </vt:variant>
      <vt:variant>
        <vt:lpwstr>_Toc228803306</vt:lpwstr>
      </vt:variant>
      <vt:variant>
        <vt:i4>1966137</vt:i4>
      </vt:variant>
      <vt:variant>
        <vt:i4>26</vt:i4>
      </vt:variant>
      <vt:variant>
        <vt:i4>0</vt:i4>
      </vt:variant>
      <vt:variant>
        <vt:i4>5</vt:i4>
      </vt:variant>
      <vt:variant>
        <vt:lpwstr/>
      </vt:variant>
      <vt:variant>
        <vt:lpwstr>_Toc228803305</vt:lpwstr>
      </vt:variant>
      <vt:variant>
        <vt:i4>1966137</vt:i4>
      </vt:variant>
      <vt:variant>
        <vt:i4>20</vt:i4>
      </vt:variant>
      <vt:variant>
        <vt:i4>0</vt:i4>
      </vt:variant>
      <vt:variant>
        <vt:i4>5</vt:i4>
      </vt:variant>
      <vt:variant>
        <vt:lpwstr/>
      </vt:variant>
      <vt:variant>
        <vt:lpwstr>_Toc228803304</vt:lpwstr>
      </vt:variant>
      <vt:variant>
        <vt:i4>1966137</vt:i4>
      </vt:variant>
      <vt:variant>
        <vt:i4>14</vt:i4>
      </vt:variant>
      <vt:variant>
        <vt:i4>0</vt:i4>
      </vt:variant>
      <vt:variant>
        <vt:i4>5</vt:i4>
      </vt:variant>
      <vt:variant>
        <vt:lpwstr/>
      </vt:variant>
      <vt:variant>
        <vt:lpwstr>_Toc228803303</vt:lpwstr>
      </vt:variant>
      <vt:variant>
        <vt:i4>1966137</vt:i4>
      </vt:variant>
      <vt:variant>
        <vt:i4>8</vt:i4>
      </vt:variant>
      <vt:variant>
        <vt:i4>0</vt:i4>
      </vt:variant>
      <vt:variant>
        <vt:i4>5</vt:i4>
      </vt:variant>
      <vt:variant>
        <vt:lpwstr/>
      </vt:variant>
      <vt:variant>
        <vt:lpwstr>_Toc228803302</vt:lpwstr>
      </vt:variant>
      <vt:variant>
        <vt:i4>1966137</vt:i4>
      </vt:variant>
      <vt:variant>
        <vt:i4>2</vt:i4>
      </vt:variant>
      <vt:variant>
        <vt:i4>0</vt:i4>
      </vt:variant>
      <vt:variant>
        <vt:i4>5</vt:i4>
      </vt:variant>
      <vt:variant>
        <vt:lpwstr/>
      </vt:variant>
      <vt:variant>
        <vt:lpwstr>_Toc228803301</vt:lpwstr>
      </vt:variant>
      <vt:variant>
        <vt:i4>7798833</vt:i4>
      </vt:variant>
      <vt:variant>
        <vt:i4>282</vt:i4>
      </vt:variant>
      <vt:variant>
        <vt:i4>0</vt:i4>
      </vt:variant>
      <vt:variant>
        <vt:i4>5</vt:i4>
      </vt:variant>
      <vt:variant>
        <vt:lpwstr>https://www.cbd.int/doc/decisions/np-mop-05/np-mop-05-dec-03-en.pdf</vt:lpwstr>
      </vt:variant>
      <vt:variant>
        <vt:lpwstr/>
      </vt:variant>
      <vt:variant>
        <vt:i4>983048</vt:i4>
      </vt:variant>
      <vt:variant>
        <vt:i4>279</vt:i4>
      </vt:variant>
      <vt:variant>
        <vt:i4>0</vt:i4>
      </vt:variant>
      <vt:variant>
        <vt:i4>5</vt:i4>
      </vt:variant>
      <vt:variant>
        <vt:lpwstr>https://www.cbd.int/documents/CBD/SBI/7/INF/2</vt:lpwstr>
      </vt:variant>
      <vt:variant>
        <vt:lpwstr/>
      </vt:variant>
      <vt:variant>
        <vt:i4>983048</vt:i4>
      </vt:variant>
      <vt:variant>
        <vt:i4>276</vt:i4>
      </vt:variant>
      <vt:variant>
        <vt:i4>0</vt:i4>
      </vt:variant>
      <vt:variant>
        <vt:i4>5</vt:i4>
      </vt:variant>
      <vt:variant>
        <vt:lpwstr>https://www.cbd.int/documents/CBD/SBI/7/INF/2</vt:lpwstr>
      </vt:variant>
      <vt:variant>
        <vt:lpwstr/>
      </vt:variant>
      <vt:variant>
        <vt:i4>4521988</vt:i4>
      </vt:variant>
      <vt:variant>
        <vt:i4>273</vt:i4>
      </vt:variant>
      <vt:variant>
        <vt:i4>0</vt:i4>
      </vt:variant>
      <vt:variant>
        <vt:i4>5</vt:i4>
      </vt:variant>
      <vt:variant>
        <vt:lpwstr>https://www.cbd.int/documents/CBD/NP/MOP/5/10</vt:lpwstr>
      </vt:variant>
      <vt:variant>
        <vt:lpwstr/>
      </vt:variant>
      <vt:variant>
        <vt:i4>7143544</vt:i4>
      </vt:variant>
      <vt:variant>
        <vt:i4>270</vt:i4>
      </vt:variant>
      <vt:variant>
        <vt:i4>0</vt:i4>
      </vt:variant>
      <vt:variant>
        <vt:i4>5</vt:i4>
      </vt:variant>
      <vt:variant>
        <vt:lpwstr>http://www.cbd.int/abs/art10.shtml</vt:lpwstr>
      </vt:variant>
      <vt:variant>
        <vt:lpwstr/>
      </vt:variant>
      <vt:variant>
        <vt:i4>983048</vt:i4>
      </vt:variant>
      <vt:variant>
        <vt:i4>267</vt:i4>
      </vt:variant>
      <vt:variant>
        <vt:i4>0</vt:i4>
      </vt:variant>
      <vt:variant>
        <vt:i4>5</vt:i4>
      </vt:variant>
      <vt:variant>
        <vt:lpwstr>https://www.cbd.int/documents/CBD/SBI/7/INF/4</vt:lpwstr>
      </vt:variant>
      <vt:variant>
        <vt:lpwstr/>
      </vt:variant>
      <vt:variant>
        <vt:i4>983048</vt:i4>
      </vt:variant>
      <vt:variant>
        <vt:i4>264</vt:i4>
      </vt:variant>
      <vt:variant>
        <vt:i4>0</vt:i4>
      </vt:variant>
      <vt:variant>
        <vt:i4>5</vt:i4>
      </vt:variant>
      <vt:variant>
        <vt:lpwstr>https://www.cbd.int/documents/CBD/SBI/7/INF/5</vt:lpwstr>
      </vt:variant>
      <vt:variant>
        <vt:lpwstr/>
      </vt:variant>
      <vt:variant>
        <vt:i4>983048</vt:i4>
      </vt:variant>
      <vt:variant>
        <vt:i4>261</vt:i4>
      </vt:variant>
      <vt:variant>
        <vt:i4>0</vt:i4>
      </vt:variant>
      <vt:variant>
        <vt:i4>5</vt:i4>
      </vt:variant>
      <vt:variant>
        <vt:lpwstr>https://www.cbd.int/documents/CBD/SBI/7/INF/4</vt:lpwstr>
      </vt:variant>
      <vt:variant>
        <vt:lpwstr/>
      </vt:variant>
      <vt:variant>
        <vt:i4>3539050</vt:i4>
      </vt:variant>
      <vt:variant>
        <vt:i4>258</vt:i4>
      </vt:variant>
      <vt:variant>
        <vt:i4>0</vt:i4>
      </vt:variant>
      <vt:variant>
        <vt:i4>5</vt:i4>
      </vt:variant>
      <vt:variant>
        <vt:lpwstr>https://absch.cbd.int/en/kb</vt:lpwstr>
      </vt:variant>
      <vt:variant>
        <vt:lpwstr/>
      </vt:variant>
      <vt:variant>
        <vt:i4>983048</vt:i4>
      </vt:variant>
      <vt:variant>
        <vt:i4>255</vt:i4>
      </vt:variant>
      <vt:variant>
        <vt:i4>0</vt:i4>
      </vt:variant>
      <vt:variant>
        <vt:i4>5</vt:i4>
      </vt:variant>
      <vt:variant>
        <vt:lpwstr>https://www.cbd.int/documents/CBD/SBI/7/INF/5</vt:lpwstr>
      </vt:variant>
      <vt:variant>
        <vt:lpwstr/>
      </vt:variant>
      <vt:variant>
        <vt:i4>983048</vt:i4>
      </vt:variant>
      <vt:variant>
        <vt:i4>252</vt:i4>
      </vt:variant>
      <vt:variant>
        <vt:i4>0</vt:i4>
      </vt:variant>
      <vt:variant>
        <vt:i4>5</vt:i4>
      </vt:variant>
      <vt:variant>
        <vt:lpwstr>https://www.cbd.int/documents/CBD/SBI/7/INF/2</vt:lpwstr>
      </vt:variant>
      <vt:variant>
        <vt:lpwstr/>
      </vt:variant>
      <vt:variant>
        <vt:i4>983048</vt:i4>
      </vt:variant>
      <vt:variant>
        <vt:i4>249</vt:i4>
      </vt:variant>
      <vt:variant>
        <vt:i4>0</vt:i4>
      </vt:variant>
      <vt:variant>
        <vt:i4>5</vt:i4>
      </vt:variant>
      <vt:variant>
        <vt:lpwstr>https://www.cbd.int/documents/CBD/SBI/7/INF/4</vt:lpwstr>
      </vt:variant>
      <vt:variant>
        <vt:lpwstr/>
      </vt:variant>
      <vt:variant>
        <vt:i4>983048</vt:i4>
      </vt:variant>
      <vt:variant>
        <vt:i4>246</vt:i4>
      </vt:variant>
      <vt:variant>
        <vt:i4>0</vt:i4>
      </vt:variant>
      <vt:variant>
        <vt:i4>5</vt:i4>
      </vt:variant>
      <vt:variant>
        <vt:lpwstr>https://www.cbd.int/documents/CBD/SBI/7/INF/3</vt:lpwstr>
      </vt:variant>
      <vt:variant>
        <vt:lpwstr/>
      </vt:variant>
      <vt:variant>
        <vt:i4>983048</vt:i4>
      </vt:variant>
      <vt:variant>
        <vt:i4>243</vt:i4>
      </vt:variant>
      <vt:variant>
        <vt:i4>0</vt:i4>
      </vt:variant>
      <vt:variant>
        <vt:i4>5</vt:i4>
      </vt:variant>
      <vt:variant>
        <vt:lpwstr>https://www.cbd.int/documents/CBD/SBI/7/INF/5</vt:lpwstr>
      </vt:variant>
      <vt:variant>
        <vt:lpwstr/>
      </vt:variant>
      <vt:variant>
        <vt:i4>983048</vt:i4>
      </vt:variant>
      <vt:variant>
        <vt:i4>240</vt:i4>
      </vt:variant>
      <vt:variant>
        <vt:i4>0</vt:i4>
      </vt:variant>
      <vt:variant>
        <vt:i4>5</vt:i4>
      </vt:variant>
      <vt:variant>
        <vt:lpwstr>https://www.cbd.int/documents/CBD/SBI/7/INF/2</vt:lpwstr>
      </vt:variant>
      <vt:variant>
        <vt:lpwstr/>
      </vt:variant>
      <vt:variant>
        <vt:i4>983048</vt:i4>
      </vt:variant>
      <vt:variant>
        <vt:i4>237</vt:i4>
      </vt:variant>
      <vt:variant>
        <vt:i4>0</vt:i4>
      </vt:variant>
      <vt:variant>
        <vt:i4>5</vt:i4>
      </vt:variant>
      <vt:variant>
        <vt:lpwstr>https://www.cbd.int/documents/CBD/SBI/7/INF/3</vt:lpwstr>
      </vt:variant>
      <vt:variant>
        <vt:lpwstr/>
      </vt:variant>
      <vt:variant>
        <vt:i4>983048</vt:i4>
      </vt:variant>
      <vt:variant>
        <vt:i4>234</vt:i4>
      </vt:variant>
      <vt:variant>
        <vt:i4>0</vt:i4>
      </vt:variant>
      <vt:variant>
        <vt:i4>5</vt:i4>
      </vt:variant>
      <vt:variant>
        <vt:lpwstr>https://www.cbd.int/documents/CBD/SBI/7/INF/2</vt:lpwstr>
      </vt:variant>
      <vt:variant>
        <vt:lpwstr/>
      </vt:variant>
      <vt:variant>
        <vt:i4>983048</vt:i4>
      </vt:variant>
      <vt:variant>
        <vt:i4>231</vt:i4>
      </vt:variant>
      <vt:variant>
        <vt:i4>0</vt:i4>
      </vt:variant>
      <vt:variant>
        <vt:i4>5</vt:i4>
      </vt:variant>
      <vt:variant>
        <vt:lpwstr>https://www.cbd.int/documents/CBD/SBI/7/INF/3</vt:lpwstr>
      </vt:variant>
      <vt:variant>
        <vt:lpwstr/>
      </vt:variant>
      <vt:variant>
        <vt:i4>983048</vt:i4>
      </vt:variant>
      <vt:variant>
        <vt:i4>228</vt:i4>
      </vt:variant>
      <vt:variant>
        <vt:i4>0</vt:i4>
      </vt:variant>
      <vt:variant>
        <vt:i4>5</vt:i4>
      </vt:variant>
      <vt:variant>
        <vt:lpwstr>https://www.cbd.int/documents/CBD/SBI/7/INF/2</vt:lpwstr>
      </vt:variant>
      <vt:variant>
        <vt:lpwstr/>
      </vt:variant>
      <vt:variant>
        <vt:i4>983048</vt:i4>
      </vt:variant>
      <vt:variant>
        <vt:i4>225</vt:i4>
      </vt:variant>
      <vt:variant>
        <vt:i4>0</vt:i4>
      </vt:variant>
      <vt:variant>
        <vt:i4>5</vt:i4>
      </vt:variant>
      <vt:variant>
        <vt:lpwstr>https://www.cbd.int/documents/CBD/SBI/7/INF/2</vt:lpwstr>
      </vt:variant>
      <vt:variant>
        <vt:lpwstr/>
      </vt:variant>
      <vt:variant>
        <vt:i4>983048</vt:i4>
      </vt:variant>
      <vt:variant>
        <vt:i4>222</vt:i4>
      </vt:variant>
      <vt:variant>
        <vt:i4>0</vt:i4>
      </vt:variant>
      <vt:variant>
        <vt:i4>5</vt:i4>
      </vt:variant>
      <vt:variant>
        <vt:lpwstr>https://www.cbd.int/documents/CBD/SBI/7/INF/3</vt:lpwstr>
      </vt:variant>
      <vt:variant>
        <vt:lpwstr/>
      </vt:variant>
      <vt:variant>
        <vt:i4>983048</vt:i4>
      </vt:variant>
      <vt:variant>
        <vt:i4>219</vt:i4>
      </vt:variant>
      <vt:variant>
        <vt:i4>0</vt:i4>
      </vt:variant>
      <vt:variant>
        <vt:i4>5</vt:i4>
      </vt:variant>
      <vt:variant>
        <vt:lpwstr>https://www.cbd.int/documents/CBD/SBI/7/INF/2</vt:lpwstr>
      </vt:variant>
      <vt:variant>
        <vt:lpwstr/>
      </vt:variant>
      <vt:variant>
        <vt:i4>983048</vt:i4>
      </vt:variant>
      <vt:variant>
        <vt:i4>216</vt:i4>
      </vt:variant>
      <vt:variant>
        <vt:i4>0</vt:i4>
      </vt:variant>
      <vt:variant>
        <vt:i4>5</vt:i4>
      </vt:variant>
      <vt:variant>
        <vt:lpwstr>https://www.cbd.int/documents/CBD/SBI/7/INF/2</vt:lpwstr>
      </vt:variant>
      <vt:variant>
        <vt:lpwstr/>
      </vt:variant>
      <vt:variant>
        <vt:i4>983048</vt:i4>
      </vt:variant>
      <vt:variant>
        <vt:i4>213</vt:i4>
      </vt:variant>
      <vt:variant>
        <vt:i4>0</vt:i4>
      </vt:variant>
      <vt:variant>
        <vt:i4>5</vt:i4>
      </vt:variant>
      <vt:variant>
        <vt:lpwstr>https://www.cbd.int/documents/CBD/SBI/7/INF/2</vt:lpwstr>
      </vt:variant>
      <vt:variant>
        <vt:lpwstr/>
      </vt:variant>
      <vt:variant>
        <vt:i4>983048</vt:i4>
      </vt:variant>
      <vt:variant>
        <vt:i4>210</vt:i4>
      </vt:variant>
      <vt:variant>
        <vt:i4>0</vt:i4>
      </vt:variant>
      <vt:variant>
        <vt:i4>5</vt:i4>
      </vt:variant>
      <vt:variant>
        <vt:lpwstr>https://www.cbd.int/documents/CBD/SBI/7/INF/2</vt:lpwstr>
      </vt:variant>
      <vt:variant>
        <vt:lpwstr/>
      </vt:variant>
      <vt:variant>
        <vt:i4>7667761</vt:i4>
      </vt:variant>
      <vt:variant>
        <vt:i4>207</vt:i4>
      </vt:variant>
      <vt:variant>
        <vt:i4>0</vt:i4>
      </vt:variant>
      <vt:variant>
        <vt:i4>5</vt:i4>
      </vt:variant>
      <vt:variant>
        <vt:lpwstr>https://www.cbd.int/doc/decisions/np-mop-03/np-mop-03-dec-01-en.pdf</vt:lpwstr>
      </vt:variant>
      <vt:variant>
        <vt:lpwstr/>
      </vt:variant>
      <vt:variant>
        <vt:i4>983048</vt:i4>
      </vt:variant>
      <vt:variant>
        <vt:i4>204</vt:i4>
      </vt:variant>
      <vt:variant>
        <vt:i4>0</vt:i4>
      </vt:variant>
      <vt:variant>
        <vt:i4>5</vt:i4>
      </vt:variant>
      <vt:variant>
        <vt:lpwstr>https://www.cbd.int/documents/CBD/SBI/7/INF/2</vt:lpwstr>
      </vt:variant>
      <vt:variant>
        <vt:lpwstr/>
      </vt:variant>
      <vt:variant>
        <vt:i4>983048</vt:i4>
      </vt:variant>
      <vt:variant>
        <vt:i4>201</vt:i4>
      </vt:variant>
      <vt:variant>
        <vt:i4>0</vt:i4>
      </vt:variant>
      <vt:variant>
        <vt:i4>5</vt:i4>
      </vt:variant>
      <vt:variant>
        <vt:lpwstr>https://www.cbd.int/documents/CBD/SBI/7/INF/7</vt:lpwstr>
      </vt:variant>
      <vt:variant>
        <vt:lpwstr/>
      </vt:variant>
      <vt:variant>
        <vt:i4>983048</vt:i4>
      </vt:variant>
      <vt:variant>
        <vt:i4>198</vt:i4>
      </vt:variant>
      <vt:variant>
        <vt:i4>0</vt:i4>
      </vt:variant>
      <vt:variant>
        <vt:i4>5</vt:i4>
      </vt:variant>
      <vt:variant>
        <vt:lpwstr>https://www.cbd.int/documents/CBD/SBI/7/INF/3</vt:lpwstr>
      </vt:variant>
      <vt:variant>
        <vt:lpwstr/>
      </vt:variant>
      <vt:variant>
        <vt:i4>983048</vt:i4>
      </vt:variant>
      <vt:variant>
        <vt:i4>195</vt:i4>
      </vt:variant>
      <vt:variant>
        <vt:i4>0</vt:i4>
      </vt:variant>
      <vt:variant>
        <vt:i4>5</vt:i4>
      </vt:variant>
      <vt:variant>
        <vt:lpwstr>https://www.cbd.int/documents/CBD/SBI/7/INF/2</vt:lpwstr>
      </vt:variant>
      <vt:variant>
        <vt:lpwstr/>
      </vt:variant>
      <vt:variant>
        <vt:i4>393291</vt:i4>
      </vt:variant>
      <vt:variant>
        <vt:i4>192</vt:i4>
      </vt:variant>
      <vt:variant>
        <vt:i4>0</vt:i4>
      </vt:variant>
      <vt:variant>
        <vt:i4>5</vt:i4>
      </vt:variant>
      <vt:variant>
        <vt:lpwstr>https://www.cbd.int/doc/decisions/cop-15/cop-15-dec-08-en.pdf</vt:lpwstr>
      </vt:variant>
      <vt:variant>
        <vt:lpwstr/>
      </vt:variant>
      <vt:variant>
        <vt:i4>393291</vt:i4>
      </vt:variant>
      <vt:variant>
        <vt:i4>189</vt:i4>
      </vt:variant>
      <vt:variant>
        <vt:i4>0</vt:i4>
      </vt:variant>
      <vt:variant>
        <vt:i4>5</vt:i4>
      </vt:variant>
      <vt:variant>
        <vt:lpwstr>https://www.cbd.int/doc/decisions/cop-15/cop-15-dec-08-en.pdf</vt:lpwstr>
      </vt:variant>
      <vt:variant>
        <vt:lpwstr/>
      </vt:variant>
      <vt:variant>
        <vt:i4>7798833</vt:i4>
      </vt:variant>
      <vt:variant>
        <vt:i4>186</vt:i4>
      </vt:variant>
      <vt:variant>
        <vt:i4>0</vt:i4>
      </vt:variant>
      <vt:variant>
        <vt:i4>5</vt:i4>
      </vt:variant>
      <vt:variant>
        <vt:lpwstr>https://www.cbd.int/doc/decisions/np-mop-05/np-mop-05-dec-03-en.pdf</vt:lpwstr>
      </vt:variant>
      <vt:variant>
        <vt:lpwstr/>
      </vt:variant>
      <vt:variant>
        <vt:i4>983048</vt:i4>
      </vt:variant>
      <vt:variant>
        <vt:i4>183</vt:i4>
      </vt:variant>
      <vt:variant>
        <vt:i4>0</vt:i4>
      </vt:variant>
      <vt:variant>
        <vt:i4>5</vt:i4>
      </vt:variant>
      <vt:variant>
        <vt:lpwstr>https://www.cbd.int/documents/CBD/SBI/7/INF/2</vt:lpwstr>
      </vt:variant>
      <vt:variant>
        <vt:lpwstr/>
      </vt:variant>
      <vt:variant>
        <vt:i4>983048</vt:i4>
      </vt:variant>
      <vt:variant>
        <vt:i4>180</vt:i4>
      </vt:variant>
      <vt:variant>
        <vt:i4>0</vt:i4>
      </vt:variant>
      <vt:variant>
        <vt:i4>5</vt:i4>
      </vt:variant>
      <vt:variant>
        <vt:lpwstr>https://www.cbd.int/documents/CBD/SBI/7/INF/5</vt:lpwstr>
      </vt:variant>
      <vt:variant>
        <vt:lpwstr/>
      </vt:variant>
      <vt:variant>
        <vt:i4>983048</vt:i4>
      </vt:variant>
      <vt:variant>
        <vt:i4>177</vt:i4>
      </vt:variant>
      <vt:variant>
        <vt:i4>0</vt:i4>
      </vt:variant>
      <vt:variant>
        <vt:i4>5</vt:i4>
      </vt:variant>
      <vt:variant>
        <vt:lpwstr>https://www.cbd.int/documents/CBD/SBI/7/INF/3</vt:lpwstr>
      </vt:variant>
      <vt:variant>
        <vt:lpwstr/>
      </vt:variant>
      <vt:variant>
        <vt:i4>983048</vt:i4>
      </vt:variant>
      <vt:variant>
        <vt:i4>174</vt:i4>
      </vt:variant>
      <vt:variant>
        <vt:i4>0</vt:i4>
      </vt:variant>
      <vt:variant>
        <vt:i4>5</vt:i4>
      </vt:variant>
      <vt:variant>
        <vt:lpwstr>https://www.cbd.int/documents/CBD/SBI/7/INF/5</vt:lpwstr>
      </vt:variant>
      <vt:variant>
        <vt:lpwstr/>
      </vt:variant>
      <vt:variant>
        <vt:i4>983048</vt:i4>
      </vt:variant>
      <vt:variant>
        <vt:i4>171</vt:i4>
      </vt:variant>
      <vt:variant>
        <vt:i4>0</vt:i4>
      </vt:variant>
      <vt:variant>
        <vt:i4>5</vt:i4>
      </vt:variant>
      <vt:variant>
        <vt:lpwstr>https://www.cbd.int/documents/CBD/SBI/7/INF/2</vt:lpwstr>
      </vt:variant>
      <vt:variant>
        <vt:lpwstr/>
      </vt:variant>
      <vt:variant>
        <vt:i4>5636183</vt:i4>
      </vt:variant>
      <vt:variant>
        <vt:i4>168</vt:i4>
      </vt:variant>
      <vt:variant>
        <vt:i4>0</vt:i4>
      </vt:variant>
      <vt:variant>
        <vt:i4>5</vt:i4>
      </vt:variant>
      <vt:variant>
        <vt:lpwstr>https://gbf-indicators.org/metadata/headline/C-2</vt:lpwstr>
      </vt:variant>
      <vt:variant>
        <vt:lpwstr/>
      </vt:variant>
      <vt:variant>
        <vt:i4>5570647</vt:i4>
      </vt:variant>
      <vt:variant>
        <vt:i4>165</vt:i4>
      </vt:variant>
      <vt:variant>
        <vt:i4>0</vt:i4>
      </vt:variant>
      <vt:variant>
        <vt:i4>5</vt:i4>
      </vt:variant>
      <vt:variant>
        <vt:lpwstr>https://gbf-indicators.org/metadata/headline/C-1</vt:lpwstr>
      </vt:variant>
      <vt:variant>
        <vt:lpwstr/>
      </vt:variant>
      <vt:variant>
        <vt:i4>983048</vt:i4>
      </vt:variant>
      <vt:variant>
        <vt:i4>162</vt:i4>
      </vt:variant>
      <vt:variant>
        <vt:i4>0</vt:i4>
      </vt:variant>
      <vt:variant>
        <vt:i4>5</vt:i4>
      </vt:variant>
      <vt:variant>
        <vt:lpwstr>https://www.cbd.int/documents/CBD/SBI/7/INF/3</vt:lpwstr>
      </vt:variant>
      <vt:variant>
        <vt:lpwstr/>
      </vt:variant>
      <vt:variant>
        <vt:i4>983048</vt:i4>
      </vt:variant>
      <vt:variant>
        <vt:i4>159</vt:i4>
      </vt:variant>
      <vt:variant>
        <vt:i4>0</vt:i4>
      </vt:variant>
      <vt:variant>
        <vt:i4>5</vt:i4>
      </vt:variant>
      <vt:variant>
        <vt:lpwstr>https://www.cbd.int/documents/CBD/SBI/7/INF/3</vt:lpwstr>
      </vt:variant>
      <vt:variant>
        <vt:lpwstr/>
      </vt:variant>
      <vt:variant>
        <vt:i4>983048</vt:i4>
      </vt:variant>
      <vt:variant>
        <vt:i4>156</vt:i4>
      </vt:variant>
      <vt:variant>
        <vt:i4>0</vt:i4>
      </vt:variant>
      <vt:variant>
        <vt:i4>5</vt:i4>
      </vt:variant>
      <vt:variant>
        <vt:lpwstr>https://www.cbd.int/documents/CBD/SBI/7/INF/4</vt:lpwstr>
      </vt:variant>
      <vt:variant>
        <vt:lpwstr/>
      </vt:variant>
      <vt:variant>
        <vt:i4>983048</vt:i4>
      </vt:variant>
      <vt:variant>
        <vt:i4>153</vt:i4>
      </vt:variant>
      <vt:variant>
        <vt:i4>0</vt:i4>
      </vt:variant>
      <vt:variant>
        <vt:i4>5</vt:i4>
      </vt:variant>
      <vt:variant>
        <vt:lpwstr>https://www.cbd.int/documents/CBD/SBI/7/INF/4</vt:lpwstr>
      </vt:variant>
      <vt:variant>
        <vt:lpwstr/>
      </vt:variant>
      <vt:variant>
        <vt:i4>983048</vt:i4>
      </vt:variant>
      <vt:variant>
        <vt:i4>150</vt:i4>
      </vt:variant>
      <vt:variant>
        <vt:i4>0</vt:i4>
      </vt:variant>
      <vt:variant>
        <vt:i4>5</vt:i4>
      </vt:variant>
      <vt:variant>
        <vt:lpwstr>https://www.cbd.int/documents/CBD/SBI/7/INF/3</vt:lpwstr>
      </vt:variant>
      <vt:variant>
        <vt:lpwstr/>
      </vt:variant>
      <vt:variant>
        <vt:i4>983048</vt:i4>
      </vt:variant>
      <vt:variant>
        <vt:i4>147</vt:i4>
      </vt:variant>
      <vt:variant>
        <vt:i4>0</vt:i4>
      </vt:variant>
      <vt:variant>
        <vt:i4>5</vt:i4>
      </vt:variant>
      <vt:variant>
        <vt:lpwstr>https://www.cbd.int/documents/CBD/SBI/7/INF/2</vt:lpwstr>
      </vt:variant>
      <vt:variant>
        <vt:lpwstr/>
      </vt:variant>
      <vt:variant>
        <vt:i4>983048</vt:i4>
      </vt:variant>
      <vt:variant>
        <vt:i4>144</vt:i4>
      </vt:variant>
      <vt:variant>
        <vt:i4>0</vt:i4>
      </vt:variant>
      <vt:variant>
        <vt:i4>5</vt:i4>
      </vt:variant>
      <vt:variant>
        <vt:lpwstr>https://www.cbd.int/documents/CBD/SBI/7/INF/2</vt:lpwstr>
      </vt:variant>
      <vt:variant>
        <vt:lpwstr/>
      </vt:variant>
      <vt:variant>
        <vt:i4>983118</vt:i4>
      </vt:variant>
      <vt:variant>
        <vt:i4>141</vt:i4>
      </vt:variant>
      <vt:variant>
        <vt:i4>0</vt:i4>
      </vt:variant>
      <vt:variant>
        <vt:i4>5</vt:i4>
      </vt:variant>
      <vt:variant>
        <vt:lpwstr>https://absch.cbd.int/en/database/resource/16B113CB-CC86-0008-4D4B-4B29E846B83C?_gl=1*1gdm4cz*_ga*MTk4OTgwMjg2My4xNzI3Mzc3MDU3*_ga_7S1TPRE7F5*czE3Nzc0NzU2MTIkbzE3NDUkZzEkdDE3Nzc0NzU3NTkkajIzJGwwJGgw</vt:lpwstr>
      </vt:variant>
      <vt:variant>
        <vt:lpwstr/>
      </vt:variant>
      <vt:variant>
        <vt:i4>983048</vt:i4>
      </vt:variant>
      <vt:variant>
        <vt:i4>138</vt:i4>
      </vt:variant>
      <vt:variant>
        <vt:i4>0</vt:i4>
      </vt:variant>
      <vt:variant>
        <vt:i4>5</vt:i4>
      </vt:variant>
      <vt:variant>
        <vt:lpwstr>https://www.cbd.int/documents/CBD/SBI/7/INF/3</vt:lpwstr>
      </vt:variant>
      <vt:variant>
        <vt:lpwstr/>
      </vt:variant>
      <vt:variant>
        <vt:i4>983048</vt:i4>
      </vt:variant>
      <vt:variant>
        <vt:i4>135</vt:i4>
      </vt:variant>
      <vt:variant>
        <vt:i4>0</vt:i4>
      </vt:variant>
      <vt:variant>
        <vt:i4>5</vt:i4>
      </vt:variant>
      <vt:variant>
        <vt:lpwstr>https://www.cbd.int/documents/CBD/SBI/7/INF/2</vt:lpwstr>
      </vt:variant>
      <vt:variant>
        <vt:lpwstr/>
      </vt:variant>
      <vt:variant>
        <vt:i4>983048</vt:i4>
      </vt:variant>
      <vt:variant>
        <vt:i4>132</vt:i4>
      </vt:variant>
      <vt:variant>
        <vt:i4>0</vt:i4>
      </vt:variant>
      <vt:variant>
        <vt:i4>5</vt:i4>
      </vt:variant>
      <vt:variant>
        <vt:lpwstr>https://www.cbd.int/documents/CBD/SBI/7/INF/3</vt:lpwstr>
      </vt:variant>
      <vt:variant>
        <vt:lpwstr/>
      </vt:variant>
      <vt:variant>
        <vt:i4>983048</vt:i4>
      </vt:variant>
      <vt:variant>
        <vt:i4>129</vt:i4>
      </vt:variant>
      <vt:variant>
        <vt:i4>0</vt:i4>
      </vt:variant>
      <vt:variant>
        <vt:i4>5</vt:i4>
      </vt:variant>
      <vt:variant>
        <vt:lpwstr>https://www.cbd.int/documents/CBD/SBI/7/INF/2</vt:lpwstr>
      </vt:variant>
      <vt:variant>
        <vt:lpwstr/>
      </vt:variant>
      <vt:variant>
        <vt:i4>983048</vt:i4>
      </vt:variant>
      <vt:variant>
        <vt:i4>126</vt:i4>
      </vt:variant>
      <vt:variant>
        <vt:i4>0</vt:i4>
      </vt:variant>
      <vt:variant>
        <vt:i4>5</vt:i4>
      </vt:variant>
      <vt:variant>
        <vt:lpwstr>https://www.cbd.int/documents/CBD/SBI/7/INF/2</vt:lpwstr>
      </vt:variant>
      <vt:variant>
        <vt:lpwstr/>
      </vt:variant>
      <vt:variant>
        <vt:i4>983048</vt:i4>
      </vt:variant>
      <vt:variant>
        <vt:i4>123</vt:i4>
      </vt:variant>
      <vt:variant>
        <vt:i4>0</vt:i4>
      </vt:variant>
      <vt:variant>
        <vt:i4>5</vt:i4>
      </vt:variant>
      <vt:variant>
        <vt:lpwstr>https://www.cbd.int/documents/CBD/SBI/7/INF/2</vt:lpwstr>
      </vt:variant>
      <vt:variant>
        <vt:lpwstr/>
      </vt:variant>
      <vt:variant>
        <vt:i4>983048</vt:i4>
      </vt:variant>
      <vt:variant>
        <vt:i4>120</vt:i4>
      </vt:variant>
      <vt:variant>
        <vt:i4>0</vt:i4>
      </vt:variant>
      <vt:variant>
        <vt:i4>5</vt:i4>
      </vt:variant>
      <vt:variant>
        <vt:lpwstr>https://www.cbd.int/documents/CBD/SBI/7/INF/3</vt:lpwstr>
      </vt:variant>
      <vt:variant>
        <vt:lpwstr/>
      </vt:variant>
      <vt:variant>
        <vt:i4>983048</vt:i4>
      </vt:variant>
      <vt:variant>
        <vt:i4>117</vt:i4>
      </vt:variant>
      <vt:variant>
        <vt:i4>0</vt:i4>
      </vt:variant>
      <vt:variant>
        <vt:i4>5</vt:i4>
      </vt:variant>
      <vt:variant>
        <vt:lpwstr>https://www.cbd.int/documents/CBD/SBI/7/INF/2</vt:lpwstr>
      </vt:variant>
      <vt:variant>
        <vt:lpwstr/>
      </vt:variant>
      <vt:variant>
        <vt:i4>983048</vt:i4>
      </vt:variant>
      <vt:variant>
        <vt:i4>114</vt:i4>
      </vt:variant>
      <vt:variant>
        <vt:i4>0</vt:i4>
      </vt:variant>
      <vt:variant>
        <vt:i4>5</vt:i4>
      </vt:variant>
      <vt:variant>
        <vt:lpwstr>https://www.cbd.int/documents/CBD/SBI/7/INF/3</vt:lpwstr>
      </vt:variant>
      <vt:variant>
        <vt:lpwstr/>
      </vt:variant>
      <vt:variant>
        <vt:i4>983048</vt:i4>
      </vt:variant>
      <vt:variant>
        <vt:i4>111</vt:i4>
      </vt:variant>
      <vt:variant>
        <vt:i4>0</vt:i4>
      </vt:variant>
      <vt:variant>
        <vt:i4>5</vt:i4>
      </vt:variant>
      <vt:variant>
        <vt:lpwstr>https://www.cbd.int/documents/CBD/SBI/7/INF/2</vt:lpwstr>
      </vt:variant>
      <vt:variant>
        <vt:lpwstr/>
      </vt:variant>
      <vt:variant>
        <vt:i4>983048</vt:i4>
      </vt:variant>
      <vt:variant>
        <vt:i4>108</vt:i4>
      </vt:variant>
      <vt:variant>
        <vt:i4>0</vt:i4>
      </vt:variant>
      <vt:variant>
        <vt:i4>5</vt:i4>
      </vt:variant>
      <vt:variant>
        <vt:lpwstr>https://www.cbd.int/documents/CBD/SBI/7/INF/3</vt:lpwstr>
      </vt:variant>
      <vt:variant>
        <vt:lpwstr/>
      </vt:variant>
      <vt:variant>
        <vt:i4>983048</vt:i4>
      </vt:variant>
      <vt:variant>
        <vt:i4>105</vt:i4>
      </vt:variant>
      <vt:variant>
        <vt:i4>0</vt:i4>
      </vt:variant>
      <vt:variant>
        <vt:i4>5</vt:i4>
      </vt:variant>
      <vt:variant>
        <vt:lpwstr>https://www.cbd.int/documents/CBD/SBI/7/INF/2</vt:lpwstr>
      </vt:variant>
      <vt:variant>
        <vt:lpwstr/>
      </vt:variant>
      <vt:variant>
        <vt:i4>983048</vt:i4>
      </vt:variant>
      <vt:variant>
        <vt:i4>102</vt:i4>
      </vt:variant>
      <vt:variant>
        <vt:i4>0</vt:i4>
      </vt:variant>
      <vt:variant>
        <vt:i4>5</vt:i4>
      </vt:variant>
      <vt:variant>
        <vt:lpwstr>https://www.cbd.int/documents/CBD/SBI/7/INF/3</vt:lpwstr>
      </vt:variant>
      <vt:variant>
        <vt:lpwstr/>
      </vt:variant>
      <vt:variant>
        <vt:i4>983048</vt:i4>
      </vt:variant>
      <vt:variant>
        <vt:i4>99</vt:i4>
      </vt:variant>
      <vt:variant>
        <vt:i4>0</vt:i4>
      </vt:variant>
      <vt:variant>
        <vt:i4>5</vt:i4>
      </vt:variant>
      <vt:variant>
        <vt:lpwstr>https://www.cbd.int/documents/CBD/SBI/7/INF/3</vt:lpwstr>
      </vt:variant>
      <vt:variant>
        <vt:lpwstr/>
      </vt:variant>
      <vt:variant>
        <vt:i4>983048</vt:i4>
      </vt:variant>
      <vt:variant>
        <vt:i4>96</vt:i4>
      </vt:variant>
      <vt:variant>
        <vt:i4>0</vt:i4>
      </vt:variant>
      <vt:variant>
        <vt:i4>5</vt:i4>
      </vt:variant>
      <vt:variant>
        <vt:lpwstr>https://www.cbd.int/documents/CBD/SBI/7/INF/2</vt:lpwstr>
      </vt:variant>
      <vt:variant>
        <vt:lpwstr/>
      </vt:variant>
      <vt:variant>
        <vt:i4>983048</vt:i4>
      </vt:variant>
      <vt:variant>
        <vt:i4>93</vt:i4>
      </vt:variant>
      <vt:variant>
        <vt:i4>0</vt:i4>
      </vt:variant>
      <vt:variant>
        <vt:i4>5</vt:i4>
      </vt:variant>
      <vt:variant>
        <vt:lpwstr>https://www.cbd.int/documents/CBD/SBI/7/INF/4</vt:lpwstr>
      </vt:variant>
      <vt:variant>
        <vt:lpwstr/>
      </vt:variant>
      <vt:variant>
        <vt:i4>983048</vt:i4>
      </vt:variant>
      <vt:variant>
        <vt:i4>90</vt:i4>
      </vt:variant>
      <vt:variant>
        <vt:i4>0</vt:i4>
      </vt:variant>
      <vt:variant>
        <vt:i4>5</vt:i4>
      </vt:variant>
      <vt:variant>
        <vt:lpwstr>https://www.cbd.int/documents/CBD/SBI/7/INF/4</vt:lpwstr>
      </vt:variant>
      <vt:variant>
        <vt:lpwstr/>
      </vt:variant>
      <vt:variant>
        <vt:i4>983048</vt:i4>
      </vt:variant>
      <vt:variant>
        <vt:i4>87</vt:i4>
      </vt:variant>
      <vt:variant>
        <vt:i4>0</vt:i4>
      </vt:variant>
      <vt:variant>
        <vt:i4>5</vt:i4>
      </vt:variant>
      <vt:variant>
        <vt:lpwstr>https://www.cbd.int/documents/CBD/SBI/7/INF/3</vt:lpwstr>
      </vt:variant>
      <vt:variant>
        <vt:lpwstr/>
      </vt:variant>
      <vt:variant>
        <vt:i4>983048</vt:i4>
      </vt:variant>
      <vt:variant>
        <vt:i4>84</vt:i4>
      </vt:variant>
      <vt:variant>
        <vt:i4>0</vt:i4>
      </vt:variant>
      <vt:variant>
        <vt:i4>5</vt:i4>
      </vt:variant>
      <vt:variant>
        <vt:lpwstr>https://www.cbd.int/documents/CBD/SBI/7/INF/2</vt:lpwstr>
      </vt:variant>
      <vt:variant>
        <vt:lpwstr/>
      </vt:variant>
      <vt:variant>
        <vt:i4>983048</vt:i4>
      </vt:variant>
      <vt:variant>
        <vt:i4>81</vt:i4>
      </vt:variant>
      <vt:variant>
        <vt:i4>0</vt:i4>
      </vt:variant>
      <vt:variant>
        <vt:i4>5</vt:i4>
      </vt:variant>
      <vt:variant>
        <vt:lpwstr>https://www.cbd.int/documents/CBD/SBI/7/INF/2</vt:lpwstr>
      </vt:variant>
      <vt:variant>
        <vt:lpwstr/>
      </vt:variant>
      <vt:variant>
        <vt:i4>983048</vt:i4>
      </vt:variant>
      <vt:variant>
        <vt:i4>78</vt:i4>
      </vt:variant>
      <vt:variant>
        <vt:i4>0</vt:i4>
      </vt:variant>
      <vt:variant>
        <vt:i4>5</vt:i4>
      </vt:variant>
      <vt:variant>
        <vt:lpwstr>https://www.cbd.int/documents/CBD/SBI/7/INF/2</vt:lpwstr>
      </vt:variant>
      <vt:variant>
        <vt:lpwstr/>
      </vt:variant>
      <vt:variant>
        <vt:i4>983048</vt:i4>
      </vt:variant>
      <vt:variant>
        <vt:i4>75</vt:i4>
      </vt:variant>
      <vt:variant>
        <vt:i4>0</vt:i4>
      </vt:variant>
      <vt:variant>
        <vt:i4>5</vt:i4>
      </vt:variant>
      <vt:variant>
        <vt:lpwstr>https://www.cbd.int/documents/CBD/SBI/7/INF/3</vt:lpwstr>
      </vt:variant>
      <vt:variant>
        <vt:lpwstr/>
      </vt:variant>
      <vt:variant>
        <vt:i4>983048</vt:i4>
      </vt:variant>
      <vt:variant>
        <vt:i4>72</vt:i4>
      </vt:variant>
      <vt:variant>
        <vt:i4>0</vt:i4>
      </vt:variant>
      <vt:variant>
        <vt:i4>5</vt:i4>
      </vt:variant>
      <vt:variant>
        <vt:lpwstr>https://www.cbd.int/documents/CBD/SBI/7/INF/3</vt:lpwstr>
      </vt:variant>
      <vt:variant>
        <vt:lpwstr/>
      </vt:variant>
      <vt:variant>
        <vt:i4>983048</vt:i4>
      </vt:variant>
      <vt:variant>
        <vt:i4>69</vt:i4>
      </vt:variant>
      <vt:variant>
        <vt:i4>0</vt:i4>
      </vt:variant>
      <vt:variant>
        <vt:i4>5</vt:i4>
      </vt:variant>
      <vt:variant>
        <vt:lpwstr>https://www.cbd.int/documents/CBD/SBI/7/INF/4</vt:lpwstr>
      </vt:variant>
      <vt:variant>
        <vt:lpwstr/>
      </vt:variant>
      <vt:variant>
        <vt:i4>983048</vt:i4>
      </vt:variant>
      <vt:variant>
        <vt:i4>66</vt:i4>
      </vt:variant>
      <vt:variant>
        <vt:i4>0</vt:i4>
      </vt:variant>
      <vt:variant>
        <vt:i4>5</vt:i4>
      </vt:variant>
      <vt:variant>
        <vt:lpwstr>https://www.cbd.int/documents/CBD/SBI/7/INF/4</vt:lpwstr>
      </vt:variant>
      <vt:variant>
        <vt:lpwstr/>
      </vt:variant>
      <vt:variant>
        <vt:i4>983048</vt:i4>
      </vt:variant>
      <vt:variant>
        <vt:i4>63</vt:i4>
      </vt:variant>
      <vt:variant>
        <vt:i4>0</vt:i4>
      </vt:variant>
      <vt:variant>
        <vt:i4>5</vt:i4>
      </vt:variant>
      <vt:variant>
        <vt:lpwstr>https://www.cbd.int/documents/CBD/SBI/7/INF/4</vt:lpwstr>
      </vt:variant>
      <vt:variant>
        <vt:lpwstr/>
      </vt:variant>
      <vt:variant>
        <vt:i4>983048</vt:i4>
      </vt:variant>
      <vt:variant>
        <vt:i4>60</vt:i4>
      </vt:variant>
      <vt:variant>
        <vt:i4>0</vt:i4>
      </vt:variant>
      <vt:variant>
        <vt:i4>5</vt:i4>
      </vt:variant>
      <vt:variant>
        <vt:lpwstr>https://www.cbd.int/documents/CBD/SBI/7/INF/2</vt:lpwstr>
      </vt:variant>
      <vt:variant>
        <vt:lpwstr/>
      </vt:variant>
      <vt:variant>
        <vt:i4>983048</vt:i4>
      </vt:variant>
      <vt:variant>
        <vt:i4>57</vt:i4>
      </vt:variant>
      <vt:variant>
        <vt:i4>0</vt:i4>
      </vt:variant>
      <vt:variant>
        <vt:i4>5</vt:i4>
      </vt:variant>
      <vt:variant>
        <vt:lpwstr>https://www.cbd.int/documents/CBD/SBI/7/INF/4</vt:lpwstr>
      </vt:variant>
      <vt:variant>
        <vt:lpwstr/>
      </vt:variant>
      <vt:variant>
        <vt:i4>983048</vt:i4>
      </vt:variant>
      <vt:variant>
        <vt:i4>54</vt:i4>
      </vt:variant>
      <vt:variant>
        <vt:i4>0</vt:i4>
      </vt:variant>
      <vt:variant>
        <vt:i4>5</vt:i4>
      </vt:variant>
      <vt:variant>
        <vt:lpwstr>https://www.cbd.int/documents/CBD/SBI/7/INF/3</vt:lpwstr>
      </vt:variant>
      <vt:variant>
        <vt:lpwstr/>
      </vt:variant>
      <vt:variant>
        <vt:i4>983048</vt:i4>
      </vt:variant>
      <vt:variant>
        <vt:i4>51</vt:i4>
      </vt:variant>
      <vt:variant>
        <vt:i4>0</vt:i4>
      </vt:variant>
      <vt:variant>
        <vt:i4>5</vt:i4>
      </vt:variant>
      <vt:variant>
        <vt:lpwstr>https://www.cbd.int/documents/CBD/SBI/7/INF/2</vt:lpwstr>
      </vt:variant>
      <vt:variant>
        <vt:lpwstr/>
      </vt:variant>
      <vt:variant>
        <vt:i4>1376348</vt:i4>
      </vt:variant>
      <vt:variant>
        <vt:i4>48</vt:i4>
      </vt:variant>
      <vt:variant>
        <vt:i4>0</vt:i4>
      </vt:variant>
      <vt:variant>
        <vt:i4>5</vt:i4>
      </vt:variant>
      <vt:variant>
        <vt:lpwstr>https://www.cbd.int/abs/text/articles?sec=abs-17</vt:lpwstr>
      </vt:variant>
      <vt:variant>
        <vt:lpwstr/>
      </vt:variant>
      <vt:variant>
        <vt:i4>983048</vt:i4>
      </vt:variant>
      <vt:variant>
        <vt:i4>45</vt:i4>
      </vt:variant>
      <vt:variant>
        <vt:i4>0</vt:i4>
      </vt:variant>
      <vt:variant>
        <vt:i4>5</vt:i4>
      </vt:variant>
      <vt:variant>
        <vt:lpwstr>https://www.cbd.int/documents/CBD/SBI/7/INF/3</vt:lpwstr>
      </vt:variant>
      <vt:variant>
        <vt:lpwstr/>
      </vt:variant>
      <vt:variant>
        <vt:i4>983048</vt:i4>
      </vt:variant>
      <vt:variant>
        <vt:i4>42</vt:i4>
      </vt:variant>
      <vt:variant>
        <vt:i4>0</vt:i4>
      </vt:variant>
      <vt:variant>
        <vt:i4>5</vt:i4>
      </vt:variant>
      <vt:variant>
        <vt:lpwstr>https://www.cbd.int/documents/CBD/SBI/7/INF/4</vt:lpwstr>
      </vt:variant>
      <vt:variant>
        <vt:lpwstr/>
      </vt:variant>
      <vt:variant>
        <vt:i4>983048</vt:i4>
      </vt:variant>
      <vt:variant>
        <vt:i4>39</vt:i4>
      </vt:variant>
      <vt:variant>
        <vt:i4>0</vt:i4>
      </vt:variant>
      <vt:variant>
        <vt:i4>5</vt:i4>
      </vt:variant>
      <vt:variant>
        <vt:lpwstr>https://www.cbd.int/documents/CBD/SBI/7/INF/3</vt:lpwstr>
      </vt:variant>
      <vt:variant>
        <vt:lpwstr/>
      </vt:variant>
      <vt:variant>
        <vt:i4>983048</vt:i4>
      </vt:variant>
      <vt:variant>
        <vt:i4>36</vt:i4>
      </vt:variant>
      <vt:variant>
        <vt:i4>0</vt:i4>
      </vt:variant>
      <vt:variant>
        <vt:i4>5</vt:i4>
      </vt:variant>
      <vt:variant>
        <vt:lpwstr>https://www.cbd.int/documents/CBD/SBI/7/INF/3</vt:lpwstr>
      </vt:variant>
      <vt:variant>
        <vt:lpwstr/>
      </vt:variant>
      <vt:variant>
        <vt:i4>983048</vt:i4>
      </vt:variant>
      <vt:variant>
        <vt:i4>33</vt:i4>
      </vt:variant>
      <vt:variant>
        <vt:i4>0</vt:i4>
      </vt:variant>
      <vt:variant>
        <vt:i4>5</vt:i4>
      </vt:variant>
      <vt:variant>
        <vt:lpwstr>https://www.cbd.int/documents/CBD/SBI/7/INF/3</vt:lpwstr>
      </vt:variant>
      <vt:variant>
        <vt:lpwstr/>
      </vt:variant>
      <vt:variant>
        <vt:i4>983048</vt:i4>
      </vt:variant>
      <vt:variant>
        <vt:i4>30</vt:i4>
      </vt:variant>
      <vt:variant>
        <vt:i4>0</vt:i4>
      </vt:variant>
      <vt:variant>
        <vt:i4>5</vt:i4>
      </vt:variant>
      <vt:variant>
        <vt:lpwstr>https://www.cbd.int/documents/CBD/SBI/7/INF/4</vt:lpwstr>
      </vt:variant>
      <vt:variant>
        <vt:lpwstr/>
      </vt:variant>
      <vt:variant>
        <vt:i4>983048</vt:i4>
      </vt:variant>
      <vt:variant>
        <vt:i4>27</vt:i4>
      </vt:variant>
      <vt:variant>
        <vt:i4>0</vt:i4>
      </vt:variant>
      <vt:variant>
        <vt:i4>5</vt:i4>
      </vt:variant>
      <vt:variant>
        <vt:lpwstr>https://www.cbd.int/documents/CBD/SBI/7/INF/2</vt:lpwstr>
      </vt:variant>
      <vt:variant>
        <vt:lpwstr/>
      </vt:variant>
      <vt:variant>
        <vt:i4>983048</vt:i4>
      </vt:variant>
      <vt:variant>
        <vt:i4>24</vt:i4>
      </vt:variant>
      <vt:variant>
        <vt:i4>0</vt:i4>
      </vt:variant>
      <vt:variant>
        <vt:i4>5</vt:i4>
      </vt:variant>
      <vt:variant>
        <vt:lpwstr>https://www.cbd.int/documents/CBD/SBI/7/INF/4</vt:lpwstr>
      </vt:variant>
      <vt:variant>
        <vt:lpwstr/>
      </vt:variant>
      <vt:variant>
        <vt:i4>983048</vt:i4>
      </vt:variant>
      <vt:variant>
        <vt:i4>21</vt:i4>
      </vt:variant>
      <vt:variant>
        <vt:i4>0</vt:i4>
      </vt:variant>
      <vt:variant>
        <vt:i4>5</vt:i4>
      </vt:variant>
      <vt:variant>
        <vt:lpwstr>https://www.cbd.int/documents/CBD/SBI/7/INF/3</vt:lpwstr>
      </vt:variant>
      <vt:variant>
        <vt:lpwstr/>
      </vt:variant>
      <vt:variant>
        <vt:i4>983048</vt:i4>
      </vt:variant>
      <vt:variant>
        <vt:i4>18</vt:i4>
      </vt:variant>
      <vt:variant>
        <vt:i4>0</vt:i4>
      </vt:variant>
      <vt:variant>
        <vt:i4>5</vt:i4>
      </vt:variant>
      <vt:variant>
        <vt:lpwstr>https://www.cbd.int/documents/CBD/SBI/7/INF/2</vt:lpwstr>
      </vt:variant>
      <vt:variant>
        <vt:lpwstr/>
      </vt:variant>
      <vt:variant>
        <vt:i4>983048</vt:i4>
      </vt:variant>
      <vt:variant>
        <vt:i4>15</vt:i4>
      </vt:variant>
      <vt:variant>
        <vt:i4>0</vt:i4>
      </vt:variant>
      <vt:variant>
        <vt:i4>5</vt:i4>
      </vt:variant>
      <vt:variant>
        <vt:lpwstr>https://www.cbd.int/documents/CBD/SBI/7/INF/7</vt:lpwstr>
      </vt:variant>
      <vt:variant>
        <vt:lpwstr/>
      </vt:variant>
      <vt:variant>
        <vt:i4>983048</vt:i4>
      </vt:variant>
      <vt:variant>
        <vt:i4>12</vt:i4>
      </vt:variant>
      <vt:variant>
        <vt:i4>0</vt:i4>
      </vt:variant>
      <vt:variant>
        <vt:i4>5</vt:i4>
      </vt:variant>
      <vt:variant>
        <vt:lpwstr>https://www.cbd.int/documents/CBD/SBI/7/INF/6</vt:lpwstr>
      </vt:variant>
      <vt:variant>
        <vt:lpwstr/>
      </vt:variant>
      <vt:variant>
        <vt:i4>983048</vt:i4>
      </vt:variant>
      <vt:variant>
        <vt:i4>9</vt:i4>
      </vt:variant>
      <vt:variant>
        <vt:i4>0</vt:i4>
      </vt:variant>
      <vt:variant>
        <vt:i4>5</vt:i4>
      </vt:variant>
      <vt:variant>
        <vt:lpwstr>https://www.cbd.int/documents/CBD/SBI/7/INF/5</vt:lpwstr>
      </vt:variant>
      <vt:variant>
        <vt:lpwstr/>
      </vt:variant>
      <vt:variant>
        <vt:i4>983048</vt:i4>
      </vt:variant>
      <vt:variant>
        <vt:i4>6</vt:i4>
      </vt:variant>
      <vt:variant>
        <vt:i4>0</vt:i4>
      </vt:variant>
      <vt:variant>
        <vt:i4>5</vt:i4>
      </vt:variant>
      <vt:variant>
        <vt:lpwstr>https://www.cbd.int/documents/CBD/SBI/7/INF/4</vt:lpwstr>
      </vt:variant>
      <vt:variant>
        <vt:lpwstr/>
      </vt:variant>
      <vt:variant>
        <vt:i4>983048</vt:i4>
      </vt:variant>
      <vt:variant>
        <vt:i4>3</vt:i4>
      </vt:variant>
      <vt:variant>
        <vt:i4>0</vt:i4>
      </vt:variant>
      <vt:variant>
        <vt:i4>5</vt:i4>
      </vt:variant>
      <vt:variant>
        <vt:lpwstr>https://www.cbd.int/documents/CBD/SBI/7/INF/3</vt:lpwstr>
      </vt:variant>
      <vt:variant>
        <vt:lpwstr/>
      </vt:variant>
      <vt:variant>
        <vt:i4>983048</vt:i4>
      </vt:variant>
      <vt:variant>
        <vt:i4>0</vt:i4>
      </vt:variant>
      <vt:variant>
        <vt:i4>0</vt:i4>
      </vt:variant>
      <vt:variant>
        <vt:i4>5</vt:i4>
      </vt:variant>
      <vt:variant>
        <vt:lpwstr>https://www.cbd.int/documents/CBD/SBI/7/INF/2</vt:lpwstr>
      </vt:variant>
      <vt:variant>
        <vt:lpwstr/>
      </vt:variant>
      <vt:variant>
        <vt:i4>4456552</vt:i4>
      </vt:variant>
      <vt:variant>
        <vt:i4>0</vt:i4>
      </vt:variant>
      <vt:variant>
        <vt:i4>0</vt:i4>
      </vt:variant>
      <vt:variant>
        <vt:i4>5</vt:i4>
      </vt:variant>
      <vt:variant>
        <vt:lpwstr>mailto:cherrett@un.org</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Analysis of information for the second assessment and review of the effectiveness of the Nagoya Protocol</dc:title>
  <dc:subject>CBD/NP/CC/5/4/Add.1-CBD/NP/CB-IAC/2026/1/3-CBD/SBI/7/7/Add.1</dc:subject>
  <dc:creator>scbd</dc:creator>
  <cp:keywords>Eighteenth meeting of the Compliance Committee under the Cartagena Protocol on Biosafety</cp:keywords>
  <dc:description/>
  <cp:lastModifiedBy>Veronique Lefebvre</cp:lastModifiedBy>
  <cp:revision>17</cp:revision>
  <dcterms:created xsi:type="dcterms:W3CDTF">2026-05-15T19:31:00Z</dcterms:created>
  <dcterms:modified xsi:type="dcterms:W3CDTF">2026-05-19T03:06:00Z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ediaServiceImageTags">
    <vt:lpwstr/>
  </property>
  <property fmtid="{D5CDD505-2E9C-101B-9397-08002B2CF9AE}" pid="3" name="docLang">
    <vt:lpwstr>en</vt:lpwstr>
  </property>
  <property fmtid="{D5CDD505-2E9C-101B-9397-08002B2CF9AE}" pid="4" name="ContentTypeId">
    <vt:lpwstr>0x01010069BFACF6D92CD24AA50050CE23F68F74</vt:lpwstr>
  </property>
  <property fmtid="{D5CDD505-2E9C-101B-9397-08002B2CF9AE}" pid="5" name="CBD-Category">
    <vt:lpwstr>CBD</vt:lpwstr>
  </property>
  <property fmtid="{D5CDD505-2E9C-101B-9397-08002B2CF9AE}" pid="6" name="CBD-Language">
    <vt:lpwstr>EN</vt:lpwstr>
  </property>
  <property fmtid="{D5CDD505-2E9C-101B-9397-08002B2CF9AE}" pid="7" name="CBD-Generator">
    <vt:lpwstr>0</vt:lpwstr>
  </property>
</Properties>
</file>