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E8327B" w:rsidRPr="00E8327B" w14:paraId="71D21DF5" w14:textId="77777777" w:rsidTr="001F5A90">
        <w:trPr>
          <w:cantSplit/>
          <w:trHeight w:val="900"/>
        </w:trPr>
        <w:tc>
          <w:tcPr>
            <w:tcW w:w="6588" w:type="dxa"/>
            <w:gridSpan w:val="2"/>
            <w:tcBorders>
              <w:top w:val="nil"/>
              <w:left w:val="nil"/>
              <w:bottom w:val="single" w:sz="12" w:space="0" w:color="auto"/>
              <w:right w:val="nil"/>
            </w:tcBorders>
            <w:vAlign w:val="center"/>
          </w:tcPr>
          <w:p w14:paraId="2DC2C494" w14:textId="279E7E30" w:rsidR="00E8327B" w:rsidRPr="00E8327B" w:rsidRDefault="00E8327B" w:rsidP="00E8327B">
            <w:pPr>
              <w:keepNext/>
              <w:tabs>
                <w:tab w:val="clear" w:pos="567"/>
                <w:tab w:val="clear" w:pos="1134"/>
                <w:tab w:val="clear" w:pos="1701"/>
                <w:tab w:val="clear" w:pos="2268"/>
              </w:tabs>
              <w:spacing w:before="120" w:line="216" w:lineRule="auto"/>
              <w:ind w:left="-105" w:right="-450"/>
              <w:jc w:val="left"/>
              <w:outlineLvl w:val="1"/>
              <w:rPr>
                <w:rFonts w:eastAsia="Times New Roman"/>
                <w:kern w:val="2"/>
                <w:sz w:val="32"/>
                <w:szCs w:val="32"/>
                <w:lang w:val="en-CA" w:bidi="ar-EG"/>
              </w:rPr>
            </w:pPr>
            <w:r w:rsidRPr="00E8327B">
              <w:rPr>
                <w:rFonts w:eastAsia="Times New Roman"/>
                <w:b/>
                <w:bCs/>
                <w:kern w:val="2"/>
                <w:sz w:val="28"/>
                <w:szCs w:val="28"/>
                <w:lang w:val="fr-CA" w:bidi="ar-EG"/>
              </w:rPr>
              <w:t>CBD</w:t>
            </w:r>
            <w:r w:rsidRPr="00E8327B">
              <w:rPr>
                <w:rFonts w:eastAsia="Times New Roman"/>
                <w:kern w:val="2"/>
                <w:sz w:val="16"/>
                <w:szCs w:val="16"/>
                <w:lang w:val="fr-CA" w:bidi="ar-EG"/>
              </w:rPr>
              <w:t>/COP/1</w:t>
            </w:r>
            <w:r w:rsidRPr="00E8327B">
              <w:rPr>
                <w:rFonts w:eastAsia="Times New Roman"/>
                <w:kern w:val="2"/>
                <w:sz w:val="16"/>
                <w:szCs w:val="16"/>
                <w:lang w:val="en-US" w:bidi="ar-EG"/>
              </w:rPr>
              <w:t>7</w:t>
            </w:r>
            <w:r w:rsidRPr="00E8327B">
              <w:rPr>
                <w:rFonts w:eastAsia="Times New Roman"/>
                <w:kern w:val="2"/>
                <w:sz w:val="16"/>
                <w:szCs w:val="16"/>
                <w:lang w:val="fr-CA" w:bidi="ar-EG"/>
              </w:rPr>
              <w:t>/</w:t>
            </w:r>
            <w:r w:rsidR="00E065AF">
              <w:rPr>
                <w:rFonts w:eastAsia="Times New Roman"/>
                <w:kern w:val="2"/>
                <w:sz w:val="16"/>
                <w:szCs w:val="16"/>
                <w:lang w:val="fr-CA" w:bidi="ar-EG"/>
              </w:rPr>
              <w:t>4</w:t>
            </w:r>
            <w:r w:rsidRPr="00E8327B">
              <w:rPr>
                <w:rFonts w:eastAsia="Times New Roman"/>
                <w:kern w:val="2"/>
                <w:sz w:val="16"/>
                <w:szCs w:val="16"/>
                <w:lang w:val="fr-CA" w:bidi="ar-EG"/>
              </w:rPr>
              <w:t>/Add.</w:t>
            </w:r>
            <w:r w:rsidR="00E065AF">
              <w:rPr>
                <w:rFonts w:eastAsia="Times New Roman"/>
                <w:kern w:val="2"/>
                <w:sz w:val="16"/>
                <w:szCs w:val="16"/>
                <w:lang w:val="fr-CA" w:bidi="ar-EG"/>
              </w:rPr>
              <w:t>5</w:t>
            </w:r>
            <w:r w:rsidRPr="00E8327B">
              <w:rPr>
                <w:rFonts w:eastAsia="Times New Roman"/>
                <w:kern w:val="2"/>
                <w:sz w:val="16"/>
                <w:szCs w:val="16"/>
                <w:lang w:val="fr-CA" w:bidi="ar-EG"/>
              </w:rPr>
              <w:t>-</w:t>
            </w:r>
            <w:r w:rsidRPr="00E8327B">
              <w:rPr>
                <w:rFonts w:eastAsia="Times New Roman"/>
                <w:b/>
                <w:bCs/>
                <w:kern w:val="2"/>
                <w:sz w:val="28"/>
                <w:szCs w:val="28"/>
                <w:lang w:val="fr-CA" w:bidi="ar-EG"/>
              </w:rPr>
              <w:t xml:space="preserve"> CBD</w:t>
            </w:r>
            <w:r w:rsidRPr="00E8327B">
              <w:rPr>
                <w:rFonts w:eastAsia="Times New Roman"/>
                <w:kern w:val="2"/>
                <w:sz w:val="16"/>
                <w:szCs w:val="16"/>
                <w:lang w:val="fr-CA" w:bidi="ar-EG"/>
              </w:rPr>
              <w:t>/CP/MOP/12/</w:t>
            </w:r>
            <w:r w:rsidR="00E065AF">
              <w:rPr>
                <w:rFonts w:eastAsia="Times New Roman"/>
                <w:kern w:val="2"/>
                <w:sz w:val="16"/>
                <w:szCs w:val="16"/>
                <w:lang w:val="fr-CA" w:bidi="ar-EG"/>
              </w:rPr>
              <w:t>5</w:t>
            </w:r>
            <w:r w:rsidRPr="00E8327B">
              <w:rPr>
                <w:rFonts w:eastAsia="Times New Roman"/>
                <w:kern w:val="2"/>
                <w:sz w:val="16"/>
                <w:szCs w:val="16"/>
                <w:lang w:val="fr-CA" w:bidi="ar-EG"/>
              </w:rPr>
              <w:t>/Add.2-</w:t>
            </w:r>
            <w:r w:rsidRPr="00E8327B">
              <w:rPr>
                <w:rFonts w:eastAsia="Times New Roman"/>
                <w:b/>
                <w:bCs/>
                <w:kern w:val="2"/>
                <w:sz w:val="28"/>
                <w:szCs w:val="28"/>
                <w:lang w:val="fr-CA" w:bidi="ar-EG"/>
              </w:rPr>
              <w:t xml:space="preserve"> CBD</w:t>
            </w:r>
            <w:r w:rsidRPr="00E8327B">
              <w:rPr>
                <w:rFonts w:eastAsia="Times New Roman"/>
                <w:kern w:val="2"/>
                <w:sz w:val="16"/>
                <w:szCs w:val="16"/>
                <w:lang w:val="fr-CA" w:bidi="ar-EG"/>
              </w:rPr>
              <w:t>/NP/MOP/6/</w:t>
            </w:r>
            <w:r w:rsidR="00E065AF">
              <w:rPr>
                <w:rFonts w:eastAsia="Times New Roman"/>
                <w:kern w:val="2"/>
                <w:sz w:val="16"/>
                <w:szCs w:val="16"/>
                <w:lang w:val="fr-CA" w:bidi="ar-EG"/>
              </w:rPr>
              <w:t>5</w:t>
            </w:r>
            <w:r w:rsidRPr="00E8327B">
              <w:rPr>
                <w:rFonts w:eastAsia="Times New Roman"/>
                <w:kern w:val="2"/>
                <w:sz w:val="16"/>
                <w:szCs w:val="16"/>
                <w:lang w:val="fr-CA" w:bidi="ar-EG"/>
              </w:rPr>
              <w:t>/Add.2</w:t>
            </w:r>
          </w:p>
        </w:tc>
        <w:tc>
          <w:tcPr>
            <w:tcW w:w="1440" w:type="dxa"/>
            <w:tcBorders>
              <w:top w:val="nil"/>
              <w:left w:val="nil"/>
              <w:bottom w:val="single" w:sz="12" w:space="0" w:color="auto"/>
              <w:right w:val="nil"/>
            </w:tcBorders>
          </w:tcPr>
          <w:p w14:paraId="23FC2414" w14:textId="77777777" w:rsidR="00E8327B" w:rsidRPr="00E8327B" w:rsidRDefault="00E8327B" w:rsidP="00E8327B">
            <w:pPr>
              <w:tabs>
                <w:tab w:val="clear" w:pos="567"/>
                <w:tab w:val="clear" w:pos="1134"/>
                <w:tab w:val="clear" w:pos="1701"/>
                <w:tab w:val="clear" w:pos="2268"/>
                <w:tab w:val="left" w:pos="-720"/>
                <w:tab w:val="left" w:pos="0"/>
              </w:tabs>
              <w:suppressAutoHyphens/>
              <w:jc w:val="center"/>
              <w:rPr>
                <w:rFonts w:eastAsia="Times New Roman"/>
                <w:b/>
                <w:bCs/>
                <w:sz w:val="24"/>
                <w:szCs w:val="24"/>
                <w:rtl/>
                <w:lang w:val="en-CA" w:eastAsia="en-CA"/>
              </w:rPr>
            </w:pPr>
          </w:p>
        </w:tc>
        <w:tc>
          <w:tcPr>
            <w:tcW w:w="1620" w:type="dxa"/>
            <w:tcBorders>
              <w:top w:val="nil"/>
              <w:left w:val="nil"/>
              <w:bottom w:val="single" w:sz="12" w:space="0" w:color="auto"/>
              <w:right w:val="nil"/>
            </w:tcBorders>
          </w:tcPr>
          <w:p w14:paraId="1B00E397" w14:textId="77777777" w:rsidR="00E8327B" w:rsidRPr="00E8327B" w:rsidRDefault="00E8327B" w:rsidP="00E8327B">
            <w:pPr>
              <w:tabs>
                <w:tab w:val="clear" w:pos="567"/>
                <w:tab w:val="clear" w:pos="1134"/>
                <w:tab w:val="clear" w:pos="1701"/>
                <w:tab w:val="clear" w:pos="2268"/>
                <w:tab w:val="left" w:pos="-720"/>
              </w:tabs>
              <w:suppressAutoHyphens/>
              <w:spacing w:before="120"/>
              <w:jc w:val="center"/>
              <w:rPr>
                <w:rFonts w:eastAsia="Times New Roman"/>
                <w:sz w:val="24"/>
                <w:szCs w:val="24"/>
                <w:lang w:val="en-CA" w:eastAsia="en-CA"/>
              </w:rPr>
            </w:pPr>
            <w:r w:rsidRPr="00E8327B">
              <w:rPr>
                <w:rFonts w:eastAsia="Times New Roman"/>
                <w:noProof/>
                <w:sz w:val="24"/>
                <w:szCs w:val="24"/>
                <w:lang w:eastAsia="en-GB"/>
              </w:rPr>
              <w:drawing>
                <wp:anchor distT="0" distB="0" distL="114300" distR="114300" simplePos="0" relativeHeight="251661312" behindDoc="0" locked="0" layoutInCell="1" allowOverlap="1" wp14:anchorId="701EF563" wp14:editId="6EB8CFBF">
                  <wp:simplePos x="0" y="0"/>
                  <wp:positionH relativeFrom="column">
                    <wp:posOffset>-1299209</wp:posOffset>
                  </wp:positionH>
                  <wp:positionV relativeFrom="paragraph">
                    <wp:posOffset>-47625</wp:posOffset>
                  </wp:positionV>
                  <wp:extent cx="1568742" cy="587375"/>
                  <wp:effectExtent l="0" t="0" r="0" b="317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589331" cy="595084"/>
                          </a:xfrm>
                          <a:prstGeom prst="rect">
                            <a:avLst/>
                          </a:prstGeom>
                          <a:noFill/>
                          <a:ln w="9525">
                            <a:noFill/>
                            <a:miter lim="800000"/>
                            <a:headEnd/>
                            <a:tailEnd/>
                          </a:ln>
                        </pic:spPr>
                      </pic:pic>
                    </a:graphicData>
                  </a:graphic>
                  <wp14:sizeRelH relativeFrom="margin">
                    <wp14:pctWidth>0</wp14:pctWidth>
                  </wp14:sizeRelH>
                </wp:anchor>
              </w:drawing>
            </w:r>
            <w:r w:rsidRPr="00E8327B">
              <w:rPr>
                <w:rFonts w:eastAsia="Times New Roman"/>
                <w:noProof/>
                <w:sz w:val="24"/>
                <w:szCs w:val="24"/>
                <w:lang w:val="en-US"/>
              </w:rPr>
              <w:drawing>
                <wp:anchor distT="0" distB="0" distL="114300" distR="114300" simplePos="0" relativeHeight="251660288" behindDoc="0" locked="0" layoutInCell="1" allowOverlap="1" wp14:anchorId="4306CB19" wp14:editId="76AA4988">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C27E6E9" w14:textId="77777777" w:rsidR="00E8327B" w:rsidRPr="00E8327B" w:rsidRDefault="00E8327B" w:rsidP="00E8327B">
            <w:pPr>
              <w:tabs>
                <w:tab w:val="clear" w:pos="567"/>
                <w:tab w:val="clear" w:pos="1134"/>
                <w:tab w:val="clear" w:pos="1701"/>
                <w:tab w:val="clear" w:pos="2268"/>
                <w:tab w:val="left" w:pos="-720"/>
              </w:tabs>
              <w:suppressAutoHyphens/>
              <w:spacing w:line="120" w:lineRule="auto"/>
              <w:jc w:val="left"/>
              <w:rPr>
                <w:rFonts w:eastAsia="Times New Roman"/>
                <w:sz w:val="24"/>
                <w:szCs w:val="24"/>
                <w:lang w:val="en-CA" w:eastAsia="en-CA"/>
              </w:rPr>
            </w:pPr>
          </w:p>
        </w:tc>
      </w:tr>
      <w:tr w:rsidR="00E8327B" w:rsidRPr="00E8327B" w14:paraId="559C8173" w14:textId="77777777" w:rsidTr="001F5A90">
        <w:trPr>
          <w:cantSplit/>
          <w:trHeight w:val="1770"/>
        </w:trPr>
        <w:tc>
          <w:tcPr>
            <w:tcW w:w="4428" w:type="dxa"/>
            <w:tcBorders>
              <w:top w:val="nil"/>
              <w:left w:val="nil"/>
              <w:bottom w:val="single" w:sz="24" w:space="0" w:color="auto"/>
              <w:right w:val="nil"/>
            </w:tcBorders>
          </w:tcPr>
          <w:p w14:paraId="24D42B61" w14:textId="77777777" w:rsidR="00E8327B" w:rsidRPr="00E8327B" w:rsidRDefault="00E8327B" w:rsidP="00E8327B">
            <w:pPr>
              <w:tabs>
                <w:tab w:val="clear" w:pos="567"/>
                <w:tab w:val="clear" w:pos="1134"/>
                <w:tab w:val="clear" w:pos="1701"/>
                <w:tab w:val="clear" w:pos="2268"/>
              </w:tabs>
              <w:spacing w:before="60"/>
              <w:ind w:left="883"/>
              <w:jc w:val="left"/>
              <w:rPr>
                <w:rFonts w:eastAsia="Times New Roman"/>
                <w:lang w:val="en-CA" w:eastAsia="en-CA"/>
              </w:rPr>
            </w:pPr>
            <w:r w:rsidRPr="00E8327B">
              <w:rPr>
                <w:rFonts w:eastAsia="Times New Roman"/>
                <w:lang w:val="en-CA" w:eastAsia="en-CA"/>
              </w:rPr>
              <w:t>Distr.: General</w:t>
            </w:r>
          </w:p>
          <w:p w14:paraId="7A90E6F3" w14:textId="7B71E1D6" w:rsidR="00E8327B" w:rsidRPr="00E8327B" w:rsidRDefault="006A59B4" w:rsidP="00E8327B">
            <w:pPr>
              <w:tabs>
                <w:tab w:val="clear" w:pos="567"/>
                <w:tab w:val="clear" w:pos="1134"/>
                <w:tab w:val="clear" w:pos="1701"/>
                <w:tab w:val="clear" w:pos="2268"/>
              </w:tabs>
              <w:ind w:left="883"/>
              <w:jc w:val="left"/>
              <w:rPr>
                <w:rFonts w:eastAsia="Times New Roman"/>
                <w:lang w:val="en-CA" w:eastAsia="en-CA"/>
              </w:rPr>
            </w:pPr>
            <w:r>
              <w:rPr>
                <w:rFonts w:eastAsia="Times New Roman"/>
                <w:lang w:val="en-US" w:eastAsia="en-CA"/>
              </w:rPr>
              <w:t>2 October</w:t>
            </w:r>
            <w:r w:rsidR="00E8327B" w:rsidRPr="00E8327B">
              <w:rPr>
                <w:rFonts w:eastAsia="Times New Roman"/>
                <w:lang w:val="en-CA" w:eastAsia="en-CA"/>
              </w:rPr>
              <w:t xml:space="preserve"> 2026</w:t>
            </w:r>
          </w:p>
          <w:p w14:paraId="23F8F9C1" w14:textId="77777777" w:rsidR="00E8327B" w:rsidRPr="00E8327B" w:rsidRDefault="00E8327B" w:rsidP="006A59B4">
            <w:pPr>
              <w:keepNext/>
              <w:tabs>
                <w:tab w:val="clear" w:pos="567"/>
                <w:tab w:val="clear" w:pos="1134"/>
                <w:tab w:val="clear" w:pos="1701"/>
                <w:tab w:val="clear" w:pos="2268"/>
                <w:tab w:val="left" w:pos="-720"/>
              </w:tabs>
              <w:suppressAutoHyphens/>
              <w:ind w:left="883"/>
              <w:jc w:val="left"/>
              <w:outlineLvl w:val="4"/>
              <w:rPr>
                <w:rFonts w:eastAsia="PMingLiU"/>
                <w:spacing w:val="-2"/>
                <w:lang w:val="en-US" w:bidi="ar-EG"/>
              </w:rPr>
            </w:pPr>
            <w:r w:rsidRPr="00E8327B">
              <w:rPr>
                <w:rFonts w:eastAsia="PMingLiU"/>
                <w:spacing w:val="-2"/>
                <w:lang w:val="en-US" w:bidi="ar-EG"/>
              </w:rPr>
              <w:t>Arabic</w:t>
            </w:r>
          </w:p>
          <w:p w14:paraId="21923629" w14:textId="77777777" w:rsidR="00E8327B" w:rsidRPr="00E8327B" w:rsidRDefault="00E8327B" w:rsidP="00E8327B">
            <w:pPr>
              <w:tabs>
                <w:tab w:val="clear" w:pos="567"/>
                <w:tab w:val="clear" w:pos="1134"/>
                <w:tab w:val="clear" w:pos="1701"/>
                <w:tab w:val="clear" w:pos="2268"/>
                <w:tab w:val="left" w:pos="-720"/>
              </w:tabs>
              <w:suppressAutoHyphens/>
              <w:spacing w:after="40"/>
              <w:ind w:left="883"/>
              <w:jc w:val="left"/>
              <w:rPr>
                <w:rFonts w:eastAsia="Times New Roman"/>
                <w:lang w:val="en-CA" w:eastAsia="en-CA"/>
              </w:rPr>
            </w:pPr>
            <w:r w:rsidRPr="00E8327B">
              <w:rPr>
                <w:rFonts w:eastAsia="Times New Roman"/>
                <w:lang w:val="en-CA" w:eastAsia="en-CA"/>
              </w:rPr>
              <w:t xml:space="preserve">Original: English </w:t>
            </w:r>
          </w:p>
        </w:tc>
        <w:tc>
          <w:tcPr>
            <w:tcW w:w="5220" w:type="dxa"/>
            <w:gridSpan w:val="3"/>
            <w:tcBorders>
              <w:top w:val="nil"/>
              <w:left w:val="nil"/>
              <w:bottom w:val="single" w:sz="24" w:space="0" w:color="auto"/>
              <w:right w:val="nil"/>
            </w:tcBorders>
          </w:tcPr>
          <w:p w14:paraId="01347C98" w14:textId="77777777" w:rsidR="00E8327B" w:rsidRPr="00E8327B" w:rsidRDefault="00E8327B" w:rsidP="00E8327B">
            <w:pPr>
              <w:tabs>
                <w:tab w:val="clear" w:pos="567"/>
                <w:tab w:val="clear" w:pos="1134"/>
                <w:tab w:val="clear" w:pos="1701"/>
                <w:tab w:val="clear" w:pos="2268"/>
                <w:tab w:val="left" w:pos="-720"/>
              </w:tabs>
              <w:suppressAutoHyphens/>
              <w:spacing w:before="120"/>
              <w:rPr>
                <w:rFonts w:eastAsia="Times New Roman"/>
                <w:sz w:val="24"/>
                <w:szCs w:val="24"/>
                <w:rtl/>
                <w:lang w:val="en-CA" w:eastAsia="en-CA"/>
              </w:rPr>
            </w:pPr>
            <w:r w:rsidRPr="00E8327B">
              <w:rPr>
                <w:rFonts w:eastAsia="Times New Roman"/>
                <w:b/>
                <w:bCs/>
                <w:noProof/>
                <w:sz w:val="36"/>
                <w:szCs w:val="36"/>
                <w:rtl/>
                <w:lang w:eastAsia="en-GB"/>
              </w:rPr>
              <w:drawing>
                <wp:anchor distT="0" distB="0" distL="114300" distR="114300" simplePos="0" relativeHeight="251659264" behindDoc="0" locked="0" layoutInCell="1" allowOverlap="1" wp14:anchorId="7DD3E33C" wp14:editId="44C16650">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20"/>
        <w:bidiVisual/>
        <w:tblW w:w="94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7"/>
        <w:gridCol w:w="3166"/>
        <w:gridCol w:w="3210"/>
      </w:tblGrid>
      <w:tr w:rsidR="00E8327B" w:rsidRPr="00E8327B" w14:paraId="0F476540" w14:textId="77777777" w:rsidTr="001F5A90">
        <w:tc>
          <w:tcPr>
            <w:tcW w:w="3067" w:type="dxa"/>
          </w:tcPr>
          <w:p w14:paraId="67D7133D" w14:textId="77777777" w:rsidR="00E8327B" w:rsidRPr="00E8327B" w:rsidRDefault="00E8327B" w:rsidP="00E8327B">
            <w:pPr>
              <w:tabs>
                <w:tab w:val="clear" w:pos="567"/>
                <w:tab w:val="clear" w:pos="1134"/>
                <w:tab w:val="clear" w:pos="1701"/>
                <w:tab w:val="clear" w:pos="2268"/>
              </w:tabs>
              <w:bidi/>
              <w:spacing w:before="60" w:line="216" w:lineRule="auto"/>
              <w:jc w:val="left"/>
              <w:rPr>
                <w:rFonts w:ascii="Simplified Arabic" w:eastAsia="Calibri" w:hAnsi="Simplified Arabic"/>
                <w:b/>
                <w:bCs/>
                <w:sz w:val="26"/>
                <w:szCs w:val="26"/>
                <w:rtl/>
                <w:lang w:val="en-CA"/>
              </w:rPr>
            </w:pPr>
            <w:r w:rsidRPr="00E8327B">
              <w:rPr>
                <w:rFonts w:ascii="Simplified Arabic" w:eastAsia="Calibri" w:hAnsi="Simplified Arabic"/>
                <w:b/>
                <w:bCs/>
                <w:sz w:val="26"/>
                <w:szCs w:val="26"/>
                <w:rtl/>
                <w:lang w:val="en-CA"/>
              </w:rPr>
              <w:t xml:space="preserve">مؤتمر الأطراف في </w:t>
            </w:r>
          </w:p>
          <w:p w14:paraId="410A0B83" w14:textId="075A1893" w:rsidR="00E8327B" w:rsidRPr="00E8327B" w:rsidRDefault="00E8327B" w:rsidP="00E8327B">
            <w:pPr>
              <w:tabs>
                <w:tab w:val="clear" w:pos="567"/>
                <w:tab w:val="clear" w:pos="1134"/>
                <w:tab w:val="clear" w:pos="1701"/>
                <w:tab w:val="clear" w:pos="2268"/>
              </w:tabs>
              <w:bidi/>
              <w:spacing w:before="60" w:line="216" w:lineRule="auto"/>
              <w:jc w:val="left"/>
              <w:rPr>
                <w:rFonts w:ascii="Calibri" w:eastAsia="Calibri" w:hAnsi="Calibri"/>
                <w:b/>
                <w:bCs/>
                <w:sz w:val="26"/>
                <w:szCs w:val="26"/>
                <w:rtl/>
                <w:lang w:val="en-CA" w:bidi="ar-EG"/>
              </w:rPr>
            </w:pPr>
            <w:r w:rsidRPr="00E8327B">
              <w:rPr>
                <w:rFonts w:ascii="Simplified Arabic" w:eastAsia="Calibri" w:hAnsi="Simplified Arabic"/>
                <w:b/>
                <w:bCs/>
                <w:sz w:val="26"/>
                <w:szCs w:val="26"/>
                <w:rtl/>
                <w:lang w:val="en-CA"/>
              </w:rPr>
              <w:t>الاتفاقية المتعلقة بالتنوع البيولوجي</w:t>
            </w:r>
          </w:p>
          <w:p w14:paraId="39688033" w14:textId="77777777" w:rsidR="00E8327B" w:rsidRPr="00E8327B" w:rsidRDefault="00E8327B" w:rsidP="00E8327B">
            <w:pPr>
              <w:tabs>
                <w:tab w:val="clear" w:pos="567"/>
                <w:tab w:val="clear" w:pos="1134"/>
                <w:tab w:val="clear" w:pos="1701"/>
                <w:tab w:val="clear" w:pos="2268"/>
              </w:tabs>
              <w:bidi/>
              <w:spacing w:line="216" w:lineRule="auto"/>
              <w:jc w:val="left"/>
              <w:rPr>
                <w:rFonts w:ascii="Calibri" w:eastAsia="Calibri" w:hAnsi="Calibri"/>
                <w:b/>
                <w:bCs/>
                <w:sz w:val="26"/>
                <w:szCs w:val="26"/>
                <w:rtl/>
                <w:lang w:val="en-CA"/>
              </w:rPr>
            </w:pPr>
            <w:r w:rsidRPr="00E8327B">
              <w:rPr>
                <w:rFonts w:ascii="Calibri" w:eastAsia="Calibri" w:hAnsi="Calibri"/>
                <w:b/>
                <w:bCs/>
                <w:sz w:val="26"/>
                <w:szCs w:val="26"/>
                <w:rtl/>
                <w:lang w:val="en-CA"/>
              </w:rPr>
              <w:t>الاجتماع السابع عشر</w:t>
            </w:r>
          </w:p>
          <w:p w14:paraId="790AF5AC" w14:textId="77777777" w:rsidR="00E8327B" w:rsidRPr="00E8327B" w:rsidRDefault="00E8327B" w:rsidP="00E8327B">
            <w:pPr>
              <w:tabs>
                <w:tab w:val="clear" w:pos="567"/>
                <w:tab w:val="clear" w:pos="1134"/>
                <w:tab w:val="clear" w:pos="1701"/>
                <w:tab w:val="clear" w:pos="2268"/>
              </w:tabs>
              <w:bidi/>
              <w:spacing w:line="216" w:lineRule="auto"/>
              <w:jc w:val="left"/>
              <w:rPr>
                <w:rFonts w:ascii="Simplified Arabic" w:eastAsia="Calibri" w:hAnsi="Simplified Arabic"/>
                <w:sz w:val="24"/>
                <w:szCs w:val="24"/>
                <w:lang w:val="en-US"/>
              </w:rPr>
            </w:pPr>
            <w:r w:rsidRPr="00E8327B">
              <w:rPr>
                <w:rFonts w:ascii="Simplified Arabic" w:eastAsia="Calibri" w:hAnsi="Simplified Arabic"/>
                <w:sz w:val="24"/>
                <w:szCs w:val="24"/>
                <w:rtl/>
                <w:lang w:val="en-CA"/>
              </w:rPr>
              <w:t>ييريفان، 19-30 أكتوبر/تشرين الأول</w:t>
            </w:r>
            <w:r w:rsidRPr="00E8327B">
              <w:rPr>
                <w:rFonts w:ascii="Simplified Arabic" w:eastAsia="Calibri" w:hAnsi="Simplified Arabic"/>
                <w:sz w:val="24"/>
                <w:szCs w:val="24"/>
                <w:rtl/>
                <w:lang w:val="en-CA" w:bidi="ar-EG"/>
              </w:rPr>
              <w:t xml:space="preserve"> 2026</w:t>
            </w:r>
          </w:p>
          <w:p w14:paraId="347FBCD3" w14:textId="516F614E" w:rsidR="00E8327B" w:rsidRPr="00E8327B" w:rsidRDefault="00E8327B" w:rsidP="00E8327B">
            <w:pPr>
              <w:tabs>
                <w:tab w:val="clear" w:pos="567"/>
                <w:tab w:val="clear" w:pos="1134"/>
                <w:tab w:val="clear" w:pos="1701"/>
                <w:tab w:val="clear" w:pos="2268"/>
              </w:tabs>
              <w:bidi/>
              <w:spacing w:line="216" w:lineRule="auto"/>
              <w:jc w:val="left"/>
              <w:rPr>
                <w:rFonts w:ascii="Calibri" w:eastAsia="Calibri" w:hAnsi="Calibri"/>
                <w:sz w:val="24"/>
                <w:szCs w:val="24"/>
                <w:rtl/>
                <w:lang w:val="en-CA"/>
              </w:rPr>
            </w:pPr>
            <w:r w:rsidRPr="00E8327B">
              <w:rPr>
                <w:rFonts w:ascii="Simplified Arabic" w:eastAsia="Calibri" w:hAnsi="Simplified Arabic"/>
                <w:sz w:val="24"/>
                <w:szCs w:val="24"/>
                <w:rtl/>
                <w:lang w:val="en-CA"/>
              </w:rPr>
              <w:t xml:space="preserve">البند </w:t>
            </w:r>
            <w:r w:rsidR="00B24C3A">
              <w:rPr>
                <w:rFonts w:ascii="Simplified Arabic" w:eastAsia="Calibri" w:hAnsi="Simplified Arabic"/>
                <w:sz w:val="24"/>
                <w:szCs w:val="24"/>
                <w:lang w:val="en-US"/>
              </w:rPr>
              <w:t>7</w:t>
            </w:r>
            <w:r w:rsidRPr="00E8327B">
              <w:rPr>
                <w:rFonts w:ascii="Simplified Arabic" w:eastAsia="Calibri" w:hAnsi="Simplified Arabic"/>
                <w:sz w:val="24"/>
                <w:szCs w:val="24"/>
                <w:rtl/>
                <w:lang w:val="en-US"/>
              </w:rPr>
              <w:t xml:space="preserve"> من جدول الأعمال الموقت</w:t>
            </w:r>
            <w:r w:rsidRPr="00E8327B">
              <w:rPr>
                <w:rFonts w:eastAsia="Calibri" w:cs="Times New Roman"/>
                <w:snapToGrid w:val="0"/>
                <w:kern w:val="22"/>
                <w:vertAlign w:val="superscript"/>
                <w:lang w:val="en-CA"/>
              </w:rPr>
              <w:footnoteReference w:customMarkFollows="1" w:id="1"/>
              <w:t>*</w:t>
            </w:r>
          </w:p>
          <w:p w14:paraId="237BAF83" w14:textId="32854441" w:rsidR="00E8327B" w:rsidRPr="00E8327B" w:rsidRDefault="00B24C3A" w:rsidP="00B24C3A">
            <w:pPr>
              <w:tabs>
                <w:tab w:val="clear" w:pos="567"/>
                <w:tab w:val="clear" w:pos="1134"/>
                <w:tab w:val="clear" w:pos="1701"/>
                <w:tab w:val="clear" w:pos="2268"/>
              </w:tabs>
              <w:bidi/>
              <w:spacing w:line="216" w:lineRule="auto"/>
              <w:jc w:val="left"/>
              <w:rPr>
                <w:rFonts w:ascii="Calibri" w:eastAsia="Calibri" w:hAnsi="Calibri"/>
                <w:b/>
                <w:bCs/>
                <w:sz w:val="26"/>
                <w:szCs w:val="26"/>
                <w:lang w:val="en-US"/>
              </w:rPr>
            </w:pPr>
            <w:r w:rsidRPr="00B24C3A">
              <w:rPr>
                <w:rFonts w:ascii="Calibri" w:eastAsia="Calibri" w:hAnsi="Calibri"/>
                <w:b/>
                <w:bCs/>
                <w:sz w:val="26"/>
                <w:szCs w:val="26"/>
                <w:rtl/>
                <w:lang w:val="en-US"/>
              </w:rPr>
              <w:t>إدارة اتفاقية التنوع البيولوجي وميزانية الصناديق الاستئمانية والاستعراض الوظيفي للأمانة</w:t>
            </w:r>
          </w:p>
        </w:tc>
        <w:tc>
          <w:tcPr>
            <w:tcW w:w="3166" w:type="dxa"/>
          </w:tcPr>
          <w:p w14:paraId="5B090BA8" w14:textId="77777777" w:rsidR="00E8327B" w:rsidRPr="00E8327B" w:rsidRDefault="00E8327B" w:rsidP="00E8327B">
            <w:pPr>
              <w:tabs>
                <w:tab w:val="clear" w:pos="567"/>
                <w:tab w:val="clear" w:pos="1134"/>
                <w:tab w:val="clear" w:pos="1701"/>
                <w:tab w:val="clear" w:pos="2268"/>
              </w:tabs>
              <w:bidi/>
              <w:spacing w:line="216" w:lineRule="auto"/>
              <w:jc w:val="left"/>
              <w:rPr>
                <w:rFonts w:ascii="Calibri" w:eastAsia="Calibri" w:hAnsi="Calibri"/>
                <w:b/>
                <w:bCs/>
                <w:sz w:val="26"/>
                <w:szCs w:val="26"/>
                <w:lang w:val="en-US" w:bidi="ar-EG"/>
              </w:rPr>
            </w:pPr>
            <w:r w:rsidRPr="00E8327B">
              <w:rPr>
                <w:rFonts w:ascii="Calibri" w:eastAsia="Calibri" w:hAnsi="Calibri"/>
                <w:b/>
                <w:bCs/>
                <w:sz w:val="26"/>
                <w:szCs w:val="26"/>
                <w:rtl/>
                <w:lang w:val="en-US" w:bidi="ar-EG"/>
              </w:rPr>
              <w:t>مؤتمر الأطراف في الاتفاقية المتعلقة بالتنوع البيولوجي</w:t>
            </w:r>
          </w:p>
          <w:p w14:paraId="0511086C" w14:textId="77777777" w:rsidR="00E8327B" w:rsidRPr="00E8327B" w:rsidRDefault="00E8327B" w:rsidP="00E8327B">
            <w:pPr>
              <w:tabs>
                <w:tab w:val="clear" w:pos="567"/>
                <w:tab w:val="clear" w:pos="1134"/>
                <w:tab w:val="clear" w:pos="1701"/>
                <w:tab w:val="clear" w:pos="2268"/>
              </w:tabs>
              <w:bidi/>
              <w:spacing w:line="216" w:lineRule="auto"/>
              <w:jc w:val="left"/>
              <w:rPr>
                <w:rFonts w:ascii="Calibri" w:eastAsia="Calibri" w:hAnsi="Calibri"/>
                <w:b/>
                <w:bCs/>
                <w:sz w:val="26"/>
                <w:szCs w:val="26"/>
                <w:rtl/>
                <w:lang w:val="en-US" w:bidi="ar-EG"/>
              </w:rPr>
            </w:pPr>
            <w:r w:rsidRPr="00E8327B">
              <w:rPr>
                <w:rFonts w:ascii="Calibri" w:eastAsia="Calibri" w:hAnsi="Calibri"/>
                <w:b/>
                <w:bCs/>
                <w:sz w:val="26"/>
                <w:szCs w:val="26"/>
                <w:rtl/>
                <w:lang w:val="en-US" w:bidi="ar-EG"/>
              </w:rPr>
              <w:t>العامل كاجتماع للأطراف في بروتوكول قرطاجنة للسلامة الأحيائية</w:t>
            </w:r>
          </w:p>
          <w:p w14:paraId="797CC949" w14:textId="77777777" w:rsidR="00E8327B" w:rsidRPr="00E8327B" w:rsidRDefault="00E8327B" w:rsidP="00E8327B">
            <w:pPr>
              <w:tabs>
                <w:tab w:val="clear" w:pos="567"/>
                <w:tab w:val="clear" w:pos="1134"/>
                <w:tab w:val="clear" w:pos="1701"/>
                <w:tab w:val="clear" w:pos="2268"/>
              </w:tabs>
              <w:bidi/>
              <w:spacing w:line="216" w:lineRule="auto"/>
              <w:jc w:val="left"/>
              <w:rPr>
                <w:rFonts w:ascii="Calibri" w:eastAsia="Calibri" w:hAnsi="Calibri"/>
                <w:b/>
                <w:bCs/>
                <w:sz w:val="26"/>
                <w:szCs w:val="26"/>
                <w:rtl/>
                <w:lang w:val="en-US" w:bidi="ar-EG"/>
              </w:rPr>
            </w:pPr>
            <w:r w:rsidRPr="00E8327B">
              <w:rPr>
                <w:rFonts w:ascii="Calibri" w:eastAsia="Calibri" w:hAnsi="Calibri"/>
                <w:b/>
                <w:bCs/>
                <w:sz w:val="26"/>
                <w:szCs w:val="26"/>
                <w:rtl/>
                <w:lang w:val="en-US" w:bidi="ar-EG"/>
              </w:rPr>
              <w:t>الاجتماع الثاني عشر</w:t>
            </w:r>
          </w:p>
          <w:p w14:paraId="4342DC3F" w14:textId="77777777" w:rsidR="00E8327B" w:rsidRPr="00E8327B" w:rsidRDefault="00E8327B" w:rsidP="00E8327B">
            <w:pPr>
              <w:tabs>
                <w:tab w:val="clear" w:pos="567"/>
                <w:tab w:val="clear" w:pos="1134"/>
                <w:tab w:val="clear" w:pos="1701"/>
                <w:tab w:val="clear" w:pos="2268"/>
              </w:tabs>
              <w:bidi/>
              <w:spacing w:line="216" w:lineRule="auto"/>
              <w:jc w:val="left"/>
              <w:rPr>
                <w:rFonts w:ascii="Simplified Arabic" w:eastAsia="Calibri" w:hAnsi="Simplified Arabic"/>
                <w:sz w:val="24"/>
                <w:szCs w:val="24"/>
                <w:lang w:val="en-US"/>
              </w:rPr>
            </w:pPr>
            <w:r w:rsidRPr="00E8327B">
              <w:rPr>
                <w:rFonts w:ascii="Simplified Arabic" w:eastAsia="Calibri" w:hAnsi="Simplified Arabic"/>
                <w:sz w:val="24"/>
                <w:szCs w:val="24"/>
                <w:rtl/>
                <w:lang w:val="en-CA"/>
              </w:rPr>
              <w:t>ييريفان، 19-30 أكتوبر/تشرين الأول</w:t>
            </w:r>
            <w:r w:rsidRPr="00E8327B">
              <w:rPr>
                <w:rFonts w:ascii="Simplified Arabic" w:eastAsia="Calibri" w:hAnsi="Simplified Arabic"/>
                <w:sz w:val="24"/>
                <w:szCs w:val="24"/>
                <w:rtl/>
                <w:lang w:val="en-CA" w:bidi="ar-EG"/>
              </w:rPr>
              <w:t xml:space="preserve"> 2026</w:t>
            </w:r>
          </w:p>
          <w:p w14:paraId="770837EC" w14:textId="7DDDD559" w:rsidR="00E8327B" w:rsidRPr="00E8327B" w:rsidRDefault="00E8327B" w:rsidP="00E8327B">
            <w:pPr>
              <w:tabs>
                <w:tab w:val="clear" w:pos="567"/>
                <w:tab w:val="clear" w:pos="1134"/>
                <w:tab w:val="clear" w:pos="1701"/>
                <w:tab w:val="clear" w:pos="2268"/>
              </w:tabs>
              <w:bidi/>
              <w:spacing w:line="216" w:lineRule="auto"/>
              <w:jc w:val="left"/>
              <w:rPr>
                <w:rFonts w:ascii="Calibri" w:eastAsia="Calibri" w:hAnsi="Calibri"/>
                <w:sz w:val="24"/>
                <w:szCs w:val="24"/>
                <w:rtl/>
                <w:lang w:val="en-CA"/>
              </w:rPr>
            </w:pPr>
            <w:r w:rsidRPr="00E8327B">
              <w:rPr>
                <w:rFonts w:ascii="Simplified Arabic" w:eastAsia="Calibri" w:hAnsi="Simplified Arabic"/>
                <w:sz w:val="24"/>
                <w:szCs w:val="24"/>
                <w:rtl/>
                <w:lang w:val="en-CA"/>
              </w:rPr>
              <w:t xml:space="preserve">البند </w:t>
            </w:r>
            <w:r w:rsidR="00B24C3A">
              <w:rPr>
                <w:rFonts w:ascii="Simplified Arabic" w:eastAsia="Calibri" w:hAnsi="Simplified Arabic" w:hint="cs"/>
                <w:sz w:val="24"/>
                <w:szCs w:val="24"/>
                <w:rtl/>
                <w:lang w:val="en-US"/>
              </w:rPr>
              <w:t>6</w:t>
            </w:r>
            <w:r w:rsidRPr="00E8327B">
              <w:rPr>
                <w:rFonts w:ascii="Simplified Arabic" w:eastAsia="Calibri" w:hAnsi="Simplified Arabic"/>
                <w:sz w:val="24"/>
                <w:szCs w:val="24"/>
                <w:rtl/>
                <w:lang w:val="en-US"/>
              </w:rPr>
              <w:t xml:space="preserve"> من جدول الأعمال الموقت</w:t>
            </w:r>
            <w:r w:rsidRPr="00E8327B">
              <w:rPr>
                <w:rFonts w:eastAsia="Calibri" w:cs="Times New Roman"/>
                <w:snapToGrid w:val="0"/>
                <w:kern w:val="22"/>
                <w:vertAlign w:val="superscript"/>
                <w:lang w:val="en-CA"/>
              </w:rPr>
              <w:footnoteReference w:customMarkFollows="1" w:id="2"/>
              <w:t>**</w:t>
            </w:r>
          </w:p>
          <w:p w14:paraId="11564D2D" w14:textId="496C3915" w:rsidR="00E8327B" w:rsidRPr="00E8327B" w:rsidRDefault="00B24C3A" w:rsidP="00B24C3A">
            <w:pPr>
              <w:tabs>
                <w:tab w:val="clear" w:pos="567"/>
                <w:tab w:val="clear" w:pos="1134"/>
                <w:tab w:val="clear" w:pos="1701"/>
                <w:tab w:val="clear" w:pos="2268"/>
              </w:tabs>
              <w:bidi/>
              <w:spacing w:line="216" w:lineRule="auto"/>
              <w:jc w:val="left"/>
              <w:rPr>
                <w:rFonts w:ascii="Calibri" w:eastAsia="Calibri" w:hAnsi="Calibri"/>
                <w:sz w:val="26"/>
                <w:szCs w:val="26"/>
                <w:rtl/>
                <w:lang w:val="en-US" w:bidi="ar-EG"/>
              </w:rPr>
            </w:pPr>
            <w:r w:rsidRPr="00B24C3A">
              <w:rPr>
                <w:rFonts w:ascii="Calibri" w:eastAsia="Calibri" w:hAnsi="Calibri"/>
                <w:b/>
                <w:bCs/>
                <w:sz w:val="26"/>
                <w:szCs w:val="26"/>
                <w:rtl/>
                <w:lang w:val="en-US" w:bidi="ar-EG"/>
              </w:rPr>
              <w:t>إدارة شؤون بروتوكول قرطاجنة وميزانية الصناديق الاستئمانية</w:t>
            </w:r>
          </w:p>
        </w:tc>
        <w:tc>
          <w:tcPr>
            <w:tcW w:w="3210" w:type="dxa"/>
          </w:tcPr>
          <w:p w14:paraId="36DB7550" w14:textId="77777777" w:rsidR="00E8327B" w:rsidRPr="00E8327B" w:rsidRDefault="00E8327B" w:rsidP="00E8327B">
            <w:pPr>
              <w:tabs>
                <w:tab w:val="clear" w:pos="567"/>
                <w:tab w:val="clear" w:pos="1134"/>
                <w:tab w:val="clear" w:pos="1701"/>
                <w:tab w:val="clear" w:pos="2268"/>
              </w:tabs>
              <w:bidi/>
              <w:spacing w:line="216" w:lineRule="auto"/>
              <w:jc w:val="left"/>
              <w:rPr>
                <w:rFonts w:ascii="Calibri" w:eastAsia="Calibri" w:hAnsi="Calibri"/>
                <w:b/>
                <w:bCs/>
                <w:sz w:val="26"/>
                <w:szCs w:val="26"/>
                <w:rtl/>
                <w:lang w:val="en-US" w:bidi="ar-EG"/>
              </w:rPr>
            </w:pPr>
            <w:r w:rsidRPr="00E8327B">
              <w:rPr>
                <w:rFonts w:ascii="Calibri" w:eastAsia="Calibri" w:hAnsi="Calibri"/>
                <w:b/>
                <w:bCs/>
                <w:sz w:val="26"/>
                <w:szCs w:val="26"/>
                <w:rtl/>
                <w:lang w:val="en-US"/>
              </w:rPr>
              <w:t>مؤتمر الأطراف في الاتفاقية</w:t>
            </w:r>
            <w:r w:rsidRPr="00E8327B">
              <w:rPr>
                <w:rFonts w:ascii="Calibri" w:eastAsia="Calibri" w:hAnsi="Calibri"/>
                <w:b/>
                <w:bCs/>
                <w:sz w:val="26"/>
                <w:szCs w:val="26"/>
                <w:lang w:val="en-US"/>
              </w:rPr>
              <w:t xml:space="preserve"> </w:t>
            </w:r>
            <w:r w:rsidRPr="00E8327B">
              <w:rPr>
                <w:rFonts w:ascii="Calibri" w:eastAsia="Calibri" w:hAnsi="Calibri"/>
                <w:b/>
                <w:bCs/>
                <w:sz w:val="26"/>
                <w:szCs w:val="26"/>
                <w:rtl/>
                <w:lang w:val="en-US"/>
              </w:rPr>
              <w:t>المتعلقة بالتنوع البيولوجي</w:t>
            </w:r>
            <w:r w:rsidRPr="00E8327B">
              <w:rPr>
                <w:rFonts w:ascii="Calibri" w:eastAsia="Calibri" w:hAnsi="Calibri"/>
                <w:b/>
                <w:bCs/>
                <w:sz w:val="26"/>
                <w:szCs w:val="26"/>
                <w:lang w:val="en-US"/>
              </w:rPr>
              <w:t xml:space="preserve"> </w:t>
            </w:r>
            <w:r w:rsidRPr="00E8327B">
              <w:rPr>
                <w:rFonts w:ascii="Calibri" w:eastAsia="Calibri" w:hAnsi="Calibri"/>
                <w:b/>
                <w:bCs/>
                <w:sz w:val="26"/>
                <w:szCs w:val="26"/>
                <w:rtl/>
                <w:lang w:val="en-US" w:bidi="ar-EG"/>
              </w:rPr>
              <w:t>العامل كاجتماع للأطراف في بروتوكول ناغويا</w:t>
            </w:r>
            <w:r w:rsidRPr="00E8327B">
              <w:rPr>
                <w:rFonts w:ascii="Calibri" w:eastAsia="Calibri" w:hAnsi="Calibri"/>
                <w:b/>
                <w:bCs/>
                <w:sz w:val="26"/>
                <w:szCs w:val="26"/>
                <w:lang w:val="en-US" w:bidi="ar-EG"/>
              </w:rPr>
              <w:t xml:space="preserve"> </w:t>
            </w:r>
            <w:r w:rsidRPr="00E8327B">
              <w:rPr>
                <w:rFonts w:ascii="Calibri" w:eastAsia="Calibri" w:hAnsi="Calibri"/>
                <w:b/>
                <w:bCs/>
                <w:sz w:val="26"/>
                <w:szCs w:val="26"/>
                <w:rtl/>
                <w:lang w:val="en-US" w:bidi="ar-EG"/>
              </w:rPr>
              <w:t>بشأن الحصول على الموارد الجينية والتقاسم</w:t>
            </w:r>
            <w:r w:rsidRPr="00E8327B">
              <w:rPr>
                <w:rFonts w:ascii="Calibri" w:eastAsia="Calibri" w:hAnsi="Calibri"/>
                <w:b/>
                <w:bCs/>
                <w:sz w:val="26"/>
                <w:szCs w:val="26"/>
                <w:lang w:val="en-US" w:bidi="ar-EG"/>
              </w:rPr>
              <w:t xml:space="preserve"> </w:t>
            </w:r>
            <w:r w:rsidRPr="00E8327B">
              <w:rPr>
                <w:rFonts w:ascii="Calibri" w:eastAsia="Calibri" w:hAnsi="Calibri"/>
                <w:b/>
                <w:bCs/>
                <w:sz w:val="26"/>
                <w:szCs w:val="26"/>
                <w:rtl/>
                <w:lang w:val="en-US" w:bidi="ar-EG"/>
              </w:rPr>
              <w:t>العادل والمنصف للمنافع الناشئة عن استخدامها</w:t>
            </w:r>
          </w:p>
          <w:p w14:paraId="1C306039" w14:textId="77777777" w:rsidR="00E8327B" w:rsidRPr="00E8327B" w:rsidRDefault="00E8327B" w:rsidP="00E8327B">
            <w:pPr>
              <w:tabs>
                <w:tab w:val="clear" w:pos="567"/>
                <w:tab w:val="clear" w:pos="1134"/>
                <w:tab w:val="clear" w:pos="1701"/>
                <w:tab w:val="clear" w:pos="2268"/>
              </w:tabs>
              <w:bidi/>
              <w:spacing w:line="216" w:lineRule="auto"/>
              <w:jc w:val="left"/>
              <w:rPr>
                <w:rFonts w:ascii="Calibri" w:eastAsia="Calibri" w:hAnsi="Calibri"/>
                <w:b/>
                <w:bCs/>
                <w:sz w:val="26"/>
                <w:szCs w:val="26"/>
                <w:rtl/>
                <w:lang w:val="en-US"/>
              </w:rPr>
            </w:pPr>
            <w:r w:rsidRPr="00E8327B">
              <w:rPr>
                <w:rFonts w:ascii="Calibri" w:eastAsia="Calibri" w:hAnsi="Calibri"/>
                <w:b/>
                <w:bCs/>
                <w:sz w:val="26"/>
                <w:szCs w:val="26"/>
                <w:rtl/>
                <w:lang w:val="en-US"/>
              </w:rPr>
              <w:t>الاجتماع السادس</w:t>
            </w:r>
          </w:p>
          <w:p w14:paraId="06E81C3D" w14:textId="77777777" w:rsidR="00E8327B" w:rsidRPr="00E8327B" w:rsidRDefault="00E8327B" w:rsidP="00E8327B">
            <w:pPr>
              <w:tabs>
                <w:tab w:val="clear" w:pos="567"/>
                <w:tab w:val="clear" w:pos="1134"/>
                <w:tab w:val="clear" w:pos="1701"/>
                <w:tab w:val="clear" w:pos="2268"/>
              </w:tabs>
              <w:bidi/>
              <w:spacing w:line="216" w:lineRule="auto"/>
              <w:jc w:val="left"/>
              <w:rPr>
                <w:rFonts w:ascii="Simplified Arabic" w:eastAsia="Calibri" w:hAnsi="Simplified Arabic"/>
                <w:sz w:val="24"/>
                <w:szCs w:val="24"/>
                <w:lang w:val="en-US"/>
              </w:rPr>
            </w:pPr>
            <w:r w:rsidRPr="00E8327B">
              <w:rPr>
                <w:rFonts w:ascii="Simplified Arabic" w:eastAsia="Calibri" w:hAnsi="Simplified Arabic"/>
                <w:sz w:val="24"/>
                <w:szCs w:val="24"/>
                <w:rtl/>
                <w:lang w:val="en-CA"/>
              </w:rPr>
              <w:t>ييريفان، 19-30 أكتوبر/تشرين الأول</w:t>
            </w:r>
            <w:r w:rsidRPr="00E8327B">
              <w:rPr>
                <w:rFonts w:ascii="Simplified Arabic" w:eastAsia="Calibri" w:hAnsi="Simplified Arabic"/>
                <w:sz w:val="24"/>
                <w:szCs w:val="24"/>
                <w:rtl/>
                <w:lang w:val="en-CA" w:bidi="ar-EG"/>
              </w:rPr>
              <w:t xml:space="preserve"> 2026</w:t>
            </w:r>
          </w:p>
          <w:p w14:paraId="1190061D" w14:textId="5F62A5D8" w:rsidR="00E8327B" w:rsidRPr="00E8327B" w:rsidRDefault="00E8327B" w:rsidP="00E8327B">
            <w:pPr>
              <w:tabs>
                <w:tab w:val="clear" w:pos="567"/>
                <w:tab w:val="clear" w:pos="1134"/>
                <w:tab w:val="clear" w:pos="1701"/>
                <w:tab w:val="clear" w:pos="2268"/>
              </w:tabs>
              <w:bidi/>
              <w:spacing w:line="216" w:lineRule="auto"/>
              <w:jc w:val="left"/>
              <w:rPr>
                <w:rFonts w:ascii="Calibri" w:eastAsia="Calibri" w:hAnsi="Calibri"/>
                <w:sz w:val="24"/>
                <w:szCs w:val="24"/>
                <w:rtl/>
                <w:lang w:val="en-CA"/>
              </w:rPr>
            </w:pPr>
            <w:r w:rsidRPr="00E8327B">
              <w:rPr>
                <w:rFonts w:ascii="Simplified Arabic" w:eastAsia="Calibri" w:hAnsi="Simplified Arabic"/>
                <w:sz w:val="24"/>
                <w:szCs w:val="24"/>
                <w:rtl/>
                <w:lang w:val="en-CA"/>
              </w:rPr>
              <w:t xml:space="preserve">البند </w:t>
            </w:r>
            <w:r w:rsidR="00B24C3A">
              <w:rPr>
                <w:rFonts w:ascii="Simplified Arabic" w:eastAsia="Calibri" w:hAnsi="Simplified Arabic" w:hint="cs"/>
                <w:sz w:val="24"/>
                <w:szCs w:val="24"/>
                <w:rtl/>
                <w:lang w:val="en-US"/>
              </w:rPr>
              <w:t>6</w:t>
            </w:r>
            <w:r w:rsidRPr="00E8327B">
              <w:rPr>
                <w:rFonts w:ascii="Simplified Arabic" w:eastAsia="Calibri" w:hAnsi="Simplified Arabic"/>
                <w:sz w:val="24"/>
                <w:szCs w:val="24"/>
                <w:rtl/>
                <w:lang w:val="en-US"/>
              </w:rPr>
              <w:t xml:space="preserve"> من جدول الأعمال الموقت</w:t>
            </w:r>
            <w:r w:rsidRPr="00E8327B">
              <w:rPr>
                <w:rFonts w:eastAsia="Calibri" w:cs="Times New Roman"/>
                <w:snapToGrid w:val="0"/>
                <w:kern w:val="22"/>
                <w:vertAlign w:val="superscript"/>
                <w:lang w:val="en-CA"/>
              </w:rPr>
              <w:footnoteReference w:customMarkFollows="1" w:id="3"/>
              <w:t>***</w:t>
            </w:r>
          </w:p>
          <w:p w14:paraId="5D47319E" w14:textId="7763B2AE" w:rsidR="00E8327B" w:rsidRPr="00E8327B" w:rsidRDefault="00B24C3A" w:rsidP="00B24C3A">
            <w:pPr>
              <w:tabs>
                <w:tab w:val="clear" w:pos="567"/>
                <w:tab w:val="clear" w:pos="1134"/>
                <w:tab w:val="clear" w:pos="1701"/>
                <w:tab w:val="clear" w:pos="2268"/>
              </w:tabs>
              <w:bidi/>
              <w:spacing w:line="216" w:lineRule="auto"/>
              <w:jc w:val="left"/>
              <w:rPr>
                <w:rFonts w:ascii="Calibri" w:eastAsia="Calibri" w:hAnsi="Calibri"/>
                <w:sz w:val="26"/>
                <w:szCs w:val="26"/>
                <w:rtl/>
                <w:lang w:val="en-US" w:bidi="ar-EG"/>
              </w:rPr>
            </w:pPr>
            <w:r w:rsidRPr="00B24C3A">
              <w:rPr>
                <w:rFonts w:ascii="Calibri" w:eastAsia="Calibri" w:hAnsi="Calibri"/>
                <w:b/>
                <w:bCs/>
                <w:sz w:val="26"/>
                <w:szCs w:val="26"/>
                <w:rtl/>
                <w:lang w:val="en-US"/>
              </w:rPr>
              <w:t>إدارة شؤون بروتوكول ناغويا وميزانية الصناديق الاستئمانية</w:t>
            </w:r>
          </w:p>
        </w:tc>
      </w:tr>
    </w:tbl>
    <w:p w14:paraId="164BCA0E" w14:textId="5B115EF0" w:rsidR="00C9161D" w:rsidRPr="00E065AF" w:rsidRDefault="00D14A00" w:rsidP="00A111D1">
      <w:pPr>
        <w:pStyle w:val="CBDTitle"/>
        <w:bidi/>
        <w:rPr>
          <w:rFonts w:ascii="Simplified Arabic" w:hAnsi="Simplified Arabic"/>
          <w:b w:val="0"/>
          <w:bCs/>
          <w:caps/>
          <w:sz w:val="26"/>
          <w:szCs w:val="26"/>
          <w:rtl/>
        </w:rPr>
      </w:pPr>
      <w:r w:rsidRPr="00E065AF">
        <w:rPr>
          <w:rFonts w:ascii="Simplified Arabic" w:hAnsi="Simplified Arabic" w:hint="cs"/>
          <w:b w:val="0"/>
          <w:bCs/>
          <w:sz w:val="26"/>
          <w:szCs w:val="26"/>
          <w:rtl/>
        </w:rPr>
        <w:t>معلومات إضافية عن المسائل الإدارية والمتعلقة بالميزانية</w:t>
      </w:r>
      <w:r w:rsidRPr="00E065AF">
        <w:rPr>
          <w:rStyle w:val="FootnoteReference"/>
          <w:rFonts w:ascii="Simplified Arabic" w:eastAsia="Arial Unicode MS" w:hAnsi="Simplified Arabic" w:hint="cs"/>
          <w:b w:val="0"/>
          <w:bCs/>
          <w:color w:val="000000"/>
          <w:sz w:val="26"/>
          <w:szCs w:val="26"/>
          <w:u w:color="000000"/>
          <w:lang w:eastAsia="ko-KR"/>
        </w:rPr>
        <w:footnoteReference w:customMarkFollows="1" w:id="4"/>
        <w:sym w:font="Symbol" w:char="F02A"/>
      </w:r>
      <w:r w:rsidRPr="00E065AF">
        <w:rPr>
          <w:rStyle w:val="FootnoteReference"/>
          <w:rFonts w:ascii="Simplified Arabic" w:eastAsia="Arial Unicode MS" w:hAnsi="Simplified Arabic" w:hint="cs"/>
          <w:b w:val="0"/>
          <w:bCs/>
          <w:color w:val="000000"/>
          <w:sz w:val="26"/>
          <w:szCs w:val="26"/>
          <w:u w:color="000000"/>
          <w:lang w:eastAsia="ko-KR"/>
        </w:rPr>
        <w:sym w:font="Symbol" w:char="F02A"/>
      </w:r>
      <w:r w:rsidRPr="00E065AF">
        <w:rPr>
          <w:rStyle w:val="FootnoteReference"/>
          <w:rFonts w:ascii="Simplified Arabic" w:eastAsia="Arial Unicode MS" w:hAnsi="Simplified Arabic" w:hint="cs"/>
          <w:b w:val="0"/>
          <w:bCs/>
          <w:color w:val="000000"/>
          <w:sz w:val="26"/>
          <w:szCs w:val="26"/>
          <w:u w:color="000000"/>
          <w:lang w:eastAsia="ko-KR"/>
        </w:rPr>
        <w:sym w:font="Symbol" w:char="F02A"/>
      </w:r>
      <w:r w:rsidRPr="00E065AF">
        <w:rPr>
          <w:rStyle w:val="FootnoteReference"/>
          <w:rFonts w:ascii="Simplified Arabic" w:eastAsia="Arial Unicode MS" w:hAnsi="Simplified Arabic" w:hint="cs"/>
          <w:b w:val="0"/>
          <w:bCs/>
          <w:color w:val="000000"/>
          <w:sz w:val="26"/>
          <w:szCs w:val="26"/>
          <w:u w:color="000000"/>
          <w:lang w:eastAsia="ko-KR"/>
        </w:rPr>
        <w:sym w:font="Symbol" w:char="F02A"/>
      </w:r>
      <w:r w:rsidRPr="00E065AF">
        <w:rPr>
          <w:rFonts w:ascii="Simplified Arabic" w:hAnsi="Simplified Arabic" w:hint="cs"/>
          <w:b w:val="0"/>
          <w:bCs/>
          <w:caps/>
          <w:sz w:val="26"/>
          <w:szCs w:val="26"/>
        </w:rPr>
        <w:t xml:space="preserve"> </w:t>
      </w:r>
    </w:p>
    <w:p w14:paraId="749349FC" w14:textId="77777777" w:rsidR="00F6586C" w:rsidRPr="00E065AF" w:rsidRDefault="0030169D" w:rsidP="00A111D1">
      <w:pPr>
        <w:pStyle w:val="CBDSubTitle"/>
        <w:bidi/>
        <w:rPr>
          <w:b w:val="0"/>
          <w:bCs/>
          <w:rtl/>
        </w:rPr>
      </w:pPr>
      <w:r w:rsidRPr="00E065AF">
        <w:rPr>
          <w:b w:val="0"/>
          <w:bCs/>
          <w:sz w:val="24"/>
          <w:szCs w:val="24"/>
          <w:rtl/>
        </w:rPr>
        <w:t>مذكرة من الأمانة</w:t>
      </w:r>
    </w:p>
    <w:p w14:paraId="518A2CA6" w14:textId="6A7BFA94" w:rsidR="00C9161D" w:rsidRPr="00E065AF" w:rsidRDefault="00A111D1" w:rsidP="00A111D1">
      <w:pPr>
        <w:pStyle w:val="CBDH1"/>
        <w:bidi/>
        <w:rPr>
          <w:b w:val="0"/>
          <w:bCs/>
          <w:rtl/>
        </w:rPr>
      </w:pPr>
      <w:r w:rsidRPr="00E065AF">
        <w:rPr>
          <w:b w:val="0"/>
          <w:bCs/>
          <w:sz w:val="32"/>
          <w:szCs w:val="24"/>
          <w:rtl/>
        </w:rPr>
        <w:t>أولا-</w:t>
      </w:r>
      <w:r w:rsidRPr="00E065AF">
        <w:rPr>
          <w:b w:val="0"/>
          <w:bCs/>
          <w:sz w:val="32"/>
          <w:szCs w:val="24"/>
        </w:rPr>
        <w:tab/>
      </w:r>
      <w:r w:rsidRPr="00E065AF">
        <w:rPr>
          <w:b w:val="0"/>
          <w:bCs/>
          <w:sz w:val="32"/>
          <w:szCs w:val="24"/>
          <w:rtl/>
        </w:rPr>
        <w:t>مقدمة</w:t>
      </w:r>
    </w:p>
    <w:p w14:paraId="1C7074C9" w14:textId="202145B6" w:rsidR="008B78C3" w:rsidRPr="00FA1420" w:rsidRDefault="000C7DCF" w:rsidP="000C7DCF">
      <w:pPr>
        <w:pStyle w:val="CBDNormalNumber"/>
        <w:bidi/>
        <w:rPr>
          <w:sz w:val="20"/>
          <w:szCs w:val="24"/>
          <w:rtl/>
        </w:rPr>
      </w:pPr>
      <w:r w:rsidRPr="00FA1420">
        <w:rPr>
          <w:sz w:val="20"/>
          <w:szCs w:val="24"/>
          <w:rtl/>
        </w:rPr>
        <w:t>عُرضت الميزانية المقترحة لبرامج عمل الاتفاقية وبروتوكوليها لفترة السنتين 2027-2028 على الاجتماع السابع للهيئة الفرعية للتنفيذ في إطار البند 14 من جدول الأعمال</w:t>
      </w:r>
      <w:r w:rsidR="00BD76FC" w:rsidRPr="00FA1420">
        <w:rPr>
          <w:rFonts w:hint="cs"/>
          <w:sz w:val="20"/>
          <w:szCs w:val="24"/>
          <w:rtl/>
        </w:rPr>
        <w:t xml:space="preserve">، </w:t>
      </w:r>
      <w:r w:rsidR="00BD76FC" w:rsidRPr="00FA1420">
        <w:rPr>
          <w:sz w:val="20"/>
          <w:szCs w:val="24"/>
          <w:rtl/>
        </w:rPr>
        <w:t>وذلك لغرض الإحاطة</w:t>
      </w:r>
      <w:r w:rsidRPr="00FA1420">
        <w:rPr>
          <w:sz w:val="20"/>
          <w:szCs w:val="24"/>
          <w:rtl/>
        </w:rPr>
        <w:t xml:space="preserve">. وعقب القراءة الأولى لها، عقد الرئيس جلسة مشاورات غير رسمية. وتقدم هذه الوثيقة </w:t>
      </w:r>
      <w:r w:rsidR="00BD76FC" w:rsidRPr="00FA1420">
        <w:rPr>
          <w:rFonts w:hint="cs"/>
          <w:sz w:val="20"/>
          <w:szCs w:val="24"/>
          <w:rtl/>
        </w:rPr>
        <w:t>شروحا</w:t>
      </w:r>
      <w:r w:rsidRPr="00FA1420">
        <w:rPr>
          <w:sz w:val="20"/>
          <w:szCs w:val="24"/>
          <w:rtl/>
        </w:rPr>
        <w:t xml:space="preserve"> وتوضيحات إضافية بشأن المسائل الإدارية والمتعلقة بالميزانية ردا على الأسئلة التي أُثيرت أثناء مناقشات الهيئة الفرعية. وهي مكمّلة للوثيقتين </w:t>
      </w:r>
      <w:hyperlink r:id="rId15" w:history="1">
        <w:r w:rsidRPr="00FA1420">
          <w:rPr>
            <w:rStyle w:val="Hyperlink"/>
            <w:sz w:val="20"/>
            <w:szCs w:val="24"/>
          </w:rPr>
          <w:t>CBD/COP/17/3</w:t>
        </w:r>
      </w:hyperlink>
      <w:r w:rsidRPr="00FA1420">
        <w:rPr>
          <w:sz w:val="20"/>
          <w:szCs w:val="24"/>
          <w:rtl/>
        </w:rPr>
        <w:t>-</w:t>
      </w:r>
      <w:hyperlink r:id="rId16" w:history="1">
        <w:r w:rsidRPr="00FA1420">
          <w:rPr>
            <w:rStyle w:val="Hyperlink"/>
            <w:sz w:val="20"/>
            <w:szCs w:val="24"/>
          </w:rPr>
          <w:t>CBD/CP/MOP/12/4</w:t>
        </w:r>
      </w:hyperlink>
      <w:r w:rsidRPr="00FA1420">
        <w:rPr>
          <w:sz w:val="20"/>
          <w:szCs w:val="24"/>
          <w:rtl/>
        </w:rPr>
        <w:t>-</w:t>
      </w:r>
      <w:hyperlink r:id="rId17" w:history="1">
        <w:r w:rsidRPr="00FA1420">
          <w:rPr>
            <w:rStyle w:val="Hyperlink"/>
            <w:sz w:val="20"/>
            <w:szCs w:val="24"/>
          </w:rPr>
          <w:t>CBD/NP/MOP/6/4</w:t>
        </w:r>
      </w:hyperlink>
      <w:r w:rsidRPr="00FA1420">
        <w:rPr>
          <w:sz w:val="20"/>
          <w:szCs w:val="24"/>
          <w:rtl/>
        </w:rPr>
        <w:t xml:space="preserve"> و</w:t>
      </w:r>
      <w:hyperlink r:id="rId18" w:history="1">
        <w:r w:rsidRPr="00FA1420">
          <w:rPr>
            <w:rStyle w:val="Hyperlink"/>
            <w:sz w:val="20"/>
            <w:szCs w:val="24"/>
          </w:rPr>
          <w:t>CBD/COP/17/4</w:t>
        </w:r>
      </w:hyperlink>
      <w:r w:rsidRPr="00FA1420">
        <w:rPr>
          <w:sz w:val="20"/>
          <w:szCs w:val="24"/>
          <w:rtl/>
        </w:rPr>
        <w:t>-</w:t>
      </w:r>
      <w:hyperlink r:id="rId19" w:history="1">
        <w:r w:rsidRPr="00FA1420">
          <w:rPr>
            <w:rStyle w:val="Hyperlink"/>
            <w:sz w:val="20"/>
            <w:szCs w:val="24"/>
          </w:rPr>
          <w:t>CBD/CP/MOP/12/5</w:t>
        </w:r>
      </w:hyperlink>
      <w:r w:rsidRPr="00FA1420">
        <w:rPr>
          <w:sz w:val="20"/>
          <w:szCs w:val="24"/>
          <w:rtl/>
        </w:rPr>
        <w:t>-</w:t>
      </w:r>
      <w:hyperlink r:id="rId20" w:history="1">
        <w:r w:rsidRPr="00FA1420">
          <w:rPr>
            <w:rStyle w:val="Hyperlink"/>
            <w:sz w:val="20"/>
            <w:szCs w:val="24"/>
          </w:rPr>
          <w:t>CBD/NP/MOP/6/5</w:t>
        </w:r>
      </w:hyperlink>
      <w:r w:rsidRPr="00FA1420">
        <w:rPr>
          <w:sz w:val="20"/>
          <w:szCs w:val="24"/>
          <w:rtl/>
        </w:rPr>
        <w:t xml:space="preserve">. </w:t>
      </w:r>
    </w:p>
    <w:p w14:paraId="09FF4B77" w14:textId="1A1A9B0D" w:rsidR="008B78C3" w:rsidRPr="00FA1420" w:rsidRDefault="008B78C3" w:rsidP="002537BE">
      <w:pPr>
        <w:pStyle w:val="CBDNormalNumber"/>
        <w:keepNext/>
        <w:bidi/>
        <w:rPr>
          <w:sz w:val="20"/>
          <w:szCs w:val="24"/>
          <w:rtl/>
        </w:rPr>
      </w:pPr>
      <w:r w:rsidRPr="00FA1420">
        <w:rPr>
          <w:sz w:val="20"/>
          <w:szCs w:val="24"/>
          <w:rtl/>
        </w:rPr>
        <w:t>وتتضمن هذه الوثيقة ثلاثة عناصر رئيسية هي:</w:t>
      </w:r>
    </w:p>
    <w:p w14:paraId="0228521F" w14:textId="5D6A01BE" w:rsidR="008B78C3" w:rsidRPr="00FA1420" w:rsidRDefault="008B78C3" w:rsidP="002537BE">
      <w:pPr>
        <w:pStyle w:val="CBDNormalNumber"/>
        <w:numPr>
          <w:ilvl w:val="1"/>
          <w:numId w:val="12"/>
        </w:numPr>
        <w:bidi/>
        <w:rPr>
          <w:sz w:val="20"/>
          <w:szCs w:val="24"/>
          <w:rtl/>
        </w:rPr>
      </w:pPr>
      <w:r w:rsidRPr="00FA1420">
        <w:rPr>
          <w:sz w:val="20"/>
          <w:szCs w:val="24"/>
          <w:rtl/>
        </w:rPr>
        <w:t>لمحة عامة عن المسائل الإدارية والمتعلقة بالميزانية؛</w:t>
      </w:r>
    </w:p>
    <w:p w14:paraId="0A1E715B" w14:textId="468C363A" w:rsidR="008B78C3" w:rsidRPr="00FA1420" w:rsidRDefault="008B78C3" w:rsidP="002537BE">
      <w:pPr>
        <w:pStyle w:val="CBDNormalNumber"/>
        <w:numPr>
          <w:ilvl w:val="1"/>
          <w:numId w:val="12"/>
        </w:numPr>
        <w:bidi/>
        <w:rPr>
          <w:sz w:val="20"/>
          <w:szCs w:val="24"/>
          <w:rtl/>
        </w:rPr>
      </w:pPr>
      <w:r w:rsidRPr="00FA1420">
        <w:rPr>
          <w:sz w:val="20"/>
          <w:szCs w:val="24"/>
          <w:rtl/>
        </w:rPr>
        <w:t>مسائل إدارية ومتعلقة بالميزانية إضافية تتصل ب</w:t>
      </w:r>
      <w:r w:rsidR="008E6333" w:rsidRPr="00FA1420">
        <w:rPr>
          <w:rFonts w:hint="cs"/>
          <w:sz w:val="20"/>
          <w:szCs w:val="24"/>
          <w:rtl/>
        </w:rPr>
        <w:t>أ</w:t>
      </w:r>
      <w:r w:rsidRPr="00FA1420">
        <w:rPr>
          <w:sz w:val="20"/>
          <w:szCs w:val="24"/>
          <w:rtl/>
        </w:rPr>
        <w:t>عم</w:t>
      </w:r>
      <w:r w:rsidR="008E6333" w:rsidRPr="00FA1420">
        <w:rPr>
          <w:rFonts w:hint="cs"/>
          <w:sz w:val="20"/>
          <w:szCs w:val="24"/>
          <w:rtl/>
        </w:rPr>
        <w:t>ا</w:t>
      </w:r>
      <w:r w:rsidRPr="00FA1420">
        <w:rPr>
          <w:sz w:val="20"/>
          <w:szCs w:val="24"/>
          <w:rtl/>
        </w:rPr>
        <w:t>ل الأمانة؛</w:t>
      </w:r>
    </w:p>
    <w:p w14:paraId="796CA7C9" w14:textId="09BB0BFB" w:rsidR="008B78C3" w:rsidRPr="00FA1420" w:rsidRDefault="008B78C3" w:rsidP="002537BE">
      <w:pPr>
        <w:pStyle w:val="CBDNormalNumber"/>
        <w:numPr>
          <w:ilvl w:val="1"/>
          <w:numId w:val="12"/>
        </w:numPr>
        <w:bidi/>
        <w:rPr>
          <w:sz w:val="20"/>
          <w:szCs w:val="24"/>
          <w:rtl/>
        </w:rPr>
      </w:pPr>
      <w:r w:rsidRPr="00FA1420">
        <w:rPr>
          <w:sz w:val="20"/>
          <w:szCs w:val="24"/>
          <w:rtl/>
        </w:rPr>
        <w:t xml:space="preserve">مسائل إدارية ومتعلقة بالميزانية إضافية تتصل بتنظيم الاجتماعات الحكومية الدولية ودعم المشاركة فيها. </w:t>
      </w:r>
    </w:p>
    <w:p w14:paraId="45EA0674" w14:textId="73339CCE" w:rsidR="007C4951" w:rsidRPr="00FA1420" w:rsidRDefault="00A111D1" w:rsidP="00A111D1">
      <w:pPr>
        <w:pStyle w:val="CBDH1"/>
        <w:bidi/>
        <w:rPr>
          <w:b w:val="0"/>
          <w:bCs/>
          <w:sz w:val="20"/>
          <w:szCs w:val="24"/>
          <w:rtl/>
        </w:rPr>
      </w:pPr>
      <w:r w:rsidRPr="00FA1420">
        <w:rPr>
          <w:b w:val="0"/>
          <w:bCs/>
          <w:sz w:val="20"/>
          <w:szCs w:val="24"/>
          <w:rtl/>
        </w:rPr>
        <w:lastRenderedPageBreak/>
        <w:t>ثانيا-</w:t>
      </w:r>
      <w:r w:rsidRPr="00FA1420">
        <w:rPr>
          <w:b w:val="0"/>
          <w:bCs/>
          <w:sz w:val="20"/>
          <w:szCs w:val="24"/>
        </w:rPr>
        <w:tab/>
      </w:r>
      <w:r w:rsidRPr="00FA1420">
        <w:rPr>
          <w:b w:val="0"/>
          <w:bCs/>
          <w:sz w:val="20"/>
          <w:szCs w:val="24"/>
          <w:rtl/>
        </w:rPr>
        <w:t>لمحة عامة</w:t>
      </w:r>
    </w:p>
    <w:p w14:paraId="25D4D905" w14:textId="7ACA8F40" w:rsidR="008B78C3" w:rsidRPr="00FA1420" w:rsidRDefault="008B78C3" w:rsidP="008B78C3">
      <w:pPr>
        <w:pStyle w:val="CBDNormalNumber"/>
        <w:numPr>
          <w:ilvl w:val="0"/>
          <w:numId w:val="7"/>
        </w:numPr>
        <w:bidi/>
        <w:rPr>
          <w:sz w:val="20"/>
          <w:szCs w:val="24"/>
          <w:rtl/>
        </w:rPr>
      </w:pPr>
      <w:r w:rsidRPr="00FA1420">
        <w:rPr>
          <w:sz w:val="20"/>
          <w:szCs w:val="24"/>
          <w:rtl/>
        </w:rPr>
        <w:t xml:space="preserve">ترد الميزانية المقترحة لبرامج عمل الاتفاقية وبروتوكوليها لفترة السنتين 2027-2028 في الوثيقة </w:t>
      </w:r>
      <w:hyperlink r:id="rId21" w:history="1">
        <w:r w:rsidRPr="00FA1420">
          <w:rPr>
            <w:rStyle w:val="Hyperlink"/>
            <w:sz w:val="20"/>
            <w:szCs w:val="24"/>
          </w:rPr>
          <w:t>CBD/COP/17/4</w:t>
        </w:r>
      </w:hyperlink>
      <w:r w:rsidRPr="00FA1420">
        <w:rPr>
          <w:sz w:val="20"/>
          <w:szCs w:val="24"/>
          <w:rtl/>
        </w:rPr>
        <w:t>-</w:t>
      </w:r>
      <w:hyperlink r:id="rId22" w:history="1">
        <w:r w:rsidRPr="00FA1420">
          <w:rPr>
            <w:rStyle w:val="Hyperlink"/>
            <w:sz w:val="20"/>
            <w:szCs w:val="24"/>
          </w:rPr>
          <w:t>CBD/CP/MOP/12/5</w:t>
        </w:r>
      </w:hyperlink>
      <w:r w:rsidRPr="00FA1420">
        <w:rPr>
          <w:sz w:val="20"/>
          <w:szCs w:val="24"/>
          <w:rtl/>
        </w:rPr>
        <w:t>-</w:t>
      </w:r>
      <w:hyperlink r:id="rId23" w:history="1">
        <w:r w:rsidRPr="00FA1420">
          <w:rPr>
            <w:rStyle w:val="Hyperlink"/>
            <w:sz w:val="20"/>
            <w:szCs w:val="24"/>
          </w:rPr>
          <w:t>CBD/NP/MOP/6/5</w:t>
        </w:r>
      </w:hyperlink>
      <w:r w:rsidRPr="00FA1420">
        <w:rPr>
          <w:sz w:val="20"/>
          <w:szCs w:val="24"/>
          <w:rtl/>
        </w:rPr>
        <w:t xml:space="preserve">. وتُعرض في تلك الوثيقة فئتان من الميزانية هما: الميزانية الأساسية والمساهمات الطوعية (الموصوفة تحت عنوان "الموارد الخارجة عن الميزانية" في الوثيقة </w:t>
      </w:r>
      <w:hyperlink r:id="rId24" w:history="1">
        <w:r w:rsidRPr="00FA1420">
          <w:rPr>
            <w:rStyle w:val="Hyperlink"/>
            <w:sz w:val="20"/>
            <w:szCs w:val="24"/>
          </w:rPr>
          <w:t>CBD/COP/17/4</w:t>
        </w:r>
      </w:hyperlink>
      <w:r w:rsidRPr="00FA1420">
        <w:rPr>
          <w:sz w:val="20"/>
          <w:szCs w:val="24"/>
          <w:rtl/>
        </w:rPr>
        <w:t>-</w:t>
      </w:r>
      <w:hyperlink r:id="rId25" w:history="1">
        <w:r w:rsidRPr="00FA1420">
          <w:rPr>
            <w:rStyle w:val="Hyperlink"/>
            <w:sz w:val="20"/>
            <w:szCs w:val="24"/>
          </w:rPr>
          <w:t>CBD/CP/MOP/12/5</w:t>
        </w:r>
      </w:hyperlink>
      <w:r w:rsidRPr="00FA1420">
        <w:rPr>
          <w:sz w:val="20"/>
          <w:szCs w:val="24"/>
          <w:rtl/>
        </w:rPr>
        <w:t>-</w:t>
      </w:r>
      <w:hyperlink r:id="rId26" w:history="1">
        <w:r w:rsidRPr="00FA1420">
          <w:rPr>
            <w:rStyle w:val="Hyperlink"/>
            <w:sz w:val="20"/>
            <w:szCs w:val="24"/>
          </w:rPr>
          <w:t>CBD/NP/MOP/6/5</w:t>
        </w:r>
      </w:hyperlink>
      <w:r w:rsidRPr="00FA1420">
        <w:rPr>
          <w:sz w:val="20"/>
          <w:szCs w:val="24"/>
          <w:rtl/>
        </w:rPr>
        <w:t xml:space="preserve">). وتندرج جميع الصناديق الاستئمانية للأمانة ضمن الميزانية الأساسية أو الموارد الخارجة عن الميزانية، باستثناء الصندوق الاستئماني </w:t>
      </w:r>
      <w:r w:rsidR="00884C13" w:rsidRPr="00FA1420">
        <w:rPr>
          <w:rFonts w:hint="cs"/>
          <w:sz w:val="20"/>
          <w:szCs w:val="24"/>
          <w:rtl/>
        </w:rPr>
        <w:t>للنفقات</w:t>
      </w:r>
      <w:r w:rsidRPr="00FA1420">
        <w:rPr>
          <w:sz w:val="20"/>
          <w:szCs w:val="24"/>
          <w:rtl/>
        </w:rPr>
        <w:t xml:space="preserve"> العامة. وي</w:t>
      </w:r>
      <w:r w:rsidR="00884C13" w:rsidRPr="00FA1420">
        <w:rPr>
          <w:rFonts w:hint="cs"/>
          <w:sz w:val="20"/>
          <w:szCs w:val="24"/>
          <w:rtl/>
        </w:rPr>
        <w:t>شمل</w:t>
      </w:r>
      <w:r w:rsidRPr="00FA1420">
        <w:rPr>
          <w:sz w:val="20"/>
          <w:szCs w:val="24"/>
          <w:rtl/>
        </w:rPr>
        <w:t xml:space="preserve"> الصندوق الاستئماني </w:t>
      </w:r>
      <w:r w:rsidR="00884C13" w:rsidRPr="00FA1420">
        <w:rPr>
          <w:rFonts w:hint="cs"/>
          <w:sz w:val="20"/>
          <w:szCs w:val="24"/>
          <w:rtl/>
        </w:rPr>
        <w:t>للنفقات</w:t>
      </w:r>
      <w:r w:rsidRPr="00FA1420">
        <w:rPr>
          <w:sz w:val="20"/>
          <w:szCs w:val="24"/>
          <w:rtl/>
        </w:rPr>
        <w:t xml:space="preserve"> العامة تكاليف دعم البرامج، وهي نسبة مئوية تُحمَّل على جميع الموارد الأساسية والخارجة عن الميزانية (وتبلغ تكاليف دعم البرامج الموحدة 13</w:t>
      </w:r>
      <w:r w:rsidR="00D04FFF" w:rsidRPr="00FA1420">
        <w:rPr>
          <w:rFonts w:hint="cs"/>
          <w:sz w:val="20"/>
          <w:szCs w:val="24"/>
          <w:rtl/>
        </w:rPr>
        <w:t xml:space="preserve"> في المائة</w:t>
      </w:r>
      <w:r w:rsidRPr="00FA1420">
        <w:rPr>
          <w:sz w:val="20"/>
          <w:szCs w:val="24"/>
          <w:rtl/>
        </w:rPr>
        <w:t>، ما لم يوجد ترتيب تمويلي محدد، وفي هذه الحالة تبلغ عادة 7</w:t>
      </w:r>
      <w:r w:rsidR="00D04FFF" w:rsidRPr="00FA1420">
        <w:rPr>
          <w:rFonts w:hint="cs"/>
          <w:sz w:val="20"/>
          <w:szCs w:val="24"/>
          <w:rtl/>
        </w:rPr>
        <w:t xml:space="preserve"> في المائة</w:t>
      </w:r>
      <w:r w:rsidRPr="00FA1420">
        <w:rPr>
          <w:sz w:val="20"/>
          <w:szCs w:val="24"/>
          <w:rtl/>
        </w:rPr>
        <w:t>).</w:t>
      </w:r>
    </w:p>
    <w:p w14:paraId="3DC363A0" w14:textId="79AD8690" w:rsidR="008B78C3" w:rsidRPr="00FA1420" w:rsidRDefault="008B78C3" w:rsidP="008B78C3">
      <w:pPr>
        <w:pStyle w:val="CBDNormalNumber"/>
        <w:numPr>
          <w:ilvl w:val="0"/>
          <w:numId w:val="7"/>
        </w:numPr>
        <w:bidi/>
        <w:rPr>
          <w:sz w:val="20"/>
          <w:szCs w:val="24"/>
          <w:rtl/>
        </w:rPr>
      </w:pPr>
      <w:r w:rsidRPr="00FA1420">
        <w:rPr>
          <w:sz w:val="20"/>
          <w:szCs w:val="24"/>
          <w:rtl/>
        </w:rPr>
        <w:t>وتختلف أنواع الأنشطة التي يمكن تمويلها من مختلف الميزانيات وإدارة الاحتياطيات باختلاف فئة الميزانية. وتشمل الأنشطة المشمولة بكل فئة، على وجه الخصوص، ما يلي:</w:t>
      </w:r>
      <w:r w:rsidRPr="00FA1420">
        <w:rPr>
          <w:sz w:val="20"/>
          <w:szCs w:val="24"/>
          <w:vertAlign w:val="superscript"/>
        </w:rPr>
        <w:footnoteReference w:id="5"/>
      </w:r>
    </w:p>
    <w:p w14:paraId="34B6352F" w14:textId="77872F6E" w:rsidR="008B78C3" w:rsidRPr="00FA1420" w:rsidRDefault="008B78C3" w:rsidP="008B78C3">
      <w:pPr>
        <w:pStyle w:val="CBDNormalNumber"/>
        <w:numPr>
          <w:ilvl w:val="1"/>
          <w:numId w:val="7"/>
        </w:numPr>
        <w:bidi/>
        <w:rPr>
          <w:sz w:val="20"/>
          <w:szCs w:val="24"/>
          <w:rtl/>
        </w:rPr>
      </w:pPr>
      <w:r w:rsidRPr="00FA1420">
        <w:rPr>
          <w:sz w:val="20"/>
          <w:szCs w:val="24"/>
          <w:rtl/>
        </w:rPr>
        <w:t>الميزانية الأساسية: تشمل الميزانية الأساسية تكاليف الموظفين، وتكاليف الاجتماعات، باستثناء المشاركة في الاجتماعات الرسمية، والتكاليف التشغيلية، باستثناء مساهمة البلد المضيف في التكاليف التشغيلية. و</w:t>
      </w:r>
      <w:r w:rsidR="00396FB2" w:rsidRPr="00FA1420">
        <w:rPr>
          <w:rFonts w:hint="cs"/>
          <w:sz w:val="20"/>
          <w:szCs w:val="24"/>
          <w:rtl/>
        </w:rPr>
        <w:t>توجد</w:t>
      </w:r>
      <w:r w:rsidRPr="00FA1420">
        <w:rPr>
          <w:sz w:val="20"/>
          <w:szCs w:val="24"/>
          <w:rtl/>
        </w:rPr>
        <w:t xml:space="preserve"> ثلاثة صناديق استئمانية للميزانية الأساسية (</w:t>
      </w:r>
      <w:r w:rsidR="00396FB2" w:rsidRPr="00FA1420">
        <w:rPr>
          <w:rFonts w:hint="cs"/>
          <w:sz w:val="20"/>
          <w:szCs w:val="24"/>
          <w:rtl/>
        </w:rPr>
        <w:t xml:space="preserve">صندوق </w:t>
      </w:r>
      <w:r w:rsidRPr="00FA1420">
        <w:rPr>
          <w:sz w:val="20"/>
          <w:szCs w:val="24"/>
          <w:rtl/>
        </w:rPr>
        <w:t>واحد للاتفاقية و</w:t>
      </w:r>
      <w:r w:rsidR="00396FB2" w:rsidRPr="00FA1420">
        <w:rPr>
          <w:rFonts w:hint="cs"/>
          <w:sz w:val="20"/>
          <w:szCs w:val="24"/>
          <w:rtl/>
        </w:rPr>
        <w:t xml:space="preserve">صندوق </w:t>
      </w:r>
      <w:r w:rsidRPr="00FA1420">
        <w:rPr>
          <w:sz w:val="20"/>
          <w:szCs w:val="24"/>
          <w:rtl/>
        </w:rPr>
        <w:t xml:space="preserve">واحد لكل بروتوكول)، وهي: الصندوق الاستئماني العام للميزانية البرنامجية الأساسية لبروتوكول ناغويا بشأن الحصول على الموارد الجينية وتقاسم منافعها؛ والصندوق الاستئماني العام للميزانية البرنامجية الأساسية لبروتوكول السلامة الأحيائية؛ والصندوق الاستئماني العام لاتفاقية التنوع البيولوجي. ووفقا لقواعد الأمم المتحدة، تُحمَّل تكاليف دعم البرامج على هذه الصناديق الاستئمانية وقت الإنفاق. وعلاوة على ذلك، ووفقا لقواعد الأمم المتحدة، يلزم إدراج احتياطي لرأس المال </w:t>
      </w:r>
      <w:r w:rsidR="00396FB2" w:rsidRPr="00FA1420">
        <w:rPr>
          <w:rFonts w:hint="cs"/>
          <w:sz w:val="20"/>
          <w:szCs w:val="24"/>
          <w:rtl/>
        </w:rPr>
        <w:t>العامل</w:t>
      </w:r>
      <w:r w:rsidRPr="00FA1420">
        <w:rPr>
          <w:sz w:val="20"/>
          <w:szCs w:val="24"/>
          <w:rtl/>
        </w:rPr>
        <w:t xml:space="preserve"> بنسبة 15</w:t>
      </w:r>
      <w:r w:rsidR="00396FB2" w:rsidRPr="00FA1420">
        <w:rPr>
          <w:rFonts w:hint="cs"/>
          <w:sz w:val="20"/>
          <w:szCs w:val="24"/>
          <w:rtl/>
        </w:rPr>
        <w:t xml:space="preserve"> في المائة</w:t>
      </w:r>
      <w:r w:rsidRPr="00FA1420">
        <w:rPr>
          <w:sz w:val="20"/>
          <w:szCs w:val="24"/>
          <w:rtl/>
        </w:rPr>
        <w:t xml:space="preserve"> من الميزانية الأساسية عند إعداد</w:t>
      </w:r>
      <w:r w:rsidR="00396FB2" w:rsidRPr="00FA1420">
        <w:rPr>
          <w:rFonts w:hint="cs"/>
          <w:sz w:val="20"/>
          <w:szCs w:val="24"/>
          <w:rtl/>
        </w:rPr>
        <w:t>ها</w:t>
      </w:r>
      <w:r w:rsidRPr="00FA1420">
        <w:rPr>
          <w:sz w:val="20"/>
          <w:szCs w:val="24"/>
          <w:rtl/>
        </w:rPr>
        <w:t>. وفي حال وجود أموال غير منفقة، فإنها تتراكم وت</w:t>
      </w:r>
      <w:r w:rsidR="00396FB2" w:rsidRPr="00FA1420">
        <w:rPr>
          <w:rFonts w:hint="cs"/>
          <w:sz w:val="20"/>
          <w:szCs w:val="24"/>
          <w:rtl/>
        </w:rPr>
        <w:t>ظهر</w:t>
      </w:r>
      <w:r w:rsidRPr="00FA1420">
        <w:rPr>
          <w:sz w:val="20"/>
          <w:szCs w:val="24"/>
          <w:rtl/>
        </w:rPr>
        <w:t xml:space="preserve"> في وثيقة الميزانية </w:t>
      </w:r>
      <w:r w:rsidR="00396FB2" w:rsidRPr="00FA1420">
        <w:rPr>
          <w:rFonts w:hint="cs"/>
          <w:sz w:val="20"/>
          <w:szCs w:val="24"/>
          <w:rtl/>
        </w:rPr>
        <w:t>ك</w:t>
      </w:r>
      <w:r w:rsidRPr="00FA1420">
        <w:rPr>
          <w:sz w:val="20"/>
          <w:szCs w:val="24"/>
          <w:rtl/>
        </w:rPr>
        <w:t xml:space="preserve">فائض تراكمي (يمكن استخدامه </w:t>
      </w:r>
      <w:r w:rsidR="00396FB2" w:rsidRPr="00FA1420">
        <w:rPr>
          <w:rFonts w:hint="cs"/>
          <w:sz w:val="20"/>
          <w:szCs w:val="24"/>
          <w:rtl/>
        </w:rPr>
        <w:t>ك</w:t>
      </w:r>
      <w:r w:rsidRPr="00FA1420">
        <w:rPr>
          <w:sz w:val="20"/>
          <w:szCs w:val="24"/>
          <w:rtl/>
        </w:rPr>
        <w:t>احتياطي للطوارئ حسب الاقتضاء)؛</w:t>
      </w:r>
    </w:p>
    <w:p w14:paraId="7A80EEDA" w14:textId="5F07CD6B" w:rsidR="008B78C3" w:rsidRPr="00FA1420" w:rsidRDefault="008B78C3" w:rsidP="008B78C3">
      <w:pPr>
        <w:pStyle w:val="CBDNormalNumber"/>
        <w:numPr>
          <w:ilvl w:val="1"/>
          <w:numId w:val="7"/>
        </w:numPr>
        <w:bidi/>
        <w:rPr>
          <w:sz w:val="20"/>
          <w:szCs w:val="24"/>
          <w:rtl/>
        </w:rPr>
      </w:pPr>
      <w:r w:rsidRPr="00FA1420">
        <w:rPr>
          <w:sz w:val="20"/>
          <w:szCs w:val="24"/>
          <w:rtl/>
        </w:rPr>
        <w:t xml:space="preserve">المساهمات الطوعية: </w:t>
      </w:r>
      <w:r w:rsidR="00CA026E" w:rsidRPr="00FA1420">
        <w:rPr>
          <w:rFonts w:hint="cs"/>
          <w:sz w:val="20"/>
          <w:szCs w:val="24"/>
          <w:rtl/>
        </w:rPr>
        <w:t xml:space="preserve">وهي </w:t>
      </w:r>
      <w:r w:rsidRPr="00FA1420">
        <w:rPr>
          <w:sz w:val="20"/>
          <w:szCs w:val="24"/>
          <w:rtl/>
        </w:rPr>
        <w:t>تشمل تمويل الأنشطة الإضافية المعتمدة،</w:t>
      </w:r>
      <w:r w:rsidRPr="00FA1420">
        <w:rPr>
          <w:sz w:val="20"/>
          <w:szCs w:val="24"/>
          <w:vertAlign w:val="superscript"/>
        </w:rPr>
        <w:footnoteReference w:id="6"/>
      </w:r>
      <w:r w:rsidRPr="00FA1420">
        <w:rPr>
          <w:sz w:val="20"/>
          <w:szCs w:val="24"/>
          <w:rtl/>
        </w:rPr>
        <w:t xml:space="preserve"> وتمويل دعم المشاركة في الاجتماعات، ومساهمة البلد المضيف (أي للإيجار والتكاليف المرتبطة به). وتشمل الصناديق الاستئمانية للموارد الخارجة عن الميزانية ما يلي: الصندوق الاستئماني العام للمساهمات الطوعية الإضافية </w:t>
      </w:r>
      <w:r w:rsidR="00CA026E" w:rsidRPr="00FA1420">
        <w:rPr>
          <w:rFonts w:hint="cs"/>
          <w:sz w:val="20"/>
          <w:szCs w:val="24"/>
          <w:rtl/>
        </w:rPr>
        <w:t>لدعم</w:t>
      </w:r>
      <w:r w:rsidRPr="00FA1420">
        <w:rPr>
          <w:sz w:val="20"/>
          <w:szCs w:val="24"/>
          <w:rtl/>
        </w:rPr>
        <w:t xml:space="preserve"> </w:t>
      </w:r>
      <w:r w:rsidR="00CA026E" w:rsidRPr="00FA1420">
        <w:rPr>
          <w:rFonts w:hint="cs"/>
          <w:sz w:val="20"/>
          <w:szCs w:val="24"/>
          <w:rtl/>
        </w:rPr>
        <w:t>ا</w:t>
      </w:r>
      <w:r w:rsidRPr="00FA1420">
        <w:rPr>
          <w:sz w:val="20"/>
          <w:szCs w:val="24"/>
          <w:rtl/>
        </w:rPr>
        <w:t xml:space="preserve">لأنشطة المعتمدة </w:t>
      </w:r>
      <w:r w:rsidR="00CA026E" w:rsidRPr="00FA1420">
        <w:rPr>
          <w:rFonts w:hint="cs"/>
          <w:sz w:val="20"/>
          <w:szCs w:val="24"/>
          <w:rtl/>
        </w:rPr>
        <w:t>بموجب</w:t>
      </w:r>
      <w:r w:rsidRPr="00FA1420">
        <w:rPr>
          <w:sz w:val="20"/>
          <w:szCs w:val="24"/>
          <w:rtl/>
        </w:rPr>
        <w:t xml:space="preserve"> اتفاقية التنوع البيولوجي وبروتوكوليها؛ والصندوق الاستئماني العام للمساهمات الطوعية لتيسير مشاركة الأطراف في عملية اتفاقية التنوع البيولوجي؛ والصندوق الاستئماني العام للمساهمات الطوعية لتيسير مشاركة الشعوب الأصلية والمجتمعات المحلية في أعمال ا</w:t>
      </w:r>
      <w:r w:rsidR="00CA026E" w:rsidRPr="00FA1420">
        <w:rPr>
          <w:rFonts w:hint="cs"/>
          <w:sz w:val="20"/>
          <w:szCs w:val="24"/>
          <w:rtl/>
        </w:rPr>
        <w:t>ت</w:t>
      </w:r>
      <w:r w:rsidRPr="00FA1420">
        <w:rPr>
          <w:sz w:val="20"/>
          <w:szCs w:val="24"/>
          <w:rtl/>
        </w:rPr>
        <w:t xml:space="preserve">فاقية التنوع البيولوجي. ووفقا لقواعد الأمم المتحدة، تُحمَّل تكاليف دعم البرامج على هذه الصناديق الاستئمانية وقت الإنفاق. وعلاوة على ذلك، ووفقا لقواعد الأمم المتحدة، ولما كان التمويل طوعيا، لا يُدرج أي احتياطي </w:t>
      </w:r>
      <w:r w:rsidR="00CA026E" w:rsidRPr="00FA1420">
        <w:rPr>
          <w:rFonts w:hint="cs"/>
          <w:sz w:val="20"/>
          <w:szCs w:val="24"/>
          <w:rtl/>
        </w:rPr>
        <w:t>ل</w:t>
      </w:r>
      <w:r w:rsidRPr="00FA1420">
        <w:rPr>
          <w:sz w:val="20"/>
          <w:szCs w:val="24"/>
          <w:rtl/>
        </w:rPr>
        <w:t xml:space="preserve">لموارد الخارجة عن الميزانية في ميزانيات تلك الموارد. وتُنفق الأموال المحصّلة على الأنشطة المتصلة بالصندوق المعني، ولا يُحتفظ بأي احتياطي للطوارئ. وتُعاد الأموال غير المنفقة المخصصة للأنشطة المعتمدة إلى الجهة المانحة أو يُعاد </w:t>
      </w:r>
      <w:r w:rsidRPr="00FA1420">
        <w:rPr>
          <w:sz w:val="20"/>
          <w:szCs w:val="24"/>
          <w:rtl/>
        </w:rPr>
        <w:lastRenderedPageBreak/>
        <w:t>توجيهها إلى أنشطة أخرى، حسبما توافق عليه الجهة المانحة. وتُستخدم الأموال غير المنفقة المخصصة للمشاركة في تمويل المشاركة في اجتماع رسمي مقبل؛</w:t>
      </w:r>
    </w:p>
    <w:p w14:paraId="45812F03" w14:textId="4769B2F4" w:rsidR="008B78C3" w:rsidRPr="00FA1420" w:rsidRDefault="008B78C3" w:rsidP="008B78C3">
      <w:pPr>
        <w:pStyle w:val="CBDNormalNumber"/>
        <w:numPr>
          <w:ilvl w:val="1"/>
          <w:numId w:val="7"/>
        </w:numPr>
        <w:bidi/>
        <w:rPr>
          <w:sz w:val="20"/>
          <w:szCs w:val="24"/>
          <w:rtl/>
        </w:rPr>
      </w:pPr>
      <w:r w:rsidRPr="00FA1420">
        <w:rPr>
          <w:sz w:val="20"/>
          <w:szCs w:val="24"/>
          <w:rtl/>
        </w:rPr>
        <w:t xml:space="preserve">الصندوق الاستئماني للتكاليف العامة: </w:t>
      </w:r>
      <w:r w:rsidR="00CA026E" w:rsidRPr="00FA1420">
        <w:rPr>
          <w:rFonts w:hint="cs"/>
          <w:sz w:val="20"/>
          <w:szCs w:val="24"/>
          <w:rtl/>
        </w:rPr>
        <w:t>و</w:t>
      </w:r>
      <w:r w:rsidRPr="00FA1420">
        <w:rPr>
          <w:sz w:val="20"/>
          <w:szCs w:val="24"/>
          <w:rtl/>
        </w:rPr>
        <w:t>يشمل هذا الصندوق تكاليف دعم البرامج ويُستخدم ل</w:t>
      </w:r>
      <w:r w:rsidR="00CC0D03" w:rsidRPr="00FA1420">
        <w:rPr>
          <w:rFonts w:hint="cs"/>
          <w:sz w:val="20"/>
          <w:szCs w:val="24"/>
          <w:rtl/>
        </w:rPr>
        <w:t>تغطية</w:t>
      </w:r>
      <w:r w:rsidRPr="00FA1420">
        <w:rPr>
          <w:sz w:val="20"/>
          <w:szCs w:val="24"/>
          <w:rtl/>
        </w:rPr>
        <w:t xml:space="preserve"> التكاليف الإدارية والتشغيلية غير المباشرة المتصلة بإدارة الصناديق الاستئمانية. ويتولى برنامج الأمم المتحدة للبيئة في نيروبي </w:t>
      </w:r>
      <w:r w:rsidR="00CC0D03" w:rsidRPr="00FA1420">
        <w:rPr>
          <w:rFonts w:hint="cs"/>
          <w:sz w:val="20"/>
          <w:szCs w:val="24"/>
          <w:rtl/>
        </w:rPr>
        <w:t xml:space="preserve">إدارة </w:t>
      </w:r>
      <w:r w:rsidRPr="00FA1420">
        <w:rPr>
          <w:sz w:val="20"/>
          <w:szCs w:val="24"/>
          <w:rtl/>
        </w:rPr>
        <w:t>الصندوق الاستئماني لل</w:t>
      </w:r>
      <w:r w:rsidR="00CC0D03" w:rsidRPr="00FA1420">
        <w:rPr>
          <w:rFonts w:hint="cs"/>
          <w:sz w:val="20"/>
          <w:szCs w:val="24"/>
          <w:rtl/>
        </w:rPr>
        <w:t>نفقات</w:t>
      </w:r>
      <w:r w:rsidRPr="00FA1420">
        <w:rPr>
          <w:sz w:val="20"/>
          <w:szCs w:val="24"/>
          <w:rtl/>
        </w:rPr>
        <w:t xml:space="preserve"> العامة؛ غير أن 33</w:t>
      </w:r>
      <w:r w:rsidR="00CA026E" w:rsidRPr="00FA1420">
        <w:rPr>
          <w:rFonts w:hint="cs"/>
          <w:sz w:val="20"/>
          <w:szCs w:val="24"/>
          <w:rtl/>
        </w:rPr>
        <w:t xml:space="preserve"> في المائة</w:t>
      </w:r>
      <w:r w:rsidRPr="00FA1420">
        <w:rPr>
          <w:sz w:val="20"/>
          <w:szCs w:val="24"/>
          <w:rtl/>
        </w:rPr>
        <w:t xml:space="preserve"> من الأموال التي </w:t>
      </w:r>
      <w:r w:rsidR="00CC0D03" w:rsidRPr="00FA1420">
        <w:rPr>
          <w:rFonts w:hint="cs"/>
          <w:sz w:val="20"/>
          <w:szCs w:val="24"/>
          <w:rtl/>
        </w:rPr>
        <w:t>يديرها</w:t>
      </w:r>
      <w:r w:rsidRPr="00FA1420">
        <w:rPr>
          <w:sz w:val="20"/>
          <w:szCs w:val="24"/>
          <w:rtl/>
        </w:rPr>
        <w:t xml:space="preserve"> البرنامج تُستخدم لتمويل موظفين داخل الأمانة لدعم الأعمال المتصلة بالتكاليف الإدارية والتشغيلية غير المباشرة المتعلقة بإدارة الصناديق الاستئمانية. ولا تُحمَّل أي تكاليف لدعم البرامج على الصندوق الاستئماني </w:t>
      </w:r>
      <w:r w:rsidR="00CC0D03" w:rsidRPr="00FA1420">
        <w:rPr>
          <w:rFonts w:hint="cs"/>
          <w:sz w:val="20"/>
          <w:szCs w:val="24"/>
          <w:rtl/>
        </w:rPr>
        <w:t>للنفقات</w:t>
      </w:r>
      <w:r w:rsidRPr="00FA1420">
        <w:rPr>
          <w:sz w:val="20"/>
          <w:szCs w:val="24"/>
          <w:rtl/>
        </w:rPr>
        <w:t xml:space="preserve"> العامة. و</w:t>
      </w:r>
      <w:r w:rsidR="00CC0D03" w:rsidRPr="00FA1420">
        <w:rPr>
          <w:rFonts w:hint="cs"/>
          <w:sz w:val="20"/>
          <w:szCs w:val="24"/>
          <w:rtl/>
        </w:rPr>
        <w:t>ت</w:t>
      </w:r>
      <w:r w:rsidRPr="00FA1420">
        <w:rPr>
          <w:sz w:val="20"/>
          <w:szCs w:val="24"/>
          <w:rtl/>
        </w:rPr>
        <w:t>وصي المب</w:t>
      </w:r>
      <w:r w:rsidR="00CC0D03" w:rsidRPr="00FA1420">
        <w:rPr>
          <w:rFonts w:hint="cs"/>
          <w:sz w:val="20"/>
          <w:szCs w:val="24"/>
          <w:rtl/>
        </w:rPr>
        <w:t>ا</w:t>
      </w:r>
      <w:r w:rsidRPr="00FA1420">
        <w:rPr>
          <w:sz w:val="20"/>
          <w:szCs w:val="24"/>
          <w:rtl/>
        </w:rPr>
        <w:t>د</w:t>
      </w:r>
      <w:r w:rsidR="00CC0D03" w:rsidRPr="00FA1420">
        <w:rPr>
          <w:rFonts w:hint="cs"/>
          <w:sz w:val="20"/>
          <w:szCs w:val="24"/>
          <w:rtl/>
        </w:rPr>
        <w:t>ئ</w:t>
      </w:r>
      <w:r w:rsidRPr="00FA1420">
        <w:rPr>
          <w:sz w:val="20"/>
          <w:szCs w:val="24"/>
          <w:rtl/>
        </w:rPr>
        <w:t xml:space="preserve"> التوجيهي</w:t>
      </w:r>
      <w:r w:rsidR="00CC0D03" w:rsidRPr="00FA1420">
        <w:rPr>
          <w:rFonts w:hint="cs"/>
          <w:sz w:val="20"/>
          <w:szCs w:val="24"/>
          <w:rtl/>
        </w:rPr>
        <w:t>ة</w:t>
      </w:r>
      <w:r w:rsidRPr="00FA1420">
        <w:rPr>
          <w:sz w:val="20"/>
          <w:szCs w:val="24"/>
          <w:rtl/>
        </w:rPr>
        <w:t xml:space="preserve"> للأمم المتحدة بشأن إدارة تكاليف دعم البرامج ب</w:t>
      </w:r>
      <w:r w:rsidR="00CC0D03" w:rsidRPr="00FA1420">
        <w:rPr>
          <w:rFonts w:hint="cs"/>
          <w:sz w:val="20"/>
          <w:szCs w:val="24"/>
          <w:rtl/>
        </w:rPr>
        <w:t>الاحتفاظ ب</w:t>
      </w:r>
      <w:r w:rsidRPr="00FA1420">
        <w:rPr>
          <w:sz w:val="20"/>
          <w:szCs w:val="24"/>
          <w:rtl/>
        </w:rPr>
        <w:t>احتياطي للطوارئ يعادل 12 شهرا من مجموع النفقات السنوية المقدرة. ولما كانت هذه الأموال تُستخدم ل</w:t>
      </w:r>
      <w:r w:rsidR="00CC0D03" w:rsidRPr="00FA1420">
        <w:rPr>
          <w:rFonts w:hint="cs"/>
          <w:sz w:val="20"/>
          <w:szCs w:val="24"/>
          <w:rtl/>
        </w:rPr>
        <w:t xml:space="preserve">تغطية </w:t>
      </w:r>
      <w:r w:rsidRPr="00FA1420">
        <w:rPr>
          <w:sz w:val="20"/>
          <w:szCs w:val="24"/>
          <w:rtl/>
        </w:rPr>
        <w:t>تكاليف الموظفين، فإن ذلك يكفل الاستقرار ويساعد على التخفيف من المخاطر الناجمة عن الظروف غير المتوقعة.</w:t>
      </w:r>
    </w:p>
    <w:p w14:paraId="6F21CCFE" w14:textId="31D9A1B0" w:rsidR="008B78C3" w:rsidRPr="00FA1420" w:rsidRDefault="008B78C3" w:rsidP="008B78C3">
      <w:pPr>
        <w:pStyle w:val="CBDNormalNumber"/>
        <w:bidi/>
        <w:rPr>
          <w:sz w:val="20"/>
          <w:szCs w:val="24"/>
          <w:rtl/>
        </w:rPr>
      </w:pPr>
      <w:r w:rsidRPr="00FA1420">
        <w:rPr>
          <w:sz w:val="20"/>
          <w:szCs w:val="24"/>
          <w:rtl/>
        </w:rPr>
        <w:t>وتقدم وثيقة الميزانية (</w:t>
      </w:r>
      <w:hyperlink r:id="rId27" w:history="1">
        <w:r w:rsidRPr="00FA1420">
          <w:rPr>
            <w:rStyle w:val="Hyperlink"/>
            <w:sz w:val="20"/>
            <w:szCs w:val="24"/>
          </w:rPr>
          <w:t>CBD/COP/17/4</w:t>
        </w:r>
      </w:hyperlink>
      <w:r w:rsidRPr="00FA1420">
        <w:rPr>
          <w:sz w:val="20"/>
          <w:szCs w:val="24"/>
          <w:rtl/>
        </w:rPr>
        <w:t>-</w:t>
      </w:r>
      <w:hyperlink r:id="rId28" w:history="1">
        <w:r w:rsidRPr="00FA1420">
          <w:rPr>
            <w:rStyle w:val="Hyperlink"/>
            <w:sz w:val="20"/>
            <w:szCs w:val="24"/>
          </w:rPr>
          <w:t>CBD/CP/MOP/12/5</w:t>
        </w:r>
      </w:hyperlink>
      <w:r w:rsidRPr="00FA1420">
        <w:rPr>
          <w:sz w:val="20"/>
          <w:szCs w:val="24"/>
          <w:rtl/>
        </w:rPr>
        <w:t>-</w:t>
      </w:r>
      <w:hyperlink r:id="rId29" w:history="1">
        <w:r w:rsidRPr="00FA1420">
          <w:rPr>
            <w:rStyle w:val="Hyperlink"/>
            <w:sz w:val="20"/>
            <w:szCs w:val="24"/>
          </w:rPr>
          <w:t>CBD/NP/MOP/6/5</w:t>
        </w:r>
      </w:hyperlink>
      <w:r w:rsidRPr="00FA1420">
        <w:rPr>
          <w:sz w:val="20"/>
          <w:szCs w:val="24"/>
          <w:rtl/>
        </w:rPr>
        <w:t>) سيناريوهات مختلفة لميزانية الفترة 2027-2028. وهي تتضمن أيضا تقديرا للتمويل اللازم للمشاركة في اجتماعات الهيئتين الفرعيتين ومؤتمر الأطراف في عامي 2027 و2028. وجميع البيانات المالية للصناديق الاستئمانية التي تحتفظ بها الأمانة متاحة على الإنترنت.</w:t>
      </w:r>
      <w:r w:rsidRPr="00FA1420">
        <w:rPr>
          <w:sz w:val="20"/>
          <w:szCs w:val="24"/>
          <w:vertAlign w:val="superscript"/>
        </w:rPr>
        <w:footnoteReference w:id="7"/>
      </w:r>
      <w:r w:rsidRPr="00FA1420">
        <w:rPr>
          <w:sz w:val="20"/>
          <w:szCs w:val="24"/>
          <w:rtl/>
        </w:rPr>
        <w:t xml:space="preserve"> وكما </w:t>
      </w:r>
      <w:r w:rsidR="00043F23" w:rsidRPr="00FA1420">
        <w:rPr>
          <w:rFonts w:hint="cs"/>
          <w:sz w:val="20"/>
          <w:szCs w:val="24"/>
          <w:rtl/>
        </w:rPr>
        <w:t>هو موضح</w:t>
      </w:r>
      <w:r w:rsidRPr="00FA1420">
        <w:rPr>
          <w:sz w:val="20"/>
          <w:szCs w:val="24"/>
          <w:rtl/>
        </w:rPr>
        <w:t xml:space="preserve"> في البيانات المالية، </w:t>
      </w:r>
      <w:r w:rsidR="00043F23" w:rsidRPr="00FA1420">
        <w:rPr>
          <w:rFonts w:hint="cs"/>
          <w:sz w:val="20"/>
          <w:szCs w:val="24"/>
          <w:rtl/>
        </w:rPr>
        <w:t>فإن</w:t>
      </w:r>
      <w:r w:rsidRPr="00FA1420">
        <w:rPr>
          <w:sz w:val="20"/>
          <w:szCs w:val="24"/>
          <w:rtl/>
        </w:rPr>
        <w:t xml:space="preserve"> الفائض التراكمي في الصناديق الاستئمانية للميزانية الأساسية يتزايد بمرور الوقت. ويُستثمر هذا الفائض التراكمي وفقا لتقدير الأمم المتحدة. وتُ</w:t>
      </w:r>
      <w:r w:rsidR="00043F23" w:rsidRPr="00FA1420">
        <w:rPr>
          <w:rFonts w:hint="cs"/>
          <w:sz w:val="20"/>
          <w:szCs w:val="24"/>
          <w:rtl/>
        </w:rPr>
        <w:t>ضاف</w:t>
      </w:r>
      <w:r w:rsidRPr="00FA1420">
        <w:rPr>
          <w:sz w:val="20"/>
          <w:szCs w:val="24"/>
          <w:rtl/>
        </w:rPr>
        <w:t xml:space="preserve"> أي إيرادات متأتية من هذه الاستثمارات </w:t>
      </w:r>
      <w:r w:rsidR="00043F23" w:rsidRPr="00FA1420">
        <w:rPr>
          <w:rFonts w:hint="cs"/>
          <w:sz w:val="20"/>
          <w:szCs w:val="24"/>
          <w:rtl/>
        </w:rPr>
        <w:t xml:space="preserve">إلى </w:t>
      </w:r>
      <w:r w:rsidRPr="00FA1420">
        <w:rPr>
          <w:sz w:val="20"/>
          <w:szCs w:val="24"/>
          <w:rtl/>
        </w:rPr>
        <w:t xml:space="preserve">حساب الصندوق الاستئماني المعني وفقا </w:t>
      </w:r>
      <w:r w:rsidR="00043F23" w:rsidRPr="00FA1420">
        <w:rPr>
          <w:sz w:val="20"/>
          <w:szCs w:val="24"/>
          <w:rtl/>
        </w:rPr>
        <w:t>للوائح والقواعد والسياسات والإجراءات المالية المعمول بها في الأمم المتحدة</w:t>
      </w:r>
      <w:r w:rsidRPr="00FA1420">
        <w:rPr>
          <w:sz w:val="20"/>
          <w:szCs w:val="24"/>
          <w:rtl/>
        </w:rPr>
        <w:t xml:space="preserve">. وتُدرج الفوائد في البيانات المالية المتاحة على الإنترنت. ومن ثم فإن الفائض التراكمي يشمل تراكم الأموال غير المنفقة وتراكم الفوائد المكتسبة على </w:t>
      </w:r>
      <w:r w:rsidR="00043F23" w:rsidRPr="00FA1420">
        <w:rPr>
          <w:rFonts w:hint="cs"/>
          <w:sz w:val="20"/>
          <w:szCs w:val="24"/>
          <w:rtl/>
        </w:rPr>
        <w:t>الصناديق</w:t>
      </w:r>
      <w:r w:rsidRPr="00FA1420">
        <w:rPr>
          <w:sz w:val="20"/>
          <w:szCs w:val="24"/>
          <w:rtl/>
        </w:rPr>
        <w:t xml:space="preserve"> المعنية بمرور الوقت على السواء. </w:t>
      </w:r>
    </w:p>
    <w:p w14:paraId="03F4446F" w14:textId="541D9912" w:rsidR="008B78C3" w:rsidRPr="00FA1420" w:rsidRDefault="008B78C3" w:rsidP="008B78C3">
      <w:pPr>
        <w:pStyle w:val="CBDNormalNumber"/>
        <w:bidi/>
        <w:rPr>
          <w:sz w:val="20"/>
          <w:szCs w:val="24"/>
          <w:rtl/>
        </w:rPr>
      </w:pPr>
      <w:r w:rsidRPr="00FA1420">
        <w:rPr>
          <w:sz w:val="20"/>
          <w:szCs w:val="24"/>
          <w:rtl/>
        </w:rPr>
        <w:t xml:space="preserve">وكما هو مبين في الوثيقة </w:t>
      </w:r>
      <w:hyperlink r:id="rId30" w:history="1">
        <w:r w:rsidRPr="00FA1420">
          <w:rPr>
            <w:rStyle w:val="Hyperlink"/>
            <w:sz w:val="20"/>
            <w:szCs w:val="24"/>
          </w:rPr>
          <w:t>CBD/COP/17/3</w:t>
        </w:r>
      </w:hyperlink>
      <w:r w:rsidRPr="00FA1420">
        <w:rPr>
          <w:sz w:val="20"/>
          <w:szCs w:val="24"/>
          <w:rtl/>
        </w:rPr>
        <w:t>-</w:t>
      </w:r>
      <w:hyperlink r:id="rId31" w:history="1">
        <w:r w:rsidRPr="00FA1420">
          <w:rPr>
            <w:rStyle w:val="Hyperlink"/>
            <w:sz w:val="20"/>
            <w:szCs w:val="24"/>
          </w:rPr>
          <w:t>CBD/CP/MOP/12/4</w:t>
        </w:r>
      </w:hyperlink>
      <w:r w:rsidRPr="00FA1420">
        <w:rPr>
          <w:sz w:val="20"/>
          <w:szCs w:val="24"/>
          <w:rtl/>
        </w:rPr>
        <w:t>-</w:t>
      </w:r>
      <w:hyperlink r:id="rId32" w:history="1">
        <w:r w:rsidRPr="00FA1420">
          <w:rPr>
            <w:rStyle w:val="Hyperlink"/>
            <w:sz w:val="20"/>
            <w:szCs w:val="24"/>
          </w:rPr>
          <w:t>CBD/NP/MOP/6/4</w:t>
        </w:r>
      </w:hyperlink>
      <w:r w:rsidRPr="00FA1420">
        <w:rPr>
          <w:sz w:val="20"/>
          <w:szCs w:val="24"/>
          <w:rtl/>
        </w:rPr>
        <w:t xml:space="preserve">، يبلغ الفائض التراكمي الحالي </w:t>
      </w:r>
      <w:r w:rsidR="00043F23" w:rsidRPr="00FA1420">
        <w:rPr>
          <w:rFonts w:hint="cs"/>
          <w:sz w:val="20"/>
          <w:szCs w:val="24"/>
          <w:rtl/>
        </w:rPr>
        <w:t>11,000,000</w:t>
      </w:r>
      <w:r w:rsidRPr="00FA1420">
        <w:rPr>
          <w:sz w:val="20"/>
          <w:szCs w:val="24"/>
          <w:rtl/>
        </w:rPr>
        <w:t xml:space="preserve"> دولار للاتفاقية، و</w:t>
      </w:r>
      <w:r w:rsidR="00043F23" w:rsidRPr="00FA1420">
        <w:rPr>
          <w:rFonts w:hint="cs"/>
          <w:sz w:val="20"/>
          <w:szCs w:val="24"/>
          <w:rtl/>
        </w:rPr>
        <w:t>4,900,000</w:t>
      </w:r>
      <w:r w:rsidRPr="00FA1420">
        <w:rPr>
          <w:sz w:val="20"/>
          <w:szCs w:val="24"/>
          <w:rtl/>
        </w:rPr>
        <w:t xml:space="preserve"> دولار لبروتوكول قرطاجنة، و</w:t>
      </w:r>
      <w:r w:rsidR="00043F23" w:rsidRPr="00FA1420">
        <w:rPr>
          <w:rFonts w:hint="cs"/>
          <w:sz w:val="20"/>
          <w:szCs w:val="24"/>
          <w:rtl/>
        </w:rPr>
        <w:t>2,300,000</w:t>
      </w:r>
      <w:r w:rsidRPr="00FA1420">
        <w:rPr>
          <w:sz w:val="20"/>
          <w:szCs w:val="24"/>
          <w:rtl/>
        </w:rPr>
        <w:t xml:space="preserve"> دولار لبروتوكول ناغويا، أي ما مجموعه </w:t>
      </w:r>
      <w:r w:rsidR="00043F23" w:rsidRPr="00FA1420">
        <w:rPr>
          <w:rFonts w:hint="cs"/>
          <w:sz w:val="20"/>
          <w:szCs w:val="24"/>
          <w:rtl/>
        </w:rPr>
        <w:t>18,200,000</w:t>
      </w:r>
      <w:r w:rsidRPr="00FA1420">
        <w:rPr>
          <w:sz w:val="20"/>
          <w:szCs w:val="24"/>
          <w:rtl/>
        </w:rPr>
        <w:t xml:space="preserve"> دولار. ويعادل المستوى الحالي للفائض التراكمي ما يقارب 10 أشهر من مجموع ميزانية الفترة 2025-2026. </w:t>
      </w:r>
    </w:p>
    <w:p w14:paraId="410BD77D" w14:textId="1513E92E" w:rsidR="008B78C3" w:rsidRPr="00FA1420" w:rsidRDefault="008B78C3" w:rsidP="002537BE">
      <w:pPr>
        <w:pStyle w:val="CBDH1"/>
        <w:bidi/>
        <w:rPr>
          <w:b w:val="0"/>
          <w:bCs/>
          <w:sz w:val="20"/>
          <w:szCs w:val="24"/>
          <w:rtl/>
        </w:rPr>
      </w:pPr>
      <w:r w:rsidRPr="00FA1420">
        <w:rPr>
          <w:b w:val="0"/>
          <w:bCs/>
          <w:sz w:val="20"/>
          <w:szCs w:val="24"/>
          <w:rtl/>
        </w:rPr>
        <w:t>ثالثا-</w:t>
      </w:r>
      <w:r w:rsidRPr="00FA1420">
        <w:rPr>
          <w:b w:val="0"/>
          <w:bCs/>
          <w:sz w:val="20"/>
          <w:szCs w:val="24"/>
        </w:rPr>
        <w:tab/>
      </w:r>
      <w:r w:rsidRPr="00FA1420">
        <w:rPr>
          <w:b w:val="0"/>
          <w:bCs/>
          <w:sz w:val="20"/>
          <w:szCs w:val="24"/>
          <w:rtl/>
        </w:rPr>
        <w:t xml:space="preserve">مسائل إدارية ومتعلقة بالميزانية إضافية تتصل </w:t>
      </w:r>
      <w:r w:rsidR="0012372E" w:rsidRPr="00FA1420">
        <w:rPr>
          <w:rFonts w:hint="cs"/>
          <w:b w:val="0"/>
          <w:bCs/>
          <w:sz w:val="20"/>
          <w:szCs w:val="24"/>
          <w:rtl/>
        </w:rPr>
        <w:t>بأعمال</w:t>
      </w:r>
      <w:r w:rsidRPr="00FA1420">
        <w:rPr>
          <w:b w:val="0"/>
          <w:bCs/>
          <w:sz w:val="20"/>
          <w:szCs w:val="24"/>
          <w:rtl/>
        </w:rPr>
        <w:t xml:space="preserve"> الأمانة</w:t>
      </w:r>
    </w:p>
    <w:p w14:paraId="7E56AAC7" w14:textId="700DCE1E" w:rsidR="008B78C3" w:rsidRPr="00FA1420" w:rsidRDefault="008B78C3" w:rsidP="008B78C3">
      <w:pPr>
        <w:pStyle w:val="CBDNormalNumber"/>
        <w:bidi/>
        <w:rPr>
          <w:sz w:val="20"/>
          <w:szCs w:val="24"/>
          <w:rtl/>
        </w:rPr>
      </w:pPr>
      <w:r w:rsidRPr="00FA1420">
        <w:rPr>
          <w:sz w:val="20"/>
          <w:szCs w:val="24"/>
          <w:rtl/>
        </w:rPr>
        <w:t>تستمد الأمانة ولايتها من مقررات مؤتمر الأطراف. وبإمكان الأمانة الاضطلاع بهذه الولاية من خلال عمل موظفي</w:t>
      </w:r>
      <w:r w:rsidR="0012372E" w:rsidRPr="00FA1420">
        <w:rPr>
          <w:rFonts w:hint="cs"/>
          <w:sz w:val="20"/>
          <w:szCs w:val="24"/>
          <w:rtl/>
        </w:rPr>
        <w:t>ها</w:t>
      </w:r>
      <w:r w:rsidRPr="00FA1420">
        <w:rPr>
          <w:sz w:val="20"/>
          <w:szCs w:val="24"/>
          <w:rtl/>
        </w:rPr>
        <w:t xml:space="preserve"> والموارد المدرجة في الميزانية الأساسية ومن خلال جمع أموال إضافية لدعم الأنشطة المعتمدة. وقد اتخذت الأمانة إجراءات لضمان تبسيط ترتيبات الإبلاغ وتحقيق الأداء الوظيفي والفعالية على النحو الأمثل، مسترشدة في ذلك بالاستعراض الوظيفي (الموصوف في الوثيقة </w:t>
      </w:r>
      <w:hyperlink r:id="rId33" w:history="1">
        <w:r w:rsidRPr="00FA1420">
          <w:rPr>
            <w:rStyle w:val="Hyperlink"/>
            <w:sz w:val="20"/>
            <w:szCs w:val="24"/>
          </w:rPr>
          <w:t>CBD/COP/17/4/Add.1</w:t>
        </w:r>
      </w:hyperlink>
      <w:r w:rsidRPr="00FA1420">
        <w:rPr>
          <w:sz w:val="20"/>
          <w:szCs w:val="24"/>
          <w:rtl/>
        </w:rPr>
        <w:t>). وتقدم هذه الوثيقة معلومات عن السبل التي تستخدم بها الأمانة الموارد الخارجة عن الميزانية لدعم الإنجاز، وعن الخطوات التي اتخذتها الأمانة لتحسين الكفاءة.</w:t>
      </w:r>
    </w:p>
    <w:p w14:paraId="08C30B71" w14:textId="7C33F3A9" w:rsidR="008B78C3" w:rsidRPr="00FA1420" w:rsidRDefault="008B78C3" w:rsidP="008B78C3">
      <w:pPr>
        <w:pStyle w:val="CBDNormalNumber"/>
        <w:numPr>
          <w:ilvl w:val="0"/>
          <w:numId w:val="0"/>
        </w:numPr>
        <w:bidi/>
        <w:ind w:left="567"/>
        <w:rPr>
          <w:sz w:val="20"/>
          <w:szCs w:val="24"/>
          <w:rtl/>
        </w:rPr>
      </w:pPr>
      <w:r w:rsidRPr="00FA1420">
        <w:rPr>
          <w:i/>
          <w:iCs/>
          <w:sz w:val="20"/>
          <w:szCs w:val="24"/>
          <w:rtl/>
        </w:rPr>
        <w:t xml:space="preserve">الميزانية الأساسية والموارد الخارجة عن الميزانية لدعم </w:t>
      </w:r>
      <w:r w:rsidR="0012372E" w:rsidRPr="00FA1420">
        <w:rPr>
          <w:rFonts w:hint="cs"/>
          <w:i/>
          <w:iCs/>
          <w:sz w:val="20"/>
          <w:szCs w:val="24"/>
          <w:rtl/>
        </w:rPr>
        <w:t>أعمال</w:t>
      </w:r>
      <w:r w:rsidRPr="00FA1420">
        <w:rPr>
          <w:i/>
          <w:iCs/>
          <w:sz w:val="20"/>
          <w:szCs w:val="24"/>
          <w:rtl/>
        </w:rPr>
        <w:t xml:space="preserve"> الأمانة</w:t>
      </w:r>
    </w:p>
    <w:p w14:paraId="2527F536" w14:textId="00FBE768" w:rsidR="008B78C3" w:rsidRPr="00FA1420" w:rsidRDefault="008B78C3" w:rsidP="008B78C3">
      <w:pPr>
        <w:pStyle w:val="CBDNormalNumber"/>
        <w:bidi/>
        <w:rPr>
          <w:sz w:val="20"/>
          <w:szCs w:val="24"/>
          <w:rtl/>
        </w:rPr>
      </w:pPr>
      <w:r w:rsidRPr="00FA1420">
        <w:rPr>
          <w:sz w:val="20"/>
          <w:szCs w:val="24"/>
          <w:rtl/>
        </w:rPr>
        <w:lastRenderedPageBreak/>
        <w:t>ترد الاحتياجات المتصلة ب</w:t>
      </w:r>
      <w:r w:rsidR="0012372E" w:rsidRPr="00FA1420">
        <w:rPr>
          <w:rFonts w:hint="cs"/>
          <w:sz w:val="20"/>
          <w:szCs w:val="24"/>
          <w:rtl/>
        </w:rPr>
        <w:t>ا</w:t>
      </w:r>
      <w:r w:rsidRPr="00FA1420">
        <w:rPr>
          <w:sz w:val="20"/>
          <w:szCs w:val="24"/>
          <w:rtl/>
        </w:rPr>
        <w:t xml:space="preserve">لموظفين في وثيقة الميزانية المشار إليها في الفقرة 5 أعلاه، مع </w:t>
      </w:r>
      <w:r w:rsidR="0012372E" w:rsidRPr="00FA1420">
        <w:rPr>
          <w:rFonts w:hint="cs"/>
          <w:sz w:val="20"/>
          <w:szCs w:val="24"/>
          <w:rtl/>
        </w:rPr>
        <w:t>توضيحات</w:t>
      </w:r>
      <w:r w:rsidRPr="00FA1420">
        <w:rPr>
          <w:sz w:val="20"/>
          <w:szCs w:val="24"/>
          <w:rtl/>
        </w:rPr>
        <w:t xml:space="preserve"> إضافية مدرجة في الإضافة 1 لهذه الوثيقة.</w:t>
      </w:r>
      <w:r w:rsidRPr="00FA1420">
        <w:rPr>
          <w:sz w:val="20"/>
          <w:szCs w:val="24"/>
          <w:vertAlign w:val="superscript"/>
        </w:rPr>
        <w:footnoteReference w:id="8"/>
      </w:r>
      <w:r w:rsidRPr="00FA1420">
        <w:rPr>
          <w:sz w:val="20"/>
          <w:szCs w:val="24"/>
          <w:rtl/>
        </w:rPr>
        <w:t xml:space="preserve"> وتعمل الأمانة على دعم جميع الأنشطة التي يطلبها مؤتمر الأطراف من خلال الموارد المتاحة لها. ويرد الإطار المنطقي لهذ</w:t>
      </w:r>
      <w:r w:rsidR="0012372E" w:rsidRPr="00FA1420">
        <w:rPr>
          <w:rFonts w:hint="cs"/>
          <w:sz w:val="20"/>
          <w:szCs w:val="24"/>
          <w:rtl/>
        </w:rPr>
        <w:t>ه</w:t>
      </w:r>
      <w:r w:rsidRPr="00FA1420">
        <w:rPr>
          <w:sz w:val="20"/>
          <w:szCs w:val="24"/>
          <w:rtl/>
        </w:rPr>
        <w:t xml:space="preserve"> ال</w:t>
      </w:r>
      <w:r w:rsidR="0012372E" w:rsidRPr="00FA1420">
        <w:rPr>
          <w:rFonts w:hint="cs"/>
          <w:sz w:val="20"/>
          <w:szCs w:val="24"/>
          <w:rtl/>
        </w:rPr>
        <w:t>أ</w:t>
      </w:r>
      <w:r w:rsidRPr="00FA1420">
        <w:rPr>
          <w:sz w:val="20"/>
          <w:szCs w:val="24"/>
          <w:rtl/>
        </w:rPr>
        <w:t>عم</w:t>
      </w:r>
      <w:r w:rsidR="0012372E" w:rsidRPr="00FA1420">
        <w:rPr>
          <w:rFonts w:hint="cs"/>
          <w:sz w:val="20"/>
          <w:szCs w:val="24"/>
          <w:rtl/>
        </w:rPr>
        <w:t>ا</w:t>
      </w:r>
      <w:r w:rsidRPr="00FA1420">
        <w:rPr>
          <w:sz w:val="20"/>
          <w:szCs w:val="24"/>
          <w:rtl/>
        </w:rPr>
        <w:t>ل في الميزانية القائمة على النتائج الخاصة بالأمانة. وقد صُمم هيكل الأمانة بما يكفل قدرتها على مواصلة دعم أعمال الاتفاقية مع التركيز على توافر الموظفين والنظم اللازمة لدعم إنجاز النواتج الرئيسية الموصوفة في الميزانية القائمة على النتائج، والتي تشمل الأعمال المتصلة بدعم الاجتماعات والوثائق الرئيسية؛ والتنفيذ الوطني؛ وتعزيز الوعي؛ والرصد والاستعراض والتقييم؛ والإدارة ودعم البرامج. غير أن هناك طلبات محددة موجهة إلى الأمينة التنفيذية تنشأ عن مقررات مؤتمر الأطراف وتتطلب مهارات عالية التخصص أو موارد بشرية إضافية أو موارد مالية (للسفر مثلا) ليست جزءا من الميزانية الأساسية.</w:t>
      </w:r>
    </w:p>
    <w:p w14:paraId="1DC10513" w14:textId="3FBA40C6" w:rsidR="008B78C3" w:rsidRPr="00FA1420" w:rsidRDefault="008743E9" w:rsidP="008B78C3">
      <w:pPr>
        <w:pStyle w:val="CBDNormalNumber"/>
        <w:bidi/>
        <w:rPr>
          <w:sz w:val="20"/>
          <w:szCs w:val="24"/>
          <w:rtl/>
        </w:rPr>
      </w:pPr>
      <w:r w:rsidRPr="00FA1420">
        <w:rPr>
          <w:sz w:val="20"/>
          <w:szCs w:val="24"/>
          <w:rtl/>
        </w:rPr>
        <w:t xml:space="preserve">وأُدرجت تكاليف الأنشطة الإضافية في وثيقة ما قبل الدورة الخاصة بكل بند من بنود جدول أعمال الاجتماع الثامن والعشرين للهيئة الفرعية للمشورة العلمية والتقنية والتكنولوجية والاجتماع السابع للهيئة الفرعية للتنفيذ. وقبل الاجتماع السابع عشر لمؤتمر الأطراف، </w:t>
      </w:r>
      <w:r w:rsidR="0012372E" w:rsidRPr="00FA1420">
        <w:rPr>
          <w:rFonts w:hint="cs"/>
          <w:sz w:val="20"/>
          <w:szCs w:val="24"/>
          <w:rtl/>
        </w:rPr>
        <w:t>جرى تنقيح</w:t>
      </w:r>
      <w:r w:rsidRPr="00FA1420">
        <w:rPr>
          <w:sz w:val="20"/>
          <w:szCs w:val="24"/>
          <w:rtl/>
        </w:rPr>
        <w:t xml:space="preserve"> التكاليف استنادا إلى التوصيات المعتمدة. ويرد تقدير الميزانية اللازمة للأنشطة المعتمدة للفترة 2027-2028 في الوثيقة </w:t>
      </w:r>
      <w:hyperlink r:id="rId34" w:history="1">
        <w:r w:rsidRPr="00FA1420">
          <w:rPr>
            <w:rStyle w:val="Hyperlink"/>
            <w:sz w:val="20"/>
            <w:szCs w:val="24"/>
          </w:rPr>
          <w:t>CBD/COP/17/4/Add.2</w:t>
        </w:r>
      </w:hyperlink>
      <w:r w:rsidRPr="00FA1420">
        <w:rPr>
          <w:sz w:val="20"/>
          <w:szCs w:val="24"/>
          <w:rtl/>
        </w:rPr>
        <w:t>-</w:t>
      </w:r>
      <w:hyperlink r:id="rId35" w:history="1">
        <w:r w:rsidRPr="00FA1420">
          <w:rPr>
            <w:rStyle w:val="Hyperlink"/>
            <w:sz w:val="20"/>
            <w:szCs w:val="24"/>
          </w:rPr>
          <w:t>CBD/CP/MOP/12/5/Add.1</w:t>
        </w:r>
      </w:hyperlink>
      <w:r w:rsidRPr="00FA1420">
        <w:rPr>
          <w:sz w:val="20"/>
          <w:szCs w:val="24"/>
          <w:rtl/>
        </w:rPr>
        <w:t>-</w:t>
      </w:r>
      <w:hyperlink r:id="rId36" w:history="1">
        <w:r w:rsidRPr="00FA1420">
          <w:rPr>
            <w:rStyle w:val="Hyperlink"/>
            <w:sz w:val="20"/>
            <w:szCs w:val="24"/>
          </w:rPr>
          <w:t>CBD/NP/MOP/6/5/Add.1</w:t>
        </w:r>
      </w:hyperlink>
      <w:r w:rsidRPr="00FA1420">
        <w:rPr>
          <w:sz w:val="20"/>
          <w:szCs w:val="24"/>
          <w:rtl/>
        </w:rPr>
        <w:t>. وتعرض الوثيقة الطلب ذا الصلة الموجه إلى الأمينة التنفيذية الذي تنشأ عنه الحاجة إلى النشاط (</w:t>
      </w:r>
      <w:r w:rsidR="0012372E" w:rsidRPr="00FA1420">
        <w:rPr>
          <w:rFonts w:hint="cs"/>
          <w:sz w:val="20"/>
          <w:szCs w:val="24"/>
          <w:rtl/>
        </w:rPr>
        <w:t>مع ملاحظة أن الكثير</w:t>
      </w:r>
      <w:r w:rsidRPr="00FA1420">
        <w:rPr>
          <w:sz w:val="20"/>
          <w:szCs w:val="24"/>
          <w:rtl/>
        </w:rPr>
        <w:t xml:space="preserve"> من هذه الطلبات يتضمن نصا بين معقوفتين لأنها تستند إلى مشاريع المقررات) إلى جانب تقدير للميزانية. </w:t>
      </w:r>
    </w:p>
    <w:p w14:paraId="3BB45FDA" w14:textId="310EAFA8" w:rsidR="008B78C3" w:rsidRPr="00FA1420" w:rsidRDefault="008B78C3" w:rsidP="008B78C3">
      <w:pPr>
        <w:pStyle w:val="CBDNormalNumber"/>
        <w:bidi/>
        <w:rPr>
          <w:sz w:val="20"/>
          <w:szCs w:val="24"/>
          <w:rtl/>
        </w:rPr>
      </w:pPr>
      <w:r w:rsidRPr="00FA1420">
        <w:rPr>
          <w:sz w:val="20"/>
          <w:szCs w:val="24"/>
          <w:rtl/>
        </w:rPr>
        <w:t>ويتطلب حشد التمويل الطوعي وإدارته قدرا كبيرا من وقت</w:t>
      </w:r>
      <w:r w:rsidR="00677BC7" w:rsidRPr="00FA1420">
        <w:rPr>
          <w:rFonts w:hint="cs"/>
          <w:sz w:val="20"/>
          <w:szCs w:val="24"/>
          <w:rtl/>
        </w:rPr>
        <w:t xml:space="preserve"> وجهود</w:t>
      </w:r>
      <w:r w:rsidRPr="00FA1420">
        <w:rPr>
          <w:sz w:val="20"/>
          <w:szCs w:val="24"/>
          <w:rtl/>
        </w:rPr>
        <w:t xml:space="preserve"> الموظفين. وبمجرد تأمين</w:t>
      </w:r>
      <w:r w:rsidR="00677BC7" w:rsidRPr="00FA1420">
        <w:rPr>
          <w:rFonts w:hint="cs"/>
          <w:sz w:val="20"/>
          <w:szCs w:val="24"/>
          <w:rtl/>
        </w:rPr>
        <w:t xml:space="preserve"> التمويل،</w:t>
      </w:r>
      <w:r w:rsidRPr="00FA1420">
        <w:rPr>
          <w:sz w:val="20"/>
          <w:szCs w:val="24"/>
          <w:rtl/>
        </w:rPr>
        <w:t xml:space="preserve"> </w:t>
      </w:r>
      <w:r w:rsidR="00677BC7" w:rsidRPr="00FA1420">
        <w:rPr>
          <w:sz w:val="20"/>
          <w:szCs w:val="24"/>
          <w:rtl/>
        </w:rPr>
        <w:t xml:space="preserve">يتولى موظفو الأمانة الأساسيون، في معظم الحالات، </w:t>
      </w:r>
      <w:r w:rsidR="00677BC7" w:rsidRPr="00FA1420">
        <w:rPr>
          <w:rFonts w:hint="cs"/>
          <w:sz w:val="20"/>
          <w:szCs w:val="24"/>
          <w:rtl/>
        </w:rPr>
        <w:t>إدارة</w:t>
      </w:r>
      <w:r w:rsidR="00677BC7" w:rsidRPr="00FA1420">
        <w:rPr>
          <w:sz w:val="20"/>
          <w:szCs w:val="24"/>
          <w:rtl/>
        </w:rPr>
        <w:t xml:space="preserve"> </w:t>
      </w:r>
      <w:r w:rsidRPr="00FA1420">
        <w:rPr>
          <w:sz w:val="20"/>
          <w:szCs w:val="24"/>
          <w:rtl/>
        </w:rPr>
        <w:t xml:space="preserve">الأنشطة الممولة طوعا، والإشراف عليها وتنفيذها جزئيا. وتُسنَد الأنشطة الممولة طوعا إلى وحدات محددة في الأمانة تكون مسؤولة عن تخطيطها وتنسيقها والإشراف عليها وتنفيذها ورصدها، وعن إبلاغ الجهات المانحة عند الاقتضاء. ونتيجة لذلك، تُدمج هذه الأنشطة في خطط عمل الوحدات المعنية. ويقدم موظفو الأمانة الدعم لجميع الأنشطة، ومن ثم فإن أي طلب </w:t>
      </w:r>
      <w:r w:rsidR="00677BC7" w:rsidRPr="00FA1420">
        <w:rPr>
          <w:rFonts w:hint="cs"/>
          <w:sz w:val="20"/>
          <w:szCs w:val="24"/>
          <w:rtl/>
        </w:rPr>
        <w:t>يقدم إلى</w:t>
      </w:r>
      <w:r w:rsidRPr="00FA1420">
        <w:rPr>
          <w:sz w:val="20"/>
          <w:szCs w:val="24"/>
          <w:rtl/>
        </w:rPr>
        <w:t xml:space="preserve"> الأمينة التنفيذية يحظى بدعم موظفين ممولين </w:t>
      </w:r>
      <w:r w:rsidR="00677BC7" w:rsidRPr="00FA1420">
        <w:rPr>
          <w:rFonts w:hint="cs"/>
          <w:sz w:val="20"/>
          <w:szCs w:val="24"/>
          <w:rtl/>
        </w:rPr>
        <w:t>من</w:t>
      </w:r>
      <w:r w:rsidRPr="00FA1420">
        <w:rPr>
          <w:sz w:val="20"/>
          <w:szCs w:val="24"/>
          <w:rtl/>
        </w:rPr>
        <w:t xml:space="preserve"> الميزانية الأساسية.</w:t>
      </w:r>
    </w:p>
    <w:p w14:paraId="11CE08A3" w14:textId="3D0FC29A" w:rsidR="008B78C3" w:rsidRPr="00FA1420" w:rsidRDefault="008B78C3" w:rsidP="008B78C3">
      <w:pPr>
        <w:pStyle w:val="CBDNormalNumber"/>
        <w:bidi/>
        <w:rPr>
          <w:sz w:val="20"/>
          <w:szCs w:val="24"/>
          <w:rtl/>
        </w:rPr>
      </w:pPr>
      <w:r w:rsidRPr="00FA1420">
        <w:rPr>
          <w:sz w:val="20"/>
          <w:szCs w:val="24"/>
          <w:rtl/>
        </w:rPr>
        <w:t xml:space="preserve">وقد وُضعت التقديرات الحالية الواردة في الوثيقة </w:t>
      </w:r>
      <w:hyperlink r:id="rId37" w:history="1">
        <w:r w:rsidRPr="00FA1420">
          <w:rPr>
            <w:rStyle w:val="Hyperlink"/>
            <w:sz w:val="20"/>
            <w:szCs w:val="24"/>
          </w:rPr>
          <w:t>CBD/COP/17/4/Add.2</w:t>
        </w:r>
      </w:hyperlink>
      <w:r w:rsidRPr="00FA1420">
        <w:rPr>
          <w:sz w:val="20"/>
          <w:szCs w:val="24"/>
          <w:rtl/>
        </w:rPr>
        <w:t>-</w:t>
      </w:r>
      <w:hyperlink r:id="rId38" w:history="1">
        <w:r w:rsidRPr="00FA1420">
          <w:rPr>
            <w:rStyle w:val="Hyperlink"/>
            <w:sz w:val="20"/>
            <w:szCs w:val="24"/>
          </w:rPr>
          <w:t>CBD/CP/MOP/12/5/Add.1</w:t>
        </w:r>
      </w:hyperlink>
      <w:r w:rsidRPr="00FA1420">
        <w:rPr>
          <w:sz w:val="20"/>
          <w:szCs w:val="24"/>
          <w:rtl/>
        </w:rPr>
        <w:t>-</w:t>
      </w:r>
      <w:hyperlink r:id="rId39" w:history="1">
        <w:r w:rsidRPr="00FA1420">
          <w:rPr>
            <w:rStyle w:val="Hyperlink"/>
            <w:sz w:val="20"/>
            <w:szCs w:val="24"/>
          </w:rPr>
          <w:t>CBD/NP/MOP/6/5/Add.1</w:t>
        </w:r>
      </w:hyperlink>
      <w:r w:rsidRPr="00FA1420">
        <w:rPr>
          <w:sz w:val="20"/>
          <w:szCs w:val="24"/>
          <w:rtl/>
        </w:rPr>
        <w:t xml:space="preserve"> على افتراض وجود موظفين ممولين من الميزانية الأساسية لتوجيه العمل </w:t>
      </w:r>
      <w:r w:rsidR="00677BC7" w:rsidRPr="00FA1420">
        <w:rPr>
          <w:rFonts w:hint="cs"/>
          <w:sz w:val="20"/>
          <w:szCs w:val="24"/>
          <w:rtl/>
        </w:rPr>
        <w:t>بشكل عام</w:t>
      </w:r>
      <w:r w:rsidRPr="00FA1420">
        <w:rPr>
          <w:sz w:val="20"/>
          <w:szCs w:val="24"/>
          <w:rtl/>
        </w:rPr>
        <w:t xml:space="preserve">. </w:t>
      </w:r>
    </w:p>
    <w:p w14:paraId="40A2BF51" w14:textId="67C91AEF" w:rsidR="008B78C3" w:rsidRPr="00FA1420" w:rsidRDefault="008B78C3" w:rsidP="008B78C3">
      <w:pPr>
        <w:pStyle w:val="CBDNormalNumber"/>
        <w:numPr>
          <w:ilvl w:val="0"/>
          <w:numId w:val="0"/>
        </w:numPr>
        <w:bidi/>
        <w:ind w:left="567"/>
        <w:rPr>
          <w:sz w:val="20"/>
          <w:szCs w:val="24"/>
          <w:rtl/>
        </w:rPr>
      </w:pPr>
      <w:r w:rsidRPr="00FA1420">
        <w:rPr>
          <w:i/>
          <w:iCs/>
          <w:sz w:val="20"/>
          <w:szCs w:val="24"/>
          <w:rtl/>
        </w:rPr>
        <w:t>مكاسب الكفاءة المتحققة من خلال الاستعراض الوظيفي للأمانة والتشغيل العام</w:t>
      </w:r>
    </w:p>
    <w:p w14:paraId="7143E046" w14:textId="45FC82A2" w:rsidR="008B78C3" w:rsidRPr="00FA1420" w:rsidRDefault="008B78C3" w:rsidP="008B78C3">
      <w:pPr>
        <w:pStyle w:val="CBDNormalNumber"/>
        <w:bidi/>
        <w:rPr>
          <w:rFonts w:eastAsiaTheme="minorEastAsia"/>
          <w:kern w:val="2"/>
          <w:sz w:val="20"/>
          <w:szCs w:val="24"/>
          <w:rtl/>
          <w:lang w:val="en-CA" w:eastAsia="zh-CN"/>
          <w14:ligatures w14:val="standardContextual"/>
        </w:rPr>
      </w:pPr>
      <w:r w:rsidRPr="00FA1420">
        <w:rPr>
          <w:sz w:val="20"/>
          <w:szCs w:val="24"/>
          <w:rtl/>
        </w:rPr>
        <w:t xml:space="preserve">طُلب إلى الأمانة تقديم معلومات تتعلق بمكاسب الكفاءة، بما في ذلك وفورات التكاليف المتحققة من خلال الاستعراض الوظيفي أو </w:t>
      </w:r>
      <w:r w:rsidR="008E48C5" w:rsidRPr="00FA1420">
        <w:rPr>
          <w:rFonts w:hint="cs"/>
          <w:sz w:val="20"/>
          <w:szCs w:val="24"/>
          <w:rtl/>
        </w:rPr>
        <w:t>من</w:t>
      </w:r>
      <w:r w:rsidRPr="00FA1420">
        <w:rPr>
          <w:sz w:val="20"/>
          <w:szCs w:val="24"/>
          <w:rtl/>
        </w:rPr>
        <w:t xml:space="preserve"> عمليات الأمانة </w:t>
      </w:r>
      <w:r w:rsidR="008E48C5" w:rsidRPr="00FA1420">
        <w:rPr>
          <w:rFonts w:hint="cs"/>
          <w:sz w:val="20"/>
          <w:szCs w:val="24"/>
          <w:rtl/>
        </w:rPr>
        <w:t>بشكل عام</w:t>
      </w:r>
      <w:r w:rsidRPr="00FA1420">
        <w:rPr>
          <w:sz w:val="20"/>
          <w:szCs w:val="24"/>
          <w:rtl/>
        </w:rPr>
        <w:t xml:space="preserve">. </w:t>
      </w:r>
      <w:r w:rsidR="008E48C5" w:rsidRPr="00FA1420">
        <w:rPr>
          <w:rFonts w:hint="cs"/>
          <w:sz w:val="20"/>
          <w:szCs w:val="24"/>
          <w:rtl/>
        </w:rPr>
        <w:t>وبينما أُجري</w:t>
      </w:r>
      <w:r w:rsidRPr="00FA1420">
        <w:rPr>
          <w:sz w:val="20"/>
          <w:szCs w:val="24"/>
          <w:rtl/>
        </w:rPr>
        <w:t xml:space="preserve"> الاستعراض الوظيفي</w:t>
      </w:r>
      <w:r w:rsidR="008E48C5" w:rsidRPr="00FA1420">
        <w:rPr>
          <w:rFonts w:hint="cs"/>
          <w:sz w:val="20"/>
          <w:szCs w:val="24"/>
          <w:rtl/>
        </w:rPr>
        <w:t xml:space="preserve"> الخارجي</w:t>
      </w:r>
      <w:r w:rsidRPr="00FA1420">
        <w:rPr>
          <w:sz w:val="20"/>
          <w:szCs w:val="24"/>
          <w:rtl/>
        </w:rPr>
        <w:t xml:space="preserve"> المعمق للأمانة أساسا بغرض تقييم ما إذا كانت الأمانة مهيكلة على النحو السليم ومزودة بموارد كافية لأداء </w:t>
      </w:r>
      <w:r w:rsidR="008E48C5" w:rsidRPr="00FA1420">
        <w:rPr>
          <w:rFonts w:hint="cs"/>
          <w:sz w:val="20"/>
          <w:szCs w:val="24"/>
          <w:rtl/>
        </w:rPr>
        <w:t>مهام</w:t>
      </w:r>
      <w:r w:rsidRPr="00FA1420">
        <w:rPr>
          <w:sz w:val="20"/>
          <w:szCs w:val="24"/>
          <w:rtl/>
        </w:rPr>
        <w:t xml:space="preserve">ها بفعالية، </w:t>
      </w:r>
      <w:r w:rsidR="008E48C5" w:rsidRPr="00FA1420">
        <w:rPr>
          <w:rFonts w:hint="cs"/>
          <w:sz w:val="20"/>
          <w:szCs w:val="24"/>
          <w:rtl/>
        </w:rPr>
        <w:t>وليس ك</w:t>
      </w:r>
      <w:r w:rsidRPr="00FA1420">
        <w:rPr>
          <w:sz w:val="20"/>
          <w:szCs w:val="24"/>
          <w:rtl/>
        </w:rPr>
        <w:t xml:space="preserve">عملية لخفض التكاليف، </w:t>
      </w:r>
      <w:r w:rsidR="008E48C5" w:rsidRPr="00FA1420">
        <w:rPr>
          <w:rFonts w:hint="cs"/>
          <w:sz w:val="20"/>
          <w:szCs w:val="24"/>
          <w:rtl/>
        </w:rPr>
        <w:t>فإن هذا الاستعراض</w:t>
      </w:r>
      <w:r w:rsidRPr="00FA1420">
        <w:rPr>
          <w:sz w:val="20"/>
          <w:szCs w:val="24"/>
          <w:rtl/>
        </w:rPr>
        <w:t xml:space="preserve"> </w:t>
      </w:r>
      <w:r w:rsidR="008E48C5" w:rsidRPr="00FA1420">
        <w:rPr>
          <w:rFonts w:hint="cs"/>
          <w:sz w:val="20"/>
          <w:szCs w:val="24"/>
          <w:rtl/>
        </w:rPr>
        <w:t>أسهم</w:t>
      </w:r>
      <w:r w:rsidRPr="00FA1420">
        <w:rPr>
          <w:sz w:val="20"/>
          <w:szCs w:val="24"/>
          <w:rtl/>
        </w:rPr>
        <w:t xml:space="preserve"> أيضا</w:t>
      </w:r>
      <w:r w:rsidR="008E48C5" w:rsidRPr="00FA1420">
        <w:rPr>
          <w:rFonts w:hint="cs"/>
          <w:sz w:val="20"/>
          <w:szCs w:val="24"/>
          <w:rtl/>
        </w:rPr>
        <w:t xml:space="preserve"> في تمكين ا</w:t>
      </w:r>
      <w:r w:rsidRPr="00FA1420">
        <w:rPr>
          <w:sz w:val="20"/>
          <w:szCs w:val="24"/>
          <w:rtl/>
        </w:rPr>
        <w:t xml:space="preserve">لأمانة </w:t>
      </w:r>
      <w:r w:rsidR="008E48C5" w:rsidRPr="00FA1420">
        <w:rPr>
          <w:rFonts w:hint="cs"/>
          <w:sz w:val="20"/>
          <w:szCs w:val="24"/>
          <w:rtl/>
        </w:rPr>
        <w:t>من</w:t>
      </w:r>
      <w:r w:rsidRPr="00FA1420">
        <w:rPr>
          <w:sz w:val="20"/>
          <w:szCs w:val="24"/>
          <w:rtl/>
        </w:rPr>
        <w:t xml:space="preserve"> اتخاذ إجراءات لتعزيز الكفاءة و</w:t>
      </w:r>
      <w:r w:rsidR="008E48C5" w:rsidRPr="00FA1420">
        <w:rPr>
          <w:rFonts w:hint="cs"/>
          <w:sz w:val="20"/>
          <w:szCs w:val="24"/>
          <w:rtl/>
        </w:rPr>
        <w:t xml:space="preserve">رفع </w:t>
      </w:r>
      <w:r w:rsidRPr="00FA1420">
        <w:rPr>
          <w:sz w:val="20"/>
          <w:szCs w:val="24"/>
          <w:rtl/>
        </w:rPr>
        <w:t xml:space="preserve">فعالية </w:t>
      </w:r>
      <w:r w:rsidR="008E48C5" w:rsidRPr="00FA1420">
        <w:rPr>
          <w:rFonts w:hint="cs"/>
          <w:sz w:val="20"/>
          <w:szCs w:val="24"/>
          <w:rtl/>
        </w:rPr>
        <w:t>أعمالها</w:t>
      </w:r>
      <w:r w:rsidRPr="00FA1420">
        <w:rPr>
          <w:sz w:val="20"/>
          <w:szCs w:val="24"/>
          <w:rtl/>
        </w:rPr>
        <w:t xml:space="preserve"> بسبل </w:t>
      </w:r>
      <w:r w:rsidR="008E48C5" w:rsidRPr="00FA1420">
        <w:rPr>
          <w:rFonts w:hint="cs"/>
          <w:sz w:val="20"/>
          <w:szCs w:val="24"/>
          <w:rtl/>
        </w:rPr>
        <w:t>متعددة</w:t>
      </w:r>
      <w:r w:rsidRPr="00FA1420">
        <w:rPr>
          <w:sz w:val="20"/>
          <w:szCs w:val="24"/>
          <w:rtl/>
        </w:rPr>
        <w:t xml:space="preserve">. </w:t>
      </w:r>
    </w:p>
    <w:p w14:paraId="78CCBAE2" w14:textId="5E96226B" w:rsidR="008B78C3" w:rsidRPr="00FA1420" w:rsidRDefault="008B78C3" w:rsidP="008B78C3">
      <w:pPr>
        <w:pStyle w:val="CBDNormalNumber"/>
        <w:bidi/>
        <w:rPr>
          <w:rFonts w:eastAsiaTheme="minorEastAsia"/>
          <w:kern w:val="2"/>
          <w:sz w:val="20"/>
          <w:szCs w:val="24"/>
          <w:rtl/>
          <w:lang w:val="en-CA" w:eastAsia="zh-CN"/>
          <w14:ligatures w14:val="standardContextual"/>
        </w:rPr>
      </w:pPr>
      <w:r w:rsidRPr="00FA1420">
        <w:rPr>
          <w:sz w:val="20"/>
          <w:szCs w:val="24"/>
          <w:rtl/>
        </w:rPr>
        <w:t>وفي سياق أمانة اتفاقية التنوع البيولوجي، يمكن تقييم الكفاءة من حيث العلاقة بين مجموع الموارد والوقت المستخدمين، وحجم الخدمات المقدمة استجابة لمقررات مؤتمر الأطراف و</w:t>
      </w:r>
      <w:r w:rsidR="00FD1B97" w:rsidRPr="00FA1420">
        <w:rPr>
          <w:rFonts w:hint="cs"/>
          <w:sz w:val="20"/>
          <w:szCs w:val="24"/>
          <w:rtl/>
        </w:rPr>
        <w:t>جودت</w:t>
      </w:r>
      <w:r w:rsidRPr="00FA1420">
        <w:rPr>
          <w:sz w:val="20"/>
          <w:szCs w:val="24"/>
          <w:rtl/>
        </w:rPr>
        <w:t xml:space="preserve">ها وحسن توقيتها. وكما هو موجز في </w:t>
      </w:r>
      <w:r w:rsidRPr="00FA1420">
        <w:rPr>
          <w:sz w:val="20"/>
          <w:szCs w:val="24"/>
          <w:rtl/>
        </w:rPr>
        <w:lastRenderedPageBreak/>
        <w:t xml:space="preserve">الجدول أدناه، </w:t>
      </w:r>
      <w:r w:rsidR="00FD1B97" w:rsidRPr="00FA1420">
        <w:rPr>
          <w:rFonts w:hint="cs"/>
          <w:sz w:val="20"/>
          <w:szCs w:val="24"/>
          <w:rtl/>
        </w:rPr>
        <w:t xml:space="preserve">لقد </w:t>
      </w:r>
      <w:r w:rsidRPr="00FA1420">
        <w:rPr>
          <w:sz w:val="20"/>
          <w:szCs w:val="24"/>
          <w:rtl/>
        </w:rPr>
        <w:t xml:space="preserve">عزز تنفيذ الاستعراض الوظيفي الظروف المواتية </w:t>
      </w:r>
      <w:r w:rsidR="00FD1B97" w:rsidRPr="00FA1420">
        <w:rPr>
          <w:rFonts w:hint="cs"/>
          <w:sz w:val="20"/>
          <w:szCs w:val="24"/>
          <w:rtl/>
        </w:rPr>
        <w:t>للأداء الفعال</w:t>
      </w:r>
      <w:r w:rsidRPr="00FA1420">
        <w:rPr>
          <w:sz w:val="20"/>
          <w:szCs w:val="24"/>
          <w:rtl/>
        </w:rPr>
        <w:t xml:space="preserve"> من خلال مواءمة وظيفية أوضح، بما في ذلك دمج بعض الوظائف وإعادة توزيع وظائف مختارة دون </w:t>
      </w:r>
      <w:r w:rsidR="00FD1B97" w:rsidRPr="00FA1420">
        <w:rPr>
          <w:rFonts w:hint="cs"/>
          <w:sz w:val="20"/>
          <w:szCs w:val="24"/>
          <w:rtl/>
        </w:rPr>
        <w:t>الت</w:t>
      </w:r>
      <w:r w:rsidRPr="00FA1420">
        <w:rPr>
          <w:sz w:val="20"/>
          <w:szCs w:val="24"/>
          <w:rtl/>
        </w:rPr>
        <w:t>أث</w:t>
      </w:r>
      <w:r w:rsidR="00FD1B97" w:rsidRPr="00FA1420">
        <w:rPr>
          <w:rFonts w:hint="cs"/>
          <w:sz w:val="20"/>
          <w:szCs w:val="24"/>
          <w:rtl/>
        </w:rPr>
        <w:t>ي</w:t>
      </w:r>
      <w:r w:rsidRPr="00FA1420">
        <w:rPr>
          <w:sz w:val="20"/>
          <w:szCs w:val="24"/>
          <w:rtl/>
        </w:rPr>
        <w:t xml:space="preserve">ر على الميزانية. </w:t>
      </w:r>
    </w:p>
    <w:p w14:paraId="2883F437" w14:textId="77777777" w:rsidR="00BB4E5D" w:rsidRDefault="00BB4E5D">
      <w:pPr>
        <w:tabs>
          <w:tab w:val="clear" w:pos="567"/>
          <w:tab w:val="clear" w:pos="1134"/>
          <w:tab w:val="clear" w:pos="1701"/>
          <w:tab w:val="clear" w:pos="2268"/>
        </w:tabs>
        <w:jc w:val="left"/>
        <w:rPr>
          <w:rFonts w:eastAsiaTheme="minorEastAsia"/>
          <w:kern w:val="2"/>
          <w:lang w:val="en-CA" w:eastAsia="zh-CN"/>
          <w14:ligatures w14:val="standardContextual"/>
        </w:rPr>
      </w:pPr>
      <w:r>
        <w:rPr>
          <w:rFonts w:eastAsiaTheme="minorEastAsia"/>
          <w:kern w:val="2"/>
          <w:lang w:val="en-CA" w:eastAsia="zh-CN"/>
          <w14:ligatures w14:val="standardContextual"/>
        </w:rPr>
        <w:br w:type="page"/>
      </w:r>
    </w:p>
    <w:p w14:paraId="6484A25D" w14:textId="6058ACE0" w:rsidR="00DF3626" w:rsidRPr="00FA1420" w:rsidRDefault="008B78C3" w:rsidP="005543C1">
      <w:pPr>
        <w:bidi/>
        <w:spacing w:line="276" w:lineRule="auto"/>
        <w:jc w:val="left"/>
        <w:rPr>
          <w:rFonts w:eastAsiaTheme="minorEastAsia"/>
          <w:b/>
          <w:bCs/>
          <w:kern w:val="2"/>
          <w:sz w:val="24"/>
          <w:szCs w:val="24"/>
          <w:rtl/>
          <w:lang w:val="en-CA" w:eastAsia="zh-CN"/>
          <w14:ligatures w14:val="standardContextual"/>
        </w:rPr>
      </w:pPr>
      <w:r w:rsidRPr="00FA1420">
        <w:rPr>
          <w:rFonts w:eastAsiaTheme="minorEastAsia"/>
          <w:kern w:val="2"/>
          <w:sz w:val="24"/>
          <w:szCs w:val="24"/>
          <w:rtl/>
          <w:lang w:val="en-CA" w:eastAsia="zh-CN"/>
          <w14:ligatures w14:val="standardContextual"/>
        </w:rPr>
        <w:lastRenderedPageBreak/>
        <w:t xml:space="preserve">الجدول 1 </w:t>
      </w:r>
      <w:r w:rsidRPr="00FA1420">
        <w:rPr>
          <w:rFonts w:eastAsiaTheme="minorEastAsia"/>
          <w:kern w:val="2"/>
          <w:sz w:val="24"/>
          <w:szCs w:val="24"/>
          <w:lang w:val="en-CA" w:eastAsia="zh-CN"/>
          <w14:ligatures w14:val="standardContextual"/>
        </w:rPr>
        <w:br/>
      </w:r>
      <w:r w:rsidRPr="00FA1420">
        <w:rPr>
          <w:rFonts w:eastAsiaTheme="minorEastAsia"/>
          <w:b/>
          <w:bCs/>
          <w:kern w:val="2"/>
          <w:sz w:val="24"/>
          <w:szCs w:val="24"/>
          <w:rtl/>
          <w:lang w:val="en-CA" w:eastAsia="zh-CN"/>
          <w14:ligatures w14:val="standardContextual"/>
        </w:rPr>
        <w:t xml:space="preserve">الظروف التي أرساها الاستعراض الوظيفي من أجل </w:t>
      </w:r>
      <w:r w:rsidR="00EF2173" w:rsidRPr="00FA1420">
        <w:rPr>
          <w:rFonts w:eastAsiaTheme="minorEastAsia" w:hint="cs"/>
          <w:b/>
          <w:bCs/>
          <w:kern w:val="2"/>
          <w:sz w:val="24"/>
          <w:szCs w:val="24"/>
          <w:rtl/>
          <w:lang w:val="en-CA" w:eastAsia="zh-CN"/>
          <w14:ligatures w14:val="standardContextual"/>
        </w:rPr>
        <w:t>الأداء الفعال</w:t>
      </w:r>
    </w:p>
    <w:tbl>
      <w:tblPr>
        <w:bidiVisual/>
        <w:tblW w:w="9356"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1975"/>
        <w:gridCol w:w="7381"/>
      </w:tblGrid>
      <w:tr w:rsidR="008B78C3" w:rsidRPr="005D0A05" w14:paraId="3876B5AA" w14:textId="77777777" w:rsidTr="00DF3626">
        <w:trPr>
          <w:cantSplit/>
          <w:tblHeader/>
          <w:jc w:val="center"/>
        </w:trPr>
        <w:tc>
          <w:tcPr>
            <w:tcW w:w="1975" w:type="dxa"/>
            <w:tcMar>
              <w:top w:w="90" w:type="dxa"/>
              <w:left w:w="90" w:type="dxa"/>
              <w:bottom w:w="90" w:type="dxa"/>
              <w:right w:w="90" w:type="dxa"/>
            </w:tcMar>
            <w:vAlign w:val="center"/>
          </w:tcPr>
          <w:p w14:paraId="520AF35C" w14:textId="77777777" w:rsidR="008B78C3" w:rsidRPr="00EF2173" w:rsidRDefault="008B78C3" w:rsidP="002537BE">
            <w:pPr>
              <w:bidi/>
              <w:jc w:val="left"/>
              <w:rPr>
                <w:iCs/>
                <w:color w:val="000000" w:themeColor="text1"/>
                <w:sz w:val="20"/>
                <w:szCs w:val="20"/>
                <w:rtl/>
              </w:rPr>
            </w:pPr>
            <w:r w:rsidRPr="00EF2173">
              <w:rPr>
                <w:iCs/>
                <w:color w:val="000000" w:themeColor="text1"/>
                <w:sz w:val="20"/>
                <w:szCs w:val="20"/>
                <w:rtl/>
              </w:rPr>
              <w:t>مجالات العمل</w:t>
            </w:r>
          </w:p>
        </w:tc>
        <w:tc>
          <w:tcPr>
            <w:tcW w:w="7381" w:type="dxa"/>
            <w:tcMar>
              <w:top w:w="90" w:type="dxa"/>
              <w:left w:w="90" w:type="dxa"/>
              <w:bottom w:w="90" w:type="dxa"/>
              <w:right w:w="90" w:type="dxa"/>
            </w:tcMar>
            <w:vAlign w:val="center"/>
          </w:tcPr>
          <w:p w14:paraId="092701A4" w14:textId="77777777" w:rsidR="008B78C3" w:rsidRPr="00EF2173" w:rsidRDefault="008B78C3" w:rsidP="002537BE">
            <w:pPr>
              <w:bidi/>
              <w:spacing w:before="40" w:after="40"/>
              <w:jc w:val="left"/>
              <w:rPr>
                <w:iCs/>
                <w:color w:val="000000" w:themeColor="text1"/>
                <w:sz w:val="20"/>
                <w:szCs w:val="20"/>
                <w:rtl/>
              </w:rPr>
            </w:pPr>
            <w:r w:rsidRPr="00951E45">
              <w:rPr>
                <w:iCs/>
                <w:color w:val="000000" w:themeColor="text1"/>
                <w:sz w:val="20"/>
                <w:szCs w:val="20"/>
                <w:rtl/>
              </w:rPr>
              <w:t>مكاسب الكفاءة، بما فيها تدابير توفير التكاليف</w:t>
            </w:r>
          </w:p>
        </w:tc>
      </w:tr>
      <w:tr w:rsidR="008B78C3" w:rsidRPr="0091300E" w14:paraId="0740FF87" w14:textId="77777777" w:rsidTr="00DF3626">
        <w:trPr>
          <w:cantSplit/>
          <w:jc w:val="center"/>
        </w:trPr>
        <w:tc>
          <w:tcPr>
            <w:tcW w:w="1975" w:type="dxa"/>
            <w:tcBorders>
              <w:bottom w:val="single" w:sz="8" w:space="0" w:color="000000" w:themeColor="text1"/>
            </w:tcBorders>
            <w:tcMar>
              <w:top w:w="90" w:type="dxa"/>
              <w:left w:w="90" w:type="dxa"/>
              <w:bottom w:w="90" w:type="dxa"/>
              <w:right w:w="90" w:type="dxa"/>
            </w:tcMar>
            <w:vAlign w:val="center"/>
          </w:tcPr>
          <w:p w14:paraId="3D24005E" w14:textId="77777777" w:rsidR="008B78C3" w:rsidRPr="006E7187" w:rsidRDefault="008B78C3" w:rsidP="002537BE">
            <w:pPr>
              <w:bidi/>
              <w:jc w:val="left"/>
              <w:rPr>
                <w:color w:val="000000" w:themeColor="text1"/>
                <w:sz w:val="20"/>
                <w:szCs w:val="20"/>
                <w:rtl/>
              </w:rPr>
            </w:pPr>
            <w:r>
              <w:rPr>
                <w:color w:val="000000" w:themeColor="text1"/>
                <w:sz w:val="20"/>
                <w:szCs w:val="20"/>
                <w:rtl/>
              </w:rPr>
              <w:t>الدمج الوظيفي</w:t>
            </w:r>
          </w:p>
        </w:tc>
        <w:tc>
          <w:tcPr>
            <w:tcW w:w="7381" w:type="dxa"/>
            <w:tcBorders>
              <w:bottom w:val="single" w:sz="8" w:space="0" w:color="000000" w:themeColor="text1"/>
            </w:tcBorders>
            <w:tcMar>
              <w:top w:w="90" w:type="dxa"/>
              <w:left w:w="90" w:type="dxa"/>
              <w:bottom w:w="90" w:type="dxa"/>
              <w:right w:w="90" w:type="dxa"/>
            </w:tcMar>
            <w:vAlign w:val="center"/>
          </w:tcPr>
          <w:p w14:paraId="53CD5E51" w14:textId="5C472627" w:rsidR="008B78C3" w:rsidRDefault="00093A9A" w:rsidP="002537BE">
            <w:pPr>
              <w:bidi/>
              <w:spacing w:before="40" w:after="40"/>
              <w:jc w:val="left"/>
              <w:rPr>
                <w:color w:val="000000" w:themeColor="text1"/>
                <w:sz w:val="20"/>
                <w:szCs w:val="20"/>
                <w:rtl/>
              </w:rPr>
            </w:pPr>
            <w:r>
              <w:rPr>
                <w:color w:val="000000" w:themeColor="text1"/>
                <w:sz w:val="20"/>
                <w:szCs w:val="20"/>
                <w:rtl/>
              </w:rPr>
              <w:t>أدى إنشاء شعبة العلوم والرصد و</w:t>
            </w:r>
            <w:r w:rsidR="00EF2173">
              <w:rPr>
                <w:rFonts w:hint="cs"/>
                <w:color w:val="000000" w:themeColor="text1"/>
                <w:sz w:val="20"/>
                <w:szCs w:val="20"/>
                <w:rtl/>
              </w:rPr>
              <w:t xml:space="preserve">بناء </w:t>
            </w:r>
            <w:r>
              <w:rPr>
                <w:color w:val="000000" w:themeColor="text1"/>
                <w:sz w:val="20"/>
                <w:szCs w:val="20"/>
                <w:rtl/>
              </w:rPr>
              <w:t xml:space="preserve">القدرات وشعبة التحول الاقتصادي </w:t>
            </w:r>
            <w:r w:rsidR="00DD3EF8">
              <w:rPr>
                <w:rFonts w:hint="cs"/>
                <w:color w:val="000000" w:themeColor="text1"/>
                <w:sz w:val="20"/>
                <w:szCs w:val="20"/>
                <w:rtl/>
              </w:rPr>
              <w:t>والاجتماعي</w:t>
            </w:r>
            <w:r>
              <w:rPr>
                <w:color w:val="000000" w:themeColor="text1"/>
                <w:sz w:val="20"/>
                <w:szCs w:val="20"/>
                <w:rtl/>
              </w:rPr>
              <w:t>، المنشأتين حديثا من خلال الاستعراض الوظيفي، إلى تجميع الوظائف المترابطة. وستقلل إعادة الهيكلة هذه من تجزؤ التنسيق و</w:t>
            </w:r>
            <w:r w:rsidR="0017197F">
              <w:rPr>
                <w:rFonts w:hint="cs"/>
                <w:color w:val="000000" w:themeColor="text1"/>
                <w:sz w:val="20"/>
                <w:szCs w:val="20"/>
                <w:rtl/>
              </w:rPr>
              <w:t>س</w:t>
            </w:r>
            <w:r>
              <w:rPr>
                <w:color w:val="000000" w:themeColor="text1"/>
                <w:sz w:val="20"/>
                <w:szCs w:val="20"/>
                <w:rtl/>
              </w:rPr>
              <w:t>توضح الم</w:t>
            </w:r>
            <w:r w:rsidR="0017197F">
              <w:rPr>
                <w:rFonts w:hint="cs"/>
                <w:color w:val="000000" w:themeColor="text1"/>
                <w:sz w:val="20"/>
                <w:szCs w:val="20"/>
                <w:rtl/>
              </w:rPr>
              <w:t>سؤولي</w:t>
            </w:r>
            <w:r>
              <w:rPr>
                <w:color w:val="000000" w:themeColor="text1"/>
                <w:sz w:val="20"/>
                <w:szCs w:val="20"/>
                <w:rtl/>
              </w:rPr>
              <w:t>ة الوظيفية. وعلى وجه التحديد، ي</w:t>
            </w:r>
            <w:r w:rsidR="0017197F">
              <w:rPr>
                <w:rFonts w:hint="cs"/>
                <w:color w:val="000000" w:themeColor="text1"/>
                <w:sz w:val="20"/>
                <w:szCs w:val="20"/>
                <w:rtl/>
              </w:rPr>
              <w:t>حسن</w:t>
            </w:r>
            <w:r>
              <w:rPr>
                <w:color w:val="000000" w:themeColor="text1"/>
                <w:sz w:val="20"/>
                <w:szCs w:val="20"/>
                <w:rtl/>
              </w:rPr>
              <w:t xml:space="preserve"> هذا التغيير الظروف المواتية لل</w:t>
            </w:r>
            <w:r w:rsidR="0017197F">
              <w:rPr>
                <w:rFonts w:hint="cs"/>
                <w:color w:val="000000" w:themeColor="text1"/>
                <w:sz w:val="20"/>
                <w:szCs w:val="20"/>
                <w:rtl/>
              </w:rPr>
              <w:t>أداء الفعال</w:t>
            </w:r>
            <w:r>
              <w:rPr>
                <w:color w:val="000000" w:themeColor="text1"/>
                <w:sz w:val="20"/>
                <w:szCs w:val="20"/>
                <w:rtl/>
              </w:rPr>
              <w:t xml:space="preserve"> لأمور منها: </w:t>
            </w:r>
          </w:p>
          <w:p w14:paraId="1D539B27" w14:textId="426BE4D1" w:rsidR="002E27FF" w:rsidRPr="00F201D7" w:rsidRDefault="008B78C3" w:rsidP="00F201D7">
            <w:pPr>
              <w:pStyle w:val="ListParagraph"/>
              <w:numPr>
                <w:ilvl w:val="0"/>
                <w:numId w:val="27"/>
              </w:numPr>
              <w:bidi/>
              <w:spacing w:before="40" w:after="40"/>
              <w:ind w:left="540"/>
              <w:rPr>
                <w:color w:val="000000" w:themeColor="text1"/>
                <w:sz w:val="20"/>
                <w:szCs w:val="20"/>
                <w:rtl/>
              </w:rPr>
            </w:pPr>
            <w:r w:rsidRPr="00F201D7">
              <w:rPr>
                <w:color w:val="000000" w:themeColor="text1"/>
                <w:sz w:val="20"/>
                <w:szCs w:val="20"/>
                <w:rtl/>
              </w:rPr>
              <w:t xml:space="preserve">أنشطة بناء القدرات، </w:t>
            </w:r>
            <w:r w:rsidR="00F201D7" w:rsidRPr="00F201D7">
              <w:rPr>
                <w:rFonts w:hint="cs"/>
                <w:color w:val="000000" w:themeColor="text1"/>
                <w:sz w:val="20"/>
                <w:szCs w:val="20"/>
                <w:rtl/>
              </w:rPr>
              <w:t>من خلال</w:t>
            </w:r>
            <w:r w:rsidRPr="00F201D7">
              <w:rPr>
                <w:color w:val="000000" w:themeColor="text1"/>
                <w:sz w:val="20"/>
                <w:szCs w:val="20"/>
                <w:rtl/>
              </w:rPr>
              <w:t xml:space="preserve"> الربط الوثيق بين أنشطة بناء القدرات القائمة على البرامج المواضيعية </w:t>
            </w:r>
            <w:r w:rsidR="00F201D7" w:rsidRPr="00F201D7">
              <w:rPr>
                <w:color w:val="000000" w:themeColor="text1"/>
                <w:sz w:val="20"/>
                <w:szCs w:val="20"/>
                <w:rtl/>
              </w:rPr>
              <w:t>ومراكز دعم التعاون التقني والعلمي الإقليمية ودون الإقليمية</w:t>
            </w:r>
            <w:r w:rsidRPr="00F201D7">
              <w:rPr>
                <w:color w:val="000000" w:themeColor="text1"/>
                <w:sz w:val="20"/>
                <w:szCs w:val="20"/>
                <w:rtl/>
              </w:rPr>
              <w:t>؛</w:t>
            </w:r>
          </w:p>
          <w:p w14:paraId="54008A6A" w14:textId="7F4ED267" w:rsidR="00BF7DC5" w:rsidRDefault="008B78C3" w:rsidP="00F201D7">
            <w:pPr>
              <w:pStyle w:val="ListParagraph"/>
              <w:numPr>
                <w:ilvl w:val="0"/>
                <w:numId w:val="27"/>
              </w:numPr>
              <w:bidi/>
              <w:spacing w:before="40" w:after="40"/>
              <w:ind w:left="540"/>
              <w:rPr>
                <w:color w:val="000000" w:themeColor="text1"/>
                <w:sz w:val="20"/>
                <w:szCs w:val="20"/>
                <w:rtl/>
              </w:rPr>
            </w:pPr>
            <w:r>
              <w:rPr>
                <w:color w:val="000000" w:themeColor="text1"/>
                <w:sz w:val="20"/>
                <w:szCs w:val="20"/>
                <w:rtl/>
              </w:rPr>
              <w:t xml:space="preserve">ربط مختلف المنتجات المعرفية </w:t>
            </w:r>
            <w:r w:rsidR="00F201D7">
              <w:rPr>
                <w:rFonts w:hint="cs"/>
                <w:color w:val="000000" w:themeColor="text1"/>
                <w:sz w:val="20"/>
                <w:szCs w:val="20"/>
                <w:rtl/>
              </w:rPr>
              <w:t>الناتجة عن</w:t>
            </w:r>
            <w:r>
              <w:rPr>
                <w:color w:val="000000" w:themeColor="text1"/>
                <w:sz w:val="20"/>
                <w:szCs w:val="20"/>
                <w:rtl/>
              </w:rPr>
              <w:t xml:space="preserve"> برامج العمل المواضيعية بإدارة المعارف</w:t>
            </w:r>
            <w:r w:rsidR="00F201D7">
              <w:rPr>
                <w:rFonts w:hint="cs"/>
                <w:color w:val="000000" w:themeColor="text1"/>
                <w:sz w:val="20"/>
                <w:szCs w:val="20"/>
                <w:rtl/>
              </w:rPr>
              <w:t xml:space="preserve"> الشاملة</w:t>
            </w:r>
            <w:r>
              <w:rPr>
                <w:color w:val="000000" w:themeColor="text1"/>
                <w:sz w:val="20"/>
                <w:szCs w:val="20"/>
                <w:rtl/>
              </w:rPr>
              <w:t xml:space="preserve"> على نطاق الأمانة بأكملها؛ </w:t>
            </w:r>
          </w:p>
          <w:p w14:paraId="74A88D7B" w14:textId="107E53D1" w:rsidR="00BF7DC5" w:rsidRDefault="008B78C3" w:rsidP="00DD3EF8">
            <w:pPr>
              <w:pStyle w:val="ListParagraph"/>
              <w:numPr>
                <w:ilvl w:val="0"/>
                <w:numId w:val="27"/>
              </w:numPr>
              <w:bidi/>
              <w:spacing w:before="40" w:after="40"/>
              <w:ind w:left="540"/>
              <w:rPr>
                <w:color w:val="000000" w:themeColor="text1"/>
                <w:sz w:val="20"/>
                <w:szCs w:val="20"/>
                <w:rtl/>
              </w:rPr>
            </w:pPr>
            <w:r>
              <w:rPr>
                <w:color w:val="000000" w:themeColor="text1"/>
                <w:sz w:val="20"/>
                <w:szCs w:val="20"/>
                <w:rtl/>
              </w:rPr>
              <w:t xml:space="preserve">ربط العمل العلمي القائم على المناطق الأحيائية بالرصد والإبلاغ والاستعراض؛ </w:t>
            </w:r>
          </w:p>
          <w:p w14:paraId="2FBF8A06" w14:textId="596244D4" w:rsidR="008C185F" w:rsidRDefault="008B78C3" w:rsidP="00DD3EF8">
            <w:pPr>
              <w:pStyle w:val="ListParagraph"/>
              <w:numPr>
                <w:ilvl w:val="0"/>
                <w:numId w:val="27"/>
              </w:numPr>
              <w:bidi/>
              <w:spacing w:before="40" w:after="40"/>
              <w:ind w:left="540"/>
              <w:rPr>
                <w:color w:val="000000" w:themeColor="text1"/>
                <w:sz w:val="20"/>
                <w:szCs w:val="20"/>
                <w:rtl/>
              </w:rPr>
            </w:pPr>
            <w:r>
              <w:rPr>
                <w:color w:val="000000" w:themeColor="text1"/>
                <w:sz w:val="20"/>
                <w:szCs w:val="20"/>
                <w:rtl/>
              </w:rPr>
              <w:t xml:space="preserve">الربط الوثيق بين حشد الموارد والآلية المالية؛ </w:t>
            </w:r>
          </w:p>
          <w:p w14:paraId="28077913" w14:textId="29F752EE" w:rsidR="009212E0" w:rsidRDefault="008B78C3" w:rsidP="00DD3EF8">
            <w:pPr>
              <w:pStyle w:val="ListParagraph"/>
              <w:numPr>
                <w:ilvl w:val="0"/>
                <w:numId w:val="27"/>
              </w:numPr>
              <w:bidi/>
              <w:spacing w:before="40" w:after="40"/>
              <w:ind w:left="540"/>
              <w:rPr>
                <w:color w:val="000000" w:themeColor="text1"/>
                <w:sz w:val="20"/>
                <w:szCs w:val="20"/>
                <w:rtl/>
              </w:rPr>
            </w:pPr>
            <w:r>
              <w:rPr>
                <w:color w:val="000000" w:themeColor="text1"/>
                <w:sz w:val="20"/>
                <w:szCs w:val="20"/>
                <w:rtl/>
              </w:rPr>
              <w:t xml:space="preserve">تعزيز الروابط الاستراتيجية في إشراك الشعوب الأصلية والمجتمعات المحلية ومختلف مجموعات الجهات المعنية؛ </w:t>
            </w:r>
          </w:p>
          <w:p w14:paraId="2BEE6803" w14:textId="10354D1B" w:rsidR="00CD08BD" w:rsidRDefault="008B78C3" w:rsidP="00DD3EF8">
            <w:pPr>
              <w:pStyle w:val="ListParagraph"/>
              <w:numPr>
                <w:ilvl w:val="0"/>
                <w:numId w:val="27"/>
              </w:numPr>
              <w:bidi/>
              <w:spacing w:before="40" w:after="40"/>
              <w:ind w:left="540"/>
              <w:rPr>
                <w:color w:val="000000" w:themeColor="text1"/>
                <w:sz w:val="20"/>
                <w:szCs w:val="20"/>
                <w:rtl/>
              </w:rPr>
            </w:pPr>
            <w:r>
              <w:rPr>
                <w:color w:val="000000" w:themeColor="text1"/>
                <w:sz w:val="20"/>
                <w:szCs w:val="20"/>
                <w:rtl/>
              </w:rPr>
              <w:t>ربط إشراك الجهات المعنية وتعميم</w:t>
            </w:r>
            <w:r w:rsidR="00F201D7">
              <w:rPr>
                <w:rFonts w:hint="cs"/>
                <w:color w:val="000000" w:themeColor="text1"/>
                <w:sz w:val="20"/>
                <w:szCs w:val="20"/>
                <w:rtl/>
              </w:rPr>
              <w:t>ه</w:t>
            </w:r>
            <w:r>
              <w:rPr>
                <w:color w:val="000000" w:themeColor="text1"/>
                <w:sz w:val="20"/>
                <w:szCs w:val="20"/>
                <w:rtl/>
              </w:rPr>
              <w:t xml:space="preserve"> بوظائف الاتصال والتثقيف والتوعية العامة؛ </w:t>
            </w:r>
          </w:p>
          <w:p w14:paraId="7BE8EB36" w14:textId="67DBB3B6" w:rsidR="00AD18CC" w:rsidRDefault="00B625E1" w:rsidP="00DD3EF8">
            <w:pPr>
              <w:pStyle w:val="ListParagraph"/>
              <w:numPr>
                <w:ilvl w:val="0"/>
                <w:numId w:val="27"/>
              </w:numPr>
              <w:bidi/>
              <w:spacing w:before="40" w:after="40"/>
              <w:ind w:left="540"/>
              <w:rPr>
                <w:color w:val="000000" w:themeColor="text1"/>
                <w:sz w:val="20"/>
                <w:szCs w:val="20"/>
                <w:rtl/>
              </w:rPr>
            </w:pPr>
            <w:r>
              <w:rPr>
                <w:rFonts w:hint="cs"/>
                <w:color w:val="000000" w:themeColor="text1"/>
                <w:sz w:val="20"/>
                <w:szCs w:val="20"/>
                <w:rtl/>
              </w:rPr>
              <w:t>توحيد</w:t>
            </w:r>
            <w:r w:rsidR="008B78C3">
              <w:rPr>
                <w:color w:val="000000" w:themeColor="text1"/>
                <w:sz w:val="20"/>
                <w:szCs w:val="20"/>
                <w:rtl/>
              </w:rPr>
              <w:t xml:space="preserve"> وظائف الاتصال والتثقيف والتوعية العامة لكل من الاتفاقية وبروتوكوليها، </w:t>
            </w:r>
            <w:r w:rsidRPr="00B625E1">
              <w:rPr>
                <w:color w:val="000000" w:themeColor="text1"/>
                <w:sz w:val="20"/>
                <w:szCs w:val="20"/>
                <w:rtl/>
              </w:rPr>
              <w:t>بما يُمكّن من تخصيص وقت الموظفين المتاح بكفاءة</w:t>
            </w:r>
            <w:r>
              <w:rPr>
                <w:rFonts w:hint="cs"/>
                <w:color w:val="000000" w:themeColor="text1"/>
                <w:sz w:val="20"/>
                <w:szCs w:val="20"/>
                <w:rtl/>
              </w:rPr>
              <w:t xml:space="preserve"> و</w:t>
            </w:r>
            <w:r w:rsidR="008B78C3">
              <w:rPr>
                <w:color w:val="000000" w:themeColor="text1"/>
                <w:sz w:val="20"/>
                <w:szCs w:val="20"/>
                <w:rtl/>
              </w:rPr>
              <w:t xml:space="preserve">دون أي حاجز بين الوحدات. </w:t>
            </w:r>
          </w:p>
          <w:p w14:paraId="6DFF9F92" w14:textId="7D31ADCA" w:rsidR="00924B72" w:rsidRDefault="008B78C3" w:rsidP="005D0A05">
            <w:pPr>
              <w:bidi/>
              <w:spacing w:before="40" w:after="40"/>
              <w:jc w:val="left"/>
              <w:rPr>
                <w:color w:val="000000" w:themeColor="text1"/>
                <w:sz w:val="20"/>
                <w:szCs w:val="20"/>
                <w:rtl/>
              </w:rPr>
            </w:pPr>
            <w:r>
              <w:rPr>
                <w:color w:val="000000" w:themeColor="text1"/>
                <w:sz w:val="20"/>
                <w:szCs w:val="20"/>
                <w:rtl/>
              </w:rPr>
              <w:t>وأثناء هذه العملية، أُنشئت وحدة</w:t>
            </w:r>
            <w:r w:rsidR="00B625E1">
              <w:rPr>
                <w:rFonts w:hint="cs"/>
                <w:color w:val="000000" w:themeColor="text1"/>
                <w:sz w:val="20"/>
                <w:szCs w:val="20"/>
                <w:rtl/>
              </w:rPr>
              <w:t xml:space="preserve"> العمل المعنية بالمحركات</w:t>
            </w:r>
            <w:r>
              <w:rPr>
                <w:color w:val="000000" w:themeColor="text1"/>
                <w:sz w:val="20"/>
                <w:szCs w:val="20"/>
                <w:rtl/>
              </w:rPr>
              <w:t xml:space="preserve"> والعمل </w:t>
            </w:r>
            <w:r w:rsidR="00B625E1">
              <w:rPr>
                <w:rFonts w:hint="cs"/>
                <w:color w:val="000000" w:themeColor="text1"/>
                <w:sz w:val="20"/>
                <w:szCs w:val="20"/>
                <w:rtl/>
              </w:rPr>
              <w:t>المشترك بين</w:t>
            </w:r>
            <w:r>
              <w:rPr>
                <w:color w:val="000000" w:themeColor="text1"/>
                <w:sz w:val="20"/>
                <w:szCs w:val="20"/>
                <w:rtl/>
              </w:rPr>
              <w:t xml:space="preserve"> </w:t>
            </w:r>
            <w:r w:rsidR="00B625E1">
              <w:rPr>
                <w:rFonts w:hint="cs"/>
                <w:color w:val="000000" w:themeColor="text1"/>
                <w:sz w:val="20"/>
                <w:szCs w:val="20"/>
                <w:rtl/>
              </w:rPr>
              <w:t>ال</w:t>
            </w:r>
            <w:r>
              <w:rPr>
                <w:color w:val="000000" w:themeColor="text1"/>
                <w:sz w:val="20"/>
                <w:szCs w:val="20"/>
                <w:rtl/>
              </w:rPr>
              <w:t xml:space="preserve">قطاعات، على النحو المبين في الجدول 1 من الوثيقة </w:t>
            </w:r>
            <w:hyperlink r:id="rId40" w:history="1">
              <w:r>
                <w:rPr>
                  <w:rStyle w:val="Hyperlink"/>
                </w:rPr>
                <w:t>CBD/SBI/7/15/Add.1</w:t>
              </w:r>
            </w:hyperlink>
            <w:r>
              <w:rPr>
                <w:color w:val="000000" w:themeColor="text1"/>
                <w:sz w:val="20"/>
                <w:szCs w:val="20"/>
                <w:rtl/>
              </w:rPr>
              <w:t>-</w:t>
            </w:r>
            <w:hyperlink r:id="rId41" w:history="1">
              <w:r>
                <w:rPr>
                  <w:rStyle w:val="Hyperlink"/>
                </w:rPr>
                <w:t>CBD/COP/17/4/Add.4</w:t>
              </w:r>
            </w:hyperlink>
            <w:r>
              <w:rPr>
                <w:color w:val="000000" w:themeColor="text1"/>
                <w:sz w:val="20"/>
                <w:szCs w:val="20"/>
                <w:rtl/>
              </w:rPr>
              <w:t xml:space="preserve">، </w:t>
            </w:r>
            <w:r w:rsidR="00B625E1">
              <w:rPr>
                <w:rFonts w:hint="cs"/>
                <w:color w:val="000000" w:themeColor="text1"/>
                <w:sz w:val="20"/>
                <w:szCs w:val="20"/>
                <w:rtl/>
              </w:rPr>
              <w:t>بطريقة لا تؤثر على</w:t>
            </w:r>
            <w:r>
              <w:rPr>
                <w:color w:val="000000" w:themeColor="text1"/>
                <w:sz w:val="20"/>
                <w:szCs w:val="20"/>
                <w:rtl/>
              </w:rPr>
              <w:t xml:space="preserve"> الميزانية، </w:t>
            </w:r>
            <w:r w:rsidR="00B625E1">
              <w:rPr>
                <w:rFonts w:hint="cs"/>
                <w:color w:val="000000" w:themeColor="text1"/>
                <w:sz w:val="20"/>
                <w:szCs w:val="20"/>
                <w:rtl/>
              </w:rPr>
              <w:t>وذلك</w:t>
            </w:r>
            <w:r>
              <w:rPr>
                <w:color w:val="000000" w:themeColor="text1"/>
                <w:sz w:val="20"/>
                <w:szCs w:val="20"/>
                <w:rtl/>
              </w:rPr>
              <w:t xml:space="preserve"> </w:t>
            </w:r>
            <w:r w:rsidR="00B625E1">
              <w:rPr>
                <w:rFonts w:hint="cs"/>
                <w:color w:val="000000" w:themeColor="text1"/>
                <w:sz w:val="20"/>
                <w:szCs w:val="20"/>
                <w:rtl/>
              </w:rPr>
              <w:t>ل</w:t>
            </w:r>
            <w:r>
              <w:rPr>
                <w:color w:val="000000" w:themeColor="text1"/>
                <w:sz w:val="20"/>
                <w:szCs w:val="20"/>
                <w:rtl/>
              </w:rPr>
              <w:t>تعزيز العمل على التصدي لمحر</w:t>
            </w:r>
            <w:r w:rsidR="00B625E1">
              <w:rPr>
                <w:rFonts w:hint="cs"/>
                <w:color w:val="000000" w:themeColor="text1"/>
                <w:sz w:val="20"/>
                <w:szCs w:val="20"/>
                <w:rtl/>
              </w:rPr>
              <w:t>كات</w:t>
            </w:r>
            <w:r>
              <w:rPr>
                <w:color w:val="000000" w:themeColor="text1"/>
                <w:sz w:val="20"/>
                <w:szCs w:val="20"/>
                <w:rtl/>
              </w:rPr>
              <w:t xml:space="preserve"> فقدان التنوع البيولوجي على نحو متسق.</w:t>
            </w:r>
          </w:p>
          <w:p w14:paraId="292EE62C" w14:textId="3A1B101F" w:rsidR="008B78C3" w:rsidRPr="006E7187" w:rsidRDefault="008B78C3" w:rsidP="002537BE">
            <w:pPr>
              <w:bidi/>
              <w:spacing w:before="40" w:after="40"/>
              <w:jc w:val="left"/>
              <w:rPr>
                <w:color w:val="000000" w:themeColor="text1"/>
                <w:sz w:val="20"/>
                <w:szCs w:val="20"/>
                <w:rtl/>
              </w:rPr>
            </w:pPr>
            <w:r>
              <w:rPr>
                <w:color w:val="000000" w:themeColor="text1"/>
                <w:sz w:val="20"/>
                <w:szCs w:val="20"/>
                <w:rtl/>
              </w:rPr>
              <w:t>وقد أُعيد توزيع الوظيفة برتبة ف-3 التي كانت سابقا ضمن وحدة تكنولوجيا المعلومات إلى وحدة</w:t>
            </w:r>
            <w:r w:rsidR="00B625E1">
              <w:rPr>
                <w:rFonts w:hint="cs"/>
                <w:color w:val="000000" w:themeColor="text1"/>
                <w:sz w:val="20"/>
                <w:szCs w:val="20"/>
                <w:rtl/>
              </w:rPr>
              <w:t xml:space="preserve"> العمل المعنية بالمحركات</w:t>
            </w:r>
            <w:r>
              <w:rPr>
                <w:color w:val="000000" w:themeColor="text1"/>
                <w:sz w:val="20"/>
                <w:szCs w:val="20"/>
                <w:rtl/>
              </w:rPr>
              <w:t xml:space="preserve"> والعمل </w:t>
            </w:r>
            <w:r w:rsidR="00B625E1">
              <w:rPr>
                <w:rFonts w:hint="cs"/>
                <w:color w:val="000000" w:themeColor="text1"/>
                <w:sz w:val="20"/>
                <w:szCs w:val="20"/>
                <w:rtl/>
              </w:rPr>
              <w:t>المشترك بين</w:t>
            </w:r>
            <w:r>
              <w:rPr>
                <w:color w:val="000000" w:themeColor="text1"/>
                <w:sz w:val="20"/>
                <w:szCs w:val="20"/>
                <w:rtl/>
              </w:rPr>
              <w:t xml:space="preserve"> </w:t>
            </w:r>
            <w:r w:rsidR="00B625E1">
              <w:rPr>
                <w:rFonts w:hint="cs"/>
                <w:color w:val="000000" w:themeColor="text1"/>
                <w:sz w:val="20"/>
                <w:szCs w:val="20"/>
                <w:rtl/>
              </w:rPr>
              <w:t>ال</w:t>
            </w:r>
            <w:r>
              <w:rPr>
                <w:color w:val="000000" w:themeColor="text1"/>
                <w:sz w:val="20"/>
                <w:szCs w:val="20"/>
                <w:rtl/>
              </w:rPr>
              <w:t>قطاعات، وسُدت الثغرة في تكنولوجيا المعلومات بطلب وظيفة برتبة ف-2 (</w:t>
            </w:r>
            <w:r w:rsidR="00B625E1">
              <w:rPr>
                <w:rFonts w:hint="cs"/>
                <w:color w:val="000000" w:themeColor="text1"/>
                <w:sz w:val="20"/>
                <w:szCs w:val="20"/>
                <w:rtl/>
              </w:rPr>
              <w:t xml:space="preserve">لتحل </w:t>
            </w:r>
            <w:r>
              <w:rPr>
                <w:color w:val="000000" w:themeColor="text1"/>
                <w:sz w:val="20"/>
                <w:szCs w:val="20"/>
                <w:rtl/>
              </w:rPr>
              <w:t>محل الوظيفة برتبة ف-3) بما سيسفر عن وفورات إجمالية في التكاليف. و</w:t>
            </w:r>
            <w:r w:rsidR="00B625E1">
              <w:rPr>
                <w:rFonts w:hint="cs"/>
                <w:color w:val="000000" w:themeColor="text1"/>
                <w:sz w:val="20"/>
                <w:szCs w:val="20"/>
                <w:rtl/>
              </w:rPr>
              <w:t>في حين</w:t>
            </w:r>
            <w:r>
              <w:rPr>
                <w:color w:val="000000" w:themeColor="text1"/>
                <w:sz w:val="20"/>
                <w:szCs w:val="20"/>
                <w:rtl/>
              </w:rPr>
              <w:t xml:space="preserve"> طُلبت وظيفتان إضافيتان برتبة ف-3 لسد الثغرة في الخبرة اللازمة لتشغيل هذه الوحدة بالكامل، فلم </w:t>
            </w:r>
            <w:r w:rsidR="00B625E1">
              <w:rPr>
                <w:rFonts w:hint="cs"/>
                <w:color w:val="000000" w:themeColor="text1"/>
                <w:sz w:val="20"/>
                <w:szCs w:val="20"/>
                <w:rtl/>
              </w:rPr>
              <w:t>تُ</w:t>
            </w:r>
            <w:r>
              <w:rPr>
                <w:color w:val="000000" w:themeColor="text1"/>
                <w:sz w:val="20"/>
                <w:szCs w:val="20"/>
                <w:rtl/>
              </w:rPr>
              <w:t xml:space="preserve">طلب أي </w:t>
            </w:r>
            <w:r w:rsidR="00B625E1">
              <w:rPr>
                <w:rFonts w:hint="cs"/>
                <w:color w:val="000000" w:themeColor="text1"/>
                <w:sz w:val="20"/>
                <w:szCs w:val="20"/>
                <w:rtl/>
              </w:rPr>
              <w:t>ترقية</w:t>
            </w:r>
            <w:r>
              <w:rPr>
                <w:color w:val="000000" w:themeColor="text1"/>
                <w:sz w:val="20"/>
                <w:szCs w:val="20"/>
                <w:rtl/>
              </w:rPr>
              <w:t xml:space="preserve"> لرتبة وظيفة رئيس الوحدة الإضافية، وذلك </w:t>
            </w:r>
            <w:r w:rsidR="00B625E1">
              <w:rPr>
                <w:rFonts w:hint="cs"/>
                <w:color w:val="000000" w:themeColor="text1"/>
                <w:sz w:val="20"/>
                <w:szCs w:val="20"/>
                <w:rtl/>
              </w:rPr>
              <w:t>كإجراء لخفض</w:t>
            </w:r>
            <w:r>
              <w:rPr>
                <w:color w:val="000000" w:themeColor="text1"/>
                <w:sz w:val="20"/>
                <w:szCs w:val="20"/>
                <w:rtl/>
              </w:rPr>
              <w:t xml:space="preserve"> التكاليف. </w:t>
            </w:r>
          </w:p>
        </w:tc>
      </w:tr>
      <w:tr w:rsidR="008B78C3" w:rsidRPr="0091300E" w14:paraId="7406D1E8" w14:textId="77777777" w:rsidTr="00DF3626">
        <w:trPr>
          <w:cantSplit/>
          <w:jc w:val="center"/>
        </w:trPr>
        <w:tc>
          <w:tcPr>
            <w:tcW w:w="1975" w:type="dxa"/>
            <w:tcMar>
              <w:top w:w="90" w:type="dxa"/>
              <w:left w:w="90" w:type="dxa"/>
              <w:bottom w:w="90" w:type="dxa"/>
              <w:right w:w="90" w:type="dxa"/>
            </w:tcMar>
            <w:vAlign w:val="center"/>
          </w:tcPr>
          <w:p w14:paraId="639793D7" w14:textId="595C1CF0" w:rsidR="008B78C3" w:rsidRPr="006E7187" w:rsidRDefault="008B78C3" w:rsidP="002537BE">
            <w:pPr>
              <w:bidi/>
              <w:jc w:val="left"/>
              <w:rPr>
                <w:color w:val="000000" w:themeColor="text1"/>
                <w:sz w:val="20"/>
                <w:szCs w:val="20"/>
                <w:rtl/>
              </w:rPr>
            </w:pPr>
            <w:r>
              <w:rPr>
                <w:color w:val="000000" w:themeColor="text1"/>
                <w:sz w:val="20"/>
                <w:szCs w:val="20"/>
                <w:rtl/>
              </w:rPr>
              <w:t>خدمات مؤتمرات متكاملة ومعززة</w:t>
            </w:r>
          </w:p>
        </w:tc>
        <w:tc>
          <w:tcPr>
            <w:tcW w:w="7381" w:type="dxa"/>
            <w:tcMar>
              <w:top w:w="90" w:type="dxa"/>
              <w:left w:w="90" w:type="dxa"/>
              <w:bottom w:w="90" w:type="dxa"/>
              <w:right w:w="90" w:type="dxa"/>
            </w:tcMar>
            <w:vAlign w:val="center"/>
          </w:tcPr>
          <w:p w14:paraId="490F88FB" w14:textId="44BEFDB6" w:rsidR="008B78C3" w:rsidRPr="006E7187" w:rsidRDefault="008B78C3" w:rsidP="002537BE">
            <w:pPr>
              <w:bidi/>
              <w:spacing w:before="40" w:after="40"/>
              <w:jc w:val="left"/>
              <w:rPr>
                <w:color w:val="000000" w:themeColor="text1"/>
                <w:sz w:val="20"/>
                <w:szCs w:val="20"/>
                <w:rtl/>
              </w:rPr>
            </w:pPr>
            <w:r>
              <w:rPr>
                <w:color w:val="000000" w:themeColor="text1"/>
                <w:sz w:val="20"/>
                <w:szCs w:val="20"/>
                <w:rtl/>
              </w:rPr>
              <w:t xml:space="preserve">ينص الهيكل المنقح على إنشاء قسم مستقل لخدمات المؤتمرات يجمع بين تخطيط الاجتماعات وعملياتها، </w:t>
            </w:r>
            <w:r w:rsidR="00DD3EF8" w:rsidRPr="00DD3EF8">
              <w:rPr>
                <w:color w:val="000000" w:themeColor="text1"/>
                <w:sz w:val="20"/>
                <w:szCs w:val="20"/>
                <w:rtl/>
              </w:rPr>
              <w:t>بعد أن كانت هذه المهام موزعة بين وحدات مختلفة، دون وجود قيادة عليا قوية ومساءلة</w:t>
            </w:r>
            <w:r>
              <w:rPr>
                <w:color w:val="000000" w:themeColor="text1"/>
                <w:sz w:val="20"/>
                <w:szCs w:val="20"/>
                <w:rtl/>
              </w:rPr>
              <w:t xml:space="preserve">. وقد أُعيد توزيع الوظيفة الشاغرة برتبة ف-5، بعد تقاعد شاغلها، التي كانت موجودة سابقا ضمن وحدة </w:t>
            </w:r>
            <w:r w:rsidR="00DD3EF8">
              <w:rPr>
                <w:rFonts w:hint="cs"/>
                <w:color w:val="000000" w:themeColor="text1"/>
                <w:sz w:val="20"/>
                <w:szCs w:val="20"/>
                <w:rtl/>
              </w:rPr>
              <w:t>مشاركة</w:t>
            </w:r>
            <w:r>
              <w:rPr>
                <w:color w:val="000000" w:themeColor="text1"/>
                <w:sz w:val="20"/>
                <w:szCs w:val="20"/>
                <w:rtl/>
              </w:rPr>
              <w:t xml:space="preserve"> الجهات المعنية والتعاون، لتولي قيادة قسم خدمات المؤتمرات المنشأ حديثا، وبذلك تفادي الحاجة إلى وظيفة إضافية برتبة ف-5. ودُمجت وظيفة القيادة العليا السابقة برتبة ف-5 المعنية بالتعاون مع الوظيفة السابقة برتبة ف-5 المعنية بالشعوب الأصلية والمجتمعات المحلية والمعارف التقليدية، وهو ما أدى فعليا إلى توفير في تكاليف الموظفين من الرتب العليا.</w:t>
            </w:r>
          </w:p>
        </w:tc>
      </w:tr>
      <w:tr w:rsidR="008B78C3" w:rsidRPr="0091300E" w14:paraId="5156531A" w14:textId="77777777" w:rsidTr="00DF3626">
        <w:trPr>
          <w:cantSplit/>
          <w:jc w:val="center"/>
        </w:trPr>
        <w:tc>
          <w:tcPr>
            <w:tcW w:w="1975" w:type="dxa"/>
            <w:tcBorders>
              <w:bottom w:val="single" w:sz="8" w:space="0" w:color="000000" w:themeColor="text1"/>
            </w:tcBorders>
            <w:tcMar>
              <w:top w:w="90" w:type="dxa"/>
              <w:left w:w="90" w:type="dxa"/>
              <w:bottom w:w="90" w:type="dxa"/>
              <w:right w:w="90" w:type="dxa"/>
            </w:tcMar>
            <w:vAlign w:val="center"/>
          </w:tcPr>
          <w:p w14:paraId="44AFB17C" w14:textId="77777777" w:rsidR="008B78C3" w:rsidRPr="006E7187" w:rsidRDefault="008B78C3" w:rsidP="002537BE">
            <w:pPr>
              <w:bidi/>
              <w:jc w:val="left"/>
              <w:rPr>
                <w:color w:val="000000" w:themeColor="text1"/>
                <w:sz w:val="20"/>
                <w:szCs w:val="20"/>
                <w:rtl/>
              </w:rPr>
            </w:pPr>
            <w:r>
              <w:rPr>
                <w:color w:val="000000" w:themeColor="text1"/>
                <w:sz w:val="20"/>
                <w:szCs w:val="20"/>
                <w:rtl/>
              </w:rPr>
              <w:lastRenderedPageBreak/>
              <w:t>خدمات متكاملة لتكنولوجيا المعلومات ودعم التحول الرقمي</w:t>
            </w:r>
          </w:p>
        </w:tc>
        <w:tc>
          <w:tcPr>
            <w:tcW w:w="7381" w:type="dxa"/>
            <w:tcBorders>
              <w:bottom w:val="single" w:sz="8" w:space="0" w:color="000000" w:themeColor="text1"/>
            </w:tcBorders>
            <w:tcMar>
              <w:top w:w="90" w:type="dxa"/>
              <w:left w:w="90" w:type="dxa"/>
              <w:bottom w:w="90" w:type="dxa"/>
              <w:right w:w="90" w:type="dxa"/>
            </w:tcMar>
            <w:vAlign w:val="center"/>
          </w:tcPr>
          <w:p w14:paraId="2338B3CC" w14:textId="7023F6AD" w:rsidR="008B78C3" w:rsidRPr="006E7187" w:rsidRDefault="008B78C3" w:rsidP="002537BE">
            <w:pPr>
              <w:bidi/>
              <w:spacing w:before="40" w:after="40"/>
              <w:jc w:val="left"/>
              <w:rPr>
                <w:color w:val="000000" w:themeColor="text1"/>
                <w:sz w:val="20"/>
                <w:szCs w:val="20"/>
                <w:rtl/>
              </w:rPr>
            </w:pPr>
            <w:r>
              <w:rPr>
                <w:color w:val="000000" w:themeColor="text1"/>
                <w:sz w:val="20"/>
                <w:szCs w:val="20"/>
                <w:rtl/>
              </w:rPr>
              <w:t xml:space="preserve">ينص الهيكل المنقح على إنشاء وحدة متكاملة لتكنولوجيا المعلومات والتحول الرقمي ووظيفة </w:t>
            </w:r>
            <w:r w:rsidR="00C8246D">
              <w:rPr>
                <w:rFonts w:hint="cs"/>
                <w:color w:val="000000" w:themeColor="text1"/>
                <w:sz w:val="20"/>
                <w:szCs w:val="20"/>
                <w:rtl/>
              </w:rPr>
              <w:t>لخدمات الإدارة</w:t>
            </w:r>
            <w:r>
              <w:rPr>
                <w:color w:val="000000" w:themeColor="text1"/>
                <w:sz w:val="20"/>
                <w:szCs w:val="20"/>
                <w:rtl/>
              </w:rPr>
              <w:t xml:space="preserve"> والامتثال، </w:t>
            </w:r>
            <w:r w:rsidR="00C8246D">
              <w:rPr>
                <w:rFonts w:hint="cs"/>
                <w:color w:val="000000" w:themeColor="text1"/>
                <w:sz w:val="20"/>
                <w:szCs w:val="20"/>
                <w:rtl/>
              </w:rPr>
              <w:t>بعد أم كانتا موزعتين سابقا</w:t>
            </w:r>
            <w:r>
              <w:rPr>
                <w:color w:val="000000" w:themeColor="text1"/>
                <w:sz w:val="20"/>
                <w:szCs w:val="20"/>
                <w:rtl/>
              </w:rPr>
              <w:t xml:space="preserve"> </w:t>
            </w:r>
            <w:r w:rsidR="00C8246D">
              <w:rPr>
                <w:rFonts w:hint="cs"/>
                <w:color w:val="000000" w:themeColor="text1"/>
                <w:sz w:val="20"/>
                <w:szCs w:val="20"/>
                <w:rtl/>
              </w:rPr>
              <w:t>على</w:t>
            </w:r>
            <w:r>
              <w:rPr>
                <w:color w:val="000000" w:themeColor="text1"/>
                <w:sz w:val="20"/>
                <w:szCs w:val="20"/>
                <w:rtl/>
              </w:rPr>
              <w:t xml:space="preserve"> وحدتين</w:t>
            </w:r>
            <w:r w:rsidR="00C8246D">
              <w:rPr>
                <w:rFonts w:hint="cs"/>
                <w:color w:val="000000" w:themeColor="text1"/>
                <w:sz w:val="20"/>
                <w:szCs w:val="20"/>
                <w:rtl/>
              </w:rPr>
              <w:t xml:space="preserve"> منفصلتين</w:t>
            </w:r>
            <w:r>
              <w:rPr>
                <w:color w:val="000000" w:themeColor="text1"/>
                <w:sz w:val="20"/>
                <w:szCs w:val="20"/>
                <w:rtl/>
              </w:rPr>
              <w:t>. ويمكن لهذا النظام المتكامل أن يعزز الكفاءة في دعم النظم المشتركة لحوكمة تكنولوجيا المعلومات، ومراقبة المخاطر، والتحول الرقمي من أجل فعالية العمليات الحكومية الدولية في إطار الاتفاقية وبروتوكوليها، بما في ذلك الاجتماعات وغرف تبادل المعلومات والاستخدام المسؤول لتكنولوجيا الذكاء الاصطناعي. وك</w:t>
            </w:r>
            <w:r w:rsidR="00C8246D">
              <w:rPr>
                <w:rFonts w:hint="cs"/>
                <w:color w:val="000000" w:themeColor="text1"/>
                <w:sz w:val="20"/>
                <w:szCs w:val="20"/>
                <w:rtl/>
              </w:rPr>
              <w:t>إجراء لخفض</w:t>
            </w:r>
            <w:r>
              <w:rPr>
                <w:color w:val="000000" w:themeColor="text1"/>
                <w:sz w:val="20"/>
                <w:szCs w:val="20"/>
                <w:rtl/>
              </w:rPr>
              <w:t xml:space="preserve"> التكاليف، أ</w:t>
            </w:r>
            <w:r w:rsidR="00C8246D">
              <w:rPr>
                <w:rFonts w:hint="cs"/>
                <w:color w:val="000000" w:themeColor="text1"/>
                <w:sz w:val="20"/>
                <w:szCs w:val="20"/>
                <w:rtl/>
              </w:rPr>
              <w:t>لغى</w:t>
            </w:r>
            <w:r>
              <w:rPr>
                <w:color w:val="000000" w:themeColor="text1"/>
                <w:sz w:val="20"/>
                <w:szCs w:val="20"/>
                <w:rtl/>
              </w:rPr>
              <w:t xml:space="preserve"> فريق تكنولوجيا المعلومات وظيفة برتبة ف-3 بعد تقاعد شاغلها، وأُعيد توزيعها إلى وحدة </w:t>
            </w:r>
            <w:r w:rsidR="00C8246D">
              <w:rPr>
                <w:rFonts w:hint="cs"/>
                <w:color w:val="000000" w:themeColor="text1"/>
                <w:sz w:val="20"/>
                <w:szCs w:val="20"/>
                <w:rtl/>
              </w:rPr>
              <w:t>المحركات</w:t>
            </w:r>
            <w:r>
              <w:rPr>
                <w:color w:val="000000" w:themeColor="text1"/>
                <w:sz w:val="20"/>
                <w:szCs w:val="20"/>
                <w:rtl/>
              </w:rPr>
              <w:t xml:space="preserve"> والعمل </w:t>
            </w:r>
            <w:r w:rsidR="00C8246D">
              <w:rPr>
                <w:rFonts w:hint="cs"/>
                <w:color w:val="000000" w:themeColor="text1"/>
                <w:sz w:val="20"/>
                <w:szCs w:val="20"/>
                <w:rtl/>
              </w:rPr>
              <w:t>المشترك</w:t>
            </w:r>
            <w:r>
              <w:rPr>
                <w:color w:val="000000" w:themeColor="text1"/>
                <w:sz w:val="20"/>
                <w:szCs w:val="20"/>
                <w:rtl/>
              </w:rPr>
              <w:t xml:space="preserve"> </w:t>
            </w:r>
            <w:r w:rsidR="00C8246D">
              <w:rPr>
                <w:rFonts w:hint="cs"/>
                <w:color w:val="000000" w:themeColor="text1"/>
                <w:sz w:val="20"/>
                <w:szCs w:val="20"/>
                <w:rtl/>
              </w:rPr>
              <w:t xml:space="preserve">بين </w:t>
            </w:r>
            <w:r>
              <w:rPr>
                <w:color w:val="000000" w:themeColor="text1"/>
                <w:sz w:val="20"/>
                <w:szCs w:val="20"/>
                <w:rtl/>
              </w:rPr>
              <w:t>عدة قطاعات. ولسد الثغرة في الخبرة اللازمة لدعم التحول الرقمي، قُدم طلب لوظيفة جديدة برتبة ف-2 وأُعيد توزيع المهام فيما بين الموظفين الحاليين، وهو ما سيسفر عن وفورات إجمالية في التكاليف.</w:t>
            </w:r>
          </w:p>
        </w:tc>
      </w:tr>
      <w:tr w:rsidR="008B78C3" w:rsidRPr="0091300E" w14:paraId="1F432C2C" w14:textId="77777777" w:rsidTr="00DF3626">
        <w:trPr>
          <w:cantSplit/>
          <w:jc w:val="center"/>
        </w:trPr>
        <w:tc>
          <w:tcPr>
            <w:tcW w:w="1975" w:type="dxa"/>
            <w:tcMar>
              <w:top w:w="90" w:type="dxa"/>
              <w:left w:w="90" w:type="dxa"/>
              <w:bottom w:w="90" w:type="dxa"/>
              <w:right w:w="90" w:type="dxa"/>
            </w:tcMar>
            <w:vAlign w:val="center"/>
          </w:tcPr>
          <w:p w14:paraId="77BEFCE9" w14:textId="042D6125" w:rsidR="008B78C3" w:rsidRPr="006E7187" w:rsidRDefault="008B78C3" w:rsidP="002537BE">
            <w:pPr>
              <w:bidi/>
              <w:jc w:val="left"/>
              <w:rPr>
                <w:color w:val="000000" w:themeColor="text1"/>
                <w:sz w:val="20"/>
                <w:szCs w:val="20"/>
                <w:rtl/>
              </w:rPr>
            </w:pPr>
            <w:r>
              <w:rPr>
                <w:color w:val="000000" w:themeColor="text1"/>
                <w:sz w:val="20"/>
                <w:szCs w:val="20"/>
                <w:rtl/>
              </w:rPr>
              <w:t xml:space="preserve">إعادة توزيع </w:t>
            </w:r>
            <w:r w:rsidR="003B7F2C">
              <w:rPr>
                <w:rFonts w:hint="cs"/>
                <w:color w:val="000000" w:themeColor="text1"/>
                <w:sz w:val="20"/>
                <w:szCs w:val="20"/>
                <w:rtl/>
              </w:rPr>
              <w:t xml:space="preserve">دون التأثير على </w:t>
            </w:r>
            <w:r>
              <w:rPr>
                <w:color w:val="000000" w:themeColor="text1"/>
                <w:sz w:val="20"/>
                <w:szCs w:val="20"/>
                <w:rtl/>
              </w:rPr>
              <w:t>الميزانية لدعم إدارة التغيير والكفاءة الإدارية</w:t>
            </w:r>
          </w:p>
        </w:tc>
        <w:tc>
          <w:tcPr>
            <w:tcW w:w="7381" w:type="dxa"/>
            <w:tcMar>
              <w:top w:w="90" w:type="dxa"/>
              <w:left w:w="90" w:type="dxa"/>
              <w:bottom w:w="90" w:type="dxa"/>
              <w:right w:w="90" w:type="dxa"/>
            </w:tcMar>
            <w:vAlign w:val="center"/>
          </w:tcPr>
          <w:p w14:paraId="74F96922" w14:textId="126CE23C" w:rsidR="008B78C3" w:rsidRPr="006E7187" w:rsidRDefault="008B78C3" w:rsidP="002537BE">
            <w:pPr>
              <w:bidi/>
              <w:spacing w:before="40" w:after="40"/>
              <w:jc w:val="left"/>
              <w:rPr>
                <w:color w:val="000000" w:themeColor="text1"/>
                <w:sz w:val="20"/>
                <w:szCs w:val="20"/>
                <w:rtl/>
              </w:rPr>
            </w:pPr>
            <w:r>
              <w:rPr>
                <w:color w:val="000000" w:themeColor="text1"/>
                <w:sz w:val="20"/>
                <w:szCs w:val="20"/>
                <w:rtl/>
              </w:rPr>
              <w:t>أُعيد توزيع 50</w:t>
            </w:r>
            <w:r w:rsidR="003B7F2C">
              <w:rPr>
                <w:rFonts w:hint="cs"/>
                <w:color w:val="000000" w:themeColor="text1"/>
                <w:sz w:val="20"/>
                <w:szCs w:val="20"/>
                <w:rtl/>
              </w:rPr>
              <w:t xml:space="preserve"> في المائة</w:t>
            </w:r>
            <w:r>
              <w:rPr>
                <w:color w:val="000000" w:themeColor="text1"/>
                <w:sz w:val="20"/>
                <w:szCs w:val="20"/>
                <w:rtl/>
              </w:rPr>
              <w:t xml:space="preserve"> من وظيفة برتبة ف-4، كانت ممولة من تكاليف الدعم </w:t>
            </w:r>
            <w:r w:rsidR="003B7F2C">
              <w:rPr>
                <w:rFonts w:hint="cs"/>
                <w:color w:val="000000" w:themeColor="text1"/>
                <w:sz w:val="20"/>
                <w:szCs w:val="20"/>
                <w:rtl/>
              </w:rPr>
              <w:t>ومقرها ف</w:t>
            </w:r>
            <w:r w:rsidR="000B2B98">
              <w:rPr>
                <w:rFonts w:hint="cs"/>
                <w:color w:val="000000" w:themeColor="text1"/>
                <w:sz w:val="20"/>
                <w:szCs w:val="20"/>
                <w:rtl/>
              </w:rPr>
              <w:t>ي</w:t>
            </w:r>
            <w:r w:rsidR="003B7F2C">
              <w:rPr>
                <w:rFonts w:hint="cs"/>
                <w:color w:val="000000" w:themeColor="text1"/>
                <w:sz w:val="20"/>
                <w:szCs w:val="20"/>
                <w:rtl/>
              </w:rPr>
              <w:t xml:space="preserve"> الأصل</w:t>
            </w:r>
            <w:r>
              <w:rPr>
                <w:color w:val="000000" w:themeColor="text1"/>
                <w:sz w:val="20"/>
                <w:szCs w:val="20"/>
                <w:rtl/>
              </w:rPr>
              <w:t xml:space="preserve"> مكتب الاتصال في نيويورك (المشترك مع أمانة اتفاقية الأمم المتحدة لمكافحة التصحر)، عقب تقاعد شاغلها وإغلاق المكتب، من أجل تعزيز عمل </w:t>
            </w:r>
            <w:r w:rsidR="003B7F2C">
              <w:rPr>
                <w:rFonts w:hint="cs"/>
                <w:color w:val="000000" w:themeColor="text1"/>
                <w:sz w:val="20"/>
                <w:szCs w:val="20"/>
                <w:rtl/>
              </w:rPr>
              <w:t>شعبة</w:t>
            </w:r>
            <w:r>
              <w:rPr>
                <w:color w:val="000000" w:themeColor="text1"/>
                <w:sz w:val="20"/>
                <w:szCs w:val="20"/>
                <w:rtl/>
              </w:rPr>
              <w:t xml:space="preserve"> الدعم الإداري والتشغيلي، من خلال إنشاء وحدة خدمات الإدار</w:t>
            </w:r>
            <w:r w:rsidR="000B2B98">
              <w:rPr>
                <w:rFonts w:hint="cs"/>
                <w:color w:val="000000" w:themeColor="text1"/>
                <w:sz w:val="20"/>
                <w:szCs w:val="20"/>
                <w:rtl/>
              </w:rPr>
              <w:t>ة</w:t>
            </w:r>
            <w:r>
              <w:rPr>
                <w:color w:val="000000" w:themeColor="text1"/>
                <w:sz w:val="20"/>
                <w:szCs w:val="20"/>
                <w:rtl/>
              </w:rPr>
              <w:t xml:space="preserve"> والامتثال، ولا سيما فيما يتصل بإدارة التغيير وتعزيز الكفاءة الإدارية والتشغيلية. وبهذه الطريقة، سيكون لدى الأمانة وحدة مخصصة لوضع وتنفيذ نهج موحد لتدابير الكفاءة و</w:t>
            </w:r>
            <w:r w:rsidR="000B2B98">
              <w:rPr>
                <w:rFonts w:hint="cs"/>
                <w:color w:val="000000" w:themeColor="text1"/>
                <w:sz w:val="20"/>
                <w:szCs w:val="20"/>
                <w:rtl/>
              </w:rPr>
              <w:t>خفض</w:t>
            </w:r>
            <w:r>
              <w:rPr>
                <w:color w:val="000000" w:themeColor="text1"/>
                <w:sz w:val="20"/>
                <w:szCs w:val="20"/>
                <w:rtl/>
              </w:rPr>
              <w:t xml:space="preserve"> التكاليف.</w:t>
            </w:r>
          </w:p>
        </w:tc>
      </w:tr>
      <w:tr w:rsidR="008B78C3" w:rsidRPr="00283E49" w14:paraId="4FBC1A5F" w14:textId="77777777" w:rsidTr="00DF3626">
        <w:trPr>
          <w:cantSplit/>
          <w:jc w:val="center"/>
        </w:trPr>
        <w:tc>
          <w:tcPr>
            <w:tcW w:w="1975" w:type="dxa"/>
            <w:tcMar>
              <w:top w:w="90" w:type="dxa"/>
              <w:left w:w="90" w:type="dxa"/>
              <w:bottom w:w="90" w:type="dxa"/>
              <w:right w:w="90" w:type="dxa"/>
            </w:tcMar>
            <w:vAlign w:val="center"/>
          </w:tcPr>
          <w:p w14:paraId="6F026055" w14:textId="1504C9D1" w:rsidR="008B78C3" w:rsidRPr="00283E49" w:rsidRDefault="008B78C3" w:rsidP="002537BE">
            <w:pPr>
              <w:bidi/>
              <w:jc w:val="left"/>
              <w:rPr>
                <w:color w:val="000000" w:themeColor="text1"/>
                <w:sz w:val="20"/>
                <w:szCs w:val="20"/>
                <w:rtl/>
              </w:rPr>
            </w:pPr>
            <w:r>
              <w:rPr>
                <w:color w:val="000000" w:themeColor="text1"/>
                <w:sz w:val="20"/>
                <w:szCs w:val="20"/>
                <w:rtl/>
              </w:rPr>
              <w:t xml:space="preserve">عدم اقتراح أي </w:t>
            </w:r>
            <w:r w:rsidR="000B2B98">
              <w:rPr>
                <w:rFonts w:hint="cs"/>
                <w:color w:val="000000" w:themeColor="text1"/>
                <w:sz w:val="20"/>
                <w:szCs w:val="20"/>
                <w:rtl/>
              </w:rPr>
              <w:t>ترقية</w:t>
            </w:r>
            <w:r>
              <w:rPr>
                <w:color w:val="000000" w:themeColor="text1"/>
                <w:sz w:val="20"/>
                <w:szCs w:val="20"/>
                <w:rtl/>
              </w:rPr>
              <w:t xml:space="preserve"> لرتب الوظائف القائمة واقتراح أدنى الرتب عند طلب</w:t>
            </w:r>
            <w:r w:rsidR="000B2B98">
              <w:rPr>
                <w:rFonts w:hint="cs"/>
                <w:color w:val="000000" w:themeColor="text1"/>
                <w:sz w:val="20"/>
                <w:szCs w:val="20"/>
                <w:rtl/>
              </w:rPr>
              <w:t xml:space="preserve"> استحداث</w:t>
            </w:r>
            <w:r>
              <w:rPr>
                <w:color w:val="000000" w:themeColor="text1"/>
                <w:sz w:val="20"/>
                <w:szCs w:val="20"/>
                <w:rtl/>
              </w:rPr>
              <w:t xml:space="preserve"> وظائف إضافية</w:t>
            </w:r>
          </w:p>
        </w:tc>
        <w:tc>
          <w:tcPr>
            <w:tcW w:w="7381" w:type="dxa"/>
            <w:tcMar>
              <w:top w:w="90" w:type="dxa"/>
              <w:left w:w="90" w:type="dxa"/>
              <w:bottom w:w="90" w:type="dxa"/>
              <w:right w:w="90" w:type="dxa"/>
            </w:tcMar>
            <w:vAlign w:val="center"/>
          </w:tcPr>
          <w:p w14:paraId="4936A09A" w14:textId="22D7C6F6" w:rsidR="008B78C3" w:rsidRPr="00113FD0" w:rsidRDefault="008B78C3" w:rsidP="002537BE">
            <w:pPr>
              <w:bidi/>
              <w:spacing w:before="40" w:after="40"/>
              <w:jc w:val="left"/>
              <w:rPr>
                <w:color w:val="000000" w:themeColor="text1"/>
                <w:sz w:val="20"/>
                <w:szCs w:val="20"/>
                <w:rtl/>
              </w:rPr>
            </w:pPr>
            <w:r>
              <w:rPr>
                <w:color w:val="000000" w:themeColor="text1"/>
                <w:sz w:val="20"/>
                <w:szCs w:val="20"/>
                <w:rtl/>
              </w:rPr>
              <w:t xml:space="preserve">لم </w:t>
            </w:r>
            <w:r w:rsidR="000B2B98">
              <w:rPr>
                <w:rFonts w:hint="cs"/>
                <w:color w:val="000000" w:themeColor="text1"/>
                <w:sz w:val="20"/>
                <w:szCs w:val="20"/>
                <w:rtl/>
              </w:rPr>
              <w:t>ت</w:t>
            </w:r>
            <w:r>
              <w:rPr>
                <w:color w:val="000000" w:themeColor="text1"/>
                <w:sz w:val="20"/>
                <w:szCs w:val="20"/>
                <w:rtl/>
              </w:rPr>
              <w:t xml:space="preserve">ُقترح أي </w:t>
            </w:r>
            <w:r w:rsidR="000B2B98">
              <w:rPr>
                <w:rFonts w:hint="cs"/>
                <w:color w:val="000000" w:themeColor="text1"/>
                <w:sz w:val="20"/>
                <w:szCs w:val="20"/>
                <w:rtl/>
              </w:rPr>
              <w:t>ترقيات</w:t>
            </w:r>
            <w:r>
              <w:rPr>
                <w:color w:val="000000" w:themeColor="text1"/>
                <w:sz w:val="20"/>
                <w:szCs w:val="20"/>
                <w:rtl/>
              </w:rPr>
              <w:t xml:space="preserve"> لرتب الوظائف القائمة </w:t>
            </w:r>
            <w:r w:rsidR="000B2B98">
              <w:rPr>
                <w:rFonts w:hint="cs"/>
                <w:color w:val="000000" w:themeColor="text1"/>
                <w:sz w:val="20"/>
                <w:szCs w:val="20"/>
                <w:rtl/>
              </w:rPr>
              <w:t>عند</w:t>
            </w:r>
            <w:r>
              <w:rPr>
                <w:color w:val="000000" w:themeColor="text1"/>
                <w:sz w:val="20"/>
                <w:szCs w:val="20"/>
                <w:rtl/>
              </w:rPr>
              <w:t xml:space="preserve"> تنفيذ توصيات الاستعراض الوظيفي، بما في ذلك إعداد الهيكل التنظيمي المنقح. و</w:t>
            </w:r>
            <w:r w:rsidR="002334C0">
              <w:rPr>
                <w:rFonts w:hint="cs"/>
                <w:color w:val="000000" w:themeColor="text1"/>
                <w:sz w:val="20"/>
                <w:szCs w:val="20"/>
                <w:rtl/>
              </w:rPr>
              <w:t>ب</w:t>
            </w:r>
            <w:r w:rsidR="000B2B98">
              <w:rPr>
                <w:rFonts w:hint="cs"/>
                <w:color w:val="000000" w:themeColor="text1"/>
                <w:sz w:val="20"/>
                <w:szCs w:val="20"/>
                <w:rtl/>
              </w:rPr>
              <w:t>الإشارة إلى أنه قد أضيفت</w:t>
            </w:r>
            <w:r>
              <w:rPr>
                <w:color w:val="000000" w:themeColor="text1"/>
                <w:sz w:val="20"/>
                <w:szCs w:val="20"/>
                <w:rtl/>
              </w:rPr>
              <w:t xml:space="preserve"> بعض المهام إلى الوظائف القائمة، يكفل هذا النهج أن تُعزى أي زيادة في ميزانية </w:t>
            </w:r>
            <w:r w:rsidR="000B2B98">
              <w:rPr>
                <w:rFonts w:hint="cs"/>
                <w:color w:val="000000" w:themeColor="text1"/>
                <w:sz w:val="20"/>
                <w:szCs w:val="20"/>
                <w:rtl/>
              </w:rPr>
              <w:t>التوظيف</w:t>
            </w:r>
            <w:r>
              <w:rPr>
                <w:color w:val="000000" w:themeColor="text1"/>
                <w:sz w:val="20"/>
                <w:szCs w:val="20"/>
                <w:rtl/>
              </w:rPr>
              <w:t xml:space="preserve"> حصرا إلى </w:t>
            </w:r>
            <w:r w:rsidR="000B2B98">
              <w:rPr>
                <w:rFonts w:hint="cs"/>
                <w:color w:val="000000" w:themeColor="text1"/>
                <w:sz w:val="20"/>
                <w:szCs w:val="20"/>
                <w:rtl/>
              </w:rPr>
              <w:t>استحداث</w:t>
            </w:r>
            <w:r>
              <w:rPr>
                <w:color w:val="000000" w:themeColor="text1"/>
                <w:sz w:val="20"/>
                <w:szCs w:val="20"/>
                <w:rtl/>
              </w:rPr>
              <w:t xml:space="preserve"> الوظائف الجديدة المقترحة وألا تنجم عن إعادة تصنيف الوظائف القائمة إلى رتب أعلى. </w:t>
            </w:r>
          </w:p>
        </w:tc>
      </w:tr>
      <w:tr w:rsidR="008B78C3" w:rsidRPr="00680BBA" w14:paraId="77D657D7" w14:textId="77777777" w:rsidTr="00DF3626">
        <w:trPr>
          <w:cantSplit/>
          <w:jc w:val="center"/>
        </w:trPr>
        <w:tc>
          <w:tcPr>
            <w:tcW w:w="1975" w:type="dxa"/>
            <w:tcMar>
              <w:top w:w="90" w:type="dxa"/>
              <w:left w:w="90" w:type="dxa"/>
              <w:bottom w:w="90" w:type="dxa"/>
              <w:right w:w="90" w:type="dxa"/>
            </w:tcMar>
            <w:vAlign w:val="center"/>
          </w:tcPr>
          <w:p w14:paraId="7E4C93F6" w14:textId="77777777" w:rsidR="008B78C3" w:rsidRPr="00680BBA" w:rsidRDefault="008B78C3" w:rsidP="002537BE">
            <w:pPr>
              <w:bidi/>
              <w:jc w:val="left"/>
              <w:rPr>
                <w:color w:val="000000" w:themeColor="text1"/>
                <w:sz w:val="20"/>
                <w:szCs w:val="20"/>
                <w:rtl/>
              </w:rPr>
            </w:pPr>
            <w:r>
              <w:rPr>
                <w:color w:val="000000" w:themeColor="text1"/>
                <w:sz w:val="20"/>
                <w:szCs w:val="20"/>
                <w:rtl/>
              </w:rPr>
              <w:t>جهود تفادي التكاليف</w:t>
            </w:r>
          </w:p>
        </w:tc>
        <w:tc>
          <w:tcPr>
            <w:tcW w:w="7381" w:type="dxa"/>
            <w:tcMar>
              <w:top w:w="90" w:type="dxa"/>
              <w:left w:w="90" w:type="dxa"/>
              <w:bottom w:w="90" w:type="dxa"/>
              <w:right w:w="90" w:type="dxa"/>
            </w:tcMar>
            <w:vAlign w:val="center"/>
          </w:tcPr>
          <w:p w14:paraId="5AD54252" w14:textId="53DE92B1" w:rsidR="008B78C3" w:rsidRDefault="008B78C3" w:rsidP="002537BE">
            <w:pPr>
              <w:bidi/>
              <w:spacing w:before="40" w:after="40"/>
              <w:jc w:val="left"/>
              <w:rPr>
                <w:color w:val="000000" w:themeColor="text1"/>
                <w:sz w:val="20"/>
                <w:szCs w:val="20"/>
                <w:rtl/>
              </w:rPr>
            </w:pPr>
            <w:r>
              <w:rPr>
                <w:color w:val="000000" w:themeColor="text1"/>
                <w:sz w:val="20"/>
                <w:szCs w:val="20"/>
                <w:rtl/>
              </w:rPr>
              <w:t xml:space="preserve">بصرف النظر عن الاستعراض الوظيفي، </w:t>
            </w:r>
            <w:r w:rsidR="002334C0">
              <w:rPr>
                <w:rFonts w:hint="cs"/>
                <w:color w:val="000000" w:themeColor="text1"/>
                <w:sz w:val="20"/>
                <w:szCs w:val="20"/>
                <w:rtl/>
              </w:rPr>
              <w:t>دأبت</w:t>
            </w:r>
            <w:r>
              <w:rPr>
                <w:color w:val="000000" w:themeColor="text1"/>
                <w:sz w:val="20"/>
                <w:szCs w:val="20"/>
                <w:rtl/>
              </w:rPr>
              <w:t xml:space="preserve"> الأمانة </w:t>
            </w:r>
            <w:r w:rsidR="002334C0">
              <w:rPr>
                <w:rFonts w:hint="cs"/>
                <w:color w:val="000000" w:themeColor="text1"/>
                <w:sz w:val="20"/>
                <w:szCs w:val="20"/>
                <w:rtl/>
              </w:rPr>
              <w:t>على بذل</w:t>
            </w:r>
            <w:r>
              <w:rPr>
                <w:color w:val="000000" w:themeColor="text1"/>
                <w:sz w:val="20"/>
                <w:szCs w:val="20"/>
                <w:rtl/>
              </w:rPr>
              <w:t xml:space="preserve"> جهود لتفادي التكاليف في مجالات </w:t>
            </w:r>
            <w:r w:rsidR="002334C0">
              <w:rPr>
                <w:rFonts w:hint="cs"/>
                <w:color w:val="000000" w:themeColor="text1"/>
                <w:sz w:val="20"/>
                <w:szCs w:val="20"/>
                <w:rtl/>
              </w:rPr>
              <w:t>من بينها</w:t>
            </w:r>
            <w:r>
              <w:rPr>
                <w:color w:val="000000" w:themeColor="text1"/>
                <w:sz w:val="20"/>
                <w:szCs w:val="20"/>
                <w:rtl/>
              </w:rPr>
              <w:t xml:space="preserve"> ما يلي:</w:t>
            </w:r>
          </w:p>
          <w:p w14:paraId="425E2AAA" w14:textId="32E79913" w:rsidR="008B78C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bidi/>
              <w:spacing w:before="40" w:after="40"/>
              <w:jc w:val="left"/>
              <w:rPr>
                <w:color w:val="000000" w:themeColor="text1"/>
                <w:sz w:val="20"/>
                <w:szCs w:val="20"/>
                <w:rtl/>
              </w:rPr>
            </w:pPr>
            <w:r>
              <w:rPr>
                <w:color w:val="000000" w:themeColor="text1"/>
                <w:sz w:val="20"/>
                <w:szCs w:val="20"/>
                <w:rtl/>
              </w:rPr>
              <w:t xml:space="preserve">تفادي التكاليف المتصلة بالسفر لحضور الاجتماعات الحضورية، إذا توافر خيار بديل للحضور </w:t>
            </w:r>
            <w:r w:rsidR="002334C0">
              <w:rPr>
                <w:rFonts w:hint="cs"/>
                <w:color w:val="000000" w:themeColor="text1"/>
                <w:sz w:val="20"/>
                <w:szCs w:val="20"/>
                <w:rtl/>
              </w:rPr>
              <w:t>والمشاركة</w:t>
            </w:r>
            <w:r>
              <w:rPr>
                <w:color w:val="000000" w:themeColor="text1"/>
                <w:sz w:val="20"/>
                <w:szCs w:val="20"/>
                <w:rtl/>
              </w:rPr>
              <w:t xml:space="preserve"> وتقديم العروض عبر الإنترنت</w:t>
            </w:r>
            <w:r w:rsidR="002334C0">
              <w:rPr>
                <w:rFonts w:hint="cs"/>
                <w:color w:val="000000" w:themeColor="text1"/>
                <w:sz w:val="20"/>
                <w:szCs w:val="20"/>
                <w:rtl/>
              </w:rPr>
              <w:t>.</w:t>
            </w:r>
          </w:p>
          <w:p w14:paraId="3197A4A9" w14:textId="791B1DA8" w:rsidR="008B78C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bidi/>
              <w:spacing w:before="40" w:after="40"/>
              <w:jc w:val="left"/>
              <w:rPr>
                <w:color w:val="000000" w:themeColor="text1"/>
                <w:sz w:val="20"/>
                <w:szCs w:val="20"/>
                <w:rtl/>
              </w:rPr>
            </w:pPr>
            <w:r>
              <w:rPr>
                <w:color w:val="000000" w:themeColor="text1"/>
                <w:sz w:val="20"/>
                <w:szCs w:val="20"/>
                <w:rtl/>
              </w:rPr>
              <w:t xml:space="preserve">تفادي التكاليف المتصلة بتنظيم الاجتماعات الحضورية، إذا توافر خيار بديل لتنظيم </w:t>
            </w:r>
            <w:r w:rsidR="002334C0">
              <w:rPr>
                <w:rFonts w:hint="cs"/>
                <w:color w:val="000000" w:themeColor="text1"/>
                <w:sz w:val="20"/>
                <w:szCs w:val="20"/>
                <w:rtl/>
              </w:rPr>
              <w:t>ال</w:t>
            </w:r>
            <w:r>
              <w:rPr>
                <w:color w:val="000000" w:themeColor="text1"/>
                <w:sz w:val="20"/>
                <w:szCs w:val="20"/>
                <w:rtl/>
              </w:rPr>
              <w:t>اجتماع</w:t>
            </w:r>
            <w:r w:rsidR="002334C0">
              <w:rPr>
                <w:rFonts w:hint="cs"/>
                <w:color w:val="000000" w:themeColor="text1"/>
                <w:sz w:val="20"/>
                <w:szCs w:val="20"/>
                <w:rtl/>
              </w:rPr>
              <w:t>ات</w:t>
            </w:r>
            <w:r>
              <w:rPr>
                <w:color w:val="000000" w:themeColor="text1"/>
                <w:sz w:val="20"/>
                <w:szCs w:val="20"/>
                <w:rtl/>
              </w:rPr>
              <w:t xml:space="preserve"> عبر الإنترنت دون </w:t>
            </w:r>
            <w:r w:rsidR="002334C0">
              <w:rPr>
                <w:rFonts w:hint="cs"/>
                <w:color w:val="000000" w:themeColor="text1"/>
                <w:sz w:val="20"/>
                <w:szCs w:val="20"/>
                <w:rtl/>
              </w:rPr>
              <w:t>التأثير على</w:t>
            </w:r>
            <w:r>
              <w:rPr>
                <w:color w:val="000000" w:themeColor="text1"/>
                <w:sz w:val="20"/>
                <w:szCs w:val="20"/>
                <w:rtl/>
              </w:rPr>
              <w:t xml:space="preserve"> المشاركة </w:t>
            </w:r>
            <w:r w:rsidR="002334C0">
              <w:rPr>
                <w:rFonts w:hint="cs"/>
                <w:color w:val="000000" w:themeColor="text1"/>
                <w:sz w:val="20"/>
                <w:szCs w:val="20"/>
                <w:rtl/>
              </w:rPr>
              <w:t>المتكافئة بين</w:t>
            </w:r>
            <w:r>
              <w:rPr>
                <w:color w:val="000000" w:themeColor="text1"/>
                <w:sz w:val="20"/>
                <w:szCs w:val="20"/>
                <w:rtl/>
              </w:rPr>
              <w:t xml:space="preserve"> مختلف الأقاليم ومجموعات الجهات المعنية</w:t>
            </w:r>
          </w:p>
          <w:p w14:paraId="431DD3DD" w14:textId="4206A682" w:rsidR="00CB5AE0" w:rsidRDefault="00CB5AE0"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bidi/>
              <w:spacing w:before="40" w:after="40"/>
              <w:jc w:val="left"/>
              <w:rPr>
                <w:color w:val="000000" w:themeColor="text1"/>
                <w:sz w:val="20"/>
                <w:szCs w:val="20"/>
                <w:rtl/>
              </w:rPr>
            </w:pPr>
            <w:r>
              <w:rPr>
                <w:color w:val="000000" w:themeColor="text1"/>
                <w:sz w:val="20"/>
                <w:szCs w:val="20"/>
                <w:rtl/>
              </w:rPr>
              <w:t>خفض عدد موظفي الدعم المرافقين لكبار المديرين</w:t>
            </w:r>
          </w:p>
          <w:p w14:paraId="2194A643" w14:textId="5375509D" w:rsidR="008B78C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bidi/>
              <w:spacing w:before="40" w:after="40"/>
              <w:jc w:val="left"/>
              <w:rPr>
                <w:color w:val="000000" w:themeColor="text1"/>
                <w:sz w:val="20"/>
                <w:szCs w:val="20"/>
                <w:rtl/>
              </w:rPr>
            </w:pPr>
            <w:r>
              <w:rPr>
                <w:color w:val="000000" w:themeColor="text1"/>
                <w:sz w:val="20"/>
                <w:szCs w:val="20"/>
                <w:rtl/>
              </w:rPr>
              <w:t xml:space="preserve">الخفض الطوعي لدرجة تذاكر السفر الجوي، إذا كان هذا الخفض لا يؤثر </w:t>
            </w:r>
            <w:r w:rsidR="002334C0">
              <w:rPr>
                <w:rFonts w:hint="cs"/>
                <w:color w:val="000000" w:themeColor="text1"/>
                <w:sz w:val="20"/>
                <w:szCs w:val="20"/>
                <w:rtl/>
              </w:rPr>
              <w:t>على</w:t>
            </w:r>
            <w:r>
              <w:rPr>
                <w:color w:val="000000" w:themeColor="text1"/>
                <w:sz w:val="20"/>
                <w:szCs w:val="20"/>
                <w:rtl/>
              </w:rPr>
              <w:t xml:space="preserve"> صحة</w:t>
            </w:r>
            <w:r w:rsidR="002334C0">
              <w:rPr>
                <w:rFonts w:hint="cs"/>
                <w:color w:val="000000" w:themeColor="text1"/>
                <w:sz w:val="20"/>
                <w:szCs w:val="20"/>
                <w:rtl/>
              </w:rPr>
              <w:t xml:space="preserve"> وسلامة</w:t>
            </w:r>
            <w:r>
              <w:rPr>
                <w:color w:val="000000" w:themeColor="text1"/>
                <w:sz w:val="20"/>
                <w:szCs w:val="20"/>
                <w:rtl/>
              </w:rPr>
              <w:t xml:space="preserve"> الموظفين المسافرين لتقديم خدمات الاجتماعات أو للمشاركة في مناقشات</w:t>
            </w:r>
            <w:r w:rsidR="002334C0">
              <w:rPr>
                <w:rFonts w:hint="cs"/>
                <w:color w:val="000000" w:themeColor="text1"/>
                <w:sz w:val="20"/>
                <w:szCs w:val="20"/>
                <w:rtl/>
              </w:rPr>
              <w:t>ها</w:t>
            </w:r>
          </w:p>
          <w:p w14:paraId="5EBB1B06" w14:textId="71147A62" w:rsidR="008B78C3" w:rsidRDefault="0005759A"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bidi/>
              <w:spacing w:before="40" w:after="40"/>
              <w:jc w:val="left"/>
              <w:rPr>
                <w:color w:val="000000" w:themeColor="text1"/>
                <w:sz w:val="20"/>
                <w:szCs w:val="20"/>
                <w:rtl/>
              </w:rPr>
            </w:pPr>
            <w:r>
              <w:rPr>
                <w:color w:val="000000" w:themeColor="text1"/>
                <w:sz w:val="20"/>
                <w:szCs w:val="20"/>
                <w:rtl/>
              </w:rPr>
              <w:t xml:space="preserve">تقديم إرشادات </w:t>
            </w:r>
            <w:r w:rsidR="002334C0">
              <w:rPr>
                <w:rFonts w:hint="cs"/>
                <w:color w:val="000000" w:themeColor="text1"/>
                <w:sz w:val="20"/>
                <w:szCs w:val="20"/>
                <w:rtl/>
              </w:rPr>
              <w:t>واضحة</w:t>
            </w:r>
            <w:r>
              <w:rPr>
                <w:color w:val="000000" w:themeColor="text1"/>
                <w:sz w:val="20"/>
                <w:szCs w:val="20"/>
                <w:rtl/>
              </w:rPr>
              <w:t xml:space="preserve"> إلى الموظفين لتقلي</w:t>
            </w:r>
            <w:r w:rsidR="00E12243">
              <w:rPr>
                <w:rFonts w:hint="cs"/>
                <w:color w:val="000000" w:themeColor="text1"/>
                <w:sz w:val="20"/>
                <w:szCs w:val="20"/>
                <w:rtl/>
              </w:rPr>
              <w:t>ل</w:t>
            </w:r>
            <w:r>
              <w:rPr>
                <w:color w:val="000000" w:themeColor="text1"/>
                <w:sz w:val="20"/>
                <w:szCs w:val="20"/>
                <w:rtl/>
              </w:rPr>
              <w:t xml:space="preserve"> طول وثائق الاجتماعات قدر الإمكان، </w:t>
            </w:r>
            <w:r w:rsidR="00E12243">
              <w:rPr>
                <w:rFonts w:hint="cs"/>
                <w:color w:val="000000" w:themeColor="text1"/>
                <w:sz w:val="20"/>
                <w:szCs w:val="20"/>
                <w:rtl/>
              </w:rPr>
              <w:t>ل</w:t>
            </w:r>
            <w:r>
              <w:rPr>
                <w:color w:val="000000" w:themeColor="text1"/>
                <w:sz w:val="20"/>
                <w:szCs w:val="20"/>
                <w:rtl/>
              </w:rPr>
              <w:t>لتقليل إلى أدنى حد من تكاليف التحرير والترجمة</w:t>
            </w:r>
          </w:p>
          <w:p w14:paraId="4B08A858" w14:textId="465CA6A5" w:rsidR="008B78C3" w:rsidRDefault="00E1224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bidi/>
              <w:spacing w:before="40" w:after="40"/>
              <w:jc w:val="left"/>
              <w:rPr>
                <w:color w:val="000000" w:themeColor="text1"/>
                <w:sz w:val="20"/>
                <w:szCs w:val="20"/>
                <w:rtl/>
              </w:rPr>
            </w:pPr>
            <w:r>
              <w:rPr>
                <w:rFonts w:hint="cs"/>
                <w:color w:val="000000" w:themeColor="text1"/>
                <w:sz w:val="20"/>
                <w:szCs w:val="20"/>
                <w:rtl/>
              </w:rPr>
              <w:t>تعزيز</w:t>
            </w:r>
            <w:r w:rsidR="008B78C3">
              <w:rPr>
                <w:color w:val="000000" w:themeColor="text1"/>
                <w:sz w:val="20"/>
                <w:szCs w:val="20"/>
                <w:rtl/>
              </w:rPr>
              <w:t xml:space="preserve"> رقابة فريق الإدارة العليا على الكفاءة </w:t>
            </w:r>
            <w:r>
              <w:rPr>
                <w:rFonts w:hint="cs"/>
                <w:color w:val="000000" w:themeColor="text1"/>
                <w:sz w:val="20"/>
                <w:szCs w:val="20"/>
                <w:rtl/>
              </w:rPr>
              <w:t>والالتزام بالمواعيد النهائية</w:t>
            </w:r>
            <w:r w:rsidR="008B78C3">
              <w:rPr>
                <w:color w:val="000000" w:themeColor="text1"/>
                <w:sz w:val="20"/>
                <w:szCs w:val="20"/>
                <w:rtl/>
              </w:rPr>
              <w:t xml:space="preserve"> وتدابير تفادي التكاليف</w:t>
            </w:r>
          </w:p>
          <w:p w14:paraId="262F18C7" w14:textId="46E9A9CE" w:rsidR="008B78C3" w:rsidRPr="006E7187" w:rsidRDefault="00E1224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bidi/>
              <w:spacing w:before="40" w:after="40"/>
              <w:jc w:val="left"/>
              <w:rPr>
                <w:color w:val="000000" w:themeColor="text1"/>
                <w:sz w:val="20"/>
                <w:szCs w:val="20"/>
                <w:rtl/>
              </w:rPr>
            </w:pPr>
            <w:r>
              <w:rPr>
                <w:rFonts w:hint="cs"/>
                <w:color w:val="000000" w:themeColor="text1"/>
                <w:sz w:val="20"/>
                <w:szCs w:val="20"/>
                <w:rtl/>
              </w:rPr>
              <w:t>اضطلاع</w:t>
            </w:r>
            <w:r w:rsidR="008B78C3">
              <w:rPr>
                <w:color w:val="000000" w:themeColor="text1"/>
                <w:sz w:val="20"/>
                <w:szCs w:val="20"/>
                <w:rtl/>
              </w:rPr>
              <w:t xml:space="preserve"> الفريق الإداري </w:t>
            </w:r>
            <w:r>
              <w:rPr>
                <w:rFonts w:hint="cs"/>
                <w:color w:val="000000" w:themeColor="text1"/>
                <w:sz w:val="20"/>
                <w:szCs w:val="20"/>
                <w:rtl/>
              </w:rPr>
              <w:t>ب</w:t>
            </w:r>
            <w:r w:rsidR="008B78C3">
              <w:rPr>
                <w:color w:val="000000" w:themeColor="text1"/>
                <w:sz w:val="20"/>
                <w:szCs w:val="20"/>
                <w:rtl/>
              </w:rPr>
              <w:t xml:space="preserve">عبء العمل الإضافي مع الحفاظ على مستويات </w:t>
            </w:r>
            <w:r>
              <w:rPr>
                <w:rFonts w:hint="cs"/>
                <w:color w:val="000000" w:themeColor="text1"/>
                <w:sz w:val="20"/>
                <w:szCs w:val="20"/>
                <w:rtl/>
              </w:rPr>
              <w:t>التوظيف</w:t>
            </w:r>
            <w:r w:rsidR="008B78C3">
              <w:rPr>
                <w:color w:val="000000" w:themeColor="text1"/>
                <w:sz w:val="20"/>
                <w:szCs w:val="20"/>
                <w:rtl/>
              </w:rPr>
              <w:t xml:space="preserve"> القائمة وضبط التكاليف الإدارية رغم الاجتماعات الإضافية التي عُقدت في عام 2026، </w:t>
            </w:r>
            <w:r>
              <w:rPr>
                <w:rFonts w:hint="cs"/>
                <w:color w:val="000000" w:themeColor="text1"/>
                <w:sz w:val="20"/>
                <w:szCs w:val="20"/>
                <w:rtl/>
              </w:rPr>
              <w:t>والتي أسفرت</w:t>
            </w:r>
            <w:r w:rsidR="008B78C3">
              <w:rPr>
                <w:color w:val="000000" w:themeColor="text1"/>
                <w:sz w:val="20"/>
                <w:szCs w:val="20"/>
                <w:rtl/>
              </w:rPr>
              <w:t xml:space="preserve"> عن زيادة ترتيبات السفر وال</w:t>
            </w:r>
            <w:r>
              <w:rPr>
                <w:rFonts w:hint="cs"/>
                <w:color w:val="000000" w:themeColor="text1"/>
                <w:sz w:val="20"/>
                <w:szCs w:val="20"/>
                <w:rtl/>
              </w:rPr>
              <w:t>خدمات اللوجيستية</w:t>
            </w:r>
            <w:r w:rsidR="008B78C3">
              <w:rPr>
                <w:color w:val="000000" w:themeColor="text1"/>
                <w:sz w:val="20"/>
                <w:szCs w:val="20"/>
                <w:rtl/>
              </w:rPr>
              <w:t xml:space="preserve"> والعقود اللازمة لدعم تلك الاجتماعات </w:t>
            </w:r>
          </w:p>
        </w:tc>
      </w:tr>
      <w:tr w:rsidR="008B78C3" w:rsidRPr="004146D3" w14:paraId="5F1BC830" w14:textId="77777777" w:rsidTr="00DF3626">
        <w:trPr>
          <w:cantSplit/>
          <w:jc w:val="center"/>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vAlign w:val="center"/>
          </w:tcPr>
          <w:p w14:paraId="74F4D33B" w14:textId="77777777" w:rsidR="008B78C3" w:rsidRPr="00680BBA" w:rsidRDefault="008B78C3" w:rsidP="002537BE">
            <w:pPr>
              <w:bidi/>
              <w:jc w:val="left"/>
              <w:rPr>
                <w:color w:val="000000" w:themeColor="text1"/>
                <w:sz w:val="20"/>
                <w:szCs w:val="20"/>
                <w:rtl/>
              </w:rPr>
            </w:pPr>
            <w:r>
              <w:rPr>
                <w:color w:val="000000" w:themeColor="text1"/>
                <w:sz w:val="20"/>
                <w:szCs w:val="20"/>
                <w:rtl/>
              </w:rPr>
              <w:lastRenderedPageBreak/>
              <w:t xml:space="preserve">تدريب الموظفين ورعايتهم </w:t>
            </w:r>
          </w:p>
        </w:tc>
        <w:tc>
          <w:tcPr>
            <w:tcW w:w="73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vAlign w:val="center"/>
          </w:tcPr>
          <w:p w14:paraId="6F586FA6" w14:textId="31AC50BD" w:rsidR="008B78C3" w:rsidRDefault="008B78C3" w:rsidP="002537BE">
            <w:pPr>
              <w:bidi/>
              <w:spacing w:before="40" w:after="40"/>
              <w:jc w:val="left"/>
              <w:rPr>
                <w:color w:val="000000" w:themeColor="text1"/>
                <w:sz w:val="20"/>
                <w:szCs w:val="20"/>
                <w:rtl/>
              </w:rPr>
            </w:pPr>
            <w:r>
              <w:rPr>
                <w:color w:val="000000" w:themeColor="text1"/>
                <w:sz w:val="20"/>
                <w:szCs w:val="20"/>
                <w:rtl/>
              </w:rPr>
              <w:t xml:space="preserve">كان الاستعراض الوظيفي يرمي إلى </w:t>
            </w:r>
            <w:r w:rsidR="00E12243">
              <w:rPr>
                <w:rFonts w:hint="cs"/>
                <w:color w:val="000000" w:themeColor="text1"/>
                <w:sz w:val="20"/>
                <w:szCs w:val="20"/>
                <w:rtl/>
              </w:rPr>
              <w:t>تشكيل</w:t>
            </w:r>
            <w:r>
              <w:rPr>
                <w:color w:val="000000" w:themeColor="text1"/>
                <w:sz w:val="20"/>
                <w:szCs w:val="20"/>
                <w:rtl/>
              </w:rPr>
              <w:t xml:space="preserve"> أفرقة تعمل </w:t>
            </w:r>
            <w:r w:rsidR="00D97724">
              <w:rPr>
                <w:rFonts w:hint="cs"/>
                <w:color w:val="000000" w:themeColor="text1"/>
                <w:sz w:val="20"/>
                <w:szCs w:val="20"/>
                <w:rtl/>
              </w:rPr>
              <w:t>بفعالية أكبر</w:t>
            </w:r>
            <w:r>
              <w:rPr>
                <w:color w:val="000000" w:themeColor="text1"/>
                <w:sz w:val="20"/>
                <w:szCs w:val="20"/>
                <w:rtl/>
              </w:rPr>
              <w:t xml:space="preserve">. </w:t>
            </w:r>
            <w:r w:rsidR="00D97724">
              <w:rPr>
                <w:rFonts w:hint="cs"/>
                <w:color w:val="000000" w:themeColor="text1"/>
                <w:sz w:val="20"/>
                <w:szCs w:val="20"/>
                <w:rtl/>
              </w:rPr>
              <w:t xml:space="preserve">ودأبت الأمانة أيضا على العمل على </w:t>
            </w:r>
            <w:r>
              <w:rPr>
                <w:color w:val="000000" w:themeColor="text1"/>
                <w:sz w:val="20"/>
                <w:szCs w:val="20"/>
                <w:rtl/>
              </w:rPr>
              <w:t>تحسين الكفاءة من خلال ما يلي:</w:t>
            </w:r>
          </w:p>
          <w:p w14:paraId="2EC01ED4" w14:textId="60D6874C" w:rsidR="008B78C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bidi/>
              <w:spacing w:before="40" w:after="40"/>
              <w:jc w:val="left"/>
              <w:rPr>
                <w:color w:val="000000" w:themeColor="text1"/>
                <w:sz w:val="20"/>
                <w:szCs w:val="20"/>
                <w:rtl/>
              </w:rPr>
            </w:pPr>
            <w:r>
              <w:rPr>
                <w:color w:val="000000" w:themeColor="text1"/>
                <w:sz w:val="20"/>
                <w:szCs w:val="20"/>
                <w:rtl/>
              </w:rPr>
              <w:t>توفير التدريب والإرشاد للموظفين بشأن استخدام أدوات الذكاء الاصطناعي</w:t>
            </w:r>
          </w:p>
          <w:p w14:paraId="1B6B77AB" w14:textId="4D09D35C" w:rsidR="008B78C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bidi/>
              <w:spacing w:before="40" w:after="40"/>
              <w:jc w:val="left"/>
              <w:rPr>
                <w:color w:val="000000" w:themeColor="text1"/>
                <w:sz w:val="20"/>
                <w:szCs w:val="20"/>
                <w:rtl/>
              </w:rPr>
            </w:pPr>
            <w:r>
              <w:rPr>
                <w:color w:val="000000" w:themeColor="text1"/>
                <w:sz w:val="20"/>
                <w:szCs w:val="20"/>
                <w:rtl/>
              </w:rPr>
              <w:t>استعراض وتبسيط "اختصاصات" كل موظف لضمان وضوح</w:t>
            </w:r>
            <w:r w:rsidR="00D97724">
              <w:rPr>
                <w:rFonts w:hint="cs"/>
                <w:color w:val="000000" w:themeColor="text1"/>
                <w:sz w:val="20"/>
                <w:szCs w:val="20"/>
                <w:rtl/>
              </w:rPr>
              <w:t xml:space="preserve"> المهام</w:t>
            </w:r>
            <w:r>
              <w:rPr>
                <w:color w:val="000000" w:themeColor="text1"/>
                <w:sz w:val="20"/>
                <w:szCs w:val="20"/>
                <w:rtl/>
              </w:rPr>
              <w:t xml:space="preserve"> والنواتج </w:t>
            </w:r>
            <w:r w:rsidR="00D97724">
              <w:rPr>
                <w:rFonts w:hint="cs"/>
                <w:color w:val="000000" w:themeColor="text1"/>
                <w:sz w:val="20"/>
                <w:szCs w:val="20"/>
                <w:rtl/>
              </w:rPr>
              <w:t>المتوقعة</w:t>
            </w:r>
          </w:p>
          <w:p w14:paraId="04DAADFF" w14:textId="2F97909B" w:rsidR="008B78C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bidi/>
              <w:spacing w:before="40" w:after="40"/>
              <w:jc w:val="left"/>
              <w:rPr>
                <w:color w:val="000000" w:themeColor="text1"/>
                <w:sz w:val="20"/>
                <w:szCs w:val="20"/>
                <w:rtl/>
              </w:rPr>
            </w:pPr>
            <w:r>
              <w:rPr>
                <w:color w:val="000000" w:themeColor="text1"/>
                <w:sz w:val="20"/>
                <w:szCs w:val="20"/>
                <w:rtl/>
              </w:rPr>
              <w:t>تعزيز استخدام أدوات الأمم المتحدة لإدارة الأداء</w:t>
            </w:r>
          </w:p>
          <w:p w14:paraId="5451BF11" w14:textId="4FA2DCB8" w:rsidR="008B78C3" w:rsidRPr="004146D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bidi/>
              <w:spacing w:before="40" w:after="40"/>
              <w:jc w:val="left"/>
              <w:rPr>
                <w:color w:val="000000" w:themeColor="text1"/>
                <w:sz w:val="20"/>
                <w:szCs w:val="20"/>
                <w:rtl/>
              </w:rPr>
            </w:pPr>
            <w:r>
              <w:rPr>
                <w:color w:val="000000" w:themeColor="text1"/>
                <w:sz w:val="20"/>
                <w:szCs w:val="20"/>
                <w:rtl/>
              </w:rPr>
              <w:t xml:space="preserve">تعزيز التعاون </w:t>
            </w:r>
            <w:r w:rsidR="00D97724">
              <w:rPr>
                <w:rFonts w:hint="cs"/>
                <w:color w:val="000000" w:themeColor="text1"/>
                <w:sz w:val="20"/>
                <w:szCs w:val="20"/>
                <w:rtl/>
              </w:rPr>
              <w:t>عبر وحدات</w:t>
            </w:r>
            <w:r>
              <w:rPr>
                <w:color w:val="000000" w:themeColor="text1"/>
                <w:sz w:val="20"/>
                <w:szCs w:val="20"/>
                <w:rtl/>
              </w:rPr>
              <w:t xml:space="preserve"> الأمانة (</w:t>
            </w:r>
            <w:r w:rsidR="00D97724">
              <w:rPr>
                <w:rFonts w:hint="cs"/>
                <w:color w:val="000000" w:themeColor="text1"/>
                <w:sz w:val="20"/>
                <w:szCs w:val="20"/>
                <w:rtl/>
              </w:rPr>
              <w:t>على سبيل المثال،</w:t>
            </w:r>
            <w:r>
              <w:rPr>
                <w:color w:val="000000" w:themeColor="text1"/>
                <w:sz w:val="20"/>
                <w:szCs w:val="20"/>
                <w:rtl/>
              </w:rPr>
              <w:t xml:space="preserve"> قدم </w:t>
            </w:r>
            <w:r w:rsidR="00D97724">
              <w:rPr>
                <w:rFonts w:hint="cs"/>
                <w:color w:val="000000" w:themeColor="text1"/>
                <w:sz w:val="20"/>
                <w:szCs w:val="20"/>
                <w:rtl/>
              </w:rPr>
              <w:t>معظم</w:t>
            </w:r>
            <w:r>
              <w:rPr>
                <w:color w:val="000000" w:themeColor="text1"/>
                <w:sz w:val="20"/>
                <w:szCs w:val="20"/>
                <w:rtl/>
              </w:rPr>
              <w:t xml:space="preserve"> الموظفين في جميع الوحدات الفني</w:t>
            </w:r>
            <w:r w:rsidR="00D97724">
              <w:rPr>
                <w:rFonts w:hint="cs"/>
                <w:color w:val="000000" w:themeColor="text1"/>
                <w:sz w:val="20"/>
                <w:szCs w:val="20"/>
                <w:rtl/>
              </w:rPr>
              <w:t>ة</w:t>
            </w:r>
            <w:r>
              <w:rPr>
                <w:color w:val="000000" w:themeColor="text1"/>
                <w:sz w:val="20"/>
                <w:szCs w:val="20"/>
                <w:rtl/>
              </w:rPr>
              <w:t xml:space="preserve"> </w:t>
            </w:r>
            <w:r w:rsidR="00D97724">
              <w:rPr>
                <w:rFonts w:hint="cs"/>
                <w:color w:val="000000" w:themeColor="text1"/>
                <w:sz w:val="20"/>
                <w:szCs w:val="20"/>
                <w:rtl/>
              </w:rPr>
              <w:t>مساهمات</w:t>
            </w:r>
            <w:r>
              <w:rPr>
                <w:color w:val="000000" w:themeColor="text1"/>
                <w:sz w:val="20"/>
                <w:szCs w:val="20"/>
                <w:rtl/>
              </w:rPr>
              <w:t xml:space="preserve"> محددة في التقرير العالمي عن التقدم الجماعي المحرز في تنفيذ الإطار)</w:t>
            </w:r>
          </w:p>
        </w:tc>
      </w:tr>
    </w:tbl>
    <w:p w14:paraId="53FFD311" w14:textId="56F31C2E" w:rsidR="008B78C3" w:rsidRPr="00FA1420" w:rsidRDefault="008B78C3" w:rsidP="00BB4E5D">
      <w:pPr>
        <w:pStyle w:val="CBDNormalNumber"/>
        <w:bidi/>
        <w:rPr>
          <w:rFonts w:eastAsiaTheme="minorEastAsia"/>
          <w:kern w:val="2"/>
          <w:sz w:val="20"/>
          <w:szCs w:val="24"/>
          <w:rtl/>
          <w:lang w:val="en-CA" w:eastAsia="zh-CN"/>
          <w14:ligatures w14:val="standardContextual"/>
        </w:rPr>
      </w:pPr>
      <w:r w:rsidRPr="00FA1420">
        <w:rPr>
          <w:sz w:val="20"/>
          <w:szCs w:val="24"/>
          <w:u w:color="000000"/>
          <w:rtl/>
          <w:lang w:eastAsia="ko-KR"/>
        </w:rPr>
        <w:t>و</w:t>
      </w:r>
      <w:r w:rsidR="00D97724" w:rsidRPr="00FA1420">
        <w:rPr>
          <w:rFonts w:hint="cs"/>
          <w:sz w:val="20"/>
          <w:szCs w:val="24"/>
          <w:u w:color="000000"/>
          <w:rtl/>
          <w:lang w:eastAsia="ko-KR"/>
        </w:rPr>
        <w:t>تشمل بعض</w:t>
      </w:r>
      <w:r w:rsidRPr="00FA1420">
        <w:rPr>
          <w:sz w:val="20"/>
          <w:szCs w:val="24"/>
          <w:u w:color="000000"/>
          <w:rtl/>
          <w:lang w:eastAsia="ko-KR"/>
        </w:rPr>
        <w:t xml:space="preserve"> أمثلة </w:t>
      </w:r>
      <w:r w:rsidR="00D97724" w:rsidRPr="00FA1420">
        <w:rPr>
          <w:rFonts w:hint="cs"/>
          <w:sz w:val="20"/>
          <w:szCs w:val="24"/>
          <w:u w:color="000000"/>
          <w:rtl/>
          <w:lang w:eastAsia="ko-KR"/>
        </w:rPr>
        <w:t>مكاسب</w:t>
      </w:r>
      <w:r w:rsidRPr="00FA1420">
        <w:rPr>
          <w:sz w:val="20"/>
          <w:szCs w:val="24"/>
          <w:u w:color="000000"/>
          <w:rtl/>
          <w:lang w:eastAsia="ko-KR"/>
        </w:rPr>
        <w:t xml:space="preserve"> الكفاءة المتحققة من خلال إعادة </w:t>
      </w:r>
      <w:r w:rsidR="00D97724" w:rsidRPr="00FA1420">
        <w:rPr>
          <w:rFonts w:hint="cs"/>
          <w:sz w:val="20"/>
          <w:szCs w:val="24"/>
          <w:u w:color="000000"/>
          <w:rtl/>
          <w:lang w:eastAsia="ko-KR"/>
        </w:rPr>
        <w:t>الهيكلة التنظيمية</w:t>
      </w:r>
      <w:r w:rsidRPr="00FA1420">
        <w:rPr>
          <w:sz w:val="20"/>
          <w:szCs w:val="24"/>
          <w:u w:color="000000"/>
          <w:rtl/>
          <w:lang w:eastAsia="ko-KR"/>
        </w:rPr>
        <w:t xml:space="preserve"> للأمانة </w:t>
      </w:r>
      <w:r w:rsidR="00D97724" w:rsidRPr="00FA1420">
        <w:rPr>
          <w:rFonts w:hint="cs"/>
          <w:sz w:val="20"/>
          <w:szCs w:val="24"/>
          <w:u w:color="000000"/>
          <w:rtl/>
          <w:lang w:eastAsia="ko-KR"/>
        </w:rPr>
        <w:t>كجزء من</w:t>
      </w:r>
      <w:r w:rsidRPr="00FA1420">
        <w:rPr>
          <w:sz w:val="20"/>
          <w:szCs w:val="24"/>
          <w:u w:color="000000"/>
          <w:rtl/>
          <w:lang w:eastAsia="ko-KR"/>
        </w:rPr>
        <w:t xml:space="preserve"> تنفيذ الاستعراض الوظيفي ل</w:t>
      </w:r>
      <w:r w:rsidR="00C4473A" w:rsidRPr="00FA1420">
        <w:rPr>
          <w:rFonts w:hint="cs"/>
          <w:sz w:val="20"/>
          <w:szCs w:val="24"/>
          <w:u w:color="000000"/>
          <w:rtl/>
          <w:lang w:eastAsia="ko-KR"/>
        </w:rPr>
        <w:t>ها،</w:t>
      </w:r>
      <w:r w:rsidRPr="00FA1420">
        <w:rPr>
          <w:sz w:val="20"/>
          <w:szCs w:val="24"/>
          <w:u w:color="000000"/>
          <w:rtl/>
          <w:lang w:eastAsia="ko-KR"/>
        </w:rPr>
        <w:t xml:space="preserve"> الفوائد المتصلة بتبسيط</w:t>
      </w:r>
      <w:r w:rsidR="00C4473A" w:rsidRPr="00FA1420">
        <w:rPr>
          <w:rFonts w:hint="cs"/>
          <w:sz w:val="20"/>
          <w:szCs w:val="24"/>
          <w:u w:color="000000"/>
          <w:rtl/>
          <w:lang w:eastAsia="ko-KR"/>
        </w:rPr>
        <w:t xml:space="preserve"> الإجراءات</w:t>
      </w:r>
      <w:r w:rsidRPr="00FA1420">
        <w:rPr>
          <w:sz w:val="20"/>
          <w:szCs w:val="24"/>
          <w:u w:color="000000"/>
          <w:rtl/>
          <w:lang w:eastAsia="ko-KR"/>
        </w:rPr>
        <w:t xml:space="preserve"> </w:t>
      </w:r>
      <w:r w:rsidR="00C4473A" w:rsidRPr="00FA1420">
        <w:rPr>
          <w:rFonts w:hint="cs"/>
          <w:sz w:val="20"/>
          <w:szCs w:val="24"/>
          <w:u w:color="000000"/>
          <w:rtl/>
          <w:lang w:eastAsia="ko-KR"/>
        </w:rPr>
        <w:t>وتحسين</w:t>
      </w:r>
      <w:r w:rsidRPr="00FA1420">
        <w:rPr>
          <w:sz w:val="20"/>
          <w:szCs w:val="24"/>
          <w:u w:color="000000"/>
          <w:rtl/>
          <w:lang w:eastAsia="ko-KR"/>
        </w:rPr>
        <w:t xml:space="preserve"> التنسيق داخل الأمانة. ويشمل ذلك </w:t>
      </w:r>
      <w:r w:rsidR="00C4473A" w:rsidRPr="00FA1420">
        <w:rPr>
          <w:rFonts w:hint="cs"/>
          <w:sz w:val="20"/>
          <w:szCs w:val="24"/>
          <w:u w:color="000000"/>
          <w:rtl/>
          <w:lang w:eastAsia="ko-KR"/>
        </w:rPr>
        <w:t>تعزيز</w:t>
      </w:r>
      <w:r w:rsidRPr="00FA1420">
        <w:rPr>
          <w:sz w:val="20"/>
          <w:szCs w:val="24"/>
          <w:u w:color="000000"/>
          <w:rtl/>
          <w:lang w:eastAsia="ko-KR"/>
        </w:rPr>
        <w:t xml:space="preserve"> تفويض </w:t>
      </w:r>
      <w:r w:rsidR="00C4473A" w:rsidRPr="00FA1420">
        <w:rPr>
          <w:rFonts w:hint="cs"/>
          <w:sz w:val="20"/>
          <w:szCs w:val="24"/>
          <w:u w:color="000000"/>
          <w:rtl/>
          <w:lang w:eastAsia="ko-KR"/>
        </w:rPr>
        <w:t>الصلاحيات</w:t>
      </w:r>
      <w:r w:rsidRPr="00FA1420">
        <w:rPr>
          <w:sz w:val="20"/>
          <w:szCs w:val="24"/>
          <w:u w:color="000000"/>
          <w:rtl/>
          <w:lang w:eastAsia="ko-KR"/>
        </w:rPr>
        <w:t xml:space="preserve"> إلى رؤساء الشعب والوحدات، وهو أمر جار</w:t>
      </w:r>
      <w:r w:rsidR="00C4473A" w:rsidRPr="00FA1420">
        <w:rPr>
          <w:rFonts w:hint="cs"/>
          <w:sz w:val="20"/>
          <w:szCs w:val="24"/>
          <w:u w:color="000000"/>
          <w:rtl/>
          <w:lang w:eastAsia="ko-KR"/>
        </w:rPr>
        <w:t xml:space="preserve"> تنفيذه</w:t>
      </w:r>
      <w:r w:rsidRPr="00FA1420">
        <w:rPr>
          <w:sz w:val="20"/>
          <w:szCs w:val="24"/>
          <w:u w:color="000000"/>
          <w:rtl/>
          <w:lang w:eastAsia="ko-KR"/>
        </w:rPr>
        <w:t xml:space="preserve"> بهدف تعزيز تمكين المديرين، وتحسين القيادة والمسؤولية، ودعم اتخاذ القرارات في الوقت المناسب، وتشجيع المبادرة على مستوى الإدارة الوسطى، والإسهام في جعل الأمانة أكثر مرونة واستجابة. وقد تحققت الكفاءة التشغيلية في القدرة على إعادة توزيع الوظائف الموصوفة أعلاه على نحو كان أثره </w:t>
      </w:r>
      <w:r w:rsidR="00C4473A" w:rsidRPr="00FA1420">
        <w:rPr>
          <w:rFonts w:hint="cs"/>
          <w:sz w:val="20"/>
          <w:szCs w:val="24"/>
          <w:u w:color="000000"/>
          <w:rtl/>
          <w:lang w:eastAsia="ko-KR"/>
        </w:rPr>
        <w:t xml:space="preserve">ضئيلا </w:t>
      </w:r>
      <w:r w:rsidRPr="00FA1420">
        <w:rPr>
          <w:sz w:val="20"/>
          <w:szCs w:val="24"/>
          <w:u w:color="000000"/>
          <w:rtl/>
          <w:lang w:eastAsia="ko-KR"/>
        </w:rPr>
        <w:t>على عمل الأمانة.</w:t>
      </w:r>
    </w:p>
    <w:p w14:paraId="7296CDF2" w14:textId="29867D56" w:rsidR="00DF3626" w:rsidRPr="00FA1420" w:rsidRDefault="00DF3626" w:rsidP="00DF3626">
      <w:pPr>
        <w:pStyle w:val="CBDNormalNumber"/>
        <w:bidi/>
        <w:rPr>
          <w:sz w:val="20"/>
          <w:szCs w:val="24"/>
          <w:rtl/>
        </w:rPr>
      </w:pPr>
      <w:r w:rsidRPr="00FA1420">
        <w:rPr>
          <w:sz w:val="20"/>
          <w:szCs w:val="24"/>
          <w:rtl/>
        </w:rPr>
        <w:t xml:space="preserve">وبالإضافة إلى الإجراءات التي اتخذتها الأمانة، هناك عدد من مبادرات برنامج الأمم المتحدة للبيئة </w:t>
      </w:r>
      <w:r w:rsidR="00C4473A" w:rsidRPr="00FA1420">
        <w:rPr>
          <w:rFonts w:hint="cs"/>
          <w:sz w:val="20"/>
          <w:szCs w:val="24"/>
          <w:rtl/>
        </w:rPr>
        <w:t>ترمي</w:t>
      </w:r>
      <w:r w:rsidRPr="00FA1420">
        <w:rPr>
          <w:sz w:val="20"/>
          <w:szCs w:val="24"/>
          <w:rtl/>
        </w:rPr>
        <w:t xml:space="preserve"> إلى تحسين الكفاءة. </w:t>
      </w:r>
      <w:r w:rsidR="00C4473A" w:rsidRPr="00FA1420">
        <w:rPr>
          <w:rFonts w:hint="cs"/>
          <w:sz w:val="20"/>
          <w:szCs w:val="24"/>
          <w:rtl/>
        </w:rPr>
        <w:t xml:space="preserve">وتوفر </w:t>
      </w:r>
      <w:r w:rsidRPr="00FA1420">
        <w:rPr>
          <w:sz w:val="20"/>
          <w:szCs w:val="24"/>
          <w:rtl/>
        </w:rPr>
        <w:t>شعبة الخدمات المؤسسية التابعة للبرنامج منبرا للت</w:t>
      </w:r>
      <w:r w:rsidR="00C4473A" w:rsidRPr="00FA1420">
        <w:rPr>
          <w:rFonts w:hint="cs"/>
          <w:sz w:val="20"/>
          <w:szCs w:val="24"/>
          <w:rtl/>
        </w:rPr>
        <w:t>فاعل</w:t>
      </w:r>
      <w:r w:rsidRPr="00FA1420">
        <w:rPr>
          <w:sz w:val="20"/>
          <w:szCs w:val="24"/>
          <w:rtl/>
        </w:rPr>
        <w:t xml:space="preserve"> فيما بين الاتفاقات البيئية المتعددة الأطراف التي يديرها البرنامج. وتيسّر الشعبة عقد اجتماعات منتظمة للأوساط الإدارية للاتفاقات البيئية المتعددة الأطراف، يشارك فيها بنشاط الزملاء الإداريون في اتفاقية التنوع البيولوجي، من أجل تبادل المعارف وتقاسم أفضل الممارسات وتوطيد التعاون فيما بين أمانات الاتفاقات البيئية المتعددة الأطراف. وتُشجَّع أمانات الاتفاقات البيئية المتعددة الأطراف التي يديرها برنامج</w:t>
      </w:r>
      <w:r w:rsidR="00C4473A" w:rsidRPr="00FA1420">
        <w:rPr>
          <w:rFonts w:hint="cs"/>
          <w:sz w:val="20"/>
          <w:szCs w:val="24"/>
          <w:rtl/>
        </w:rPr>
        <w:t xml:space="preserve"> الأمم المتحدة للبيئة</w:t>
      </w:r>
      <w:r w:rsidRPr="00FA1420">
        <w:rPr>
          <w:sz w:val="20"/>
          <w:szCs w:val="24"/>
          <w:rtl/>
        </w:rPr>
        <w:t xml:space="preserve"> على العمل </w:t>
      </w:r>
      <w:r w:rsidR="00C4473A" w:rsidRPr="00FA1420">
        <w:rPr>
          <w:rFonts w:hint="cs"/>
          <w:sz w:val="20"/>
          <w:szCs w:val="24"/>
          <w:rtl/>
        </w:rPr>
        <w:t>المشترك</w:t>
      </w:r>
      <w:r w:rsidRPr="00FA1420">
        <w:rPr>
          <w:sz w:val="20"/>
          <w:szCs w:val="24"/>
          <w:rtl/>
        </w:rPr>
        <w:t>، وال</w:t>
      </w:r>
      <w:r w:rsidR="00404A88" w:rsidRPr="00FA1420">
        <w:rPr>
          <w:rFonts w:hint="cs"/>
          <w:sz w:val="20"/>
          <w:szCs w:val="24"/>
          <w:rtl/>
        </w:rPr>
        <w:t>مشاركة</w:t>
      </w:r>
      <w:r w:rsidRPr="00FA1420">
        <w:rPr>
          <w:sz w:val="20"/>
          <w:szCs w:val="24"/>
          <w:rtl/>
        </w:rPr>
        <w:t xml:space="preserve"> في وضع المبادرات، وإنشاء أوساط للممارسين من أجل تعزيز الكفاءة وتشجيع الابتكار وتحقيق أوجه التآزر التشغيلي.</w:t>
      </w:r>
    </w:p>
    <w:p w14:paraId="1E67B4E0" w14:textId="179A652B" w:rsidR="00DF3626" w:rsidRPr="00FA1420" w:rsidRDefault="00DF3626" w:rsidP="00DF3626">
      <w:pPr>
        <w:pStyle w:val="CBDNormalNumber"/>
        <w:bidi/>
        <w:rPr>
          <w:sz w:val="20"/>
          <w:szCs w:val="24"/>
          <w:rtl/>
        </w:rPr>
      </w:pPr>
      <w:r w:rsidRPr="00FA1420">
        <w:rPr>
          <w:sz w:val="20"/>
          <w:szCs w:val="24"/>
          <w:rtl/>
        </w:rPr>
        <w:t>و</w:t>
      </w:r>
      <w:r w:rsidR="00404A88" w:rsidRPr="00FA1420">
        <w:rPr>
          <w:rFonts w:hint="cs"/>
          <w:sz w:val="20"/>
          <w:szCs w:val="24"/>
          <w:rtl/>
        </w:rPr>
        <w:t xml:space="preserve">ستحتاج </w:t>
      </w:r>
      <w:r w:rsidRPr="00FA1420">
        <w:rPr>
          <w:sz w:val="20"/>
          <w:szCs w:val="24"/>
          <w:rtl/>
        </w:rPr>
        <w:t xml:space="preserve">أي عملية </w:t>
      </w:r>
      <w:r w:rsidR="00404A88" w:rsidRPr="00FA1420">
        <w:rPr>
          <w:sz w:val="20"/>
          <w:szCs w:val="24"/>
          <w:rtl/>
        </w:rPr>
        <w:t>للقياس المقارن</w:t>
      </w:r>
      <w:r w:rsidR="00404A88" w:rsidRPr="00FA1420">
        <w:rPr>
          <w:rFonts w:hint="cs"/>
          <w:sz w:val="20"/>
          <w:szCs w:val="24"/>
          <w:rtl/>
        </w:rPr>
        <w:t xml:space="preserve"> تشمل</w:t>
      </w:r>
      <w:r w:rsidRPr="00FA1420">
        <w:rPr>
          <w:sz w:val="20"/>
          <w:szCs w:val="24"/>
          <w:rtl/>
        </w:rPr>
        <w:t xml:space="preserve"> الاتفاقات البيئية المتعددة الأطراف التي يديرها برنامج الأمم المتحدة للبيئة، وترمي إلى الاستفادة من نماذج الخدمات المشتركة القائمة وتسريع اعتماد الأدوات الرقمية المشتركة لتعزيز التآزر الإداري، إلى</w:t>
      </w:r>
      <w:r w:rsidR="00404A88" w:rsidRPr="00FA1420">
        <w:rPr>
          <w:rFonts w:hint="cs"/>
          <w:sz w:val="20"/>
          <w:szCs w:val="24"/>
          <w:rtl/>
        </w:rPr>
        <w:t xml:space="preserve"> أن ييسرها</w:t>
      </w:r>
      <w:r w:rsidRPr="00FA1420">
        <w:rPr>
          <w:sz w:val="20"/>
          <w:szCs w:val="24"/>
          <w:rtl/>
        </w:rPr>
        <w:t xml:space="preserve"> البرنامج استجابة لطلبات الدول الأعضاء. ومن شأن ذلك أن يتيح فرصة لتوحيد الممارسات الحالية وتشجيع</w:t>
      </w:r>
      <w:r w:rsidR="00404A88" w:rsidRPr="00FA1420">
        <w:rPr>
          <w:rFonts w:hint="cs"/>
          <w:sz w:val="20"/>
          <w:szCs w:val="24"/>
          <w:rtl/>
        </w:rPr>
        <w:t xml:space="preserve"> زيادة</w:t>
      </w:r>
      <w:r w:rsidRPr="00FA1420">
        <w:rPr>
          <w:sz w:val="20"/>
          <w:szCs w:val="24"/>
          <w:rtl/>
        </w:rPr>
        <w:t xml:space="preserve"> التعاون و</w:t>
      </w:r>
      <w:r w:rsidR="00404A88" w:rsidRPr="00FA1420">
        <w:rPr>
          <w:rFonts w:hint="cs"/>
          <w:sz w:val="20"/>
          <w:szCs w:val="24"/>
          <w:rtl/>
        </w:rPr>
        <w:t xml:space="preserve">تحقيق قدرا أكبر من </w:t>
      </w:r>
      <w:r w:rsidRPr="00FA1420">
        <w:rPr>
          <w:sz w:val="20"/>
          <w:szCs w:val="24"/>
          <w:rtl/>
        </w:rPr>
        <w:t xml:space="preserve">مكاسب الكفاءة على نطاق أوساط الاتفاقات البيئية المتعددة الأطراف. </w:t>
      </w:r>
    </w:p>
    <w:p w14:paraId="0B92C7E0" w14:textId="4C7D7976" w:rsidR="00DF3626" w:rsidRPr="00FA1420" w:rsidRDefault="00DF3626" w:rsidP="00DF3626">
      <w:pPr>
        <w:pStyle w:val="CBDNormalNumber"/>
        <w:bidi/>
        <w:rPr>
          <w:sz w:val="20"/>
          <w:szCs w:val="24"/>
          <w:rtl/>
        </w:rPr>
      </w:pPr>
      <w:r w:rsidRPr="00FA1420">
        <w:rPr>
          <w:sz w:val="20"/>
          <w:szCs w:val="24"/>
          <w:rtl/>
        </w:rPr>
        <w:t>ولتعزيز الأداء التشغيلي، ينفذ برنامج الأمم المتحدة للبيئة مشروعا لتبسيط ال</w:t>
      </w:r>
      <w:r w:rsidR="00404A88" w:rsidRPr="00FA1420">
        <w:rPr>
          <w:rFonts w:hint="cs"/>
          <w:sz w:val="20"/>
          <w:szCs w:val="24"/>
          <w:rtl/>
        </w:rPr>
        <w:t>إجراءات</w:t>
      </w:r>
      <w:r w:rsidRPr="00FA1420">
        <w:rPr>
          <w:sz w:val="20"/>
          <w:szCs w:val="24"/>
          <w:rtl/>
        </w:rPr>
        <w:t xml:space="preserve"> من أجل استعراض وترشيد سير العمل الإداري والتشغيلي الأساسي في سياق مبادرة الأمم المتحدة 80. وقد اختُتمت المرحلتان الأوليان من المشروع خلال الفترة المشمولة بالتقرير بوضع قائمة بإجراءات محددة في مختلف المجالات الوظيفية. وتسهم هذه الإجراءات فيما يلي: (أ) تقليص </w:t>
      </w:r>
      <w:r w:rsidR="00404A88" w:rsidRPr="00FA1420">
        <w:rPr>
          <w:rFonts w:hint="cs"/>
          <w:sz w:val="20"/>
          <w:szCs w:val="24"/>
          <w:rtl/>
        </w:rPr>
        <w:t>ال</w:t>
      </w:r>
      <w:r w:rsidRPr="00FA1420">
        <w:rPr>
          <w:sz w:val="20"/>
          <w:szCs w:val="24"/>
          <w:rtl/>
        </w:rPr>
        <w:t xml:space="preserve">خطوات </w:t>
      </w:r>
      <w:r w:rsidR="00404A88" w:rsidRPr="00FA1420">
        <w:rPr>
          <w:rFonts w:hint="cs"/>
          <w:sz w:val="20"/>
          <w:szCs w:val="24"/>
          <w:rtl/>
        </w:rPr>
        <w:t>المكررة</w:t>
      </w:r>
      <w:r w:rsidRPr="00FA1420">
        <w:rPr>
          <w:sz w:val="20"/>
          <w:szCs w:val="24"/>
          <w:rtl/>
        </w:rPr>
        <w:t xml:space="preserve"> والأقل قيمة </w:t>
      </w:r>
      <w:r w:rsidR="00404A88" w:rsidRPr="00FA1420">
        <w:rPr>
          <w:rFonts w:hint="cs"/>
          <w:sz w:val="20"/>
          <w:szCs w:val="24"/>
          <w:rtl/>
        </w:rPr>
        <w:t>في العمليات</w:t>
      </w:r>
      <w:r w:rsidRPr="00FA1420">
        <w:rPr>
          <w:sz w:val="20"/>
          <w:szCs w:val="24"/>
          <w:rtl/>
        </w:rPr>
        <w:t xml:space="preserve">؛ (ب) تعزيز الوضوح في الأدوار والمسؤوليات؛ (ج) </w:t>
      </w:r>
      <w:r w:rsidR="00D879CF" w:rsidRPr="00FA1420">
        <w:rPr>
          <w:rFonts w:hint="cs"/>
          <w:sz w:val="20"/>
          <w:szCs w:val="24"/>
          <w:rtl/>
        </w:rPr>
        <w:t>تبسيط</w:t>
      </w:r>
      <w:r w:rsidRPr="00FA1420">
        <w:rPr>
          <w:sz w:val="20"/>
          <w:szCs w:val="24"/>
          <w:rtl/>
        </w:rPr>
        <w:t xml:space="preserve"> إطار تفويض </w:t>
      </w:r>
      <w:r w:rsidR="00D879CF" w:rsidRPr="00FA1420">
        <w:rPr>
          <w:rFonts w:hint="cs"/>
          <w:sz w:val="20"/>
          <w:szCs w:val="24"/>
          <w:rtl/>
        </w:rPr>
        <w:t>الصلاحيات</w:t>
      </w:r>
      <w:r w:rsidRPr="00FA1420">
        <w:rPr>
          <w:sz w:val="20"/>
          <w:szCs w:val="24"/>
          <w:rtl/>
        </w:rPr>
        <w:t xml:space="preserve"> وتقريب</w:t>
      </w:r>
      <w:r w:rsidR="00D879CF" w:rsidRPr="00FA1420">
        <w:rPr>
          <w:rFonts w:hint="cs"/>
          <w:sz w:val="20"/>
          <w:szCs w:val="24"/>
          <w:rtl/>
        </w:rPr>
        <w:t xml:space="preserve"> عملية</w:t>
      </w:r>
      <w:r w:rsidRPr="00FA1420">
        <w:rPr>
          <w:sz w:val="20"/>
          <w:szCs w:val="24"/>
          <w:rtl/>
        </w:rPr>
        <w:t xml:space="preserve"> اتخاذ القرارات الإدارية من </w:t>
      </w:r>
      <w:r w:rsidR="00D879CF" w:rsidRPr="00FA1420">
        <w:rPr>
          <w:rFonts w:hint="cs"/>
          <w:sz w:val="20"/>
          <w:szCs w:val="24"/>
          <w:rtl/>
        </w:rPr>
        <w:t>مستوى تنفيذ</w:t>
      </w:r>
      <w:r w:rsidRPr="00FA1420">
        <w:rPr>
          <w:sz w:val="20"/>
          <w:szCs w:val="24"/>
          <w:rtl/>
        </w:rPr>
        <w:t xml:space="preserve"> البرامج. وتيسّر شعبة الخدمات المؤسسية التابعة للبرنامج تعميم جميع جهود التبسيط ذات الصلة على أمانة اتفاقية التنوع البيولوجي. </w:t>
      </w:r>
    </w:p>
    <w:p w14:paraId="28D6404C" w14:textId="134B6567" w:rsidR="008B78C3" w:rsidRPr="00FA1420" w:rsidRDefault="00DF3626" w:rsidP="00DF3626">
      <w:pPr>
        <w:pStyle w:val="CBDNormalNumber"/>
        <w:bidi/>
        <w:rPr>
          <w:sz w:val="20"/>
          <w:szCs w:val="24"/>
          <w:rtl/>
        </w:rPr>
      </w:pPr>
      <w:r w:rsidRPr="00FA1420">
        <w:rPr>
          <w:sz w:val="20"/>
          <w:szCs w:val="24"/>
          <w:rtl/>
        </w:rPr>
        <w:lastRenderedPageBreak/>
        <w:t>وستحدد المرحلة الثالثة من المشروع عمليات داخلية إضافية يمكن توحيدها وتطبيقها على نحو أكثر اتساقا، وستحدد نموذجا للدعم الإداري والتشغيلي ملائما للغرض على نطاق برنامج الأمم المتحدة للبيئة وأمانات الاتفاقات البيئية المتعددة الأطراف. ويتوافق هذا العمل أيضا مع أهداف مبادرة الأمم المتحدة 80، التي تشجع على زيادة الكفاءة والتبسيط والمواءمة والاستخدام الأمثل للموارد على نطاق منظومة الأمم المتحدة. وستواصل أمانة الاتفاقية تلقي الدعم من شعبة الخدمات المؤسسية التابعة للبرنامج بشأن تعميم العمليات المبسطة المنبثقة عن المرحلة الثالثة. وستُتاح المستجدات المتعلقة بحزمة العمل 27 من خطة عمل مبادرة الأمم المتحدة 80 فور صدورها.</w:t>
      </w:r>
    </w:p>
    <w:p w14:paraId="0672C8D8" w14:textId="4E7DC9ED" w:rsidR="008B78C3" w:rsidRPr="00FA1420" w:rsidRDefault="008B78C3" w:rsidP="002537BE">
      <w:pPr>
        <w:pStyle w:val="CBDH1"/>
        <w:bidi/>
        <w:rPr>
          <w:b w:val="0"/>
          <w:bCs/>
          <w:sz w:val="20"/>
          <w:szCs w:val="24"/>
          <w:rtl/>
        </w:rPr>
      </w:pPr>
      <w:r w:rsidRPr="00FA1420">
        <w:rPr>
          <w:b w:val="0"/>
          <w:bCs/>
          <w:sz w:val="20"/>
          <w:szCs w:val="24"/>
          <w:rtl/>
        </w:rPr>
        <w:t>رابعا-</w:t>
      </w:r>
      <w:r w:rsidRPr="00FA1420">
        <w:rPr>
          <w:b w:val="0"/>
          <w:bCs/>
          <w:sz w:val="20"/>
          <w:szCs w:val="24"/>
        </w:rPr>
        <w:tab/>
      </w:r>
      <w:r w:rsidRPr="00FA1420">
        <w:rPr>
          <w:b w:val="0"/>
          <w:bCs/>
          <w:sz w:val="20"/>
          <w:szCs w:val="24"/>
          <w:rtl/>
        </w:rPr>
        <w:t xml:space="preserve">مسائل إدارية ومتعلقة بالميزانية إضافية تتصل بتنظيم الاجتماعات الحكومية الدولية ودعم المشاركة فيها </w:t>
      </w:r>
    </w:p>
    <w:p w14:paraId="4E77BD15" w14:textId="6A4CA321" w:rsidR="00DF3626" w:rsidRPr="00FA1420" w:rsidRDefault="00DF3626" w:rsidP="00DF3626">
      <w:pPr>
        <w:pStyle w:val="CBDNormalNumber"/>
        <w:bidi/>
        <w:rPr>
          <w:sz w:val="20"/>
          <w:szCs w:val="24"/>
          <w:rtl/>
        </w:rPr>
      </w:pPr>
      <w:r w:rsidRPr="00FA1420">
        <w:rPr>
          <w:sz w:val="20"/>
          <w:szCs w:val="24"/>
          <w:rtl/>
        </w:rPr>
        <w:t xml:space="preserve">تشمل ميزانيات الاجتماعات الحكومية الدولية تكلفة مكان الانعقاد والدعم الذي تقدمه الأمانة للاجتماعات. وتُعد التكاليف المتصلة بمكان الانعقاد وبدعم الأمانة جزءا من الميزانية الأساسية. ويدعم صندوقان استئمانيان المشاركة في الاجتماعات، هما </w:t>
      </w:r>
      <w:r w:rsidR="00D879CF" w:rsidRPr="00FA1420">
        <w:rPr>
          <w:sz w:val="20"/>
          <w:szCs w:val="24"/>
          <w:rtl/>
        </w:rPr>
        <w:t>الصندوق الاستئماني العام للمساهمات الطوعية لتيسير مشاركة الأطراف في عملية اتفاقية التنوع البيولوجي والصندوق الاستئماني العام للمساهمات الطوعية لتيسير مشاركة الشعوب الأصلية والمجتمعات المحلية في أعمال اتفاقية التنوع البيولوجي</w:t>
      </w:r>
      <w:r w:rsidRPr="00FA1420">
        <w:rPr>
          <w:sz w:val="20"/>
          <w:szCs w:val="24"/>
          <w:rtl/>
        </w:rPr>
        <w:t>.</w:t>
      </w:r>
    </w:p>
    <w:p w14:paraId="629D9CED" w14:textId="21EDAAD0" w:rsidR="00DF3626" w:rsidRPr="00FA1420" w:rsidRDefault="00DF3626" w:rsidP="00DF3626">
      <w:pPr>
        <w:pStyle w:val="CBDNormalNumber"/>
        <w:bidi/>
        <w:rPr>
          <w:sz w:val="20"/>
          <w:szCs w:val="24"/>
          <w:rtl/>
        </w:rPr>
      </w:pPr>
      <w:r w:rsidRPr="00FA1420">
        <w:rPr>
          <w:sz w:val="20"/>
          <w:szCs w:val="24"/>
          <w:rtl/>
        </w:rPr>
        <w:t xml:space="preserve">وتقدم الوثيقة </w:t>
      </w:r>
      <w:hyperlink r:id="rId42" w:history="1">
        <w:r w:rsidRPr="00FA1420">
          <w:rPr>
            <w:rStyle w:val="Hyperlink"/>
            <w:sz w:val="20"/>
            <w:szCs w:val="24"/>
          </w:rPr>
          <w:t>CBD/COP/17/3</w:t>
        </w:r>
      </w:hyperlink>
      <w:r w:rsidRPr="00FA1420">
        <w:rPr>
          <w:sz w:val="20"/>
          <w:szCs w:val="24"/>
          <w:rtl/>
        </w:rPr>
        <w:t>-</w:t>
      </w:r>
      <w:hyperlink r:id="rId43" w:history="1">
        <w:r w:rsidRPr="00FA1420">
          <w:rPr>
            <w:rStyle w:val="Hyperlink"/>
            <w:sz w:val="20"/>
            <w:szCs w:val="24"/>
          </w:rPr>
          <w:t>CBD/CP/MOP/12/4</w:t>
        </w:r>
      </w:hyperlink>
      <w:r w:rsidRPr="00FA1420">
        <w:rPr>
          <w:sz w:val="20"/>
          <w:szCs w:val="24"/>
          <w:rtl/>
        </w:rPr>
        <w:t>-</w:t>
      </w:r>
      <w:hyperlink r:id="rId44" w:history="1">
        <w:r w:rsidRPr="00FA1420">
          <w:rPr>
            <w:rStyle w:val="Hyperlink"/>
            <w:sz w:val="20"/>
            <w:szCs w:val="24"/>
          </w:rPr>
          <w:t>CBD/NP/MOP/6/4</w:t>
        </w:r>
      </w:hyperlink>
      <w:r w:rsidRPr="00FA1420">
        <w:rPr>
          <w:sz w:val="20"/>
          <w:szCs w:val="24"/>
          <w:rtl/>
        </w:rPr>
        <w:t xml:space="preserve"> تقديرات لتكاليف الاجتماعات، فضلا عن التكاليف المتصلة بالمشاركة، للفترة 2025-2026. وستُتاح في وثيقة معلومات جداول تفصيلية عن تمويل المشاركة للفترة 2025-2026، بما في ذلك تمويل أقل البلدان نموا والدول الجزرية الصغيرة النامية، فضلا عن حجم وفود الأطراف وتكوينها.</w:t>
      </w:r>
    </w:p>
    <w:p w14:paraId="539A292E" w14:textId="77777777" w:rsidR="00DF3626" w:rsidRPr="00FA1420" w:rsidRDefault="00DF3626" w:rsidP="00DF3626">
      <w:pPr>
        <w:pStyle w:val="CBDNormalNumber"/>
        <w:numPr>
          <w:ilvl w:val="0"/>
          <w:numId w:val="0"/>
        </w:numPr>
        <w:bidi/>
        <w:ind w:left="567"/>
        <w:rPr>
          <w:i/>
          <w:iCs/>
          <w:sz w:val="20"/>
          <w:szCs w:val="24"/>
          <w:rtl/>
        </w:rPr>
      </w:pPr>
      <w:r w:rsidRPr="00FA1420">
        <w:rPr>
          <w:i/>
          <w:iCs/>
          <w:sz w:val="20"/>
          <w:szCs w:val="24"/>
          <w:rtl/>
        </w:rPr>
        <w:t>ميزانية تكاليف الاجتماعات المتعلقة بمكان الانعقاد وبدعم الأمانة للاجتماع</w:t>
      </w:r>
    </w:p>
    <w:p w14:paraId="6DDF06B7" w14:textId="21568155" w:rsidR="00DF3626" w:rsidRPr="00FA1420" w:rsidRDefault="00DF3626" w:rsidP="00DF3626">
      <w:pPr>
        <w:pStyle w:val="CBDNormalNumber"/>
        <w:bidi/>
        <w:rPr>
          <w:sz w:val="20"/>
          <w:szCs w:val="24"/>
          <w:rtl/>
        </w:rPr>
      </w:pPr>
      <w:r w:rsidRPr="00FA1420">
        <w:rPr>
          <w:sz w:val="20"/>
          <w:szCs w:val="24"/>
          <w:rtl/>
        </w:rPr>
        <w:t xml:space="preserve">خلال الفترة 2025-2026، كانت النفقات الفعلية في إطار الميزانية الأساسية أعلى من تلك المدرجة في الميزانية المعتمدة الأصلية. ويعزى تجاوز النفقات إلى إضافة اجتماعين، هما الدورتان المستأنفتان الحضوريتان للاجتماع السادس عشر لمؤتمر الأطراف والاجتماع الحادي عشر لمؤتمر الأطراف العامل كاجتماع للأطراف في بروتوكول قرطاجنة والاجتماع الخامس لمؤتمر الأطراف العامل كاجتماع للأطراف في بروتوكول ناغويا، والاجتماع الإضافي للهيئة الفرعية للتنفيذ، خلال فترة ما بين الدورتين. ولم يكن هذان الاجتماعان مدرجين في الميزانية المعتمدة. وبلغت تكاليف هذين الاجتماعين </w:t>
      </w:r>
      <w:r w:rsidR="008E509C" w:rsidRPr="00FA1420">
        <w:rPr>
          <w:rFonts w:hint="cs"/>
          <w:sz w:val="20"/>
          <w:szCs w:val="24"/>
          <w:rtl/>
        </w:rPr>
        <w:t>1,100,000</w:t>
      </w:r>
      <w:r w:rsidRPr="00FA1420">
        <w:rPr>
          <w:sz w:val="20"/>
          <w:szCs w:val="24"/>
          <w:rtl/>
        </w:rPr>
        <w:t xml:space="preserve"> دولار. وتمكنت الأمانة من خفض تكاليف اجتماعات أخرى، ولكن يُتوقع أن تبلغ التكلفة الإضافية الإجمالية في بند ميزانية تكاليف الاجتماعات للفترة 2025-2026 مبلغ </w:t>
      </w:r>
      <w:r w:rsidR="008E509C" w:rsidRPr="00FA1420">
        <w:rPr>
          <w:rFonts w:hint="cs"/>
          <w:sz w:val="20"/>
          <w:szCs w:val="24"/>
          <w:rtl/>
        </w:rPr>
        <w:t xml:space="preserve">880,000 </w:t>
      </w:r>
      <w:r w:rsidRPr="00FA1420">
        <w:rPr>
          <w:sz w:val="20"/>
          <w:szCs w:val="24"/>
          <w:rtl/>
        </w:rPr>
        <w:t xml:space="preserve">دولار. </w:t>
      </w:r>
    </w:p>
    <w:p w14:paraId="201191D8" w14:textId="27011B7C" w:rsidR="00DF3626" w:rsidRPr="00FA1420" w:rsidRDefault="00E802FA" w:rsidP="00DF3626">
      <w:pPr>
        <w:pStyle w:val="CBDNormalNumber"/>
        <w:bidi/>
        <w:rPr>
          <w:sz w:val="20"/>
          <w:szCs w:val="24"/>
          <w:rtl/>
        </w:rPr>
      </w:pPr>
      <w:r w:rsidRPr="00FA1420">
        <w:rPr>
          <w:sz w:val="20"/>
          <w:szCs w:val="24"/>
          <w:rtl/>
        </w:rPr>
        <w:t xml:space="preserve">وبموجب المقررات </w:t>
      </w:r>
      <w:hyperlink r:id="rId45" w:history="1">
        <w:r w:rsidRPr="00FA1420">
          <w:rPr>
            <w:rStyle w:val="Hyperlink"/>
            <w:sz w:val="20"/>
            <w:szCs w:val="24"/>
          </w:rPr>
          <w:t>16/29</w:t>
        </w:r>
      </w:hyperlink>
      <w:r w:rsidRPr="00FA1420">
        <w:rPr>
          <w:sz w:val="20"/>
          <w:szCs w:val="24"/>
          <w:rtl/>
        </w:rPr>
        <w:t xml:space="preserve"> و</w:t>
      </w:r>
      <w:hyperlink r:id="rId46" w:history="1">
        <w:r w:rsidRPr="00FA1420">
          <w:rPr>
            <w:rStyle w:val="Hyperlink"/>
            <w:sz w:val="20"/>
            <w:szCs w:val="24"/>
          </w:rPr>
          <w:t>CP-11/12</w:t>
        </w:r>
      </w:hyperlink>
      <w:r w:rsidRPr="00FA1420">
        <w:rPr>
          <w:sz w:val="20"/>
          <w:szCs w:val="24"/>
          <w:rtl/>
        </w:rPr>
        <w:t xml:space="preserve"> و</w:t>
      </w:r>
      <w:hyperlink r:id="rId47" w:history="1">
        <w:r w:rsidRPr="00FA1420">
          <w:rPr>
            <w:rStyle w:val="Hyperlink"/>
            <w:sz w:val="20"/>
            <w:szCs w:val="24"/>
          </w:rPr>
          <w:t>NP-5/13</w:t>
        </w:r>
      </w:hyperlink>
      <w:r w:rsidRPr="00FA1420">
        <w:rPr>
          <w:sz w:val="20"/>
          <w:szCs w:val="24"/>
          <w:rtl/>
        </w:rPr>
        <w:t xml:space="preserve">، أُذن للأمينة التنفيذية بسحب مبلغ لا يتجاوز </w:t>
      </w:r>
      <w:r w:rsidR="008E509C" w:rsidRPr="00FA1420">
        <w:rPr>
          <w:rFonts w:hint="cs"/>
          <w:sz w:val="20"/>
          <w:szCs w:val="24"/>
          <w:rtl/>
        </w:rPr>
        <w:t>400,000</w:t>
      </w:r>
      <w:r w:rsidRPr="00FA1420">
        <w:rPr>
          <w:sz w:val="20"/>
          <w:szCs w:val="24"/>
          <w:rtl/>
        </w:rPr>
        <w:t xml:space="preserve"> دولار من الرصيد غير المنفق للصناديق الاستئمانية العامة للاتفاقية والبروتوكولين، لتغطية النفقات الإضافية الناجمة عن الدور</w:t>
      </w:r>
      <w:r w:rsidR="008E509C" w:rsidRPr="00FA1420">
        <w:rPr>
          <w:rFonts w:hint="cs"/>
          <w:sz w:val="20"/>
          <w:szCs w:val="24"/>
          <w:rtl/>
        </w:rPr>
        <w:t>تين</w:t>
      </w:r>
      <w:r w:rsidRPr="00FA1420">
        <w:rPr>
          <w:sz w:val="20"/>
          <w:szCs w:val="24"/>
          <w:rtl/>
        </w:rPr>
        <w:t xml:space="preserve"> المستأنف</w:t>
      </w:r>
      <w:r w:rsidR="008E509C" w:rsidRPr="00FA1420">
        <w:rPr>
          <w:rFonts w:hint="cs"/>
          <w:sz w:val="20"/>
          <w:szCs w:val="24"/>
          <w:rtl/>
        </w:rPr>
        <w:t>تين</w:t>
      </w:r>
      <w:r w:rsidRPr="00FA1420">
        <w:rPr>
          <w:sz w:val="20"/>
          <w:szCs w:val="24"/>
          <w:rtl/>
        </w:rPr>
        <w:t xml:space="preserve"> الحضوري</w:t>
      </w:r>
      <w:r w:rsidR="008E509C" w:rsidRPr="00FA1420">
        <w:rPr>
          <w:rFonts w:hint="cs"/>
          <w:sz w:val="20"/>
          <w:szCs w:val="24"/>
          <w:rtl/>
        </w:rPr>
        <w:t>تين</w:t>
      </w:r>
      <w:r w:rsidRPr="00FA1420">
        <w:rPr>
          <w:sz w:val="20"/>
          <w:szCs w:val="24"/>
          <w:rtl/>
        </w:rPr>
        <w:t xml:space="preserve">. </w:t>
      </w:r>
    </w:p>
    <w:p w14:paraId="5D14CC94" w14:textId="32DD5F15" w:rsidR="00DF3626" w:rsidRPr="00FA1420" w:rsidRDefault="00DF3626" w:rsidP="00DF3626">
      <w:pPr>
        <w:pStyle w:val="CBDNormalNumber"/>
        <w:bidi/>
        <w:rPr>
          <w:sz w:val="20"/>
          <w:szCs w:val="24"/>
          <w:rtl/>
        </w:rPr>
      </w:pPr>
      <w:r w:rsidRPr="00FA1420">
        <w:rPr>
          <w:sz w:val="20"/>
          <w:szCs w:val="24"/>
          <w:rtl/>
        </w:rPr>
        <w:t xml:space="preserve">ويُستوعب تجاوز النفقات في تكاليف الاجتماعات الذي لا يمكن تغطيته من خلال الوفورات في بند ميزانية الموظفين الناشئة عن الشواغر خلال فترة السنتين 2025-2026 </w:t>
      </w:r>
      <w:r w:rsidR="008E509C" w:rsidRPr="00FA1420">
        <w:rPr>
          <w:rFonts w:hint="cs"/>
          <w:sz w:val="20"/>
          <w:szCs w:val="24"/>
          <w:rtl/>
        </w:rPr>
        <w:t>بموجب</w:t>
      </w:r>
      <w:r w:rsidRPr="00FA1420">
        <w:rPr>
          <w:sz w:val="20"/>
          <w:szCs w:val="24"/>
          <w:rtl/>
        </w:rPr>
        <w:t xml:space="preserve"> الأحكام المنصوص عليها في المقرر </w:t>
      </w:r>
      <w:hyperlink r:id="rId48" w:history="1">
        <w:r w:rsidRPr="00FA1420">
          <w:rPr>
            <w:rStyle w:val="Hyperlink"/>
            <w:sz w:val="20"/>
            <w:szCs w:val="24"/>
          </w:rPr>
          <w:t>16/29</w:t>
        </w:r>
      </w:hyperlink>
      <w:r w:rsidRPr="00FA1420">
        <w:rPr>
          <w:sz w:val="20"/>
          <w:szCs w:val="24"/>
          <w:rtl/>
        </w:rPr>
        <w:t>.</w:t>
      </w:r>
    </w:p>
    <w:p w14:paraId="01F9440D" w14:textId="1B59623A" w:rsidR="00DF3626" w:rsidRPr="00FA1420" w:rsidRDefault="00DF3626" w:rsidP="00DF3626">
      <w:pPr>
        <w:pStyle w:val="CBDNormalNumber"/>
        <w:bidi/>
        <w:rPr>
          <w:sz w:val="20"/>
          <w:szCs w:val="24"/>
          <w:rtl/>
        </w:rPr>
      </w:pPr>
      <w:r w:rsidRPr="00FA1420">
        <w:rPr>
          <w:sz w:val="20"/>
          <w:szCs w:val="24"/>
          <w:rtl/>
        </w:rPr>
        <w:lastRenderedPageBreak/>
        <w:t>ووفقا لأحكام الميزانية المعتمدة، يُؤذن للأمينة التنفيذية بنقل الموارد فيما بين بنود الاعتمادات الرئيسية، بما لا يتجاوز 15</w:t>
      </w:r>
      <w:r w:rsidR="008E509C" w:rsidRPr="00FA1420">
        <w:rPr>
          <w:rFonts w:hint="cs"/>
          <w:sz w:val="20"/>
          <w:szCs w:val="24"/>
          <w:rtl/>
        </w:rPr>
        <w:t xml:space="preserve"> في المائة</w:t>
      </w:r>
      <w:r w:rsidRPr="00FA1420">
        <w:rPr>
          <w:sz w:val="20"/>
          <w:szCs w:val="24"/>
          <w:rtl/>
        </w:rPr>
        <w:t xml:space="preserve"> من </w:t>
      </w:r>
      <w:r w:rsidR="008E509C" w:rsidRPr="00FA1420">
        <w:rPr>
          <w:rFonts w:hint="cs"/>
          <w:sz w:val="20"/>
          <w:szCs w:val="24"/>
          <w:rtl/>
        </w:rPr>
        <w:t>إجمالي</w:t>
      </w:r>
      <w:r w:rsidRPr="00FA1420">
        <w:rPr>
          <w:sz w:val="20"/>
          <w:szCs w:val="24"/>
          <w:rtl/>
        </w:rPr>
        <w:t xml:space="preserve"> الميزانية البرنامجية، </w:t>
      </w:r>
      <w:r w:rsidR="008E509C" w:rsidRPr="00FA1420">
        <w:rPr>
          <w:rFonts w:hint="cs"/>
          <w:sz w:val="20"/>
          <w:szCs w:val="24"/>
          <w:rtl/>
        </w:rPr>
        <w:t>على ألا يتجاوز النقل</w:t>
      </w:r>
      <w:r w:rsidRPr="00FA1420">
        <w:rPr>
          <w:sz w:val="20"/>
          <w:szCs w:val="24"/>
          <w:rtl/>
        </w:rPr>
        <w:t xml:space="preserve"> 25</w:t>
      </w:r>
      <w:r w:rsidR="008E509C" w:rsidRPr="00FA1420">
        <w:rPr>
          <w:rFonts w:hint="cs"/>
          <w:sz w:val="20"/>
          <w:szCs w:val="24"/>
          <w:rtl/>
        </w:rPr>
        <w:t xml:space="preserve"> في المائة</w:t>
      </w:r>
      <w:r w:rsidRPr="00FA1420">
        <w:rPr>
          <w:sz w:val="20"/>
          <w:szCs w:val="24"/>
          <w:rtl/>
        </w:rPr>
        <w:t xml:space="preserve"> من أي بند اعتماد فردي. وقد بلغ</w:t>
      </w:r>
      <w:r w:rsidR="008E509C" w:rsidRPr="00FA1420">
        <w:rPr>
          <w:rFonts w:hint="cs"/>
          <w:sz w:val="20"/>
          <w:szCs w:val="24"/>
          <w:rtl/>
        </w:rPr>
        <w:t>ت</w:t>
      </w:r>
      <w:r w:rsidRPr="00FA1420">
        <w:rPr>
          <w:sz w:val="20"/>
          <w:szCs w:val="24"/>
          <w:rtl/>
        </w:rPr>
        <w:t xml:space="preserve"> </w:t>
      </w:r>
      <w:r w:rsidR="008E509C" w:rsidRPr="00FA1420">
        <w:rPr>
          <w:rFonts w:hint="cs"/>
          <w:sz w:val="20"/>
          <w:szCs w:val="24"/>
          <w:rtl/>
        </w:rPr>
        <w:t>الزيادة في</w:t>
      </w:r>
      <w:r w:rsidRPr="00FA1420">
        <w:rPr>
          <w:sz w:val="20"/>
          <w:szCs w:val="24"/>
          <w:rtl/>
        </w:rPr>
        <w:t xml:space="preserve"> النفقات في بند ميزانية الاجتماعات 18</w:t>
      </w:r>
      <w:r w:rsidR="008E509C" w:rsidRPr="00FA1420">
        <w:rPr>
          <w:rFonts w:hint="cs"/>
          <w:sz w:val="20"/>
          <w:szCs w:val="24"/>
          <w:rtl/>
        </w:rPr>
        <w:t xml:space="preserve"> في المائة</w:t>
      </w:r>
      <w:r w:rsidRPr="00FA1420">
        <w:rPr>
          <w:sz w:val="20"/>
          <w:szCs w:val="24"/>
          <w:rtl/>
        </w:rPr>
        <w:t xml:space="preserve"> من بند ميزانية الاجتماعات و</w:t>
      </w:r>
      <w:r w:rsidR="008E509C" w:rsidRPr="00FA1420">
        <w:rPr>
          <w:rFonts w:hint="cs"/>
          <w:sz w:val="20"/>
          <w:szCs w:val="24"/>
          <w:rtl/>
        </w:rPr>
        <w:t xml:space="preserve">هي نسبة </w:t>
      </w:r>
      <w:r w:rsidRPr="00FA1420">
        <w:rPr>
          <w:sz w:val="20"/>
          <w:szCs w:val="24"/>
          <w:rtl/>
        </w:rPr>
        <w:t>أقل بكثير من 15</w:t>
      </w:r>
      <w:r w:rsidR="008E509C" w:rsidRPr="00FA1420">
        <w:rPr>
          <w:rFonts w:hint="cs"/>
          <w:sz w:val="20"/>
          <w:szCs w:val="24"/>
          <w:rtl/>
        </w:rPr>
        <w:t xml:space="preserve"> في المائة</w:t>
      </w:r>
      <w:r w:rsidRPr="00FA1420">
        <w:rPr>
          <w:sz w:val="20"/>
          <w:szCs w:val="24"/>
          <w:rtl/>
        </w:rPr>
        <w:t xml:space="preserve"> من </w:t>
      </w:r>
      <w:r w:rsidR="008E509C" w:rsidRPr="00FA1420">
        <w:rPr>
          <w:rFonts w:hint="cs"/>
          <w:sz w:val="20"/>
          <w:szCs w:val="24"/>
          <w:rtl/>
        </w:rPr>
        <w:t>إجمالي</w:t>
      </w:r>
      <w:r w:rsidRPr="00FA1420">
        <w:rPr>
          <w:sz w:val="20"/>
          <w:szCs w:val="24"/>
          <w:rtl/>
        </w:rPr>
        <w:t xml:space="preserve"> الميزانية. وبناء على ذلك، </w:t>
      </w:r>
      <w:r w:rsidR="008E509C" w:rsidRPr="00FA1420">
        <w:rPr>
          <w:rFonts w:hint="cs"/>
          <w:sz w:val="20"/>
          <w:szCs w:val="24"/>
          <w:rtl/>
        </w:rPr>
        <w:t>يندرج</w:t>
      </w:r>
      <w:r w:rsidRPr="00FA1420">
        <w:rPr>
          <w:sz w:val="20"/>
          <w:szCs w:val="24"/>
          <w:rtl/>
        </w:rPr>
        <w:t xml:space="preserve"> النقل ضمن صلاحيات الأمينة التنفيذية. وبالإضافة إلى ذلك، بلغ نقص الإنفاق في بند ميزانية </w:t>
      </w:r>
      <w:r w:rsidR="008E509C" w:rsidRPr="00FA1420">
        <w:rPr>
          <w:rFonts w:hint="cs"/>
          <w:sz w:val="20"/>
          <w:szCs w:val="24"/>
          <w:rtl/>
        </w:rPr>
        <w:t>التوظيف 886,000</w:t>
      </w:r>
      <w:r w:rsidRPr="00FA1420">
        <w:rPr>
          <w:sz w:val="20"/>
          <w:szCs w:val="24"/>
          <w:rtl/>
        </w:rPr>
        <w:t xml:space="preserve"> دولار، ومن ثم </w:t>
      </w:r>
      <w:r w:rsidR="008E509C" w:rsidRPr="00FA1420">
        <w:rPr>
          <w:rFonts w:hint="cs"/>
          <w:sz w:val="20"/>
          <w:szCs w:val="24"/>
          <w:rtl/>
        </w:rPr>
        <w:t>ستُعوض الزيادة في</w:t>
      </w:r>
      <w:r w:rsidRPr="00FA1420">
        <w:rPr>
          <w:sz w:val="20"/>
          <w:szCs w:val="24"/>
          <w:rtl/>
        </w:rPr>
        <w:t xml:space="preserve"> النفقات </w:t>
      </w:r>
      <w:r w:rsidR="008E509C" w:rsidRPr="00FA1420">
        <w:rPr>
          <w:rFonts w:hint="cs"/>
          <w:sz w:val="20"/>
          <w:szCs w:val="24"/>
          <w:rtl/>
        </w:rPr>
        <w:t>المتعلقة</w:t>
      </w:r>
      <w:r w:rsidRPr="00FA1420">
        <w:rPr>
          <w:sz w:val="20"/>
          <w:szCs w:val="24"/>
          <w:rtl/>
        </w:rPr>
        <w:t xml:space="preserve"> </w:t>
      </w:r>
      <w:r w:rsidR="008E509C" w:rsidRPr="00FA1420">
        <w:rPr>
          <w:rFonts w:hint="cs"/>
          <w:sz w:val="20"/>
          <w:szCs w:val="24"/>
          <w:rtl/>
        </w:rPr>
        <w:t>ب</w:t>
      </w:r>
      <w:r w:rsidRPr="00FA1420">
        <w:rPr>
          <w:sz w:val="20"/>
          <w:szCs w:val="24"/>
          <w:rtl/>
        </w:rPr>
        <w:t xml:space="preserve">تكاليف الاجتماعات بنقص الإنفاق في بند ميزانية </w:t>
      </w:r>
      <w:r w:rsidR="008E509C" w:rsidRPr="00FA1420">
        <w:rPr>
          <w:rFonts w:hint="cs"/>
          <w:sz w:val="20"/>
          <w:szCs w:val="24"/>
          <w:rtl/>
        </w:rPr>
        <w:t>التوظيف</w:t>
      </w:r>
      <w:r w:rsidRPr="00FA1420">
        <w:rPr>
          <w:sz w:val="20"/>
          <w:szCs w:val="24"/>
          <w:rtl/>
        </w:rPr>
        <w:t>.</w:t>
      </w:r>
    </w:p>
    <w:p w14:paraId="52B46AFB" w14:textId="77777777" w:rsidR="00DF3626" w:rsidRPr="00FA1420" w:rsidRDefault="00DF3626" w:rsidP="00DF3626">
      <w:pPr>
        <w:pStyle w:val="CBDNormalNumber"/>
        <w:numPr>
          <w:ilvl w:val="0"/>
          <w:numId w:val="0"/>
        </w:numPr>
        <w:bidi/>
        <w:ind w:left="567"/>
        <w:rPr>
          <w:i/>
          <w:iCs/>
          <w:sz w:val="20"/>
          <w:szCs w:val="24"/>
          <w:rtl/>
        </w:rPr>
      </w:pPr>
      <w:r w:rsidRPr="00FA1420">
        <w:rPr>
          <w:i/>
          <w:iCs/>
          <w:sz w:val="20"/>
          <w:szCs w:val="24"/>
          <w:rtl/>
        </w:rPr>
        <w:t>تيسير مشاركة الأطراف</w:t>
      </w:r>
    </w:p>
    <w:p w14:paraId="6E790B3B" w14:textId="7B7CDB00" w:rsidR="00DF3626" w:rsidRPr="00FA1420" w:rsidRDefault="00DF3626" w:rsidP="00DF3626">
      <w:pPr>
        <w:pStyle w:val="CBDNormalNumber"/>
        <w:bidi/>
        <w:rPr>
          <w:sz w:val="20"/>
          <w:szCs w:val="24"/>
          <w:rtl/>
        </w:rPr>
      </w:pPr>
      <w:r w:rsidRPr="00FA1420">
        <w:rPr>
          <w:sz w:val="20"/>
          <w:szCs w:val="24"/>
          <w:rtl/>
        </w:rPr>
        <w:t xml:space="preserve">في المقرر </w:t>
      </w:r>
      <w:hyperlink r:id="rId49" w:history="1">
        <w:r w:rsidRPr="00FA1420">
          <w:rPr>
            <w:rStyle w:val="Hyperlink"/>
            <w:sz w:val="20"/>
            <w:szCs w:val="24"/>
          </w:rPr>
          <w:t>14/37</w:t>
        </w:r>
      </w:hyperlink>
      <w:r w:rsidRPr="00FA1420">
        <w:rPr>
          <w:sz w:val="20"/>
          <w:szCs w:val="24"/>
          <w:rtl/>
        </w:rPr>
        <w:t>، طلب مؤتمر الأطراف إلى الأمينة التنفيذية أن تقدم مقترحات لتنقيح الهيكل والقواعد المتصلة بالصندوق الاستئماني الطوعي الخاص لتيسير مشاركة الأطراف في عملية الاتفاقية، بغية معالجة الافتقار المستمر إلى تمويل يمكن التنبؤ به ومستدام وضمان تركيز الصندوق على تقديم الدعم إلى الأطراف الأشد حاجة</w:t>
      </w:r>
      <w:r w:rsidR="00B618A0" w:rsidRPr="00FA1420">
        <w:rPr>
          <w:rFonts w:hint="cs"/>
          <w:sz w:val="20"/>
          <w:szCs w:val="24"/>
          <w:rtl/>
        </w:rPr>
        <w:t xml:space="preserve"> إليه</w:t>
      </w:r>
      <w:r w:rsidRPr="00FA1420">
        <w:rPr>
          <w:sz w:val="20"/>
          <w:szCs w:val="24"/>
          <w:rtl/>
        </w:rPr>
        <w:t xml:space="preserve">. </w:t>
      </w:r>
    </w:p>
    <w:p w14:paraId="446631BA" w14:textId="4D6EF3FC" w:rsidR="00DF3626" w:rsidRPr="00FA1420" w:rsidRDefault="00C56E79" w:rsidP="00DF3626">
      <w:pPr>
        <w:pStyle w:val="CBDNormalNumber"/>
        <w:bidi/>
        <w:rPr>
          <w:sz w:val="20"/>
          <w:szCs w:val="24"/>
          <w:rtl/>
        </w:rPr>
      </w:pPr>
      <w:r w:rsidRPr="00FA1420">
        <w:rPr>
          <w:sz w:val="20"/>
          <w:szCs w:val="24"/>
          <w:rtl/>
        </w:rPr>
        <w:t xml:space="preserve">وشدد مؤتمر الأطراف، من خلال المقررين </w:t>
      </w:r>
      <w:hyperlink r:id="rId50" w:history="1">
        <w:r w:rsidRPr="00FA1420">
          <w:rPr>
            <w:rStyle w:val="Hyperlink"/>
            <w:sz w:val="20"/>
            <w:szCs w:val="24"/>
          </w:rPr>
          <w:t>16/25</w:t>
        </w:r>
      </w:hyperlink>
      <w:r w:rsidRPr="00FA1420">
        <w:rPr>
          <w:sz w:val="20"/>
          <w:szCs w:val="24"/>
          <w:rtl/>
        </w:rPr>
        <w:t xml:space="preserve"> و</w:t>
      </w:r>
      <w:hyperlink r:id="rId51" w:history="1">
        <w:r w:rsidRPr="00FA1420">
          <w:rPr>
            <w:rStyle w:val="Hyperlink"/>
            <w:sz w:val="20"/>
            <w:szCs w:val="24"/>
          </w:rPr>
          <w:t>16/28</w:t>
        </w:r>
      </w:hyperlink>
      <w:r w:rsidRPr="00FA1420">
        <w:rPr>
          <w:sz w:val="20"/>
          <w:szCs w:val="24"/>
          <w:rtl/>
        </w:rPr>
        <w:t xml:space="preserve">، على أهمية مشاركة الأطراف من البلدان النامية، ولا سيما أقل البلدان نموا والدول الجزرية الصغيرة النامية، والأطراف التي تمر اقتصاداتها بمرحلة انتقالية. </w:t>
      </w:r>
    </w:p>
    <w:p w14:paraId="1F8E921A" w14:textId="1262D1DA" w:rsidR="00DF3626" w:rsidRPr="00FA1420" w:rsidRDefault="00DF3626" w:rsidP="00DF3626">
      <w:pPr>
        <w:pStyle w:val="CBDNormalNumber"/>
        <w:bidi/>
        <w:rPr>
          <w:sz w:val="20"/>
          <w:szCs w:val="24"/>
          <w:rtl/>
        </w:rPr>
      </w:pPr>
      <w:r w:rsidRPr="00FA1420">
        <w:rPr>
          <w:sz w:val="20"/>
          <w:szCs w:val="24"/>
          <w:rtl/>
        </w:rPr>
        <w:t>وأجرت الأمانة دراسة استقصائية فيما بين أمانات الاتفاقات البيئية المتعددة الأطراف العالمية لجمع معلومات عن آليات دعم المشاركة في إطار الاتفاقات البيئية المتعددة الأطراف الأخرى.</w:t>
      </w:r>
      <w:r w:rsidRPr="00FA1420">
        <w:rPr>
          <w:sz w:val="20"/>
          <w:szCs w:val="24"/>
          <w:vertAlign w:val="superscript"/>
        </w:rPr>
        <w:footnoteReference w:id="9"/>
      </w:r>
    </w:p>
    <w:p w14:paraId="3B87A7A4" w14:textId="74195E40" w:rsidR="00DF3626" w:rsidRPr="00FA1420" w:rsidRDefault="00DF3626" w:rsidP="00DF3626">
      <w:pPr>
        <w:pStyle w:val="CBDNormalNumber"/>
        <w:bidi/>
        <w:rPr>
          <w:sz w:val="20"/>
          <w:szCs w:val="24"/>
          <w:rtl/>
        </w:rPr>
      </w:pPr>
      <w:r w:rsidRPr="00FA1420">
        <w:rPr>
          <w:sz w:val="20"/>
          <w:szCs w:val="24"/>
          <w:rtl/>
        </w:rPr>
        <w:t>وأرسلت الأمينة التنفيذية دوريا رسائل إلى جميع الأطراف تدعوها فيها إلى تقديم مساهمات طوعية. وفي الرسائل نفسها، شُجعت الأطراف المؤهلة للتمويل على استكشاف مصادر تمويل بديلة. كما واصلت الأمينة التنفيذية التشديد على أهمية دعم المشاركة أثناء الاجتماعات الثنائية مع الأطراف ومع الجهات الفاعلة غير الحكومية، بغية حشد مصادر تمويل بديلة.</w:t>
      </w:r>
    </w:p>
    <w:p w14:paraId="7C8FA88F" w14:textId="501987F4" w:rsidR="008B78C3" w:rsidRPr="00FA1420" w:rsidRDefault="00DF3626" w:rsidP="00DF3626">
      <w:pPr>
        <w:pStyle w:val="CBDNormalNumber"/>
        <w:bidi/>
        <w:rPr>
          <w:sz w:val="20"/>
          <w:szCs w:val="24"/>
          <w:rtl/>
        </w:rPr>
      </w:pPr>
      <w:r w:rsidRPr="00FA1420">
        <w:rPr>
          <w:sz w:val="20"/>
          <w:szCs w:val="24"/>
          <w:rtl/>
        </w:rPr>
        <w:t>وتبين اتجاهات المساهمات في الصندوقين الاستئمانيين كليهما، على النحو المعروض في الشكلين الأول والثاني أدناه، اتجاها تنازليا في المستويات الإجمالية لتمويل دعم مشاركة الأطراف المؤهلة والشعوب الأصلية والمجتمعات المحلية.</w:t>
      </w:r>
    </w:p>
    <w:p w14:paraId="1442A011" w14:textId="362CDA3B" w:rsidR="0025364B" w:rsidRPr="00FA1420" w:rsidRDefault="006E483F" w:rsidP="00FA1420">
      <w:pPr>
        <w:keepNext/>
        <w:tabs>
          <w:tab w:val="clear" w:pos="567"/>
          <w:tab w:val="clear" w:pos="1134"/>
          <w:tab w:val="clear" w:pos="1701"/>
          <w:tab w:val="clear" w:pos="2268"/>
        </w:tabs>
        <w:bidi/>
        <w:ind w:left="562"/>
        <w:jc w:val="left"/>
        <w:rPr>
          <w:sz w:val="20"/>
          <w:szCs w:val="24"/>
          <w:rtl/>
        </w:rPr>
      </w:pPr>
      <w:r w:rsidRPr="00FA1420">
        <w:rPr>
          <w:sz w:val="20"/>
          <w:szCs w:val="24"/>
          <w:rtl/>
        </w:rPr>
        <w:lastRenderedPageBreak/>
        <w:t>الشكل الأول</w:t>
      </w:r>
    </w:p>
    <w:p w14:paraId="5F61D3D4" w14:textId="000CE9F9" w:rsidR="00DF3626" w:rsidRPr="00FA1420" w:rsidRDefault="00DF3626" w:rsidP="00FA1420">
      <w:pPr>
        <w:pStyle w:val="CBDNormalNumber"/>
        <w:keepNext/>
        <w:numPr>
          <w:ilvl w:val="0"/>
          <w:numId w:val="0"/>
        </w:numPr>
        <w:bidi/>
        <w:spacing w:before="0"/>
        <w:ind w:left="562"/>
        <w:jc w:val="left"/>
        <w:rPr>
          <w:b/>
          <w:bCs/>
          <w:sz w:val="20"/>
          <w:szCs w:val="24"/>
          <w:rtl/>
        </w:rPr>
      </w:pPr>
      <w:r w:rsidRPr="00FA1420">
        <w:rPr>
          <w:b/>
          <w:bCs/>
          <w:sz w:val="20"/>
          <w:szCs w:val="24"/>
          <w:rtl/>
        </w:rPr>
        <w:t xml:space="preserve">الصندوق الاستئماني الطوعي الخاص </w:t>
      </w:r>
      <w:r w:rsidRPr="00595CD1">
        <w:rPr>
          <w:rFonts w:asciiTheme="majorBidi" w:hAnsiTheme="majorBidi" w:cstheme="majorBidi"/>
          <w:b/>
          <w:bCs/>
          <w:sz w:val="16"/>
          <w:szCs w:val="20"/>
          <w:rtl/>
        </w:rPr>
        <w:t>BZ</w:t>
      </w:r>
      <w:r w:rsidRPr="00595CD1">
        <w:rPr>
          <w:b/>
          <w:bCs/>
          <w:sz w:val="16"/>
          <w:szCs w:val="20"/>
          <w:rtl/>
        </w:rPr>
        <w:t xml:space="preserve"> </w:t>
      </w:r>
      <w:r w:rsidRPr="00FA1420">
        <w:rPr>
          <w:b/>
          <w:bCs/>
          <w:sz w:val="20"/>
          <w:szCs w:val="24"/>
          <w:rtl/>
        </w:rPr>
        <w:t>لتيسير مشاركة الأطراف المؤهلة، اتجاه المساهمات للسنوات 2017-2026</w:t>
      </w:r>
    </w:p>
    <w:p w14:paraId="52AE07E4" w14:textId="42CC907F" w:rsidR="0025364B" w:rsidRPr="00FA1420" w:rsidRDefault="00DF3626" w:rsidP="00DF3626">
      <w:pPr>
        <w:pStyle w:val="CBDNormalNumber"/>
        <w:numPr>
          <w:ilvl w:val="0"/>
          <w:numId w:val="0"/>
        </w:numPr>
        <w:ind w:left="567"/>
        <w:rPr>
          <w:sz w:val="20"/>
          <w:szCs w:val="24"/>
        </w:rPr>
      </w:pPr>
      <w:r w:rsidRPr="00FA1420">
        <w:rPr>
          <w:rFonts w:eastAsia="Calibri"/>
          <w:noProof/>
          <w:sz w:val="20"/>
          <w:szCs w:val="24"/>
        </w:rPr>
        <w:drawing>
          <wp:inline distT="0" distB="0" distL="0" distR="0" wp14:anchorId="3B22B0B2" wp14:editId="5031AECC">
            <wp:extent cx="5613400" cy="2076450"/>
            <wp:effectExtent l="0" t="0" r="0" b="0"/>
            <wp:docPr id="1073741828" name="officeArt object" descr="Picture 1"/>
            <wp:cNvGraphicFramePr/>
            <a:graphic xmlns:a="http://schemas.openxmlformats.org/drawingml/2006/main">
              <a:graphicData uri="http://schemas.openxmlformats.org/drawingml/2006/picture">
                <pic:pic xmlns:pic="http://schemas.openxmlformats.org/drawingml/2006/picture">
                  <pic:nvPicPr>
                    <pic:cNvPr id="1073741828" name="Picture 1" descr="Picture 1"/>
                    <pic:cNvPicPr>
                      <a:picLocks noChangeAspect="1"/>
                    </pic:cNvPicPr>
                  </pic:nvPicPr>
                  <pic:blipFill>
                    <a:blip r:embed="rId52"/>
                    <a:stretch>
                      <a:fillRect/>
                    </a:stretch>
                  </pic:blipFill>
                  <pic:spPr>
                    <a:xfrm>
                      <a:off x="0" y="0"/>
                      <a:ext cx="5613760" cy="2076583"/>
                    </a:xfrm>
                    <a:prstGeom prst="rect">
                      <a:avLst/>
                    </a:prstGeom>
                    <a:ln w="12700" cap="flat">
                      <a:noFill/>
                      <a:miter lim="400000"/>
                    </a:ln>
                    <a:effectLst/>
                  </pic:spPr>
                </pic:pic>
              </a:graphicData>
            </a:graphic>
          </wp:inline>
        </w:drawing>
      </w:r>
    </w:p>
    <w:p w14:paraId="3A0C3F3D" w14:textId="193F9F53" w:rsidR="0025364B" w:rsidRPr="00FA1420" w:rsidRDefault="00DF3626" w:rsidP="002537BE">
      <w:pPr>
        <w:pStyle w:val="CBDNormalNumber"/>
        <w:numPr>
          <w:ilvl w:val="0"/>
          <w:numId w:val="0"/>
        </w:numPr>
        <w:bidi/>
        <w:spacing w:after="0"/>
        <w:ind w:left="567"/>
        <w:rPr>
          <w:sz w:val="20"/>
          <w:szCs w:val="24"/>
          <w:rtl/>
        </w:rPr>
      </w:pPr>
      <w:r w:rsidRPr="00FA1420">
        <w:rPr>
          <w:sz w:val="20"/>
          <w:szCs w:val="24"/>
          <w:rtl/>
        </w:rPr>
        <w:t>الشكل الثاني</w:t>
      </w:r>
    </w:p>
    <w:p w14:paraId="73279847" w14:textId="3EE8C1C2" w:rsidR="00DF3626" w:rsidRPr="00FA1420" w:rsidRDefault="00DF3626" w:rsidP="002537BE">
      <w:pPr>
        <w:pStyle w:val="CBDNormalNumber"/>
        <w:numPr>
          <w:ilvl w:val="0"/>
          <w:numId w:val="0"/>
        </w:numPr>
        <w:bidi/>
        <w:spacing w:before="0"/>
        <w:ind w:left="567"/>
        <w:jc w:val="left"/>
        <w:rPr>
          <w:b/>
          <w:bCs/>
          <w:sz w:val="20"/>
          <w:szCs w:val="24"/>
          <w:rtl/>
        </w:rPr>
      </w:pPr>
      <w:r w:rsidRPr="00FA1420">
        <w:rPr>
          <w:b/>
          <w:bCs/>
          <w:sz w:val="20"/>
          <w:szCs w:val="24"/>
          <w:rtl/>
        </w:rPr>
        <w:t xml:space="preserve">الصندوق الاستئماني الطوعي الخاص </w:t>
      </w:r>
      <w:r w:rsidRPr="00595CD1">
        <w:rPr>
          <w:rFonts w:asciiTheme="majorBidi" w:hAnsiTheme="majorBidi" w:cstheme="majorBidi"/>
          <w:b/>
          <w:bCs/>
          <w:sz w:val="16"/>
          <w:szCs w:val="20"/>
          <w:rtl/>
        </w:rPr>
        <w:t>VB</w:t>
      </w:r>
      <w:r w:rsidRPr="00FA1420">
        <w:rPr>
          <w:b/>
          <w:bCs/>
          <w:sz w:val="20"/>
          <w:szCs w:val="24"/>
          <w:rtl/>
        </w:rPr>
        <w:t xml:space="preserve"> لتيسير مشاركة الشعوب الأصلية والمجتمعات المحلية، اتجاه المساهمات للسنوات 2017-2026</w:t>
      </w:r>
    </w:p>
    <w:p w14:paraId="1DC06FFA" w14:textId="2BE4FCFC" w:rsidR="00DF3626" w:rsidRPr="00FA1420" w:rsidRDefault="00DF3626" w:rsidP="00DF3626">
      <w:pPr>
        <w:pStyle w:val="CBDNormalNumber"/>
        <w:numPr>
          <w:ilvl w:val="0"/>
          <w:numId w:val="0"/>
        </w:numPr>
        <w:ind w:left="567"/>
        <w:rPr>
          <w:sz w:val="20"/>
          <w:szCs w:val="24"/>
        </w:rPr>
      </w:pPr>
      <w:r w:rsidRPr="00FA1420">
        <w:rPr>
          <w:rFonts w:eastAsia="Calibri"/>
          <w:noProof/>
          <w:sz w:val="20"/>
          <w:szCs w:val="24"/>
        </w:rPr>
        <w:drawing>
          <wp:inline distT="0" distB="0" distL="0" distR="0" wp14:anchorId="0ACA2558" wp14:editId="3C913B20">
            <wp:extent cx="5556250" cy="2336800"/>
            <wp:effectExtent l="0" t="0" r="0" b="0"/>
            <wp:docPr id="1073741829" name="officeArt object" descr="Picture 1"/>
            <wp:cNvGraphicFramePr/>
            <a:graphic xmlns:a="http://schemas.openxmlformats.org/drawingml/2006/main">
              <a:graphicData uri="http://schemas.openxmlformats.org/drawingml/2006/picture">
                <pic:pic xmlns:pic="http://schemas.openxmlformats.org/drawingml/2006/picture">
                  <pic:nvPicPr>
                    <pic:cNvPr id="1073741829" name="Picture 1" descr="Picture 1"/>
                    <pic:cNvPicPr>
                      <a:picLocks noChangeAspect="1"/>
                    </pic:cNvPicPr>
                  </pic:nvPicPr>
                  <pic:blipFill>
                    <a:blip r:embed="rId53"/>
                    <a:stretch>
                      <a:fillRect/>
                    </a:stretch>
                  </pic:blipFill>
                  <pic:spPr>
                    <a:xfrm>
                      <a:off x="0" y="0"/>
                      <a:ext cx="5557993" cy="2337533"/>
                    </a:xfrm>
                    <a:prstGeom prst="rect">
                      <a:avLst/>
                    </a:prstGeom>
                    <a:ln w="12700" cap="flat">
                      <a:noFill/>
                      <a:miter lim="400000"/>
                    </a:ln>
                    <a:effectLst/>
                  </pic:spPr>
                </pic:pic>
              </a:graphicData>
            </a:graphic>
          </wp:inline>
        </w:drawing>
      </w:r>
    </w:p>
    <w:p w14:paraId="0DB5E70F" w14:textId="2726A17E" w:rsidR="00DF3626" w:rsidRPr="00FA1420" w:rsidRDefault="00DF3626" w:rsidP="00DF3626">
      <w:pPr>
        <w:pStyle w:val="CBDNormalNumber"/>
        <w:bidi/>
        <w:rPr>
          <w:sz w:val="20"/>
          <w:szCs w:val="24"/>
          <w:rtl/>
        </w:rPr>
      </w:pPr>
      <w:r w:rsidRPr="00FA1420">
        <w:rPr>
          <w:sz w:val="20"/>
          <w:szCs w:val="24"/>
          <w:rtl/>
        </w:rPr>
        <w:t xml:space="preserve">وأُدرجت دورة واحدة لكل هيئة فرعية في الميزانية المقترحة لفترة السنتين 2027-2028 </w:t>
      </w:r>
      <w:r w:rsidR="004F6616" w:rsidRPr="00FA1420">
        <w:rPr>
          <w:rFonts w:hint="cs"/>
          <w:sz w:val="20"/>
          <w:szCs w:val="24"/>
          <w:rtl/>
        </w:rPr>
        <w:t>الواردة</w:t>
      </w:r>
      <w:r w:rsidRPr="00FA1420">
        <w:rPr>
          <w:sz w:val="20"/>
          <w:szCs w:val="24"/>
          <w:rtl/>
        </w:rPr>
        <w:t xml:space="preserve"> في الوثيقة </w:t>
      </w:r>
      <w:hyperlink r:id="rId54" w:history="1">
        <w:r w:rsidRPr="00FA1420">
          <w:rPr>
            <w:rStyle w:val="Hyperlink"/>
            <w:sz w:val="20"/>
            <w:szCs w:val="24"/>
          </w:rPr>
          <w:t>CBD/COP/17/4</w:t>
        </w:r>
      </w:hyperlink>
      <w:r w:rsidRPr="00FA1420">
        <w:rPr>
          <w:sz w:val="20"/>
          <w:szCs w:val="24"/>
          <w:rtl/>
        </w:rPr>
        <w:t>-</w:t>
      </w:r>
      <w:hyperlink r:id="rId55" w:history="1">
        <w:r w:rsidRPr="00FA1420">
          <w:rPr>
            <w:rStyle w:val="Hyperlink"/>
            <w:sz w:val="20"/>
            <w:szCs w:val="24"/>
          </w:rPr>
          <w:t>CBD/CP/MOP/12/5</w:t>
        </w:r>
      </w:hyperlink>
      <w:r w:rsidRPr="00FA1420">
        <w:rPr>
          <w:sz w:val="20"/>
          <w:szCs w:val="24"/>
          <w:rtl/>
        </w:rPr>
        <w:t>-</w:t>
      </w:r>
      <w:hyperlink r:id="rId56" w:history="1">
        <w:r w:rsidRPr="00FA1420">
          <w:rPr>
            <w:rStyle w:val="Hyperlink"/>
            <w:sz w:val="20"/>
            <w:szCs w:val="24"/>
          </w:rPr>
          <w:t>CBD/NP/MOP/6/5</w:t>
        </w:r>
      </w:hyperlink>
      <w:r w:rsidRPr="00FA1420">
        <w:rPr>
          <w:sz w:val="20"/>
          <w:szCs w:val="24"/>
          <w:rtl/>
        </w:rPr>
        <w:t>. وترد في الجدول 2 أدناه تقديرات إضافية لتكاليف الاجتماعات استنادا إلى خيارات وسيناريوهات مختلفة. و</w:t>
      </w:r>
      <w:r w:rsidR="004F6616" w:rsidRPr="00FA1420">
        <w:rPr>
          <w:rFonts w:hint="cs"/>
          <w:sz w:val="20"/>
          <w:szCs w:val="24"/>
          <w:rtl/>
        </w:rPr>
        <w:t>في حين</w:t>
      </w:r>
      <w:r w:rsidRPr="00FA1420">
        <w:rPr>
          <w:sz w:val="20"/>
          <w:szCs w:val="24"/>
          <w:rtl/>
        </w:rPr>
        <w:t xml:space="preserve"> </w:t>
      </w:r>
      <w:r w:rsidR="004F6616" w:rsidRPr="00FA1420">
        <w:rPr>
          <w:rFonts w:hint="cs"/>
          <w:sz w:val="20"/>
          <w:szCs w:val="24"/>
          <w:rtl/>
        </w:rPr>
        <w:t>ت</w:t>
      </w:r>
      <w:r w:rsidRPr="00FA1420">
        <w:rPr>
          <w:sz w:val="20"/>
          <w:szCs w:val="24"/>
          <w:rtl/>
        </w:rPr>
        <w:t xml:space="preserve">ظل المعايير الحالية </w:t>
      </w:r>
      <w:r w:rsidR="004F6616" w:rsidRPr="00FA1420">
        <w:rPr>
          <w:rFonts w:hint="cs"/>
          <w:sz w:val="20"/>
          <w:szCs w:val="24"/>
          <w:rtl/>
        </w:rPr>
        <w:t>ك</w:t>
      </w:r>
      <w:r w:rsidRPr="00FA1420">
        <w:rPr>
          <w:sz w:val="20"/>
          <w:szCs w:val="24"/>
          <w:rtl/>
        </w:rPr>
        <w:t>افية لتخصيص التمويل للمشاركة، مع إعطاء الأولوية لأقل البلدان نموا والدول الجزرية الصغيرة النامية، فمن المهم زيادة عدد الأطراف والجهات الفاعلة الأخرى المساهمة في الصندوقين الاستئمانيين.</w:t>
      </w:r>
    </w:p>
    <w:p w14:paraId="7472E93A" w14:textId="77777777" w:rsidR="006E483F" w:rsidRDefault="006E483F">
      <w:pPr>
        <w:tabs>
          <w:tab w:val="clear" w:pos="567"/>
          <w:tab w:val="clear" w:pos="1134"/>
          <w:tab w:val="clear" w:pos="1701"/>
          <w:tab w:val="clear" w:pos="2268"/>
        </w:tabs>
        <w:jc w:val="left"/>
      </w:pPr>
      <w:r>
        <w:br w:type="page"/>
      </w:r>
    </w:p>
    <w:p w14:paraId="48E02775" w14:textId="12AF8948" w:rsidR="00292149" w:rsidRDefault="00DF3626" w:rsidP="00CB7D1A">
      <w:pPr>
        <w:pStyle w:val="CBDNormalNumber"/>
        <w:numPr>
          <w:ilvl w:val="0"/>
          <w:numId w:val="0"/>
        </w:numPr>
        <w:ind w:left="567"/>
        <w:jc w:val="right"/>
      </w:pPr>
      <w:r>
        <w:rPr>
          <w:rtl/>
        </w:rPr>
        <w:lastRenderedPageBreak/>
        <w:t>الجدول 2</w:t>
      </w:r>
      <w:r>
        <w:br/>
      </w:r>
      <w:r w:rsidRPr="004F6616">
        <w:rPr>
          <w:b/>
          <w:bCs/>
          <w:rtl/>
        </w:rPr>
        <w:t>تكاليف الاجتماعات استنادا إلى خيارات وسيناريوهات مختلفة</w:t>
      </w:r>
      <w:r>
        <w:br/>
      </w:r>
      <w:r w:rsidRPr="001353CB">
        <w:rPr>
          <w:sz w:val="20"/>
          <w:szCs w:val="20"/>
          <w:rtl/>
        </w:rPr>
        <w:t>(ب</w:t>
      </w:r>
      <w:r w:rsidR="004F6616" w:rsidRPr="001353CB">
        <w:rPr>
          <w:rFonts w:hint="cs"/>
          <w:sz w:val="20"/>
          <w:szCs w:val="20"/>
          <w:rtl/>
        </w:rPr>
        <w:t>ال</w:t>
      </w:r>
      <w:r w:rsidRPr="001353CB">
        <w:rPr>
          <w:sz w:val="20"/>
          <w:szCs w:val="20"/>
          <w:rtl/>
        </w:rPr>
        <w:t xml:space="preserve">دولارات </w:t>
      </w:r>
      <w:r w:rsidR="004F6616" w:rsidRPr="001353CB">
        <w:rPr>
          <w:rFonts w:hint="cs"/>
          <w:sz w:val="20"/>
          <w:szCs w:val="20"/>
          <w:rtl/>
        </w:rPr>
        <w:t>الأمريكية</w:t>
      </w:r>
      <w:r w:rsidRPr="001353CB">
        <w:rPr>
          <w:sz w:val="20"/>
          <w:szCs w:val="20"/>
          <w:rtl/>
        </w:rPr>
        <w:t>)</w:t>
      </w:r>
    </w:p>
    <w:tbl>
      <w:tblPr>
        <w:tblpPr w:leftFromText="180" w:rightFromText="180" w:vertAnchor="text" w:tblpXSpec="right" w:tblpY="1"/>
        <w:tblOverlap w:val="never"/>
        <w:bidiVisual/>
        <w:tblW w:w="10006" w:type="dxa"/>
        <w:tblLook w:val="04A0" w:firstRow="1" w:lastRow="0" w:firstColumn="1" w:lastColumn="0" w:noHBand="0" w:noVBand="1"/>
      </w:tblPr>
      <w:tblGrid>
        <w:gridCol w:w="1321"/>
        <w:gridCol w:w="589"/>
        <w:gridCol w:w="1050"/>
        <w:gridCol w:w="8"/>
        <w:gridCol w:w="1152"/>
        <w:gridCol w:w="1187"/>
        <w:gridCol w:w="8"/>
        <w:gridCol w:w="1171"/>
        <w:gridCol w:w="8"/>
        <w:gridCol w:w="1252"/>
        <w:gridCol w:w="8"/>
        <w:gridCol w:w="1152"/>
        <w:gridCol w:w="1100"/>
      </w:tblGrid>
      <w:tr w:rsidR="000E0F3F" w:rsidRPr="000E0F3F" w14:paraId="292ECFCF" w14:textId="77777777" w:rsidTr="000404A3">
        <w:trPr>
          <w:trHeight w:val="444"/>
        </w:trPr>
        <w:tc>
          <w:tcPr>
            <w:tcW w:w="1321" w:type="dxa"/>
            <w:tcBorders>
              <w:top w:val="nil"/>
              <w:left w:val="nil"/>
              <w:bottom w:val="nil"/>
              <w:right w:val="nil"/>
            </w:tcBorders>
            <w:noWrap/>
            <w:vAlign w:val="center"/>
            <w:hideMark/>
          </w:tcPr>
          <w:p w14:paraId="01D63007" w14:textId="7777777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p>
        </w:tc>
        <w:tc>
          <w:tcPr>
            <w:tcW w:w="589" w:type="dxa"/>
            <w:tcBorders>
              <w:top w:val="nil"/>
              <w:left w:val="nil"/>
              <w:bottom w:val="nil"/>
              <w:right w:val="nil"/>
            </w:tcBorders>
            <w:noWrap/>
            <w:vAlign w:val="center"/>
            <w:hideMark/>
          </w:tcPr>
          <w:p w14:paraId="10FD3604" w14:textId="77777777" w:rsidR="000E0F3F" w:rsidRPr="000E0F3F" w:rsidRDefault="000E0F3F" w:rsidP="000E0F3F">
            <w:pPr>
              <w:tabs>
                <w:tab w:val="clear" w:pos="567"/>
                <w:tab w:val="clear" w:pos="1134"/>
                <w:tab w:val="clear" w:pos="1701"/>
                <w:tab w:val="clear" w:pos="2268"/>
              </w:tabs>
              <w:jc w:val="center"/>
              <w:rPr>
                <w:rFonts w:ascii="Simplified Arabic" w:eastAsia="Times New Roman" w:hAnsi="Simplified Arabic"/>
                <w:sz w:val="16"/>
                <w:szCs w:val="16"/>
                <w:lang w:val="en-US"/>
              </w:rPr>
            </w:pPr>
          </w:p>
        </w:tc>
        <w:tc>
          <w:tcPr>
            <w:tcW w:w="1050" w:type="dxa"/>
            <w:tcBorders>
              <w:top w:val="nil"/>
              <w:left w:val="nil"/>
              <w:bottom w:val="nil"/>
              <w:right w:val="nil"/>
            </w:tcBorders>
            <w:noWrap/>
            <w:vAlign w:val="center"/>
            <w:hideMark/>
          </w:tcPr>
          <w:p w14:paraId="5D0DF725" w14:textId="77777777" w:rsidR="000E0F3F" w:rsidRPr="000E0F3F" w:rsidRDefault="000E0F3F" w:rsidP="000E0F3F">
            <w:pPr>
              <w:tabs>
                <w:tab w:val="clear" w:pos="567"/>
                <w:tab w:val="clear" w:pos="1134"/>
                <w:tab w:val="clear" w:pos="1701"/>
                <w:tab w:val="clear" w:pos="2268"/>
              </w:tabs>
              <w:jc w:val="center"/>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 (A) </w:t>
            </w:r>
          </w:p>
        </w:tc>
        <w:tc>
          <w:tcPr>
            <w:tcW w:w="3526" w:type="dxa"/>
            <w:gridSpan w:val="5"/>
            <w:tcBorders>
              <w:top w:val="nil"/>
              <w:left w:val="nil"/>
              <w:bottom w:val="single" w:sz="8" w:space="0" w:color="auto"/>
              <w:right w:val="nil"/>
            </w:tcBorders>
            <w:noWrap/>
            <w:vAlign w:val="center"/>
            <w:hideMark/>
          </w:tcPr>
          <w:p w14:paraId="7BCF200D" w14:textId="77777777" w:rsidR="000E0F3F" w:rsidRPr="000E0F3F" w:rsidRDefault="000E0F3F" w:rsidP="000E0F3F">
            <w:pPr>
              <w:tabs>
                <w:tab w:val="clear" w:pos="567"/>
                <w:tab w:val="clear" w:pos="1134"/>
                <w:tab w:val="clear" w:pos="1701"/>
                <w:tab w:val="clear" w:pos="2268"/>
              </w:tabs>
              <w:jc w:val="center"/>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 (B) </w:t>
            </w:r>
          </w:p>
        </w:tc>
        <w:tc>
          <w:tcPr>
            <w:tcW w:w="3520" w:type="dxa"/>
            <w:gridSpan w:val="5"/>
            <w:tcBorders>
              <w:top w:val="nil"/>
              <w:left w:val="nil"/>
              <w:bottom w:val="single" w:sz="8" w:space="0" w:color="auto"/>
              <w:right w:val="nil"/>
            </w:tcBorders>
            <w:noWrap/>
            <w:vAlign w:val="center"/>
            <w:hideMark/>
          </w:tcPr>
          <w:p w14:paraId="540D9C37" w14:textId="77777777" w:rsidR="000E0F3F" w:rsidRPr="000E0F3F" w:rsidRDefault="000E0F3F" w:rsidP="000E0F3F">
            <w:pPr>
              <w:tabs>
                <w:tab w:val="clear" w:pos="567"/>
                <w:tab w:val="clear" w:pos="1134"/>
                <w:tab w:val="clear" w:pos="1701"/>
                <w:tab w:val="clear" w:pos="2268"/>
              </w:tabs>
              <w:jc w:val="center"/>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(C)</w:t>
            </w:r>
          </w:p>
        </w:tc>
      </w:tr>
      <w:tr w:rsidR="000E0F3F" w:rsidRPr="000E0F3F" w14:paraId="001B4787" w14:textId="77777777" w:rsidTr="000404A3">
        <w:trPr>
          <w:trHeight w:val="1032"/>
        </w:trPr>
        <w:tc>
          <w:tcPr>
            <w:tcW w:w="1910" w:type="dxa"/>
            <w:gridSpan w:val="2"/>
            <w:tcBorders>
              <w:top w:val="single" w:sz="8" w:space="0" w:color="auto"/>
              <w:left w:val="single" w:sz="8" w:space="0" w:color="auto"/>
              <w:bottom w:val="single" w:sz="8" w:space="0" w:color="auto"/>
              <w:right w:val="single" w:sz="8" w:space="0" w:color="F2F2F2"/>
            </w:tcBorders>
            <w:vAlign w:val="center"/>
            <w:hideMark/>
          </w:tcPr>
          <w:p w14:paraId="03E70C46" w14:textId="153A30AF" w:rsidR="000E0F3F" w:rsidRPr="000E0F3F" w:rsidRDefault="000E0F3F" w:rsidP="000E0F3F">
            <w:pPr>
              <w:tabs>
                <w:tab w:val="clear" w:pos="567"/>
                <w:tab w:val="clear" w:pos="1134"/>
                <w:tab w:val="clear" w:pos="1701"/>
                <w:tab w:val="clear" w:pos="2268"/>
              </w:tabs>
              <w:bidi/>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rtl/>
                <w:lang w:val="en-US"/>
              </w:rPr>
              <w:t>*يبقى مكان الاجتماع كما هو وفقا لما جاء في وثيقة الميزانية</w:t>
            </w:r>
            <w:r w:rsidRPr="000E0F3F">
              <w:rPr>
                <w:rFonts w:ascii="Simplified Arabic" w:eastAsia="Times New Roman" w:hAnsi="Simplified Arabic" w:hint="cs"/>
                <w:b/>
                <w:bCs/>
                <w:sz w:val="16"/>
                <w:szCs w:val="16"/>
                <w:rtl/>
                <w:lang w:val="en-US"/>
              </w:rPr>
              <w:br/>
              <w:t xml:space="preserve">**لا تشمل المبالغ تكاليف دعم البرامج </w:t>
            </w:r>
          </w:p>
        </w:tc>
        <w:tc>
          <w:tcPr>
            <w:tcW w:w="1058" w:type="dxa"/>
            <w:gridSpan w:val="2"/>
            <w:tcBorders>
              <w:top w:val="single" w:sz="8" w:space="0" w:color="auto"/>
              <w:left w:val="single" w:sz="8" w:space="0" w:color="auto"/>
              <w:bottom w:val="nil"/>
              <w:right w:val="single" w:sz="8" w:space="0" w:color="F2F2F2"/>
            </w:tcBorders>
            <w:vAlign w:val="center"/>
            <w:hideMark/>
          </w:tcPr>
          <w:p w14:paraId="51CE8543"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 xml:space="preserve"> الاجتماعات الأساسية فقط </w:t>
            </w:r>
          </w:p>
        </w:tc>
        <w:tc>
          <w:tcPr>
            <w:tcW w:w="3526" w:type="dxa"/>
            <w:gridSpan w:val="5"/>
            <w:tcBorders>
              <w:top w:val="single" w:sz="8" w:space="0" w:color="auto"/>
              <w:left w:val="nil"/>
              <w:bottom w:val="nil"/>
              <w:right w:val="single" w:sz="8" w:space="0" w:color="F2F2F2"/>
            </w:tcBorders>
            <w:vAlign w:val="center"/>
            <w:hideMark/>
          </w:tcPr>
          <w:p w14:paraId="7ADB3F24"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 xml:space="preserve"> الاجتماعات الأساسية + المشاركون في التمويل</w:t>
            </w:r>
            <w:r w:rsidRPr="000E0F3F">
              <w:rPr>
                <w:rFonts w:ascii="Simplified Arabic" w:eastAsia="Times New Roman" w:hAnsi="Simplified Arabic" w:hint="cs"/>
                <w:b/>
                <w:bCs/>
                <w:sz w:val="16"/>
                <w:szCs w:val="16"/>
                <w:rtl/>
                <w:lang w:val="en-US"/>
              </w:rPr>
              <w:br/>
              <w:t xml:space="preserve"> (واحد لكل طرف من أقل البلدان نمواً والدول الجزرية الصغيرة النامية) </w:t>
            </w:r>
          </w:p>
        </w:tc>
        <w:tc>
          <w:tcPr>
            <w:tcW w:w="3512" w:type="dxa"/>
            <w:gridSpan w:val="4"/>
            <w:tcBorders>
              <w:top w:val="single" w:sz="8" w:space="0" w:color="auto"/>
              <w:left w:val="single" w:sz="8" w:space="0" w:color="F2F2F2"/>
              <w:bottom w:val="nil"/>
              <w:right w:val="single" w:sz="8" w:space="0" w:color="000000"/>
            </w:tcBorders>
            <w:vAlign w:val="center"/>
            <w:hideMark/>
          </w:tcPr>
          <w:p w14:paraId="4812462F"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 xml:space="preserve"> الاجتماعات الأساسية + المشاركون في التمويل</w:t>
            </w:r>
            <w:r w:rsidRPr="000E0F3F">
              <w:rPr>
                <w:rFonts w:ascii="Simplified Arabic" w:eastAsia="Times New Roman" w:hAnsi="Simplified Arabic" w:hint="cs"/>
                <w:b/>
                <w:bCs/>
                <w:sz w:val="16"/>
                <w:szCs w:val="16"/>
                <w:rtl/>
                <w:lang w:val="en-US"/>
              </w:rPr>
              <w:br/>
              <w:t xml:space="preserve"> (واحد لكل طرف مؤهل) </w:t>
            </w:r>
          </w:p>
        </w:tc>
      </w:tr>
      <w:tr w:rsidR="000E0F3F" w:rsidRPr="000E0F3F" w14:paraId="534D7653" w14:textId="77777777" w:rsidTr="000404A3">
        <w:trPr>
          <w:trHeight w:val="336"/>
        </w:trPr>
        <w:tc>
          <w:tcPr>
            <w:tcW w:w="1910" w:type="dxa"/>
            <w:gridSpan w:val="2"/>
            <w:tcBorders>
              <w:top w:val="single" w:sz="8" w:space="0" w:color="auto"/>
              <w:left w:val="single" w:sz="8" w:space="0" w:color="auto"/>
              <w:bottom w:val="single" w:sz="4" w:space="0" w:color="auto"/>
              <w:right w:val="nil"/>
            </w:tcBorders>
            <w:noWrap/>
            <w:vAlign w:val="center"/>
            <w:hideMark/>
          </w:tcPr>
          <w:p w14:paraId="3193C057" w14:textId="77777777" w:rsidR="000E0F3F" w:rsidRPr="000E0F3F" w:rsidRDefault="000E0F3F" w:rsidP="000E0F3F">
            <w:pPr>
              <w:tabs>
                <w:tab w:val="clear" w:pos="567"/>
                <w:tab w:val="clear" w:pos="1134"/>
                <w:tab w:val="clear" w:pos="1701"/>
                <w:tab w:val="clear" w:pos="2268"/>
              </w:tabs>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lang w:val="en-US"/>
              </w:rPr>
              <w:t>2027-2028</w:t>
            </w:r>
          </w:p>
        </w:tc>
        <w:tc>
          <w:tcPr>
            <w:tcW w:w="1058" w:type="dxa"/>
            <w:gridSpan w:val="2"/>
            <w:tcBorders>
              <w:top w:val="single" w:sz="8" w:space="0" w:color="auto"/>
              <w:left w:val="single" w:sz="8" w:space="0" w:color="auto"/>
              <w:bottom w:val="single" w:sz="8" w:space="0" w:color="000000"/>
              <w:right w:val="single" w:sz="8" w:space="0" w:color="auto"/>
            </w:tcBorders>
            <w:vAlign w:val="center"/>
            <w:hideMark/>
          </w:tcPr>
          <w:p w14:paraId="0C468939"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rtl/>
                <w:lang w:val="en-US"/>
              </w:rPr>
              <w:t xml:space="preserve"> إجمالي اجتماعات الهيئات الدولية (الميزانية الأساسية) </w:t>
            </w:r>
          </w:p>
        </w:tc>
        <w:tc>
          <w:tcPr>
            <w:tcW w:w="1152" w:type="dxa"/>
            <w:tcBorders>
              <w:top w:val="single" w:sz="8" w:space="0" w:color="auto"/>
              <w:left w:val="single" w:sz="8" w:space="0" w:color="auto"/>
              <w:bottom w:val="single" w:sz="8" w:space="0" w:color="000000"/>
              <w:right w:val="single" w:sz="4" w:space="0" w:color="auto"/>
            </w:tcBorders>
            <w:vAlign w:val="center"/>
            <w:hideMark/>
          </w:tcPr>
          <w:p w14:paraId="090B19BD" w14:textId="3F48F6EA"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 xml:space="preserve"> التقدير الخاص باجتماعات الهيئات الدولية (الميزانية الأساسية) </w:t>
            </w:r>
          </w:p>
        </w:tc>
        <w:tc>
          <w:tcPr>
            <w:tcW w:w="1195" w:type="dxa"/>
            <w:gridSpan w:val="2"/>
            <w:tcBorders>
              <w:top w:val="single" w:sz="8" w:space="0" w:color="auto"/>
              <w:left w:val="single" w:sz="4" w:space="0" w:color="auto"/>
              <w:bottom w:val="single" w:sz="8" w:space="0" w:color="000000"/>
              <w:right w:val="single" w:sz="4" w:space="0" w:color="auto"/>
            </w:tcBorders>
            <w:vAlign w:val="center"/>
            <w:hideMark/>
          </w:tcPr>
          <w:p w14:paraId="09E72CD3" w14:textId="7AAE2BEA"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 xml:space="preserve"> تمويل مشارك واحد لكل طرف من أقل البلدان نمواً/الدول الجزرية الصغيرة النامية. </w:t>
            </w:r>
          </w:p>
        </w:tc>
        <w:tc>
          <w:tcPr>
            <w:tcW w:w="1179" w:type="dxa"/>
            <w:gridSpan w:val="2"/>
            <w:tcBorders>
              <w:top w:val="single" w:sz="8" w:space="0" w:color="auto"/>
              <w:left w:val="single" w:sz="4" w:space="0" w:color="auto"/>
              <w:bottom w:val="single" w:sz="8" w:space="0" w:color="000000"/>
              <w:right w:val="single" w:sz="8" w:space="0" w:color="auto"/>
            </w:tcBorders>
            <w:vAlign w:val="center"/>
            <w:hideMark/>
          </w:tcPr>
          <w:p w14:paraId="04AF40DF"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 xml:space="preserve"> إجمالي الميزانية الأساسية:</w:t>
            </w:r>
            <w:r w:rsidRPr="000E0F3F">
              <w:rPr>
                <w:rFonts w:ascii="Simplified Arabic" w:eastAsia="Times New Roman" w:hAnsi="Simplified Arabic" w:hint="cs"/>
                <w:b/>
                <w:bCs/>
                <w:sz w:val="16"/>
                <w:szCs w:val="16"/>
                <w:rtl/>
                <w:lang w:val="en-US"/>
              </w:rPr>
              <w:br/>
              <w:t xml:space="preserve">الاجتماعات + تمويل مشارك واحد من أقل البلدان نمواً والدول الجزرية الصغيرة النامية </w:t>
            </w:r>
          </w:p>
        </w:tc>
        <w:tc>
          <w:tcPr>
            <w:tcW w:w="1260" w:type="dxa"/>
            <w:gridSpan w:val="2"/>
            <w:tcBorders>
              <w:top w:val="single" w:sz="8" w:space="0" w:color="auto"/>
              <w:left w:val="single" w:sz="8" w:space="0" w:color="auto"/>
              <w:bottom w:val="single" w:sz="8" w:space="0" w:color="000000"/>
              <w:right w:val="single" w:sz="4" w:space="0" w:color="auto"/>
            </w:tcBorders>
            <w:vAlign w:val="center"/>
            <w:hideMark/>
          </w:tcPr>
          <w:p w14:paraId="5258508D"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 xml:space="preserve"> تقدير اجتماعات الهيئات الدولية (الميزانية الأساسية) </w:t>
            </w:r>
          </w:p>
        </w:tc>
        <w:tc>
          <w:tcPr>
            <w:tcW w:w="1152" w:type="dxa"/>
            <w:tcBorders>
              <w:top w:val="single" w:sz="8" w:space="0" w:color="auto"/>
              <w:left w:val="single" w:sz="4" w:space="0" w:color="auto"/>
              <w:bottom w:val="single" w:sz="8" w:space="0" w:color="000000"/>
              <w:right w:val="single" w:sz="4" w:space="0" w:color="auto"/>
            </w:tcBorders>
            <w:vAlign w:val="center"/>
            <w:hideMark/>
          </w:tcPr>
          <w:p w14:paraId="21170B24"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 xml:space="preserve"> تمويل مشارك واحد لكل طرف مؤهل </w:t>
            </w:r>
          </w:p>
        </w:tc>
        <w:tc>
          <w:tcPr>
            <w:tcW w:w="1100" w:type="dxa"/>
            <w:tcBorders>
              <w:top w:val="single" w:sz="8" w:space="0" w:color="auto"/>
              <w:left w:val="single" w:sz="4" w:space="0" w:color="auto"/>
              <w:bottom w:val="single" w:sz="8" w:space="0" w:color="000000"/>
              <w:right w:val="single" w:sz="8" w:space="0" w:color="auto"/>
            </w:tcBorders>
            <w:vAlign w:val="center"/>
            <w:hideMark/>
          </w:tcPr>
          <w:p w14:paraId="0C13165C"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 xml:space="preserve"> إجمالي الميزانية الأساسية:</w:t>
            </w:r>
            <w:r w:rsidRPr="000E0F3F">
              <w:rPr>
                <w:rFonts w:ascii="Simplified Arabic" w:eastAsia="Times New Roman" w:hAnsi="Simplified Arabic" w:hint="cs"/>
                <w:b/>
                <w:bCs/>
                <w:sz w:val="16"/>
                <w:szCs w:val="16"/>
                <w:rtl/>
                <w:lang w:val="en-US"/>
              </w:rPr>
              <w:br/>
              <w:t xml:space="preserve">الاجتماعات + طرف مؤهل واحد </w:t>
            </w:r>
          </w:p>
        </w:tc>
      </w:tr>
      <w:tr w:rsidR="000E0F3F" w:rsidRPr="000E0F3F" w14:paraId="1E6C8F9E" w14:textId="77777777" w:rsidTr="000404A3">
        <w:trPr>
          <w:trHeight w:val="972"/>
        </w:trPr>
        <w:tc>
          <w:tcPr>
            <w:tcW w:w="1321" w:type="dxa"/>
            <w:tcBorders>
              <w:top w:val="nil"/>
              <w:left w:val="single" w:sz="8" w:space="0" w:color="auto"/>
              <w:bottom w:val="single" w:sz="8" w:space="0" w:color="auto"/>
              <w:right w:val="single" w:sz="4" w:space="0" w:color="auto"/>
            </w:tcBorders>
            <w:noWrap/>
            <w:vAlign w:val="center"/>
            <w:hideMark/>
          </w:tcPr>
          <w:p w14:paraId="5DC1431D"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السيناريو 1 - الحالي</w:t>
            </w:r>
          </w:p>
        </w:tc>
        <w:tc>
          <w:tcPr>
            <w:tcW w:w="589" w:type="dxa"/>
            <w:tcBorders>
              <w:top w:val="nil"/>
              <w:left w:val="nil"/>
              <w:bottom w:val="single" w:sz="8" w:space="0" w:color="auto"/>
              <w:right w:val="single" w:sz="4" w:space="0" w:color="auto"/>
            </w:tcBorders>
            <w:noWrap/>
            <w:vAlign w:val="center"/>
            <w:hideMark/>
          </w:tcPr>
          <w:p w14:paraId="5A389E21"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الأيام</w:t>
            </w:r>
          </w:p>
        </w:tc>
        <w:tc>
          <w:tcPr>
            <w:tcW w:w="1050" w:type="dxa"/>
            <w:tcBorders>
              <w:top w:val="single" w:sz="8" w:space="0" w:color="auto"/>
              <w:left w:val="single" w:sz="8" w:space="0" w:color="auto"/>
              <w:bottom w:val="single" w:sz="8" w:space="0" w:color="000000"/>
              <w:right w:val="single" w:sz="8" w:space="0" w:color="auto"/>
            </w:tcBorders>
            <w:vAlign w:val="center"/>
            <w:hideMark/>
          </w:tcPr>
          <w:p w14:paraId="491735B9" w14:textId="7777777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p>
        </w:tc>
        <w:tc>
          <w:tcPr>
            <w:tcW w:w="1160" w:type="dxa"/>
            <w:gridSpan w:val="2"/>
            <w:tcBorders>
              <w:top w:val="single" w:sz="8" w:space="0" w:color="auto"/>
              <w:left w:val="single" w:sz="8" w:space="0" w:color="auto"/>
              <w:bottom w:val="single" w:sz="8" w:space="0" w:color="000000"/>
              <w:right w:val="single" w:sz="4" w:space="0" w:color="auto"/>
            </w:tcBorders>
            <w:vAlign w:val="center"/>
            <w:hideMark/>
          </w:tcPr>
          <w:p w14:paraId="1A74DCF7" w14:textId="7777777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p>
        </w:tc>
        <w:tc>
          <w:tcPr>
            <w:tcW w:w="1187" w:type="dxa"/>
            <w:tcBorders>
              <w:top w:val="single" w:sz="8" w:space="0" w:color="auto"/>
              <w:left w:val="single" w:sz="4" w:space="0" w:color="auto"/>
              <w:bottom w:val="single" w:sz="8" w:space="0" w:color="000000"/>
              <w:right w:val="single" w:sz="4" w:space="0" w:color="auto"/>
            </w:tcBorders>
            <w:vAlign w:val="center"/>
            <w:hideMark/>
          </w:tcPr>
          <w:p w14:paraId="104DB2A5" w14:textId="7777777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p>
        </w:tc>
        <w:tc>
          <w:tcPr>
            <w:tcW w:w="1179" w:type="dxa"/>
            <w:gridSpan w:val="2"/>
            <w:tcBorders>
              <w:top w:val="single" w:sz="8" w:space="0" w:color="auto"/>
              <w:left w:val="single" w:sz="4" w:space="0" w:color="auto"/>
              <w:bottom w:val="single" w:sz="8" w:space="0" w:color="000000"/>
              <w:right w:val="single" w:sz="8" w:space="0" w:color="auto"/>
            </w:tcBorders>
            <w:vAlign w:val="center"/>
            <w:hideMark/>
          </w:tcPr>
          <w:p w14:paraId="0FCB1F4A" w14:textId="7777777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p>
        </w:tc>
        <w:tc>
          <w:tcPr>
            <w:tcW w:w="1260" w:type="dxa"/>
            <w:gridSpan w:val="2"/>
            <w:tcBorders>
              <w:top w:val="single" w:sz="8" w:space="0" w:color="auto"/>
              <w:left w:val="single" w:sz="8" w:space="0" w:color="auto"/>
              <w:bottom w:val="single" w:sz="8" w:space="0" w:color="000000"/>
              <w:right w:val="single" w:sz="4" w:space="0" w:color="auto"/>
            </w:tcBorders>
            <w:vAlign w:val="center"/>
            <w:hideMark/>
          </w:tcPr>
          <w:p w14:paraId="7E7C07F6" w14:textId="7777777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p>
        </w:tc>
        <w:tc>
          <w:tcPr>
            <w:tcW w:w="1160" w:type="dxa"/>
            <w:gridSpan w:val="2"/>
            <w:tcBorders>
              <w:top w:val="single" w:sz="8" w:space="0" w:color="auto"/>
              <w:left w:val="single" w:sz="4" w:space="0" w:color="auto"/>
              <w:bottom w:val="single" w:sz="8" w:space="0" w:color="000000"/>
              <w:right w:val="single" w:sz="4" w:space="0" w:color="auto"/>
            </w:tcBorders>
            <w:vAlign w:val="center"/>
            <w:hideMark/>
          </w:tcPr>
          <w:p w14:paraId="774A5D67" w14:textId="7777777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p>
        </w:tc>
        <w:tc>
          <w:tcPr>
            <w:tcW w:w="1100" w:type="dxa"/>
            <w:tcBorders>
              <w:top w:val="single" w:sz="8" w:space="0" w:color="auto"/>
              <w:left w:val="single" w:sz="4" w:space="0" w:color="auto"/>
              <w:bottom w:val="single" w:sz="8" w:space="0" w:color="000000"/>
              <w:right w:val="single" w:sz="8" w:space="0" w:color="auto"/>
            </w:tcBorders>
            <w:vAlign w:val="center"/>
            <w:hideMark/>
          </w:tcPr>
          <w:p w14:paraId="7AEE2E21" w14:textId="7777777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p>
        </w:tc>
      </w:tr>
      <w:tr w:rsidR="000E0F3F" w:rsidRPr="000E0F3F" w14:paraId="374AF649" w14:textId="77777777" w:rsidTr="000404A3">
        <w:trPr>
          <w:trHeight w:val="348"/>
        </w:trPr>
        <w:tc>
          <w:tcPr>
            <w:tcW w:w="1321" w:type="dxa"/>
            <w:tcBorders>
              <w:top w:val="nil"/>
              <w:left w:val="single" w:sz="8" w:space="0" w:color="auto"/>
              <w:bottom w:val="single" w:sz="4" w:space="0" w:color="auto"/>
              <w:right w:val="single" w:sz="4" w:space="0" w:color="auto"/>
            </w:tcBorders>
            <w:vAlign w:val="bottom"/>
            <w:hideMark/>
          </w:tcPr>
          <w:p w14:paraId="45CE5BF7" w14:textId="77777777" w:rsidR="000E0F3F" w:rsidRPr="00951E45" w:rsidRDefault="000E0F3F" w:rsidP="000E0F3F">
            <w:pPr>
              <w:tabs>
                <w:tab w:val="clear" w:pos="567"/>
                <w:tab w:val="clear" w:pos="1134"/>
                <w:tab w:val="clear" w:pos="1701"/>
                <w:tab w:val="clear" w:pos="2268"/>
              </w:tabs>
              <w:bidi/>
              <w:jc w:val="left"/>
              <w:rPr>
                <w:rFonts w:ascii="Simplified Arabic" w:eastAsia="Times New Roman" w:hAnsi="Simplified Arabic"/>
                <w:sz w:val="14"/>
                <w:szCs w:val="14"/>
                <w:rtl/>
                <w:lang w:val="en-US"/>
              </w:rPr>
            </w:pPr>
            <w:r w:rsidRPr="00951E45">
              <w:rPr>
                <w:rFonts w:ascii="Simplified Arabic" w:eastAsia="Times New Roman" w:hAnsi="Simplified Arabic" w:hint="cs"/>
                <w:sz w:val="14"/>
                <w:szCs w:val="14"/>
                <w:rtl/>
                <w:lang w:val="en-US"/>
              </w:rPr>
              <w:t>الاجتماع الثامن عشر لمؤتمر الأطراف</w:t>
            </w:r>
          </w:p>
        </w:tc>
        <w:tc>
          <w:tcPr>
            <w:tcW w:w="589" w:type="dxa"/>
            <w:tcBorders>
              <w:top w:val="nil"/>
              <w:left w:val="nil"/>
              <w:bottom w:val="single" w:sz="4" w:space="0" w:color="auto"/>
              <w:right w:val="single" w:sz="4" w:space="0" w:color="auto"/>
            </w:tcBorders>
            <w:noWrap/>
            <w:vAlign w:val="bottom"/>
            <w:hideMark/>
          </w:tcPr>
          <w:p w14:paraId="18AAFC15" w14:textId="77777777" w:rsidR="000E0F3F" w:rsidRPr="000E0F3F" w:rsidRDefault="000E0F3F" w:rsidP="000E0F3F">
            <w:pPr>
              <w:tabs>
                <w:tab w:val="clear" w:pos="567"/>
                <w:tab w:val="clear" w:pos="1134"/>
                <w:tab w:val="clear" w:pos="1701"/>
                <w:tab w:val="clear" w:pos="2268"/>
              </w:tabs>
              <w:jc w:val="center"/>
              <w:rPr>
                <w:rFonts w:ascii="Simplified Arabic" w:eastAsia="Times New Roman" w:hAnsi="Simplified Arabic"/>
                <w:sz w:val="16"/>
                <w:szCs w:val="16"/>
                <w:rtl/>
                <w:lang w:val="en-US"/>
              </w:rPr>
            </w:pPr>
            <w:r w:rsidRPr="000E0F3F">
              <w:rPr>
                <w:rFonts w:ascii="Simplified Arabic" w:eastAsia="Times New Roman" w:hAnsi="Simplified Arabic" w:hint="cs"/>
                <w:sz w:val="16"/>
                <w:szCs w:val="16"/>
                <w:lang w:val="en-US"/>
              </w:rPr>
              <w:t>14</w:t>
            </w:r>
          </w:p>
        </w:tc>
        <w:tc>
          <w:tcPr>
            <w:tcW w:w="1050" w:type="dxa"/>
            <w:tcBorders>
              <w:top w:val="nil"/>
              <w:left w:val="nil"/>
              <w:bottom w:val="single" w:sz="4" w:space="0" w:color="auto"/>
              <w:right w:val="single" w:sz="8" w:space="0" w:color="auto"/>
            </w:tcBorders>
            <w:noWrap/>
            <w:vAlign w:val="bottom"/>
            <w:hideMark/>
          </w:tcPr>
          <w:p w14:paraId="729573F0" w14:textId="4B3352C8"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2,661,505 </w:t>
            </w:r>
          </w:p>
        </w:tc>
        <w:tc>
          <w:tcPr>
            <w:tcW w:w="1160" w:type="dxa"/>
            <w:gridSpan w:val="2"/>
            <w:tcBorders>
              <w:top w:val="nil"/>
              <w:left w:val="nil"/>
              <w:bottom w:val="single" w:sz="4" w:space="0" w:color="auto"/>
              <w:right w:val="single" w:sz="4" w:space="0" w:color="auto"/>
            </w:tcBorders>
            <w:noWrap/>
            <w:vAlign w:val="bottom"/>
            <w:hideMark/>
          </w:tcPr>
          <w:p w14:paraId="6A8DB4DF" w14:textId="73D76CFA"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2,661,505 </w:t>
            </w:r>
          </w:p>
        </w:tc>
        <w:tc>
          <w:tcPr>
            <w:tcW w:w="1187" w:type="dxa"/>
            <w:tcBorders>
              <w:top w:val="nil"/>
              <w:left w:val="nil"/>
              <w:bottom w:val="single" w:sz="4" w:space="0" w:color="auto"/>
              <w:right w:val="single" w:sz="4" w:space="0" w:color="auto"/>
            </w:tcBorders>
            <w:noWrap/>
            <w:vAlign w:val="bottom"/>
            <w:hideMark/>
          </w:tcPr>
          <w:p w14:paraId="5960C46C" w14:textId="2F885920"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612,408 </w:t>
            </w:r>
          </w:p>
        </w:tc>
        <w:tc>
          <w:tcPr>
            <w:tcW w:w="1179" w:type="dxa"/>
            <w:gridSpan w:val="2"/>
            <w:tcBorders>
              <w:top w:val="nil"/>
              <w:left w:val="nil"/>
              <w:bottom w:val="single" w:sz="4" w:space="0" w:color="auto"/>
              <w:right w:val="single" w:sz="8" w:space="0" w:color="auto"/>
            </w:tcBorders>
            <w:noWrap/>
            <w:vAlign w:val="bottom"/>
            <w:hideMark/>
          </w:tcPr>
          <w:p w14:paraId="705C5546" w14:textId="6814D208"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3,273,913 </w:t>
            </w:r>
          </w:p>
        </w:tc>
        <w:tc>
          <w:tcPr>
            <w:tcW w:w="1260" w:type="dxa"/>
            <w:gridSpan w:val="2"/>
            <w:tcBorders>
              <w:top w:val="nil"/>
              <w:left w:val="nil"/>
              <w:bottom w:val="single" w:sz="4" w:space="0" w:color="auto"/>
              <w:right w:val="single" w:sz="4" w:space="0" w:color="auto"/>
            </w:tcBorders>
            <w:noWrap/>
            <w:vAlign w:val="bottom"/>
            <w:hideMark/>
          </w:tcPr>
          <w:p w14:paraId="214049CE" w14:textId="2EC27EE2"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2,661,505 </w:t>
            </w:r>
          </w:p>
        </w:tc>
        <w:tc>
          <w:tcPr>
            <w:tcW w:w="1160" w:type="dxa"/>
            <w:gridSpan w:val="2"/>
            <w:tcBorders>
              <w:top w:val="nil"/>
              <w:left w:val="nil"/>
              <w:bottom w:val="single" w:sz="4" w:space="0" w:color="auto"/>
              <w:right w:val="single" w:sz="4" w:space="0" w:color="auto"/>
            </w:tcBorders>
            <w:noWrap/>
            <w:vAlign w:val="bottom"/>
            <w:hideMark/>
          </w:tcPr>
          <w:p w14:paraId="3A5C228D" w14:textId="1695A80C"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1,240,320 </w:t>
            </w:r>
          </w:p>
        </w:tc>
        <w:tc>
          <w:tcPr>
            <w:tcW w:w="1100" w:type="dxa"/>
            <w:tcBorders>
              <w:top w:val="nil"/>
              <w:left w:val="nil"/>
              <w:bottom w:val="single" w:sz="4" w:space="0" w:color="auto"/>
              <w:right w:val="single" w:sz="8" w:space="0" w:color="auto"/>
            </w:tcBorders>
            <w:noWrap/>
            <w:vAlign w:val="bottom"/>
            <w:hideMark/>
          </w:tcPr>
          <w:p w14:paraId="7BA65655" w14:textId="51BA4370"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3,901,825 </w:t>
            </w:r>
          </w:p>
        </w:tc>
      </w:tr>
      <w:tr w:rsidR="000E0F3F" w:rsidRPr="000E0F3F" w14:paraId="2536C189" w14:textId="77777777" w:rsidTr="000404A3">
        <w:trPr>
          <w:trHeight w:val="1008"/>
        </w:trPr>
        <w:tc>
          <w:tcPr>
            <w:tcW w:w="1321" w:type="dxa"/>
            <w:tcBorders>
              <w:top w:val="nil"/>
              <w:left w:val="single" w:sz="8" w:space="0" w:color="auto"/>
              <w:bottom w:val="single" w:sz="4" w:space="0" w:color="auto"/>
              <w:right w:val="single" w:sz="4" w:space="0" w:color="auto"/>
            </w:tcBorders>
            <w:vAlign w:val="bottom"/>
            <w:hideMark/>
          </w:tcPr>
          <w:p w14:paraId="51D72EA7" w14:textId="77777777" w:rsidR="000E0F3F" w:rsidRPr="00951E45" w:rsidRDefault="000E0F3F" w:rsidP="000E0F3F">
            <w:pPr>
              <w:tabs>
                <w:tab w:val="clear" w:pos="567"/>
                <w:tab w:val="clear" w:pos="1134"/>
                <w:tab w:val="clear" w:pos="1701"/>
                <w:tab w:val="clear" w:pos="2268"/>
              </w:tabs>
              <w:bidi/>
              <w:jc w:val="left"/>
              <w:rPr>
                <w:rFonts w:ascii="Simplified Arabic" w:eastAsia="Times New Roman" w:hAnsi="Simplified Arabic"/>
                <w:sz w:val="14"/>
                <w:szCs w:val="14"/>
                <w:lang w:val="en-US"/>
              </w:rPr>
            </w:pPr>
            <w:r w:rsidRPr="00951E45">
              <w:rPr>
                <w:rFonts w:ascii="Simplified Arabic" w:eastAsia="Times New Roman" w:hAnsi="Simplified Arabic" w:hint="cs"/>
                <w:sz w:val="14"/>
                <w:szCs w:val="14"/>
                <w:rtl/>
                <w:lang w:val="en-US"/>
              </w:rPr>
              <w:t>الاجتماع التاسع والعشرون للهيئة الفرعية للمشورة العلمية والتقنية والتكنولوجية</w:t>
            </w:r>
          </w:p>
        </w:tc>
        <w:tc>
          <w:tcPr>
            <w:tcW w:w="589" w:type="dxa"/>
            <w:tcBorders>
              <w:top w:val="nil"/>
              <w:left w:val="nil"/>
              <w:bottom w:val="single" w:sz="4" w:space="0" w:color="auto"/>
              <w:right w:val="single" w:sz="4" w:space="0" w:color="auto"/>
            </w:tcBorders>
            <w:noWrap/>
            <w:vAlign w:val="bottom"/>
            <w:hideMark/>
          </w:tcPr>
          <w:p w14:paraId="4725983B" w14:textId="77777777" w:rsidR="000E0F3F" w:rsidRPr="000E0F3F" w:rsidRDefault="000E0F3F" w:rsidP="000E0F3F">
            <w:pPr>
              <w:tabs>
                <w:tab w:val="clear" w:pos="567"/>
                <w:tab w:val="clear" w:pos="1134"/>
                <w:tab w:val="clear" w:pos="1701"/>
                <w:tab w:val="clear" w:pos="2268"/>
              </w:tabs>
              <w:jc w:val="center"/>
              <w:rPr>
                <w:rFonts w:ascii="Simplified Arabic" w:eastAsia="Times New Roman" w:hAnsi="Simplified Arabic"/>
                <w:sz w:val="16"/>
                <w:szCs w:val="16"/>
                <w:rtl/>
                <w:lang w:val="en-US"/>
              </w:rPr>
            </w:pPr>
            <w:r w:rsidRPr="000E0F3F">
              <w:rPr>
                <w:rFonts w:ascii="Simplified Arabic" w:eastAsia="Times New Roman" w:hAnsi="Simplified Arabic" w:hint="cs"/>
                <w:sz w:val="16"/>
                <w:szCs w:val="16"/>
                <w:lang w:val="en-US"/>
              </w:rPr>
              <w:t>12</w:t>
            </w:r>
          </w:p>
        </w:tc>
        <w:tc>
          <w:tcPr>
            <w:tcW w:w="1050" w:type="dxa"/>
            <w:tcBorders>
              <w:top w:val="nil"/>
              <w:left w:val="nil"/>
              <w:bottom w:val="single" w:sz="4" w:space="0" w:color="auto"/>
              <w:right w:val="single" w:sz="8" w:space="0" w:color="auto"/>
            </w:tcBorders>
            <w:noWrap/>
            <w:vAlign w:val="bottom"/>
            <w:hideMark/>
          </w:tcPr>
          <w:p w14:paraId="084DE7ED" w14:textId="11984E64"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1,363,060 </w:t>
            </w:r>
          </w:p>
        </w:tc>
        <w:tc>
          <w:tcPr>
            <w:tcW w:w="1160" w:type="dxa"/>
            <w:gridSpan w:val="2"/>
            <w:tcBorders>
              <w:top w:val="nil"/>
              <w:left w:val="nil"/>
              <w:bottom w:val="single" w:sz="4" w:space="0" w:color="auto"/>
              <w:right w:val="single" w:sz="4" w:space="0" w:color="auto"/>
            </w:tcBorders>
            <w:noWrap/>
            <w:vAlign w:val="bottom"/>
            <w:hideMark/>
          </w:tcPr>
          <w:p w14:paraId="2FC7366E" w14:textId="15A10B49"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1,363,060 </w:t>
            </w:r>
          </w:p>
        </w:tc>
        <w:tc>
          <w:tcPr>
            <w:tcW w:w="1187" w:type="dxa"/>
            <w:tcBorders>
              <w:top w:val="nil"/>
              <w:left w:val="nil"/>
              <w:bottom w:val="single" w:sz="4" w:space="0" w:color="auto"/>
              <w:right w:val="single" w:sz="4" w:space="0" w:color="auto"/>
            </w:tcBorders>
            <w:noWrap/>
            <w:vAlign w:val="bottom"/>
            <w:hideMark/>
          </w:tcPr>
          <w:p w14:paraId="087FF0CE" w14:textId="0D04738F"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515,712 </w:t>
            </w:r>
          </w:p>
        </w:tc>
        <w:tc>
          <w:tcPr>
            <w:tcW w:w="1179" w:type="dxa"/>
            <w:gridSpan w:val="2"/>
            <w:tcBorders>
              <w:top w:val="nil"/>
              <w:left w:val="nil"/>
              <w:bottom w:val="single" w:sz="4" w:space="0" w:color="auto"/>
              <w:right w:val="single" w:sz="8" w:space="0" w:color="auto"/>
            </w:tcBorders>
            <w:noWrap/>
            <w:vAlign w:val="bottom"/>
            <w:hideMark/>
          </w:tcPr>
          <w:p w14:paraId="2F45D652" w14:textId="7BDE2664"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1,878,772 </w:t>
            </w:r>
          </w:p>
        </w:tc>
        <w:tc>
          <w:tcPr>
            <w:tcW w:w="1260" w:type="dxa"/>
            <w:gridSpan w:val="2"/>
            <w:tcBorders>
              <w:top w:val="nil"/>
              <w:left w:val="nil"/>
              <w:bottom w:val="single" w:sz="4" w:space="0" w:color="auto"/>
              <w:right w:val="single" w:sz="4" w:space="0" w:color="auto"/>
            </w:tcBorders>
            <w:noWrap/>
            <w:vAlign w:val="bottom"/>
            <w:hideMark/>
          </w:tcPr>
          <w:p w14:paraId="253BC635" w14:textId="59F51479"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1,363,060 </w:t>
            </w:r>
          </w:p>
        </w:tc>
        <w:tc>
          <w:tcPr>
            <w:tcW w:w="1160" w:type="dxa"/>
            <w:gridSpan w:val="2"/>
            <w:tcBorders>
              <w:top w:val="nil"/>
              <w:left w:val="nil"/>
              <w:bottom w:val="single" w:sz="4" w:space="0" w:color="auto"/>
              <w:right w:val="single" w:sz="4" w:space="0" w:color="auto"/>
            </w:tcBorders>
            <w:noWrap/>
            <w:vAlign w:val="bottom"/>
            <w:hideMark/>
          </w:tcPr>
          <w:p w14:paraId="012F9E7F" w14:textId="467A4CED"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1,044,480 </w:t>
            </w:r>
          </w:p>
        </w:tc>
        <w:tc>
          <w:tcPr>
            <w:tcW w:w="1100" w:type="dxa"/>
            <w:tcBorders>
              <w:top w:val="nil"/>
              <w:left w:val="nil"/>
              <w:bottom w:val="single" w:sz="4" w:space="0" w:color="auto"/>
              <w:right w:val="single" w:sz="8" w:space="0" w:color="auto"/>
            </w:tcBorders>
            <w:noWrap/>
            <w:vAlign w:val="bottom"/>
            <w:hideMark/>
          </w:tcPr>
          <w:p w14:paraId="1AE02D4E" w14:textId="0823123F"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2,407,540 </w:t>
            </w:r>
          </w:p>
        </w:tc>
      </w:tr>
      <w:tr w:rsidR="000E0F3F" w:rsidRPr="000E0F3F" w14:paraId="61365833" w14:textId="77777777" w:rsidTr="000404A3">
        <w:trPr>
          <w:trHeight w:val="348"/>
        </w:trPr>
        <w:tc>
          <w:tcPr>
            <w:tcW w:w="1321" w:type="dxa"/>
            <w:tcBorders>
              <w:top w:val="nil"/>
              <w:left w:val="single" w:sz="8" w:space="0" w:color="auto"/>
              <w:bottom w:val="single" w:sz="4" w:space="0" w:color="auto"/>
              <w:right w:val="single" w:sz="4" w:space="0" w:color="auto"/>
            </w:tcBorders>
            <w:vAlign w:val="bottom"/>
            <w:hideMark/>
          </w:tcPr>
          <w:p w14:paraId="40AB6C97" w14:textId="77777777" w:rsidR="000E0F3F" w:rsidRPr="00951E45" w:rsidRDefault="000E0F3F" w:rsidP="000E0F3F">
            <w:pPr>
              <w:tabs>
                <w:tab w:val="clear" w:pos="567"/>
                <w:tab w:val="clear" w:pos="1134"/>
                <w:tab w:val="clear" w:pos="1701"/>
                <w:tab w:val="clear" w:pos="2268"/>
              </w:tabs>
              <w:bidi/>
              <w:jc w:val="left"/>
              <w:rPr>
                <w:rFonts w:ascii="Simplified Arabic" w:eastAsia="Times New Roman" w:hAnsi="Simplified Arabic"/>
                <w:sz w:val="14"/>
                <w:szCs w:val="14"/>
                <w:lang w:val="en-US"/>
              </w:rPr>
            </w:pPr>
            <w:r w:rsidRPr="00951E45">
              <w:rPr>
                <w:rFonts w:ascii="Simplified Arabic" w:eastAsia="Times New Roman" w:hAnsi="Simplified Arabic" w:hint="cs"/>
                <w:sz w:val="14"/>
                <w:szCs w:val="14"/>
                <w:rtl/>
                <w:lang w:val="en-US"/>
              </w:rPr>
              <w:t>الاجتماع الثامن للهيئة الفرعية للتنفيذ</w:t>
            </w:r>
          </w:p>
        </w:tc>
        <w:tc>
          <w:tcPr>
            <w:tcW w:w="589" w:type="dxa"/>
            <w:tcBorders>
              <w:top w:val="nil"/>
              <w:left w:val="nil"/>
              <w:bottom w:val="single" w:sz="4" w:space="0" w:color="auto"/>
              <w:right w:val="single" w:sz="4" w:space="0" w:color="auto"/>
            </w:tcBorders>
            <w:noWrap/>
            <w:vAlign w:val="bottom"/>
            <w:hideMark/>
          </w:tcPr>
          <w:p w14:paraId="0B71A773" w14:textId="77777777" w:rsidR="000E0F3F" w:rsidRPr="000E0F3F" w:rsidRDefault="000E0F3F" w:rsidP="000E0F3F">
            <w:pPr>
              <w:tabs>
                <w:tab w:val="clear" w:pos="567"/>
                <w:tab w:val="clear" w:pos="1134"/>
                <w:tab w:val="clear" w:pos="1701"/>
                <w:tab w:val="clear" w:pos="2268"/>
              </w:tabs>
              <w:jc w:val="center"/>
              <w:rPr>
                <w:rFonts w:ascii="Simplified Arabic" w:eastAsia="Times New Roman" w:hAnsi="Simplified Arabic"/>
                <w:sz w:val="16"/>
                <w:szCs w:val="16"/>
                <w:rtl/>
                <w:lang w:val="en-US"/>
              </w:rPr>
            </w:pPr>
            <w:r w:rsidRPr="000E0F3F">
              <w:rPr>
                <w:rFonts w:ascii="Simplified Arabic" w:eastAsia="Times New Roman" w:hAnsi="Simplified Arabic" w:hint="cs"/>
                <w:sz w:val="16"/>
                <w:szCs w:val="16"/>
                <w:lang w:val="en-US"/>
              </w:rPr>
              <w:t>12</w:t>
            </w:r>
          </w:p>
        </w:tc>
        <w:tc>
          <w:tcPr>
            <w:tcW w:w="1050" w:type="dxa"/>
            <w:tcBorders>
              <w:top w:val="nil"/>
              <w:left w:val="nil"/>
              <w:bottom w:val="single" w:sz="4" w:space="0" w:color="auto"/>
              <w:right w:val="single" w:sz="8" w:space="0" w:color="auto"/>
            </w:tcBorders>
            <w:noWrap/>
            <w:vAlign w:val="bottom"/>
            <w:hideMark/>
          </w:tcPr>
          <w:p w14:paraId="2231A69E" w14:textId="367864B5"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1,366,060 </w:t>
            </w:r>
          </w:p>
        </w:tc>
        <w:tc>
          <w:tcPr>
            <w:tcW w:w="1160" w:type="dxa"/>
            <w:gridSpan w:val="2"/>
            <w:tcBorders>
              <w:top w:val="nil"/>
              <w:left w:val="nil"/>
              <w:bottom w:val="single" w:sz="4" w:space="0" w:color="auto"/>
              <w:right w:val="single" w:sz="4" w:space="0" w:color="auto"/>
            </w:tcBorders>
            <w:noWrap/>
            <w:vAlign w:val="bottom"/>
            <w:hideMark/>
          </w:tcPr>
          <w:p w14:paraId="65D1CBF2" w14:textId="76C55904"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1,366,060 </w:t>
            </w:r>
          </w:p>
        </w:tc>
        <w:tc>
          <w:tcPr>
            <w:tcW w:w="1187" w:type="dxa"/>
            <w:tcBorders>
              <w:top w:val="nil"/>
              <w:left w:val="nil"/>
              <w:bottom w:val="single" w:sz="4" w:space="0" w:color="auto"/>
              <w:right w:val="single" w:sz="4" w:space="0" w:color="auto"/>
            </w:tcBorders>
            <w:noWrap/>
            <w:vAlign w:val="bottom"/>
            <w:hideMark/>
          </w:tcPr>
          <w:p w14:paraId="3C89E6DE" w14:textId="3ACB4453"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584,995 </w:t>
            </w:r>
          </w:p>
        </w:tc>
        <w:tc>
          <w:tcPr>
            <w:tcW w:w="1179" w:type="dxa"/>
            <w:gridSpan w:val="2"/>
            <w:tcBorders>
              <w:top w:val="nil"/>
              <w:left w:val="nil"/>
              <w:bottom w:val="single" w:sz="4" w:space="0" w:color="auto"/>
              <w:right w:val="single" w:sz="8" w:space="0" w:color="auto"/>
            </w:tcBorders>
            <w:noWrap/>
            <w:vAlign w:val="bottom"/>
            <w:hideMark/>
          </w:tcPr>
          <w:p w14:paraId="116AB854" w14:textId="661FF19B"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1,951,055 </w:t>
            </w:r>
          </w:p>
        </w:tc>
        <w:tc>
          <w:tcPr>
            <w:tcW w:w="1260" w:type="dxa"/>
            <w:gridSpan w:val="2"/>
            <w:tcBorders>
              <w:top w:val="nil"/>
              <w:left w:val="nil"/>
              <w:bottom w:val="single" w:sz="4" w:space="0" w:color="auto"/>
              <w:right w:val="single" w:sz="4" w:space="0" w:color="auto"/>
            </w:tcBorders>
            <w:noWrap/>
            <w:vAlign w:val="bottom"/>
            <w:hideMark/>
          </w:tcPr>
          <w:p w14:paraId="462E34A6" w14:textId="1BD372F0"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1,366,060 </w:t>
            </w:r>
          </w:p>
        </w:tc>
        <w:tc>
          <w:tcPr>
            <w:tcW w:w="1160" w:type="dxa"/>
            <w:gridSpan w:val="2"/>
            <w:tcBorders>
              <w:top w:val="nil"/>
              <w:left w:val="nil"/>
              <w:bottom w:val="single" w:sz="4" w:space="0" w:color="auto"/>
              <w:right w:val="single" w:sz="4" w:space="0" w:color="auto"/>
            </w:tcBorders>
            <w:noWrap/>
            <w:vAlign w:val="bottom"/>
            <w:hideMark/>
          </w:tcPr>
          <w:p w14:paraId="75A69EBD" w14:textId="6BAF4B5D"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1,184,800 </w:t>
            </w:r>
          </w:p>
        </w:tc>
        <w:tc>
          <w:tcPr>
            <w:tcW w:w="1100" w:type="dxa"/>
            <w:tcBorders>
              <w:top w:val="nil"/>
              <w:left w:val="nil"/>
              <w:bottom w:val="single" w:sz="4" w:space="0" w:color="auto"/>
              <w:right w:val="single" w:sz="8" w:space="0" w:color="auto"/>
            </w:tcBorders>
            <w:noWrap/>
            <w:vAlign w:val="bottom"/>
            <w:hideMark/>
          </w:tcPr>
          <w:p w14:paraId="1424C215" w14:textId="45D8F3DB"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2,550,860 </w:t>
            </w:r>
          </w:p>
        </w:tc>
      </w:tr>
      <w:tr w:rsidR="000E0F3F" w:rsidRPr="000E0F3F" w14:paraId="26895341" w14:textId="77777777" w:rsidTr="000404A3">
        <w:trPr>
          <w:trHeight w:val="1344"/>
        </w:trPr>
        <w:tc>
          <w:tcPr>
            <w:tcW w:w="1321" w:type="dxa"/>
            <w:tcBorders>
              <w:top w:val="nil"/>
              <w:left w:val="single" w:sz="8" w:space="0" w:color="auto"/>
              <w:bottom w:val="single" w:sz="4" w:space="0" w:color="auto"/>
              <w:right w:val="single" w:sz="4" w:space="0" w:color="auto"/>
            </w:tcBorders>
            <w:vAlign w:val="bottom"/>
            <w:hideMark/>
          </w:tcPr>
          <w:p w14:paraId="7CE27BAF" w14:textId="77777777" w:rsidR="000E0F3F" w:rsidRPr="00951E45" w:rsidRDefault="000E0F3F" w:rsidP="000E0F3F">
            <w:pPr>
              <w:tabs>
                <w:tab w:val="clear" w:pos="567"/>
                <w:tab w:val="clear" w:pos="1134"/>
                <w:tab w:val="clear" w:pos="1701"/>
                <w:tab w:val="clear" w:pos="2268"/>
              </w:tabs>
              <w:bidi/>
              <w:jc w:val="left"/>
              <w:rPr>
                <w:rFonts w:ascii="Simplified Arabic" w:eastAsia="Times New Roman" w:hAnsi="Simplified Arabic"/>
                <w:sz w:val="14"/>
                <w:szCs w:val="14"/>
                <w:lang w:val="en-US"/>
              </w:rPr>
            </w:pPr>
            <w:r w:rsidRPr="00951E45">
              <w:rPr>
                <w:rFonts w:ascii="Simplified Arabic" w:eastAsia="Times New Roman" w:hAnsi="Simplified Arabic" w:hint="cs"/>
                <w:sz w:val="14"/>
                <w:szCs w:val="14"/>
                <w:rtl/>
                <w:lang w:val="en-US"/>
              </w:rPr>
              <w:t>الهيئة الفرعية المعنية بالمادة 8 (ي) وغيرها من أحكام اتفاقية التنوع البيولوجي المتعلقة بالشعوب الأصلية والمجتمعات المحلية</w:t>
            </w:r>
          </w:p>
        </w:tc>
        <w:tc>
          <w:tcPr>
            <w:tcW w:w="589" w:type="dxa"/>
            <w:tcBorders>
              <w:top w:val="nil"/>
              <w:left w:val="nil"/>
              <w:bottom w:val="single" w:sz="4" w:space="0" w:color="auto"/>
              <w:right w:val="single" w:sz="4" w:space="0" w:color="auto"/>
            </w:tcBorders>
            <w:noWrap/>
            <w:vAlign w:val="bottom"/>
            <w:hideMark/>
          </w:tcPr>
          <w:p w14:paraId="17AFDCA4" w14:textId="77777777" w:rsidR="000E0F3F" w:rsidRPr="000E0F3F" w:rsidRDefault="000E0F3F" w:rsidP="000E0F3F">
            <w:pPr>
              <w:tabs>
                <w:tab w:val="clear" w:pos="567"/>
                <w:tab w:val="clear" w:pos="1134"/>
                <w:tab w:val="clear" w:pos="1701"/>
                <w:tab w:val="clear" w:pos="2268"/>
              </w:tabs>
              <w:jc w:val="center"/>
              <w:rPr>
                <w:rFonts w:ascii="Simplified Arabic" w:eastAsia="Times New Roman" w:hAnsi="Simplified Arabic"/>
                <w:sz w:val="16"/>
                <w:szCs w:val="16"/>
                <w:rtl/>
                <w:lang w:val="en-US"/>
              </w:rPr>
            </w:pPr>
            <w:r w:rsidRPr="000E0F3F">
              <w:rPr>
                <w:rFonts w:ascii="Simplified Arabic" w:eastAsia="Times New Roman" w:hAnsi="Simplified Arabic" w:hint="cs"/>
                <w:sz w:val="16"/>
                <w:szCs w:val="16"/>
                <w:lang w:val="en-US"/>
              </w:rPr>
              <w:t>5</w:t>
            </w:r>
          </w:p>
        </w:tc>
        <w:tc>
          <w:tcPr>
            <w:tcW w:w="1050" w:type="dxa"/>
            <w:tcBorders>
              <w:top w:val="nil"/>
              <w:left w:val="nil"/>
              <w:bottom w:val="single" w:sz="4" w:space="0" w:color="auto"/>
              <w:right w:val="single" w:sz="8" w:space="0" w:color="auto"/>
            </w:tcBorders>
            <w:noWrap/>
            <w:vAlign w:val="bottom"/>
            <w:hideMark/>
          </w:tcPr>
          <w:p w14:paraId="50B040FD" w14:textId="7F6EAC85"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378,965 </w:t>
            </w:r>
          </w:p>
        </w:tc>
        <w:tc>
          <w:tcPr>
            <w:tcW w:w="1160" w:type="dxa"/>
            <w:gridSpan w:val="2"/>
            <w:tcBorders>
              <w:top w:val="nil"/>
              <w:left w:val="nil"/>
              <w:bottom w:val="single" w:sz="4" w:space="0" w:color="auto"/>
              <w:right w:val="single" w:sz="4" w:space="0" w:color="auto"/>
            </w:tcBorders>
            <w:noWrap/>
            <w:vAlign w:val="bottom"/>
            <w:hideMark/>
          </w:tcPr>
          <w:p w14:paraId="14BA19B5" w14:textId="7F80C5CA"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378,965 </w:t>
            </w:r>
          </w:p>
        </w:tc>
        <w:tc>
          <w:tcPr>
            <w:tcW w:w="1187" w:type="dxa"/>
            <w:tcBorders>
              <w:top w:val="nil"/>
              <w:left w:val="nil"/>
              <w:bottom w:val="single" w:sz="4" w:space="0" w:color="auto"/>
              <w:right w:val="single" w:sz="4" w:space="0" w:color="auto"/>
            </w:tcBorders>
            <w:noWrap/>
            <w:vAlign w:val="bottom"/>
            <w:hideMark/>
          </w:tcPr>
          <w:p w14:paraId="4278E888" w14:textId="40993F85"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427,074 </w:t>
            </w:r>
          </w:p>
        </w:tc>
        <w:tc>
          <w:tcPr>
            <w:tcW w:w="1179" w:type="dxa"/>
            <w:gridSpan w:val="2"/>
            <w:tcBorders>
              <w:top w:val="nil"/>
              <w:left w:val="nil"/>
              <w:bottom w:val="single" w:sz="4" w:space="0" w:color="auto"/>
              <w:right w:val="single" w:sz="8" w:space="0" w:color="auto"/>
            </w:tcBorders>
            <w:noWrap/>
            <w:vAlign w:val="bottom"/>
            <w:hideMark/>
          </w:tcPr>
          <w:p w14:paraId="337D7097" w14:textId="176E7050"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806,039 </w:t>
            </w:r>
          </w:p>
        </w:tc>
        <w:tc>
          <w:tcPr>
            <w:tcW w:w="1260" w:type="dxa"/>
            <w:gridSpan w:val="2"/>
            <w:tcBorders>
              <w:top w:val="nil"/>
              <w:left w:val="nil"/>
              <w:bottom w:val="single" w:sz="4" w:space="0" w:color="auto"/>
              <w:right w:val="single" w:sz="4" w:space="0" w:color="auto"/>
            </w:tcBorders>
            <w:noWrap/>
            <w:vAlign w:val="bottom"/>
            <w:hideMark/>
          </w:tcPr>
          <w:p w14:paraId="6E5519C2" w14:textId="6C64C54E"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378,965 </w:t>
            </w:r>
          </w:p>
        </w:tc>
        <w:tc>
          <w:tcPr>
            <w:tcW w:w="1160" w:type="dxa"/>
            <w:gridSpan w:val="2"/>
            <w:tcBorders>
              <w:top w:val="nil"/>
              <w:left w:val="nil"/>
              <w:bottom w:val="single" w:sz="4" w:space="0" w:color="auto"/>
              <w:right w:val="single" w:sz="4" w:space="0" w:color="auto"/>
            </w:tcBorders>
            <w:noWrap/>
            <w:vAlign w:val="bottom"/>
            <w:hideMark/>
          </w:tcPr>
          <w:p w14:paraId="51CA1D90" w14:textId="10A396FE"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864,960 </w:t>
            </w:r>
          </w:p>
        </w:tc>
        <w:tc>
          <w:tcPr>
            <w:tcW w:w="1100" w:type="dxa"/>
            <w:tcBorders>
              <w:top w:val="nil"/>
              <w:left w:val="nil"/>
              <w:bottom w:val="single" w:sz="4" w:space="0" w:color="auto"/>
              <w:right w:val="single" w:sz="8" w:space="0" w:color="auto"/>
            </w:tcBorders>
            <w:noWrap/>
            <w:vAlign w:val="bottom"/>
            <w:hideMark/>
          </w:tcPr>
          <w:p w14:paraId="51DD0157" w14:textId="776E368F"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1,243,925 </w:t>
            </w:r>
          </w:p>
        </w:tc>
      </w:tr>
      <w:tr w:rsidR="000E0F3F" w:rsidRPr="000E0F3F" w14:paraId="73952E11" w14:textId="77777777" w:rsidTr="000404A3">
        <w:trPr>
          <w:trHeight w:val="360"/>
        </w:trPr>
        <w:tc>
          <w:tcPr>
            <w:tcW w:w="1321" w:type="dxa"/>
            <w:tcBorders>
              <w:top w:val="nil"/>
              <w:left w:val="single" w:sz="8" w:space="0" w:color="auto"/>
              <w:bottom w:val="single" w:sz="8" w:space="0" w:color="auto"/>
              <w:right w:val="single" w:sz="4" w:space="0" w:color="auto"/>
            </w:tcBorders>
            <w:noWrap/>
            <w:vAlign w:val="bottom"/>
            <w:hideMark/>
          </w:tcPr>
          <w:p w14:paraId="7D4BA69F" w14:textId="77777777" w:rsidR="000E0F3F" w:rsidRPr="000E0F3F" w:rsidRDefault="000E0F3F" w:rsidP="000E0F3F">
            <w:pPr>
              <w:tabs>
                <w:tab w:val="clear" w:pos="567"/>
                <w:tab w:val="clear" w:pos="1134"/>
                <w:tab w:val="clear" w:pos="1701"/>
                <w:tab w:val="clear" w:pos="2268"/>
              </w:tabs>
              <w:bidi/>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rtl/>
                <w:lang w:val="en-US"/>
              </w:rPr>
              <w:t>إجمالي السيناريو 1</w:t>
            </w:r>
          </w:p>
        </w:tc>
        <w:tc>
          <w:tcPr>
            <w:tcW w:w="589" w:type="dxa"/>
            <w:tcBorders>
              <w:top w:val="nil"/>
              <w:left w:val="nil"/>
              <w:bottom w:val="single" w:sz="8" w:space="0" w:color="auto"/>
              <w:right w:val="single" w:sz="4" w:space="0" w:color="auto"/>
            </w:tcBorders>
            <w:noWrap/>
            <w:vAlign w:val="bottom"/>
            <w:hideMark/>
          </w:tcPr>
          <w:p w14:paraId="5A4422F0" w14:textId="77777777" w:rsidR="000E0F3F" w:rsidRPr="000E0F3F" w:rsidRDefault="000E0F3F" w:rsidP="000E0F3F">
            <w:pPr>
              <w:tabs>
                <w:tab w:val="clear" w:pos="567"/>
                <w:tab w:val="clear" w:pos="1134"/>
                <w:tab w:val="clear" w:pos="1701"/>
                <w:tab w:val="clear" w:pos="2268"/>
              </w:tabs>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lang w:val="en-US"/>
              </w:rPr>
              <w:t> </w:t>
            </w:r>
          </w:p>
        </w:tc>
        <w:tc>
          <w:tcPr>
            <w:tcW w:w="1050" w:type="dxa"/>
            <w:tcBorders>
              <w:top w:val="nil"/>
              <w:left w:val="nil"/>
              <w:bottom w:val="single" w:sz="8" w:space="0" w:color="auto"/>
              <w:right w:val="single" w:sz="8" w:space="0" w:color="auto"/>
            </w:tcBorders>
            <w:noWrap/>
            <w:vAlign w:val="bottom"/>
            <w:hideMark/>
          </w:tcPr>
          <w:p w14:paraId="02FD30BA" w14:textId="78AAA2AA"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5,769,590 </w:t>
            </w:r>
          </w:p>
        </w:tc>
        <w:tc>
          <w:tcPr>
            <w:tcW w:w="1160" w:type="dxa"/>
            <w:gridSpan w:val="2"/>
            <w:tcBorders>
              <w:top w:val="nil"/>
              <w:left w:val="nil"/>
              <w:bottom w:val="single" w:sz="8" w:space="0" w:color="auto"/>
              <w:right w:val="single" w:sz="4" w:space="0" w:color="auto"/>
            </w:tcBorders>
            <w:noWrap/>
            <w:vAlign w:val="bottom"/>
            <w:hideMark/>
          </w:tcPr>
          <w:p w14:paraId="4642F363" w14:textId="37F746A2"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5,769,590 </w:t>
            </w:r>
          </w:p>
        </w:tc>
        <w:tc>
          <w:tcPr>
            <w:tcW w:w="1187" w:type="dxa"/>
            <w:tcBorders>
              <w:top w:val="nil"/>
              <w:left w:val="nil"/>
              <w:bottom w:val="single" w:sz="8" w:space="0" w:color="auto"/>
              <w:right w:val="single" w:sz="4" w:space="0" w:color="auto"/>
            </w:tcBorders>
            <w:noWrap/>
            <w:vAlign w:val="bottom"/>
            <w:hideMark/>
          </w:tcPr>
          <w:p w14:paraId="117FF011" w14:textId="130F18E8"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2,140,189 </w:t>
            </w:r>
          </w:p>
        </w:tc>
        <w:tc>
          <w:tcPr>
            <w:tcW w:w="1179" w:type="dxa"/>
            <w:gridSpan w:val="2"/>
            <w:tcBorders>
              <w:top w:val="nil"/>
              <w:left w:val="nil"/>
              <w:bottom w:val="single" w:sz="8" w:space="0" w:color="auto"/>
              <w:right w:val="single" w:sz="8" w:space="0" w:color="auto"/>
            </w:tcBorders>
            <w:noWrap/>
            <w:vAlign w:val="bottom"/>
            <w:hideMark/>
          </w:tcPr>
          <w:p w14:paraId="74297126" w14:textId="6861178A"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7,909,779 </w:t>
            </w:r>
          </w:p>
        </w:tc>
        <w:tc>
          <w:tcPr>
            <w:tcW w:w="1260" w:type="dxa"/>
            <w:gridSpan w:val="2"/>
            <w:tcBorders>
              <w:top w:val="nil"/>
              <w:left w:val="nil"/>
              <w:bottom w:val="single" w:sz="8" w:space="0" w:color="auto"/>
              <w:right w:val="single" w:sz="4" w:space="0" w:color="auto"/>
            </w:tcBorders>
            <w:noWrap/>
            <w:vAlign w:val="bottom"/>
            <w:hideMark/>
          </w:tcPr>
          <w:p w14:paraId="74E6A8C0" w14:textId="7FA4CDED"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5,769,590 </w:t>
            </w:r>
          </w:p>
        </w:tc>
        <w:tc>
          <w:tcPr>
            <w:tcW w:w="1160" w:type="dxa"/>
            <w:gridSpan w:val="2"/>
            <w:tcBorders>
              <w:top w:val="nil"/>
              <w:left w:val="nil"/>
              <w:bottom w:val="single" w:sz="8" w:space="0" w:color="auto"/>
              <w:right w:val="single" w:sz="4" w:space="0" w:color="auto"/>
            </w:tcBorders>
            <w:noWrap/>
            <w:vAlign w:val="bottom"/>
            <w:hideMark/>
          </w:tcPr>
          <w:p w14:paraId="4FE4C7F5" w14:textId="7A7A374E"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4,334,560 </w:t>
            </w:r>
          </w:p>
        </w:tc>
        <w:tc>
          <w:tcPr>
            <w:tcW w:w="1100" w:type="dxa"/>
            <w:tcBorders>
              <w:top w:val="nil"/>
              <w:left w:val="nil"/>
              <w:bottom w:val="single" w:sz="8" w:space="0" w:color="auto"/>
              <w:right w:val="single" w:sz="8" w:space="0" w:color="auto"/>
            </w:tcBorders>
            <w:noWrap/>
            <w:vAlign w:val="bottom"/>
            <w:hideMark/>
          </w:tcPr>
          <w:p w14:paraId="16D7E5BC" w14:textId="65173786"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10,104,150 </w:t>
            </w:r>
          </w:p>
        </w:tc>
      </w:tr>
      <w:tr w:rsidR="000E0F3F" w:rsidRPr="000E0F3F" w14:paraId="12A4102B" w14:textId="77777777" w:rsidTr="000404A3">
        <w:trPr>
          <w:trHeight w:val="300"/>
        </w:trPr>
        <w:tc>
          <w:tcPr>
            <w:tcW w:w="1910" w:type="dxa"/>
            <w:gridSpan w:val="2"/>
            <w:tcBorders>
              <w:top w:val="single" w:sz="8" w:space="0" w:color="auto"/>
              <w:left w:val="single" w:sz="8" w:space="0" w:color="auto"/>
              <w:bottom w:val="single" w:sz="4" w:space="0" w:color="auto"/>
              <w:right w:val="nil"/>
            </w:tcBorders>
            <w:noWrap/>
            <w:vAlign w:val="center"/>
            <w:hideMark/>
          </w:tcPr>
          <w:p w14:paraId="3D153B09" w14:textId="77777777" w:rsidR="000E0F3F" w:rsidRPr="000E0F3F" w:rsidRDefault="000E0F3F" w:rsidP="000E0F3F">
            <w:pPr>
              <w:tabs>
                <w:tab w:val="clear" w:pos="567"/>
                <w:tab w:val="clear" w:pos="1134"/>
                <w:tab w:val="clear" w:pos="1701"/>
                <w:tab w:val="clear" w:pos="2268"/>
              </w:tabs>
              <w:jc w:val="center"/>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2027-2028</w:t>
            </w:r>
          </w:p>
        </w:tc>
        <w:tc>
          <w:tcPr>
            <w:tcW w:w="1058" w:type="dxa"/>
            <w:gridSpan w:val="2"/>
            <w:tcBorders>
              <w:top w:val="nil"/>
              <w:left w:val="single" w:sz="8" w:space="0" w:color="auto"/>
              <w:bottom w:val="single" w:sz="8" w:space="0" w:color="000000"/>
              <w:right w:val="single" w:sz="8" w:space="0" w:color="auto"/>
            </w:tcBorders>
            <w:vAlign w:val="center"/>
            <w:hideMark/>
          </w:tcPr>
          <w:p w14:paraId="7286A1A8"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rtl/>
                <w:lang w:val="en-US"/>
              </w:rPr>
              <w:t xml:space="preserve"> إجمالي اجتماعات الهيئات الدولية (الميزانية الأساسية) </w:t>
            </w:r>
          </w:p>
        </w:tc>
        <w:tc>
          <w:tcPr>
            <w:tcW w:w="1152" w:type="dxa"/>
            <w:tcBorders>
              <w:top w:val="nil"/>
              <w:left w:val="single" w:sz="8" w:space="0" w:color="auto"/>
              <w:bottom w:val="single" w:sz="8" w:space="0" w:color="000000"/>
              <w:right w:val="single" w:sz="4" w:space="0" w:color="auto"/>
            </w:tcBorders>
            <w:vAlign w:val="center"/>
            <w:hideMark/>
          </w:tcPr>
          <w:p w14:paraId="31F49E9F"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 xml:space="preserve"> التقدير الخاص باجتماعات الهيئات الدولية (الميزانية الأساسية) </w:t>
            </w:r>
          </w:p>
        </w:tc>
        <w:tc>
          <w:tcPr>
            <w:tcW w:w="1195" w:type="dxa"/>
            <w:gridSpan w:val="2"/>
            <w:tcBorders>
              <w:top w:val="nil"/>
              <w:left w:val="single" w:sz="4" w:space="0" w:color="auto"/>
              <w:bottom w:val="single" w:sz="8" w:space="0" w:color="000000"/>
              <w:right w:val="single" w:sz="4" w:space="0" w:color="auto"/>
            </w:tcBorders>
            <w:vAlign w:val="center"/>
            <w:hideMark/>
          </w:tcPr>
          <w:p w14:paraId="10760584"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 xml:space="preserve"> تمويل مشارك واحد لكل طرف من أقل البلدان نمواً / الدول الجزرية الصغيرة النامية. </w:t>
            </w:r>
          </w:p>
        </w:tc>
        <w:tc>
          <w:tcPr>
            <w:tcW w:w="1179" w:type="dxa"/>
            <w:gridSpan w:val="2"/>
            <w:tcBorders>
              <w:top w:val="nil"/>
              <w:left w:val="single" w:sz="4" w:space="0" w:color="auto"/>
              <w:bottom w:val="single" w:sz="8" w:space="0" w:color="000000"/>
              <w:right w:val="single" w:sz="8" w:space="0" w:color="auto"/>
            </w:tcBorders>
            <w:vAlign w:val="center"/>
            <w:hideMark/>
          </w:tcPr>
          <w:p w14:paraId="1ABE64EF"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 xml:space="preserve"> إجمالي الميزانية الأساسية:</w:t>
            </w:r>
            <w:r w:rsidRPr="000E0F3F">
              <w:rPr>
                <w:rFonts w:ascii="Simplified Arabic" w:eastAsia="Times New Roman" w:hAnsi="Simplified Arabic" w:hint="cs"/>
                <w:b/>
                <w:bCs/>
                <w:sz w:val="16"/>
                <w:szCs w:val="16"/>
                <w:rtl/>
                <w:lang w:val="en-US"/>
              </w:rPr>
              <w:br/>
              <w:t xml:space="preserve">الاجتماعات + تمويل مشارك واحد من أقل البلدان نمواً والدول الجزرية الصغيرة النامية </w:t>
            </w:r>
          </w:p>
        </w:tc>
        <w:tc>
          <w:tcPr>
            <w:tcW w:w="1260" w:type="dxa"/>
            <w:gridSpan w:val="2"/>
            <w:tcBorders>
              <w:top w:val="nil"/>
              <w:left w:val="single" w:sz="8" w:space="0" w:color="auto"/>
              <w:bottom w:val="single" w:sz="8" w:space="0" w:color="000000"/>
              <w:right w:val="single" w:sz="4" w:space="0" w:color="auto"/>
            </w:tcBorders>
            <w:vAlign w:val="center"/>
            <w:hideMark/>
          </w:tcPr>
          <w:p w14:paraId="1532DF59"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 xml:space="preserve"> تقدير اجتماعات الهيئات الدولية (الميزانية الأساسية) </w:t>
            </w:r>
          </w:p>
        </w:tc>
        <w:tc>
          <w:tcPr>
            <w:tcW w:w="1152" w:type="dxa"/>
            <w:tcBorders>
              <w:top w:val="nil"/>
              <w:left w:val="single" w:sz="4" w:space="0" w:color="auto"/>
              <w:bottom w:val="single" w:sz="8" w:space="0" w:color="000000"/>
              <w:right w:val="single" w:sz="4" w:space="0" w:color="auto"/>
            </w:tcBorders>
            <w:vAlign w:val="center"/>
            <w:hideMark/>
          </w:tcPr>
          <w:p w14:paraId="5BAF077D"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 xml:space="preserve"> تمويل مشارك واحد لكل طرف مؤهل </w:t>
            </w:r>
          </w:p>
        </w:tc>
        <w:tc>
          <w:tcPr>
            <w:tcW w:w="1100" w:type="dxa"/>
            <w:tcBorders>
              <w:top w:val="nil"/>
              <w:left w:val="single" w:sz="4" w:space="0" w:color="auto"/>
              <w:bottom w:val="single" w:sz="8" w:space="0" w:color="000000"/>
              <w:right w:val="single" w:sz="8" w:space="0" w:color="auto"/>
            </w:tcBorders>
            <w:vAlign w:val="center"/>
            <w:hideMark/>
          </w:tcPr>
          <w:p w14:paraId="64BF1C0D"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 xml:space="preserve"> إجمالي الميزانية الأساسية:</w:t>
            </w:r>
            <w:r w:rsidRPr="000E0F3F">
              <w:rPr>
                <w:rFonts w:ascii="Simplified Arabic" w:eastAsia="Times New Roman" w:hAnsi="Simplified Arabic" w:hint="cs"/>
                <w:b/>
                <w:bCs/>
                <w:sz w:val="16"/>
                <w:szCs w:val="16"/>
                <w:rtl/>
                <w:lang w:val="en-US"/>
              </w:rPr>
              <w:br/>
              <w:t xml:space="preserve">الاجتماعات + طرف مؤهل واحد </w:t>
            </w:r>
          </w:p>
        </w:tc>
      </w:tr>
      <w:tr w:rsidR="000E0F3F" w:rsidRPr="000E0F3F" w14:paraId="1A44DFCA" w14:textId="77777777" w:rsidTr="000404A3">
        <w:trPr>
          <w:trHeight w:val="996"/>
        </w:trPr>
        <w:tc>
          <w:tcPr>
            <w:tcW w:w="1321" w:type="dxa"/>
            <w:tcBorders>
              <w:top w:val="nil"/>
              <w:left w:val="single" w:sz="8" w:space="0" w:color="auto"/>
              <w:bottom w:val="single" w:sz="8" w:space="0" w:color="auto"/>
              <w:right w:val="single" w:sz="4" w:space="0" w:color="auto"/>
            </w:tcBorders>
            <w:noWrap/>
            <w:vAlign w:val="center"/>
            <w:hideMark/>
          </w:tcPr>
          <w:p w14:paraId="3B0CF53F"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السيناريو 2</w:t>
            </w:r>
          </w:p>
        </w:tc>
        <w:tc>
          <w:tcPr>
            <w:tcW w:w="589" w:type="dxa"/>
            <w:tcBorders>
              <w:top w:val="nil"/>
              <w:left w:val="nil"/>
              <w:bottom w:val="single" w:sz="8" w:space="0" w:color="auto"/>
              <w:right w:val="single" w:sz="4" w:space="0" w:color="auto"/>
            </w:tcBorders>
            <w:noWrap/>
            <w:vAlign w:val="center"/>
            <w:hideMark/>
          </w:tcPr>
          <w:p w14:paraId="7B29517E"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الأيام</w:t>
            </w:r>
          </w:p>
        </w:tc>
        <w:tc>
          <w:tcPr>
            <w:tcW w:w="1050" w:type="dxa"/>
            <w:tcBorders>
              <w:top w:val="nil"/>
              <w:left w:val="single" w:sz="8" w:space="0" w:color="auto"/>
              <w:bottom w:val="single" w:sz="8" w:space="0" w:color="000000"/>
              <w:right w:val="single" w:sz="8" w:space="0" w:color="auto"/>
            </w:tcBorders>
            <w:vAlign w:val="center"/>
            <w:hideMark/>
          </w:tcPr>
          <w:p w14:paraId="7B284648" w14:textId="7777777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p>
        </w:tc>
        <w:tc>
          <w:tcPr>
            <w:tcW w:w="1160" w:type="dxa"/>
            <w:gridSpan w:val="2"/>
            <w:tcBorders>
              <w:top w:val="nil"/>
              <w:left w:val="single" w:sz="8" w:space="0" w:color="auto"/>
              <w:bottom w:val="single" w:sz="8" w:space="0" w:color="000000"/>
              <w:right w:val="single" w:sz="4" w:space="0" w:color="auto"/>
            </w:tcBorders>
            <w:vAlign w:val="center"/>
            <w:hideMark/>
          </w:tcPr>
          <w:p w14:paraId="531D2D91" w14:textId="7777777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p>
        </w:tc>
        <w:tc>
          <w:tcPr>
            <w:tcW w:w="1187" w:type="dxa"/>
            <w:tcBorders>
              <w:top w:val="nil"/>
              <w:left w:val="single" w:sz="4" w:space="0" w:color="auto"/>
              <w:bottom w:val="single" w:sz="8" w:space="0" w:color="000000"/>
              <w:right w:val="single" w:sz="4" w:space="0" w:color="auto"/>
            </w:tcBorders>
            <w:vAlign w:val="center"/>
            <w:hideMark/>
          </w:tcPr>
          <w:p w14:paraId="216A05CB" w14:textId="7777777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p>
        </w:tc>
        <w:tc>
          <w:tcPr>
            <w:tcW w:w="1179" w:type="dxa"/>
            <w:gridSpan w:val="2"/>
            <w:tcBorders>
              <w:top w:val="nil"/>
              <w:left w:val="single" w:sz="4" w:space="0" w:color="auto"/>
              <w:bottom w:val="single" w:sz="8" w:space="0" w:color="000000"/>
              <w:right w:val="single" w:sz="8" w:space="0" w:color="auto"/>
            </w:tcBorders>
            <w:vAlign w:val="center"/>
            <w:hideMark/>
          </w:tcPr>
          <w:p w14:paraId="7B6D08B8" w14:textId="7777777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p>
        </w:tc>
        <w:tc>
          <w:tcPr>
            <w:tcW w:w="1260" w:type="dxa"/>
            <w:gridSpan w:val="2"/>
            <w:tcBorders>
              <w:top w:val="nil"/>
              <w:left w:val="single" w:sz="8" w:space="0" w:color="auto"/>
              <w:bottom w:val="single" w:sz="8" w:space="0" w:color="000000"/>
              <w:right w:val="single" w:sz="4" w:space="0" w:color="auto"/>
            </w:tcBorders>
            <w:vAlign w:val="center"/>
            <w:hideMark/>
          </w:tcPr>
          <w:p w14:paraId="20F48217" w14:textId="7777777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p>
        </w:tc>
        <w:tc>
          <w:tcPr>
            <w:tcW w:w="1160" w:type="dxa"/>
            <w:gridSpan w:val="2"/>
            <w:tcBorders>
              <w:top w:val="nil"/>
              <w:left w:val="single" w:sz="4" w:space="0" w:color="auto"/>
              <w:bottom w:val="single" w:sz="8" w:space="0" w:color="000000"/>
              <w:right w:val="single" w:sz="4" w:space="0" w:color="auto"/>
            </w:tcBorders>
            <w:vAlign w:val="center"/>
            <w:hideMark/>
          </w:tcPr>
          <w:p w14:paraId="5F2F80F3" w14:textId="7777777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p>
        </w:tc>
        <w:tc>
          <w:tcPr>
            <w:tcW w:w="1100" w:type="dxa"/>
            <w:tcBorders>
              <w:top w:val="nil"/>
              <w:left w:val="single" w:sz="4" w:space="0" w:color="auto"/>
              <w:bottom w:val="single" w:sz="8" w:space="0" w:color="000000"/>
              <w:right w:val="single" w:sz="8" w:space="0" w:color="auto"/>
            </w:tcBorders>
            <w:vAlign w:val="center"/>
            <w:hideMark/>
          </w:tcPr>
          <w:p w14:paraId="3C72C6E4" w14:textId="7777777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p>
        </w:tc>
      </w:tr>
      <w:tr w:rsidR="000E0F3F" w:rsidRPr="000E0F3F" w14:paraId="7CD3747B" w14:textId="77777777" w:rsidTr="000404A3">
        <w:trPr>
          <w:trHeight w:val="348"/>
        </w:trPr>
        <w:tc>
          <w:tcPr>
            <w:tcW w:w="1321" w:type="dxa"/>
            <w:tcBorders>
              <w:top w:val="nil"/>
              <w:left w:val="single" w:sz="8" w:space="0" w:color="auto"/>
              <w:bottom w:val="single" w:sz="4" w:space="0" w:color="auto"/>
              <w:right w:val="single" w:sz="4" w:space="0" w:color="auto"/>
            </w:tcBorders>
            <w:vAlign w:val="bottom"/>
            <w:hideMark/>
          </w:tcPr>
          <w:p w14:paraId="5F49FC62" w14:textId="77777777" w:rsidR="000E0F3F" w:rsidRPr="00951E45" w:rsidRDefault="000E0F3F" w:rsidP="000E0F3F">
            <w:pPr>
              <w:tabs>
                <w:tab w:val="clear" w:pos="567"/>
                <w:tab w:val="clear" w:pos="1134"/>
                <w:tab w:val="clear" w:pos="1701"/>
                <w:tab w:val="clear" w:pos="2268"/>
              </w:tabs>
              <w:bidi/>
              <w:jc w:val="left"/>
              <w:rPr>
                <w:rFonts w:ascii="Simplified Arabic" w:eastAsia="Times New Roman" w:hAnsi="Simplified Arabic"/>
                <w:sz w:val="14"/>
                <w:szCs w:val="14"/>
                <w:rtl/>
                <w:lang w:val="en-US"/>
              </w:rPr>
            </w:pPr>
            <w:r w:rsidRPr="00951E45">
              <w:rPr>
                <w:rFonts w:ascii="Simplified Arabic" w:eastAsia="Times New Roman" w:hAnsi="Simplified Arabic" w:hint="cs"/>
                <w:sz w:val="14"/>
                <w:szCs w:val="14"/>
                <w:rtl/>
                <w:lang w:val="en-US"/>
              </w:rPr>
              <w:t>الاجتماع الثامن عشر لمؤتمر الأطراف</w:t>
            </w:r>
          </w:p>
        </w:tc>
        <w:tc>
          <w:tcPr>
            <w:tcW w:w="589" w:type="dxa"/>
            <w:tcBorders>
              <w:top w:val="nil"/>
              <w:left w:val="nil"/>
              <w:bottom w:val="single" w:sz="4" w:space="0" w:color="auto"/>
              <w:right w:val="single" w:sz="4" w:space="0" w:color="auto"/>
            </w:tcBorders>
            <w:noWrap/>
            <w:vAlign w:val="bottom"/>
            <w:hideMark/>
          </w:tcPr>
          <w:p w14:paraId="346417B1" w14:textId="77777777" w:rsidR="000E0F3F" w:rsidRPr="000E0F3F" w:rsidRDefault="000E0F3F" w:rsidP="000E0F3F">
            <w:pPr>
              <w:tabs>
                <w:tab w:val="clear" w:pos="567"/>
                <w:tab w:val="clear" w:pos="1134"/>
                <w:tab w:val="clear" w:pos="1701"/>
                <w:tab w:val="clear" w:pos="2268"/>
              </w:tabs>
              <w:jc w:val="center"/>
              <w:rPr>
                <w:rFonts w:ascii="Simplified Arabic" w:eastAsia="Times New Roman" w:hAnsi="Simplified Arabic"/>
                <w:sz w:val="16"/>
                <w:szCs w:val="16"/>
                <w:rtl/>
                <w:lang w:val="en-US"/>
              </w:rPr>
            </w:pPr>
            <w:r w:rsidRPr="000E0F3F">
              <w:rPr>
                <w:rFonts w:ascii="Simplified Arabic" w:eastAsia="Times New Roman" w:hAnsi="Simplified Arabic" w:hint="cs"/>
                <w:sz w:val="16"/>
                <w:szCs w:val="16"/>
                <w:lang w:val="en-US"/>
              </w:rPr>
              <w:t>14</w:t>
            </w:r>
          </w:p>
        </w:tc>
        <w:tc>
          <w:tcPr>
            <w:tcW w:w="1050" w:type="dxa"/>
            <w:tcBorders>
              <w:top w:val="nil"/>
              <w:left w:val="nil"/>
              <w:bottom w:val="single" w:sz="4" w:space="0" w:color="auto"/>
              <w:right w:val="single" w:sz="8" w:space="0" w:color="auto"/>
            </w:tcBorders>
            <w:noWrap/>
            <w:vAlign w:val="bottom"/>
            <w:hideMark/>
          </w:tcPr>
          <w:p w14:paraId="7EED9DD7" w14:textId="06AC76D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2,661,505 </w:t>
            </w:r>
          </w:p>
        </w:tc>
        <w:tc>
          <w:tcPr>
            <w:tcW w:w="1160" w:type="dxa"/>
            <w:gridSpan w:val="2"/>
            <w:tcBorders>
              <w:top w:val="nil"/>
              <w:left w:val="nil"/>
              <w:bottom w:val="single" w:sz="4" w:space="0" w:color="auto"/>
              <w:right w:val="single" w:sz="4" w:space="0" w:color="auto"/>
            </w:tcBorders>
            <w:noWrap/>
            <w:vAlign w:val="bottom"/>
            <w:hideMark/>
          </w:tcPr>
          <w:p w14:paraId="7CCD3850" w14:textId="3CB82E04"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2,661,505 </w:t>
            </w:r>
          </w:p>
        </w:tc>
        <w:tc>
          <w:tcPr>
            <w:tcW w:w="1187" w:type="dxa"/>
            <w:tcBorders>
              <w:top w:val="nil"/>
              <w:left w:val="nil"/>
              <w:bottom w:val="single" w:sz="4" w:space="0" w:color="auto"/>
              <w:right w:val="single" w:sz="4" w:space="0" w:color="auto"/>
            </w:tcBorders>
            <w:noWrap/>
            <w:vAlign w:val="bottom"/>
            <w:hideMark/>
          </w:tcPr>
          <w:p w14:paraId="67F654F7" w14:textId="64D4D752"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612,408 </w:t>
            </w:r>
          </w:p>
        </w:tc>
        <w:tc>
          <w:tcPr>
            <w:tcW w:w="1179" w:type="dxa"/>
            <w:gridSpan w:val="2"/>
            <w:tcBorders>
              <w:top w:val="nil"/>
              <w:left w:val="nil"/>
              <w:bottom w:val="single" w:sz="4" w:space="0" w:color="auto"/>
              <w:right w:val="single" w:sz="8" w:space="0" w:color="auto"/>
            </w:tcBorders>
            <w:noWrap/>
            <w:vAlign w:val="bottom"/>
            <w:hideMark/>
          </w:tcPr>
          <w:p w14:paraId="702663F7" w14:textId="783DC2DB"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3,273,913 </w:t>
            </w:r>
          </w:p>
        </w:tc>
        <w:tc>
          <w:tcPr>
            <w:tcW w:w="1260" w:type="dxa"/>
            <w:gridSpan w:val="2"/>
            <w:tcBorders>
              <w:top w:val="nil"/>
              <w:left w:val="nil"/>
              <w:bottom w:val="single" w:sz="4" w:space="0" w:color="auto"/>
              <w:right w:val="single" w:sz="4" w:space="0" w:color="auto"/>
            </w:tcBorders>
            <w:noWrap/>
            <w:vAlign w:val="bottom"/>
            <w:hideMark/>
          </w:tcPr>
          <w:p w14:paraId="0BD5EB93" w14:textId="440A174A"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2,661,505 </w:t>
            </w:r>
          </w:p>
        </w:tc>
        <w:tc>
          <w:tcPr>
            <w:tcW w:w="1160" w:type="dxa"/>
            <w:gridSpan w:val="2"/>
            <w:tcBorders>
              <w:top w:val="nil"/>
              <w:left w:val="nil"/>
              <w:bottom w:val="single" w:sz="4" w:space="0" w:color="auto"/>
              <w:right w:val="single" w:sz="4" w:space="0" w:color="auto"/>
            </w:tcBorders>
            <w:noWrap/>
            <w:vAlign w:val="bottom"/>
            <w:hideMark/>
          </w:tcPr>
          <w:p w14:paraId="28BB2F29" w14:textId="3B833DA2"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1,240,320 </w:t>
            </w:r>
          </w:p>
        </w:tc>
        <w:tc>
          <w:tcPr>
            <w:tcW w:w="1100" w:type="dxa"/>
            <w:tcBorders>
              <w:top w:val="nil"/>
              <w:left w:val="nil"/>
              <w:bottom w:val="single" w:sz="4" w:space="0" w:color="auto"/>
              <w:right w:val="single" w:sz="8" w:space="0" w:color="auto"/>
            </w:tcBorders>
            <w:noWrap/>
            <w:vAlign w:val="bottom"/>
            <w:hideMark/>
          </w:tcPr>
          <w:p w14:paraId="300CF9AF" w14:textId="156FAA62"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3,901,825 </w:t>
            </w:r>
          </w:p>
        </w:tc>
      </w:tr>
      <w:tr w:rsidR="000E0F3F" w:rsidRPr="000E0F3F" w14:paraId="5CFB7E54" w14:textId="77777777" w:rsidTr="000404A3">
        <w:trPr>
          <w:trHeight w:val="1008"/>
        </w:trPr>
        <w:tc>
          <w:tcPr>
            <w:tcW w:w="1321" w:type="dxa"/>
            <w:tcBorders>
              <w:top w:val="single" w:sz="4" w:space="0" w:color="auto"/>
              <w:left w:val="single" w:sz="8" w:space="0" w:color="auto"/>
              <w:bottom w:val="single" w:sz="4" w:space="0" w:color="auto"/>
              <w:right w:val="single" w:sz="4" w:space="0" w:color="auto"/>
            </w:tcBorders>
            <w:vAlign w:val="bottom"/>
            <w:hideMark/>
          </w:tcPr>
          <w:p w14:paraId="57287E94" w14:textId="77777777" w:rsidR="000E0F3F" w:rsidRPr="00951E45" w:rsidRDefault="000E0F3F" w:rsidP="000E0F3F">
            <w:pPr>
              <w:tabs>
                <w:tab w:val="clear" w:pos="567"/>
                <w:tab w:val="clear" w:pos="1134"/>
                <w:tab w:val="clear" w:pos="1701"/>
                <w:tab w:val="clear" w:pos="2268"/>
              </w:tabs>
              <w:bidi/>
              <w:jc w:val="left"/>
              <w:rPr>
                <w:rFonts w:ascii="Simplified Arabic" w:eastAsia="Times New Roman" w:hAnsi="Simplified Arabic"/>
                <w:sz w:val="14"/>
                <w:szCs w:val="14"/>
                <w:lang w:val="en-US"/>
              </w:rPr>
            </w:pPr>
            <w:r w:rsidRPr="00951E45">
              <w:rPr>
                <w:rFonts w:ascii="Simplified Arabic" w:eastAsia="Times New Roman" w:hAnsi="Simplified Arabic" w:hint="cs"/>
                <w:sz w:val="14"/>
                <w:szCs w:val="14"/>
                <w:rtl/>
                <w:lang w:val="en-US"/>
              </w:rPr>
              <w:lastRenderedPageBreak/>
              <w:t>الاجتماع التاسع والعشرون للهيئة الفرعية للمشورة العلمية والتقنية والتكنولوجية</w:t>
            </w:r>
          </w:p>
        </w:tc>
        <w:tc>
          <w:tcPr>
            <w:tcW w:w="589" w:type="dxa"/>
            <w:tcBorders>
              <w:top w:val="single" w:sz="4" w:space="0" w:color="auto"/>
              <w:left w:val="nil"/>
              <w:bottom w:val="single" w:sz="4" w:space="0" w:color="auto"/>
              <w:right w:val="single" w:sz="4" w:space="0" w:color="auto"/>
            </w:tcBorders>
            <w:noWrap/>
            <w:vAlign w:val="bottom"/>
            <w:hideMark/>
          </w:tcPr>
          <w:p w14:paraId="478CE32F" w14:textId="77777777" w:rsidR="000E0F3F" w:rsidRPr="000E0F3F" w:rsidRDefault="000E0F3F" w:rsidP="000E0F3F">
            <w:pPr>
              <w:tabs>
                <w:tab w:val="clear" w:pos="567"/>
                <w:tab w:val="clear" w:pos="1134"/>
                <w:tab w:val="clear" w:pos="1701"/>
                <w:tab w:val="clear" w:pos="2268"/>
              </w:tabs>
              <w:jc w:val="center"/>
              <w:rPr>
                <w:rFonts w:ascii="Simplified Arabic" w:eastAsia="Times New Roman" w:hAnsi="Simplified Arabic"/>
                <w:sz w:val="16"/>
                <w:szCs w:val="16"/>
                <w:rtl/>
                <w:lang w:val="en-US"/>
              </w:rPr>
            </w:pPr>
            <w:r w:rsidRPr="000E0F3F">
              <w:rPr>
                <w:rFonts w:ascii="Simplified Arabic" w:eastAsia="Times New Roman" w:hAnsi="Simplified Arabic" w:hint="cs"/>
                <w:sz w:val="16"/>
                <w:szCs w:val="16"/>
                <w:lang w:val="en-US"/>
              </w:rPr>
              <w:t>10</w:t>
            </w:r>
          </w:p>
        </w:tc>
        <w:tc>
          <w:tcPr>
            <w:tcW w:w="1050" w:type="dxa"/>
            <w:tcBorders>
              <w:top w:val="single" w:sz="4" w:space="0" w:color="auto"/>
              <w:left w:val="nil"/>
              <w:bottom w:val="single" w:sz="4" w:space="0" w:color="auto"/>
              <w:right w:val="single" w:sz="8" w:space="0" w:color="auto"/>
            </w:tcBorders>
            <w:noWrap/>
            <w:vAlign w:val="bottom"/>
            <w:hideMark/>
          </w:tcPr>
          <w:p w14:paraId="02F45FBD" w14:textId="52D3CDC1"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1,225,154 </w:t>
            </w:r>
          </w:p>
        </w:tc>
        <w:tc>
          <w:tcPr>
            <w:tcW w:w="1160" w:type="dxa"/>
            <w:gridSpan w:val="2"/>
            <w:tcBorders>
              <w:top w:val="single" w:sz="4" w:space="0" w:color="auto"/>
              <w:left w:val="nil"/>
              <w:bottom w:val="single" w:sz="4" w:space="0" w:color="auto"/>
              <w:right w:val="single" w:sz="4" w:space="0" w:color="auto"/>
            </w:tcBorders>
            <w:noWrap/>
            <w:vAlign w:val="bottom"/>
            <w:hideMark/>
          </w:tcPr>
          <w:p w14:paraId="74098B15" w14:textId="54848C6E"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1,225,154 </w:t>
            </w:r>
          </w:p>
        </w:tc>
        <w:tc>
          <w:tcPr>
            <w:tcW w:w="1187" w:type="dxa"/>
            <w:tcBorders>
              <w:top w:val="single" w:sz="4" w:space="0" w:color="auto"/>
              <w:left w:val="nil"/>
              <w:bottom w:val="single" w:sz="4" w:space="0" w:color="auto"/>
              <w:right w:val="single" w:sz="4" w:space="0" w:color="auto"/>
            </w:tcBorders>
            <w:noWrap/>
            <w:vAlign w:val="bottom"/>
            <w:hideMark/>
          </w:tcPr>
          <w:p w14:paraId="2D299207" w14:textId="42175542"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475,896 </w:t>
            </w:r>
          </w:p>
        </w:tc>
        <w:tc>
          <w:tcPr>
            <w:tcW w:w="1179" w:type="dxa"/>
            <w:gridSpan w:val="2"/>
            <w:tcBorders>
              <w:top w:val="single" w:sz="4" w:space="0" w:color="auto"/>
              <w:left w:val="nil"/>
              <w:bottom w:val="single" w:sz="4" w:space="0" w:color="auto"/>
              <w:right w:val="single" w:sz="8" w:space="0" w:color="auto"/>
            </w:tcBorders>
            <w:noWrap/>
            <w:vAlign w:val="bottom"/>
            <w:hideMark/>
          </w:tcPr>
          <w:p w14:paraId="2ED3E897" w14:textId="2580EFEB"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1,701,050 </w:t>
            </w:r>
          </w:p>
        </w:tc>
        <w:tc>
          <w:tcPr>
            <w:tcW w:w="1260" w:type="dxa"/>
            <w:gridSpan w:val="2"/>
            <w:tcBorders>
              <w:top w:val="single" w:sz="4" w:space="0" w:color="auto"/>
              <w:left w:val="nil"/>
              <w:bottom w:val="single" w:sz="4" w:space="0" w:color="auto"/>
              <w:right w:val="single" w:sz="4" w:space="0" w:color="auto"/>
            </w:tcBorders>
            <w:noWrap/>
            <w:vAlign w:val="bottom"/>
            <w:hideMark/>
          </w:tcPr>
          <w:p w14:paraId="128EBEBA" w14:textId="295FEB5C"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1,225,154 </w:t>
            </w:r>
          </w:p>
        </w:tc>
        <w:tc>
          <w:tcPr>
            <w:tcW w:w="1160" w:type="dxa"/>
            <w:gridSpan w:val="2"/>
            <w:tcBorders>
              <w:top w:val="single" w:sz="4" w:space="0" w:color="auto"/>
              <w:left w:val="nil"/>
              <w:bottom w:val="single" w:sz="4" w:space="0" w:color="auto"/>
              <w:right w:val="single" w:sz="4" w:space="0" w:color="auto"/>
            </w:tcBorders>
            <w:noWrap/>
            <w:vAlign w:val="bottom"/>
            <w:hideMark/>
          </w:tcPr>
          <w:p w14:paraId="09379F32" w14:textId="45F74B36"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963,840 </w:t>
            </w:r>
          </w:p>
        </w:tc>
        <w:tc>
          <w:tcPr>
            <w:tcW w:w="1100" w:type="dxa"/>
            <w:tcBorders>
              <w:top w:val="single" w:sz="4" w:space="0" w:color="auto"/>
              <w:left w:val="nil"/>
              <w:bottom w:val="single" w:sz="4" w:space="0" w:color="auto"/>
              <w:right w:val="single" w:sz="8" w:space="0" w:color="auto"/>
            </w:tcBorders>
            <w:noWrap/>
            <w:vAlign w:val="bottom"/>
            <w:hideMark/>
          </w:tcPr>
          <w:p w14:paraId="35E2E86D" w14:textId="71C7A070"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2,188,994 </w:t>
            </w:r>
          </w:p>
        </w:tc>
      </w:tr>
      <w:tr w:rsidR="000E0F3F" w:rsidRPr="000E0F3F" w14:paraId="0B80D753" w14:textId="77777777" w:rsidTr="000404A3">
        <w:trPr>
          <w:trHeight w:val="348"/>
        </w:trPr>
        <w:tc>
          <w:tcPr>
            <w:tcW w:w="1321" w:type="dxa"/>
            <w:tcBorders>
              <w:top w:val="nil"/>
              <w:left w:val="single" w:sz="8" w:space="0" w:color="auto"/>
              <w:bottom w:val="single" w:sz="4" w:space="0" w:color="auto"/>
              <w:right w:val="single" w:sz="4" w:space="0" w:color="auto"/>
            </w:tcBorders>
            <w:vAlign w:val="bottom"/>
            <w:hideMark/>
          </w:tcPr>
          <w:p w14:paraId="372A4976" w14:textId="77777777" w:rsidR="000E0F3F" w:rsidRPr="00951E45" w:rsidRDefault="000E0F3F" w:rsidP="000E0F3F">
            <w:pPr>
              <w:tabs>
                <w:tab w:val="clear" w:pos="567"/>
                <w:tab w:val="clear" w:pos="1134"/>
                <w:tab w:val="clear" w:pos="1701"/>
                <w:tab w:val="clear" w:pos="2268"/>
              </w:tabs>
              <w:bidi/>
              <w:jc w:val="left"/>
              <w:rPr>
                <w:rFonts w:ascii="Simplified Arabic" w:eastAsia="Times New Roman" w:hAnsi="Simplified Arabic"/>
                <w:sz w:val="14"/>
                <w:szCs w:val="14"/>
                <w:lang w:val="en-US"/>
              </w:rPr>
            </w:pPr>
            <w:r w:rsidRPr="00951E45">
              <w:rPr>
                <w:rFonts w:ascii="Simplified Arabic" w:eastAsia="Times New Roman" w:hAnsi="Simplified Arabic" w:hint="cs"/>
                <w:sz w:val="14"/>
                <w:szCs w:val="14"/>
                <w:rtl/>
                <w:lang w:val="en-US"/>
              </w:rPr>
              <w:t>الاجتماع الثامن للهيئة الفرعية للتنفيذ</w:t>
            </w:r>
          </w:p>
        </w:tc>
        <w:tc>
          <w:tcPr>
            <w:tcW w:w="589" w:type="dxa"/>
            <w:tcBorders>
              <w:top w:val="nil"/>
              <w:left w:val="nil"/>
              <w:bottom w:val="single" w:sz="4" w:space="0" w:color="auto"/>
              <w:right w:val="single" w:sz="4" w:space="0" w:color="auto"/>
            </w:tcBorders>
            <w:noWrap/>
            <w:vAlign w:val="bottom"/>
            <w:hideMark/>
          </w:tcPr>
          <w:p w14:paraId="6C5111C0" w14:textId="77777777" w:rsidR="000E0F3F" w:rsidRPr="000E0F3F" w:rsidRDefault="000E0F3F" w:rsidP="000E0F3F">
            <w:pPr>
              <w:tabs>
                <w:tab w:val="clear" w:pos="567"/>
                <w:tab w:val="clear" w:pos="1134"/>
                <w:tab w:val="clear" w:pos="1701"/>
                <w:tab w:val="clear" w:pos="2268"/>
              </w:tabs>
              <w:jc w:val="center"/>
              <w:rPr>
                <w:rFonts w:ascii="Simplified Arabic" w:eastAsia="Times New Roman" w:hAnsi="Simplified Arabic"/>
                <w:sz w:val="16"/>
                <w:szCs w:val="16"/>
                <w:rtl/>
                <w:lang w:val="en-US"/>
              </w:rPr>
            </w:pPr>
            <w:r w:rsidRPr="000E0F3F">
              <w:rPr>
                <w:rFonts w:ascii="Simplified Arabic" w:eastAsia="Times New Roman" w:hAnsi="Simplified Arabic" w:hint="cs"/>
                <w:sz w:val="16"/>
                <w:szCs w:val="16"/>
                <w:lang w:val="en-US"/>
              </w:rPr>
              <w:t>10</w:t>
            </w:r>
          </w:p>
        </w:tc>
        <w:tc>
          <w:tcPr>
            <w:tcW w:w="1050" w:type="dxa"/>
            <w:tcBorders>
              <w:top w:val="nil"/>
              <w:left w:val="nil"/>
              <w:bottom w:val="single" w:sz="4" w:space="0" w:color="auto"/>
              <w:right w:val="single" w:sz="8" w:space="0" w:color="auto"/>
            </w:tcBorders>
            <w:noWrap/>
            <w:vAlign w:val="bottom"/>
            <w:hideMark/>
          </w:tcPr>
          <w:p w14:paraId="7D22E370" w14:textId="5E7CCC08"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1,228,154 </w:t>
            </w:r>
          </w:p>
        </w:tc>
        <w:tc>
          <w:tcPr>
            <w:tcW w:w="1160" w:type="dxa"/>
            <w:gridSpan w:val="2"/>
            <w:tcBorders>
              <w:top w:val="nil"/>
              <w:left w:val="nil"/>
              <w:bottom w:val="single" w:sz="4" w:space="0" w:color="auto"/>
              <w:right w:val="single" w:sz="4" w:space="0" w:color="auto"/>
            </w:tcBorders>
            <w:noWrap/>
            <w:vAlign w:val="bottom"/>
            <w:hideMark/>
          </w:tcPr>
          <w:p w14:paraId="3E7C4715" w14:textId="3CC204D2"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1,228,154 </w:t>
            </w:r>
          </w:p>
        </w:tc>
        <w:tc>
          <w:tcPr>
            <w:tcW w:w="1187" w:type="dxa"/>
            <w:tcBorders>
              <w:top w:val="nil"/>
              <w:left w:val="nil"/>
              <w:bottom w:val="single" w:sz="4" w:space="0" w:color="auto"/>
              <w:right w:val="single" w:sz="4" w:space="0" w:color="auto"/>
            </w:tcBorders>
            <w:noWrap/>
            <w:vAlign w:val="bottom"/>
            <w:hideMark/>
          </w:tcPr>
          <w:p w14:paraId="40BFD329" w14:textId="1A02D5E3"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540,597 </w:t>
            </w:r>
          </w:p>
        </w:tc>
        <w:tc>
          <w:tcPr>
            <w:tcW w:w="1179" w:type="dxa"/>
            <w:gridSpan w:val="2"/>
            <w:tcBorders>
              <w:top w:val="nil"/>
              <w:left w:val="nil"/>
              <w:bottom w:val="single" w:sz="4" w:space="0" w:color="auto"/>
              <w:right w:val="single" w:sz="8" w:space="0" w:color="auto"/>
            </w:tcBorders>
            <w:noWrap/>
            <w:vAlign w:val="bottom"/>
            <w:hideMark/>
          </w:tcPr>
          <w:p w14:paraId="1A14A044" w14:textId="396754C6"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1,768,751 </w:t>
            </w:r>
          </w:p>
        </w:tc>
        <w:tc>
          <w:tcPr>
            <w:tcW w:w="1260" w:type="dxa"/>
            <w:gridSpan w:val="2"/>
            <w:tcBorders>
              <w:top w:val="nil"/>
              <w:left w:val="nil"/>
              <w:bottom w:val="single" w:sz="4" w:space="0" w:color="auto"/>
              <w:right w:val="single" w:sz="4" w:space="0" w:color="auto"/>
            </w:tcBorders>
            <w:noWrap/>
            <w:vAlign w:val="bottom"/>
            <w:hideMark/>
          </w:tcPr>
          <w:p w14:paraId="24551869" w14:textId="1693C5DA"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1,228,154 </w:t>
            </w:r>
          </w:p>
        </w:tc>
        <w:tc>
          <w:tcPr>
            <w:tcW w:w="1160" w:type="dxa"/>
            <w:gridSpan w:val="2"/>
            <w:tcBorders>
              <w:top w:val="nil"/>
              <w:left w:val="nil"/>
              <w:bottom w:val="single" w:sz="4" w:space="0" w:color="auto"/>
              <w:right w:val="single" w:sz="4" w:space="0" w:color="auto"/>
            </w:tcBorders>
            <w:noWrap/>
            <w:vAlign w:val="bottom"/>
            <w:hideMark/>
          </w:tcPr>
          <w:p w14:paraId="6F964776" w14:textId="01804333"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1,094,880 </w:t>
            </w:r>
          </w:p>
        </w:tc>
        <w:tc>
          <w:tcPr>
            <w:tcW w:w="1100" w:type="dxa"/>
            <w:tcBorders>
              <w:top w:val="nil"/>
              <w:left w:val="nil"/>
              <w:bottom w:val="single" w:sz="4" w:space="0" w:color="auto"/>
              <w:right w:val="single" w:sz="8" w:space="0" w:color="auto"/>
            </w:tcBorders>
            <w:noWrap/>
            <w:vAlign w:val="bottom"/>
            <w:hideMark/>
          </w:tcPr>
          <w:p w14:paraId="73407978" w14:textId="4DA2A636"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2,323,034 </w:t>
            </w:r>
          </w:p>
        </w:tc>
      </w:tr>
      <w:tr w:rsidR="000E0F3F" w:rsidRPr="000E0F3F" w14:paraId="59E148E5" w14:textId="77777777" w:rsidTr="000404A3">
        <w:trPr>
          <w:trHeight w:val="1344"/>
        </w:trPr>
        <w:tc>
          <w:tcPr>
            <w:tcW w:w="1321" w:type="dxa"/>
            <w:tcBorders>
              <w:top w:val="nil"/>
              <w:left w:val="single" w:sz="8" w:space="0" w:color="auto"/>
              <w:bottom w:val="single" w:sz="4" w:space="0" w:color="auto"/>
              <w:right w:val="single" w:sz="4" w:space="0" w:color="auto"/>
            </w:tcBorders>
            <w:vAlign w:val="bottom"/>
            <w:hideMark/>
          </w:tcPr>
          <w:p w14:paraId="68D13FD3" w14:textId="77777777" w:rsidR="000E0F3F" w:rsidRPr="00951E45" w:rsidRDefault="000E0F3F" w:rsidP="000E0F3F">
            <w:pPr>
              <w:tabs>
                <w:tab w:val="clear" w:pos="567"/>
                <w:tab w:val="clear" w:pos="1134"/>
                <w:tab w:val="clear" w:pos="1701"/>
                <w:tab w:val="clear" w:pos="2268"/>
              </w:tabs>
              <w:bidi/>
              <w:jc w:val="left"/>
              <w:rPr>
                <w:rFonts w:ascii="Simplified Arabic" w:eastAsia="Times New Roman" w:hAnsi="Simplified Arabic"/>
                <w:sz w:val="14"/>
                <w:szCs w:val="14"/>
                <w:lang w:val="en-US"/>
              </w:rPr>
            </w:pPr>
            <w:r w:rsidRPr="00951E45">
              <w:rPr>
                <w:rFonts w:ascii="Simplified Arabic" w:eastAsia="Times New Roman" w:hAnsi="Simplified Arabic" w:hint="cs"/>
                <w:sz w:val="14"/>
                <w:szCs w:val="14"/>
                <w:rtl/>
                <w:lang w:val="en-US"/>
              </w:rPr>
              <w:t>الهيئة الفرعية المعنية بالمادة 8 (ي) وغيرها من أحكام اتفاقية التنوع البيولوجي المتعلقة بالشعوب الأصلية والمجتمعات المحلية</w:t>
            </w:r>
          </w:p>
        </w:tc>
        <w:tc>
          <w:tcPr>
            <w:tcW w:w="589" w:type="dxa"/>
            <w:tcBorders>
              <w:top w:val="nil"/>
              <w:left w:val="nil"/>
              <w:bottom w:val="single" w:sz="4" w:space="0" w:color="auto"/>
              <w:right w:val="single" w:sz="4" w:space="0" w:color="auto"/>
            </w:tcBorders>
            <w:noWrap/>
            <w:vAlign w:val="bottom"/>
            <w:hideMark/>
          </w:tcPr>
          <w:p w14:paraId="3E8A7617" w14:textId="77777777" w:rsidR="000E0F3F" w:rsidRPr="000E0F3F" w:rsidRDefault="000E0F3F" w:rsidP="000E0F3F">
            <w:pPr>
              <w:tabs>
                <w:tab w:val="clear" w:pos="567"/>
                <w:tab w:val="clear" w:pos="1134"/>
                <w:tab w:val="clear" w:pos="1701"/>
                <w:tab w:val="clear" w:pos="2268"/>
              </w:tabs>
              <w:jc w:val="center"/>
              <w:rPr>
                <w:rFonts w:ascii="Simplified Arabic" w:eastAsia="Times New Roman" w:hAnsi="Simplified Arabic"/>
                <w:sz w:val="16"/>
                <w:szCs w:val="16"/>
                <w:rtl/>
                <w:lang w:val="en-US"/>
              </w:rPr>
            </w:pPr>
            <w:r w:rsidRPr="000E0F3F">
              <w:rPr>
                <w:rFonts w:ascii="Simplified Arabic" w:eastAsia="Times New Roman" w:hAnsi="Simplified Arabic" w:hint="cs"/>
                <w:sz w:val="16"/>
                <w:szCs w:val="16"/>
                <w:lang w:val="en-US"/>
              </w:rPr>
              <w:t>5</w:t>
            </w:r>
          </w:p>
        </w:tc>
        <w:tc>
          <w:tcPr>
            <w:tcW w:w="1050" w:type="dxa"/>
            <w:tcBorders>
              <w:top w:val="nil"/>
              <w:left w:val="nil"/>
              <w:bottom w:val="single" w:sz="4" w:space="0" w:color="auto"/>
              <w:right w:val="single" w:sz="8" w:space="0" w:color="auto"/>
            </w:tcBorders>
            <w:noWrap/>
            <w:vAlign w:val="bottom"/>
            <w:hideMark/>
          </w:tcPr>
          <w:p w14:paraId="60E13488" w14:textId="201CE77C"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378,965 </w:t>
            </w:r>
          </w:p>
        </w:tc>
        <w:tc>
          <w:tcPr>
            <w:tcW w:w="1160" w:type="dxa"/>
            <w:gridSpan w:val="2"/>
            <w:tcBorders>
              <w:top w:val="nil"/>
              <w:left w:val="nil"/>
              <w:bottom w:val="single" w:sz="4" w:space="0" w:color="auto"/>
              <w:right w:val="single" w:sz="4" w:space="0" w:color="auto"/>
            </w:tcBorders>
            <w:noWrap/>
            <w:vAlign w:val="bottom"/>
            <w:hideMark/>
          </w:tcPr>
          <w:p w14:paraId="3AA93FFD" w14:textId="1D47051B"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378,965 </w:t>
            </w:r>
          </w:p>
        </w:tc>
        <w:tc>
          <w:tcPr>
            <w:tcW w:w="1187" w:type="dxa"/>
            <w:tcBorders>
              <w:top w:val="nil"/>
              <w:left w:val="nil"/>
              <w:bottom w:val="single" w:sz="4" w:space="0" w:color="auto"/>
              <w:right w:val="single" w:sz="4" w:space="0" w:color="auto"/>
            </w:tcBorders>
            <w:noWrap/>
            <w:vAlign w:val="bottom"/>
            <w:hideMark/>
          </w:tcPr>
          <w:p w14:paraId="0A08AD0C" w14:textId="4E65CDF8"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427,074 </w:t>
            </w:r>
          </w:p>
        </w:tc>
        <w:tc>
          <w:tcPr>
            <w:tcW w:w="1179" w:type="dxa"/>
            <w:gridSpan w:val="2"/>
            <w:tcBorders>
              <w:top w:val="nil"/>
              <w:left w:val="nil"/>
              <w:bottom w:val="single" w:sz="4" w:space="0" w:color="auto"/>
              <w:right w:val="single" w:sz="8" w:space="0" w:color="auto"/>
            </w:tcBorders>
            <w:noWrap/>
            <w:vAlign w:val="bottom"/>
            <w:hideMark/>
          </w:tcPr>
          <w:p w14:paraId="09E35A90" w14:textId="7DF864C6"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806,039 </w:t>
            </w:r>
          </w:p>
        </w:tc>
        <w:tc>
          <w:tcPr>
            <w:tcW w:w="1260" w:type="dxa"/>
            <w:gridSpan w:val="2"/>
            <w:tcBorders>
              <w:top w:val="nil"/>
              <w:left w:val="nil"/>
              <w:bottom w:val="single" w:sz="4" w:space="0" w:color="auto"/>
              <w:right w:val="single" w:sz="4" w:space="0" w:color="auto"/>
            </w:tcBorders>
            <w:noWrap/>
            <w:vAlign w:val="bottom"/>
            <w:hideMark/>
          </w:tcPr>
          <w:p w14:paraId="7215F870" w14:textId="71E26803"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378,965 </w:t>
            </w:r>
          </w:p>
        </w:tc>
        <w:tc>
          <w:tcPr>
            <w:tcW w:w="1160" w:type="dxa"/>
            <w:gridSpan w:val="2"/>
            <w:tcBorders>
              <w:top w:val="nil"/>
              <w:left w:val="nil"/>
              <w:bottom w:val="single" w:sz="4" w:space="0" w:color="auto"/>
              <w:right w:val="single" w:sz="4" w:space="0" w:color="auto"/>
            </w:tcBorders>
            <w:noWrap/>
            <w:vAlign w:val="bottom"/>
            <w:hideMark/>
          </w:tcPr>
          <w:p w14:paraId="4FE8CE62" w14:textId="4E63F4D4"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864,960 </w:t>
            </w:r>
          </w:p>
        </w:tc>
        <w:tc>
          <w:tcPr>
            <w:tcW w:w="1100" w:type="dxa"/>
            <w:tcBorders>
              <w:top w:val="nil"/>
              <w:left w:val="nil"/>
              <w:bottom w:val="single" w:sz="4" w:space="0" w:color="auto"/>
              <w:right w:val="single" w:sz="8" w:space="0" w:color="auto"/>
            </w:tcBorders>
            <w:noWrap/>
            <w:vAlign w:val="bottom"/>
            <w:hideMark/>
          </w:tcPr>
          <w:p w14:paraId="31425C72" w14:textId="59454E91"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1,243,925 </w:t>
            </w:r>
          </w:p>
        </w:tc>
      </w:tr>
      <w:tr w:rsidR="000E0F3F" w:rsidRPr="000E0F3F" w14:paraId="4BC7F43B" w14:textId="77777777" w:rsidTr="000404A3">
        <w:trPr>
          <w:trHeight w:val="360"/>
        </w:trPr>
        <w:tc>
          <w:tcPr>
            <w:tcW w:w="1321" w:type="dxa"/>
            <w:tcBorders>
              <w:top w:val="nil"/>
              <w:left w:val="single" w:sz="8" w:space="0" w:color="auto"/>
              <w:bottom w:val="single" w:sz="8" w:space="0" w:color="auto"/>
              <w:right w:val="single" w:sz="4" w:space="0" w:color="auto"/>
            </w:tcBorders>
            <w:noWrap/>
            <w:vAlign w:val="bottom"/>
            <w:hideMark/>
          </w:tcPr>
          <w:p w14:paraId="32B65DF9" w14:textId="77777777" w:rsidR="000E0F3F" w:rsidRPr="000E0F3F" w:rsidRDefault="000E0F3F" w:rsidP="000E0F3F">
            <w:pPr>
              <w:tabs>
                <w:tab w:val="clear" w:pos="567"/>
                <w:tab w:val="clear" w:pos="1134"/>
                <w:tab w:val="clear" w:pos="1701"/>
                <w:tab w:val="clear" w:pos="2268"/>
              </w:tabs>
              <w:bidi/>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rtl/>
                <w:lang w:val="en-US"/>
              </w:rPr>
              <w:t>إجمالي السيناريو 2</w:t>
            </w:r>
          </w:p>
        </w:tc>
        <w:tc>
          <w:tcPr>
            <w:tcW w:w="589" w:type="dxa"/>
            <w:tcBorders>
              <w:top w:val="nil"/>
              <w:left w:val="nil"/>
              <w:bottom w:val="single" w:sz="8" w:space="0" w:color="auto"/>
              <w:right w:val="single" w:sz="4" w:space="0" w:color="auto"/>
            </w:tcBorders>
            <w:noWrap/>
            <w:vAlign w:val="bottom"/>
            <w:hideMark/>
          </w:tcPr>
          <w:p w14:paraId="193FD8B3" w14:textId="77777777" w:rsidR="000E0F3F" w:rsidRPr="000E0F3F" w:rsidRDefault="000E0F3F" w:rsidP="000E0F3F">
            <w:pPr>
              <w:tabs>
                <w:tab w:val="clear" w:pos="567"/>
                <w:tab w:val="clear" w:pos="1134"/>
                <w:tab w:val="clear" w:pos="1701"/>
                <w:tab w:val="clear" w:pos="2268"/>
              </w:tabs>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lang w:val="en-US"/>
              </w:rPr>
              <w:t> </w:t>
            </w:r>
          </w:p>
        </w:tc>
        <w:tc>
          <w:tcPr>
            <w:tcW w:w="1050" w:type="dxa"/>
            <w:tcBorders>
              <w:top w:val="nil"/>
              <w:left w:val="nil"/>
              <w:bottom w:val="single" w:sz="8" w:space="0" w:color="auto"/>
              <w:right w:val="single" w:sz="8" w:space="0" w:color="auto"/>
            </w:tcBorders>
            <w:noWrap/>
            <w:vAlign w:val="bottom"/>
            <w:hideMark/>
          </w:tcPr>
          <w:p w14:paraId="41690A31" w14:textId="046EA45D"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5,493,778 </w:t>
            </w:r>
          </w:p>
        </w:tc>
        <w:tc>
          <w:tcPr>
            <w:tcW w:w="1160" w:type="dxa"/>
            <w:gridSpan w:val="2"/>
            <w:tcBorders>
              <w:top w:val="nil"/>
              <w:left w:val="nil"/>
              <w:bottom w:val="single" w:sz="8" w:space="0" w:color="auto"/>
              <w:right w:val="single" w:sz="4" w:space="0" w:color="auto"/>
            </w:tcBorders>
            <w:noWrap/>
            <w:vAlign w:val="bottom"/>
            <w:hideMark/>
          </w:tcPr>
          <w:p w14:paraId="75B8D85B" w14:textId="2C566A89"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5,493,778 </w:t>
            </w:r>
          </w:p>
        </w:tc>
        <w:tc>
          <w:tcPr>
            <w:tcW w:w="1187" w:type="dxa"/>
            <w:tcBorders>
              <w:top w:val="nil"/>
              <w:left w:val="nil"/>
              <w:bottom w:val="single" w:sz="8" w:space="0" w:color="auto"/>
              <w:right w:val="single" w:sz="4" w:space="0" w:color="auto"/>
            </w:tcBorders>
            <w:noWrap/>
            <w:vAlign w:val="bottom"/>
            <w:hideMark/>
          </w:tcPr>
          <w:p w14:paraId="4F51241A" w14:textId="183927A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2,055,975 </w:t>
            </w:r>
          </w:p>
        </w:tc>
        <w:tc>
          <w:tcPr>
            <w:tcW w:w="1179" w:type="dxa"/>
            <w:gridSpan w:val="2"/>
            <w:tcBorders>
              <w:top w:val="nil"/>
              <w:left w:val="nil"/>
              <w:bottom w:val="single" w:sz="8" w:space="0" w:color="auto"/>
              <w:right w:val="single" w:sz="8" w:space="0" w:color="auto"/>
            </w:tcBorders>
            <w:noWrap/>
            <w:vAlign w:val="bottom"/>
            <w:hideMark/>
          </w:tcPr>
          <w:p w14:paraId="76E2DBD3" w14:textId="76245DC4"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7,549,753 </w:t>
            </w:r>
          </w:p>
        </w:tc>
        <w:tc>
          <w:tcPr>
            <w:tcW w:w="1260" w:type="dxa"/>
            <w:gridSpan w:val="2"/>
            <w:tcBorders>
              <w:top w:val="nil"/>
              <w:left w:val="nil"/>
              <w:bottom w:val="single" w:sz="8" w:space="0" w:color="auto"/>
              <w:right w:val="single" w:sz="4" w:space="0" w:color="auto"/>
            </w:tcBorders>
            <w:noWrap/>
            <w:vAlign w:val="bottom"/>
            <w:hideMark/>
          </w:tcPr>
          <w:p w14:paraId="78181A72" w14:textId="50CBB6E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5,493,778 </w:t>
            </w:r>
          </w:p>
        </w:tc>
        <w:tc>
          <w:tcPr>
            <w:tcW w:w="1160" w:type="dxa"/>
            <w:gridSpan w:val="2"/>
            <w:tcBorders>
              <w:top w:val="nil"/>
              <w:left w:val="nil"/>
              <w:bottom w:val="single" w:sz="8" w:space="0" w:color="auto"/>
              <w:right w:val="single" w:sz="4" w:space="0" w:color="auto"/>
            </w:tcBorders>
            <w:noWrap/>
            <w:vAlign w:val="bottom"/>
            <w:hideMark/>
          </w:tcPr>
          <w:p w14:paraId="4FBB7DBA" w14:textId="179BD875"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4,164,000 </w:t>
            </w:r>
          </w:p>
        </w:tc>
        <w:tc>
          <w:tcPr>
            <w:tcW w:w="1100" w:type="dxa"/>
            <w:tcBorders>
              <w:top w:val="nil"/>
              <w:left w:val="nil"/>
              <w:bottom w:val="single" w:sz="8" w:space="0" w:color="auto"/>
              <w:right w:val="single" w:sz="8" w:space="0" w:color="auto"/>
            </w:tcBorders>
            <w:noWrap/>
            <w:vAlign w:val="bottom"/>
            <w:hideMark/>
          </w:tcPr>
          <w:p w14:paraId="66D31B37" w14:textId="00B4C10E"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9,657,778 </w:t>
            </w:r>
          </w:p>
        </w:tc>
      </w:tr>
      <w:tr w:rsidR="000E0F3F" w:rsidRPr="000E0F3F" w14:paraId="7B6DAEBE" w14:textId="77777777" w:rsidTr="000404A3">
        <w:trPr>
          <w:trHeight w:val="300"/>
        </w:trPr>
        <w:tc>
          <w:tcPr>
            <w:tcW w:w="1910" w:type="dxa"/>
            <w:gridSpan w:val="2"/>
            <w:tcBorders>
              <w:top w:val="single" w:sz="8" w:space="0" w:color="auto"/>
              <w:left w:val="single" w:sz="8" w:space="0" w:color="auto"/>
              <w:bottom w:val="single" w:sz="4" w:space="0" w:color="auto"/>
              <w:right w:val="nil"/>
            </w:tcBorders>
            <w:noWrap/>
            <w:vAlign w:val="center"/>
            <w:hideMark/>
          </w:tcPr>
          <w:p w14:paraId="50F160D0" w14:textId="77777777" w:rsidR="000E0F3F" w:rsidRPr="000E0F3F" w:rsidRDefault="000E0F3F" w:rsidP="000E0F3F">
            <w:pPr>
              <w:tabs>
                <w:tab w:val="clear" w:pos="567"/>
                <w:tab w:val="clear" w:pos="1134"/>
                <w:tab w:val="clear" w:pos="1701"/>
                <w:tab w:val="clear" w:pos="2268"/>
              </w:tabs>
              <w:jc w:val="center"/>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2027-2028</w:t>
            </w:r>
          </w:p>
        </w:tc>
        <w:tc>
          <w:tcPr>
            <w:tcW w:w="1058" w:type="dxa"/>
            <w:gridSpan w:val="2"/>
            <w:tcBorders>
              <w:top w:val="nil"/>
              <w:left w:val="single" w:sz="8" w:space="0" w:color="auto"/>
              <w:bottom w:val="single" w:sz="8" w:space="0" w:color="000000"/>
              <w:right w:val="single" w:sz="8" w:space="0" w:color="auto"/>
            </w:tcBorders>
            <w:vAlign w:val="center"/>
            <w:hideMark/>
          </w:tcPr>
          <w:p w14:paraId="571BDC2F"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rtl/>
                <w:lang w:val="en-US"/>
              </w:rPr>
              <w:t xml:space="preserve"> إجمالي اجتماعات الهيئات الدولية (الميزانية الأساسية) </w:t>
            </w:r>
          </w:p>
        </w:tc>
        <w:tc>
          <w:tcPr>
            <w:tcW w:w="1152" w:type="dxa"/>
            <w:tcBorders>
              <w:top w:val="nil"/>
              <w:left w:val="single" w:sz="8" w:space="0" w:color="auto"/>
              <w:bottom w:val="single" w:sz="8" w:space="0" w:color="000000"/>
              <w:right w:val="single" w:sz="4" w:space="0" w:color="auto"/>
            </w:tcBorders>
            <w:vAlign w:val="center"/>
            <w:hideMark/>
          </w:tcPr>
          <w:p w14:paraId="62DAE1FF"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 xml:space="preserve"> التقدير الخاص باجتماعات الهيئات الدولية (الميزانية الأساسية) </w:t>
            </w:r>
          </w:p>
        </w:tc>
        <w:tc>
          <w:tcPr>
            <w:tcW w:w="1195" w:type="dxa"/>
            <w:gridSpan w:val="2"/>
            <w:tcBorders>
              <w:top w:val="nil"/>
              <w:left w:val="single" w:sz="4" w:space="0" w:color="auto"/>
              <w:bottom w:val="single" w:sz="8" w:space="0" w:color="000000"/>
              <w:right w:val="single" w:sz="4" w:space="0" w:color="auto"/>
            </w:tcBorders>
            <w:vAlign w:val="center"/>
            <w:hideMark/>
          </w:tcPr>
          <w:p w14:paraId="021CD533"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 xml:space="preserve"> تمويل مشارك واحد لكل طرف من أقل البلدان نمواً / الدول الجزرية الصغيرة النامية. </w:t>
            </w:r>
          </w:p>
        </w:tc>
        <w:tc>
          <w:tcPr>
            <w:tcW w:w="1179" w:type="dxa"/>
            <w:gridSpan w:val="2"/>
            <w:tcBorders>
              <w:top w:val="nil"/>
              <w:left w:val="single" w:sz="4" w:space="0" w:color="auto"/>
              <w:bottom w:val="single" w:sz="8" w:space="0" w:color="000000"/>
              <w:right w:val="single" w:sz="8" w:space="0" w:color="auto"/>
            </w:tcBorders>
            <w:vAlign w:val="center"/>
            <w:hideMark/>
          </w:tcPr>
          <w:p w14:paraId="272BA5AC"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 xml:space="preserve"> إجمالي الميزانية الأساسية:</w:t>
            </w:r>
            <w:r w:rsidRPr="000E0F3F">
              <w:rPr>
                <w:rFonts w:ascii="Simplified Arabic" w:eastAsia="Times New Roman" w:hAnsi="Simplified Arabic" w:hint="cs"/>
                <w:b/>
                <w:bCs/>
                <w:sz w:val="16"/>
                <w:szCs w:val="16"/>
                <w:rtl/>
                <w:lang w:val="en-US"/>
              </w:rPr>
              <w:br/>
              <w:t xml:space="preserve">الاجتماعات + تمويل مشارك واحد من أقل البلدان نمواً والدول الجزرية الصغيرة النامية </w:t>
            </w:r>
          </w:p>
        </w:tc>
        <w:tc>
          <w:tcPr>
            <w:tcW w:w="1260" w:type="dxa"/>
            <w:gridSpan w:val="2"/>
            <w:tcBorders>
              <w:top w:val="nil"/>
              <w:left w:val="single" w:sz="8" w:space="0" w:color="auto"/>
              <w:bottom w:val="single" w:sz="8" w:space="0" w:color="000000"/>
              <w:right w:val="single" w:sz="4" w:space="0" w:color="auto"/>
            </w:tcBorders>
            <w:vAlign w:val="center"/>
            <w:hideMark/>
          </w:tcPr>
          <w:p w14:paraId="507F8E67"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 xml:space="preserve"> تقدير اجتماعات الهيئات الدولية (الميزانية الأساسية) </w:t>
            </w:r>
          </w:p>
        </w:tc>
        <w:tc>
          <w:tcPr>
            <w:tcW w:w="1152" w:type="dxa"/>
            <w:tcBorders>
              <w:top w:val="nil"/>
              <w:left w:val="single" w:sz="4" w:space="0" w:color="auto"/>
              <w:bottom w:val="single" w:sz="8" w:space="0" w:color="000000"/>
              <w:right w:val="single" w:sz="4" w:space="0" w:color="auto"/>
            </w:tcBorders>
            <w:vAlign w:val="center"/>
            <w:hideMark/>
          </w:tcPr>
          <w:p w14:paraId="4886EADF"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 xml:space="preserve"> تمويل مشارك واحد لكل طرف مؤهل </w:t>
            </w:r>
          </w:p>
        </w:tc>
        <w:tc>
          <w:tcPr>
            <w:tcW w:w="1100" w:type="dxa"/>
            <w:tcBorders>
              <w:top w:val="nil"/>
              <w:left w:val="single" w:sz="4" w:space="0" w:color="auto"/>
              <w:bottom w:val="single" w:sz="8" w:space="0" w:color="000000"/>
              <w:right w:val="single" w:sz="8" w:space="0" w:color="auto"/>
            </w:tcBorders>
            <w:vAlign w:val="center"/>
            <w:hideMark/>
          </w:tcPr>
          <w:p w14:paraId="7AED449A"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 xml:space="preserve"> إجمالي الميزانية الأساسية:</w:t>
            </w:r>
            <w:r w:rsidRPr="000E0F3F">
              <w:rPr>
                <w:rFonts w:ascii="Simplified Arabic" w:eastAsia="Times New Roman" w:hAnsi="Simplified Arabic" w:hint="cs"/>
                <w:b/>
                <w:bCs/>
                <w:sz w:val="16"/>
                <w:szCs w:val="16"/>
                <w:rtl/>
                <w:lang w:val="en-US"/>
              </w:rPr>
              <w:br/>
              <w:t xml:space="preserve">الاجتماعات + طرف مؤهل واحد </w:t>
            </w:r>
          </w:p>
        </w:tc>
      </w:tr>
      <w:tr w:rsidR="000E0F3F" w:rsidRPr="000E0F3F" w14:paraId="61947D23" w14:textId="77777777" w:rsidTr="000404A3">
        <w:trPr>
          <w:trHeight w:val="996"/>
        </w:trPr>
        <w:tc>
          <w:tcPr>
            <w:tcW w:w="1321" w:type="dxa"/>
            <w:tcBorders>
              <w:top w:val="nil"/>
              <w:left w:val="single" w:sz="8" w:space="0" w:color="auto"/>
              <w:bottom w:val="single" w:sz="8" w:space="0" w:color="auto"/>
              <w:right w:val="single" w:sz="4" w:space="0" w:color="auto"/>
            </w:tcBorders>
            <w:noWrap/>
            <w:vAlign w:val="center"/>
            <w:hideMark/>
          </w:tcPr>
          <w:p w14:paraId="39D5B752"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السيناريو 3</w:t>
            </w:r>
          </w:p>
        </w:tc>
        <w:tc>
          <w:tcPr>
            <w:tcW w:w="589" w:type="dxa"/>
            <w:tcBorders>
              <w:top w:val="nil"/>
              <w:left w:val="nil"/>
              <w:bottom w:val="single" w:sz="8" w:space="0" w:color="auto"/>
              <w:right w:val="single" w:sz="4" w:space="0" w:color="auto"/>
            </w:tcBorders>
            <w:noWrap/>
            <w:vAlign w:val="center"/>
            <w:hideMark/>
          </w:tcPr>
          <w:p w14:paraId="56E687D9" w14:textId="77777777" w:rsidR="000E0F3F" w:rsidRPr="000E0F3F" w:rsidRDefault="000E0F3F" w:rsidP="000E0F3F">
            <w:pPr>
              <w:tabs>
                <w:tab w:val="clear" w:pos="567"/>
                <w:tab w:val="clear" w:pos="1134"/>
                <w:tab w:val="clear" w:pos="1701"/>
                <w:tab w:val="clear" w:pos="2268"/>
              </w:tabs>
              <w:bidi/>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rtl/>
                <w:lang w:val="en-US"/>
              </w:rPr>
              <w:t>الأيام</w:t>
            </w:r>
          </w:p>
        </w:tc>
        <w:tc>
          <w:tcPr>
            <w:tcW w:w="1050" w:type="dxa"/>
            <w:tcBorders>
              <w:top w:val="nil"/>
              <w:left w:val="single" w:sz="8" w:space="0" w:color="auto"/>
              <w:bottom w:val="single" w:sz="8" w:space="0" w:color="000000"/>
              <w:right w:val="single" w:sz="8" w:space="0" w:color="auto"/>
            </w:tcBorders>
            <w:vAlign w:val="center"/>
            <w:hideMark/>
          </w:tcPr>
          <w:p w14:paraId="64F67F79" w14:textId="7777777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p>
        </w:tc>
        <w:tc>
          <w:tcPr>
            <w:tcW w:w="1160" w:type="dxa"/>
            <w:gridSpan w:val="2"/>
            <w:tcBorders>
              <w:top w:val="nil"/>
              <w:left w:val="single" w:sz="8" w:space="0" w:color="auto"/>
              <w:bottom w:val="single" w:sz="8" w:space="0" w:color="000000"/>
              <w:right w:val="single" w:sz="4" w:space="0" w:color="auto"/>
            </w:tcBorders>
            <w:vAlign w:val="center"/>
            <w:hideMark/>
          </w:tcPr>
          <w:p w14:paraId="5F853785" w14:textId="7777777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p>
        </w:tc>
        <w:tc>
          <w:tcPr>
            <w:tcW w:w="1187" w:type="dxa"/>
            <w:tcBorders>
              <w:top w:val="nil"/>
              <w:left w:val="single" w:sz="4" w:space="0" w:color="auto"/>
              <w:bottom w:val="single" w:sz="8" w:space="0" w:color="000000"/>
              <w:right w:val="single" w:sz="4" w:space="0" w:color="auto"/>
            </w:tcBorders>
            <w:vAlign w:val="center"/>
            <w:hideMark/>
          </w:tcPr>
          <w:p w14:paraId="14AFDF1B" w14:textId="7777777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p>
        </w:tc>
        <w:tc>
          <w:tcPr>
            <w:tcW w:w="1179" w:type="dxa"/>
            <w:gridSpan w:val="2"/>
            <w:tcBorders>
              <w:top w:val="nil"/>
              <w:left w:val="single" w:sz="4" w:space="0" w:color="auto"/>
              <w:bottom w:val="single" w:sz="8" w:space="0" w:color="000000"/>
              <w:right w:val="single" w:sz="8" w:space="0" w:color="auto"/>
            </w:tcBorders>
            <w:vAlign w:val="center"/>
            <w:hideMark/>
          </w:tcPr>
          <w:p w14:paraId="3A0ED6F7" w14:textId="7777777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p>
        </w:tc>
        <w:tc>
          <w:tcPr>
            <w:tcW w:w="1260" w:type="dxa"/>
            <w:gridSpan w:val="2"/>
            <w:tcBorders>
              <w:top w:val="nil"/>
              <w:left w:val="single" w:sz="8" w:space="0" w:color="auto"/>
              <w:bottom w:val="single" w:sz="8" w:space="0" w:color="000000"/>
              <w:right w:val="single" w:sz="4" w:space="0" w:color="auto"/>
            </w:tcBorders>
            <w:vAlign w:val="center"/>
            <w:hideMark/>
          </w:tcPr>
          <w:p w14:paraId="6659987F" w14:textId="7777777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p>
        </w:tc>
        <w:tc>
          <w:tcPr>
            <w:tcW w:w="1160" w:type="dxa"/>
            <w:gridSpan w:val="2"/>
            <w:tcBorders>
              <w:top w:val="nil"/>
              <w:left w:val="single" w:sz="4" w:space="0" w:color="auto"/>
              <w:bottom w:val="single" w:sz="8" w:space="0" w:color="000000"/>
              <w:right w:val="single" w:sz="4" w:space="0" w:color="auto"/>
            </w:tcBorders>
            <w:vAlign w:val="center"/>
            <w:hideMark/>
          </w:tcPr>
          <w:p w14:paraId="163C2704" w14:textId="7777777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p>
        </w:tc>
        <w:tc>
          <w:tcPr>
            <w:tcW w:w="1100" w:type="dxa"/>
            <w:tcBorders>
              <w:top w:val="nil"/>
              <w:left w:val="single" w:sz="4" w:space="0" w:color="auto"/>
              <w:bottom w:val="single" w:sz="8" w:space="0" w:color="000000"/>
              <w:right w:val="single" w:sz="8" w:space="0" w:color="auto"/>
            </w:tcBorders>
            <w:vAlign w:val="center"/>
            <w:hideMark/>
          </w:tcPr>
          <w:p w14:paraId="1CB186FE" w14:textId="7777777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p>
        </w:tc>
      </w:tr>
      <w:tr w:rsidR="000E0F3F" w:rsidRPr="000E0F3F" w14:paraId="11A8B852" w14:textId="77777777" w:rsidTr="000404A3">
        <w:trPr>
          <w:trHeight w:val="348"/>
        </w:trPr>
        <w:tc>
          <w:tcPr>
            <w:tcW w:w="1321" w:type="dxa"/>
            <w:tcBorders>
              <w:top w:val="nil"/>
              <w:left w:val="single" w:sz="8" w:space="0" w:color="auto"/>
              <w:bottom w:val="single" w:sz="4" w:space="0" w:color="auto"/>
              <w:right w:val="single" w:sz="4" w:space="0" w:color="auto"/>
            </w:tcBorders>
            <w:vAlign w:val="bottom"/>
            <w:hideMark/>
          </w:tcPr>
          <w:p w14:paraId="189190C4" w14:textId="77777777" w:rsidR="000E0F3F" w:rsidRPr="00951E45" w:rsidRDefault="000E0F3F" w:rsidP="000E0F3F">
            <w:pPr>
              <w:tabs>
                <w:tab w:val="clear" w:pos="567"/>
                <w:tab w:val="clear" w:pos="1134"/>
                <w:tab w:val="clear" w:pos="1701"/>
                <w:tab w:val="clear" w:pos="2268"/>
              </w:tabs>
              <w:bidi/>
              <w:jc w:val="left"/>
              <w:rPr>
                <w:rFonts w:ascii="Simplified Arabic" w:eastAsia="Times New Roman" w:hAnsi="Simplified Arabic"/>
                <w:sz w:val="14"/>
                <w:szCs w:val="14"/>
                <w:rtl/>
                <w:lang w:val="en-US"/>
              </w:rPr>
            </w:pPr>
            <w:r w:rsidRPr="00951E45">
              <w:rPr>
                <w:rFonts w:ascii="Simplified Arabic" w:eastAsia="Times New Roman" w:hAnsi="Simplified Arabic" w:hint="cs"/>
                <w:sz w:val="14"/>
                <w:szCs w:val="14"/>
                <w:rtl/>
                <w:lang w:val="en-US"/>
              </w:rPr>
              <w:t>الاجتماع الثامن عشر لمؤتمر الأطراف</w:t>
            </w:r>
          </w:p>
        </w:tc>
        <w:tc>
          <w:tcPr>
            <w:tcW w:w="589" w:type="dxa"/>
            <w:tcBorders>
              <w:top w:val="nil"/>
              <w:left w:val="nil"/>
              <w:bottom w:val="single" w:sz="4" w:space="0" w:color="auto"/>
              <w:right w:val="single" w:sz="4" w:space="0" w:color="auto"/>
            </w:tcBorders>
            <w:noWrap/>
            <w:vAlign w:val="bottom"/>
            <w:hideMark/>
          </w:tcPr>
          <w:p w14:paraId="236B7C02" w14:textId="77777777" w:rsidR="000E0F3F" w:rsidRPr="000E0F3F" w:rsidRDefault="000E0F3F" w:rsidP="000E0F3F">
            <w:pPr>
              <w:tabs>
                <w:tab w:val="clear" w:pos="567"/>
                <w:tab w:val="clear" w:pos="1134"/>
                <w:tab w:val="clear" w:pos="1701"/>
                <w:tab w:val="clear" w:pos="2268"/>
              </w:tabs>
              <w:jc w:val="center"/>
              <w:rPr>
                <w:rFonts w:ascii="Simplified Arabic" w:eastAsia="Times New Roman" w:hAnsi="Simplified Arabic"/>
                <w:sz w:val="16"/>
                <w:szCs w:val="16"/>
                <w:rtl/>
                <w:lang w:val="en-US"/>
              </w:rPr>
            </w:pPr>
            <w:r w:rsidRPr="000E0F3F">
              <w:rPr>
                <w:rFonts w:ascii="Simplified Arabic" w:eastAsia="Times New Roman" w:hAnsi="Simplified Arabic" w:hint="cs"/>
                <w:sz w:val="16"/>
                <w:szCs w:val="16"/>
                <w:lang w:val="en-US"/>
              </w:rPr>
              <w:t>14</w:t>
            </w:r>
          </w:p>
        </w:tc>
        <w:tc>
          <w:tcPr>
            <w:tcW w:w="1050" w:type="dxa"/>
            <w:tcBorders>
              <w:top w:val="nil"/>
              <w:left w:val="nil"/>
              <w:bottom w:val="single" w:sz="4" w:space="0" w:color="auto"/>
              <w:right w:val="single" w:sz="8" w:space="0" w:color="auto"/>
            </w:tcBorders>
            <w:noWrap/>
            <w:vAlign w:val="bottom"/>
            <w:hideMark/>
          </w:tcPr>
          <w:p w14:paraId="6D81132B" w14:textId="7604D43F"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2,661,505 </w:t>
            </w:r>
          </w:p>
        </w:tc>
        <w:tc>
          <w:tcPr>
            <w:tcW w:w="1160" w:type="dxa"/>
            <w:gridSpan w:val="2"/>
            <w:tcBorders>
              <w:top w:val="nil"/>
              <w:left w:val="nil"/>
              <w:bottom w:val="single" w:sz="4" w:space="0" w:color="auto"/>
              <w:right w:val="single" w:sz="4" w:space="0" w:color="auto"/>
            </w:tcBorders>
            <w:noWrap/>
            <w:vAlign w:val="bottom"/>
            <w:hideMark/>
          </w:tcPr>
          <w:p w14:paraId="0BC94C8A" w14:textId="3CABB8F3"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2,661,505 </w:t>
            </w:r>
          </w:p>
        </w:tc>
        <w:tc>
          <w:tcPr>
            <w:tcW w:w="1187" w:type="dxa"/>
            <w:tcBorders>
              <w:top w:val="nil"/>
              <w:left w:val="nil"/>
              <w:bottom w:val="single" w:sz="4" w:space="0" w:color="auto"/>
              <w:right w:val="single" w:sz="4" w:space="0" w:color="auto"/>
            </w:tcBorders>
            <w:noWrap/>
            <w:vAlign w:val="bottom"/>
            <w:hideMark/>
          </w:tcPr>
          <w:p w14:paraId="4489FD9C" w14:textId="494B6F82"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612,408 </w:t>
            </w:r>
          </w:p>
        </w:tc>
        <w:tc>
          <w:tcPr>
            <w:tcW w:w="1179" w:type="dxa"/>
            <w:gridSpan w:val="2"/>
            <w:tcBorders>
              <w:top w:val="single" w:sz="4" w:space="0" w:color="auto"/>
              <w:left w:val="nil"/>
              <w:bottom w:val="single" w:sz="4" w:space="0" w:color="auto"/>
              <w:right w:val="single" w:sz="8" w:space="0" w:color="auto"/>
            </w:tcBorders>
            <w:noWrap/>
            <w:vAlign w:val="bottom"/>
            <w:hideMark/>
          </w:tcPr>
          <w:p w14:paraId="7CD31B57" w14:textId="75E8DAE7"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3,273,913 </w:t>
            </w:r>
          </w:p>
        </w:tc>
        <w:tc>
          <w:tcPr>
            <w:tcW w:w="1260" w:type="dxa"/>
            <w:gridSpan w:val="2"/>
            <w:tcBorders>
              <w:top w:val="nil"/>
              <w:left w:val="nil"/>
              <w:bottom w:val="single" w:sz="4" w:space="0" w:color="auto"/>
              <w:right w:val="single" w:sz="4" w:space="0" w:color="auto"/>
            </w:tcBorders>
            <w:noWrap/>
            <w:vAlign w:val="bottom"/>
            <w:hideMark/>
          </w:tcPr>
          <w:p w14:paraId="49CCD85C" w14:textId="68F945E5"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2,661,505 </w:t>
            </w:r>
          </w:p>
        </w:tc>
        <w:tc>
          <w:tcPr>
            <w:tcW w:w="1160" w:type="dxa"/>
            <w:gridSpan w:val="2"/>
            <w:tcBorders>
              <w:top w:val="nil"/>
              <w:left w:val="nil"/>
              <w:bottom w:val="single" w:sz="4" w:space="0" w:color="auto"/>
              <w:right w:val="single" w:sz="4" w:space="0" w:color="auto"/>
            </w:tcBorders>
            <w:noWrap/>
            <w:vAlign w:val="bottom"/>
            <w:hideMark/>
          </w:tcPr>
          <w:p w14:paraId="52950FB9" w14:textId="7ED9E215"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1,240,320 </w:t>
            </w:r>
          </w:p>
        </w:tc>
        <w:tc>
          <w:tcPr>
            <w:tcW w:w="1100" w:type="dxa"/>
            <w:tcBorders>
              <w:top w:val="single" w:sz="4" w:space="0" w:color="auto"/>
              <w:left w:val="nil"/>
              <w:bottom w:val="single" w:sz="4" w:space="0" w:color="auto"/>
              <w:right w:val="single" w:sz="8" w:space="0" w:color="auto"/>
            </w:tcBorders>
            <w:noWrap/>
            <w:vAlign w:val="bottom"/>
            <w:hideMark/>
          </w:tcPr>
          <w:p w14:paraId="3B88FEEE" w14:textId="5FFDBDD6"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3,901,825 </w:t>
            </w:r>
          </w:p>
        </w:tc>
      </w:tr>
      <w:tr w:rsidR="000E0F3F" w:rsidRPr="000E0F3F" w14:paraId="3B79F7CF" w14:textId="77777777" w:rsidTr="000404A3">
        <w:trPr>
          <w:trHeight w:val="1344"/>
        </w:trPr>
        <w:tc>
          <w:tcPr>
            <w:tcW w:w="1321" w:type="dxa"/>
            <w:tcBorders>
              <w:top w:val="nil"/>
              <w:left w:val="single" w:sz="8" w:space="0" w:color="auto"/>
              <w:bottom w:val="single" w:sz="4" w:space="0" w:color="auto"/>
              <w:right w:val="single" w:sz="4" w:space="0" w:color="auto"/>
            </w:tcBorders>
            <w:vAlign w:val="bottom"/>
            <w:hideMark/>
          </w:tcPr>
          <w:p w14:paraId="10B3DCB0" w14:textId="77777777" w:rsidR="000E0F3F" w:rsidRPr="00951E45" w:rsidRDefault="000E0F3F" w:rsidP="000E0F3F">
            <w:pPr>
              <w:tabs>
                <w:tab w:val="clear" w:pos="567"/>
                <w:tab w:val="clear" w:pos="1134"/>
                <w:tab w:val="clear" w:pos="1701"/>
                <w:tab w:val="clear" w:pos="2268"/>
              </w:tabs>
              <w:bidi/>
              <w:jc w:val="left"/>
              <w:rPr>
                <w:rFonts w:ascii="Simplified Arabic" w:eastAsia="Times New Roman" w:hAnsi="Simplified Arabic"/>
                <w:sz w:val="14"/>
                <w:szCs w:val="14"/>
                <w:lang w:val="en-US"/>
              </w:rPr>
            </w:pPr>
            <w:r w:rsidRPr="00951E45">
              <w:rPr>
                <w:rFonts w:ascii="Simplified Arabic" w:eastAsia="Times New Roman" w:hAnsi="Simplified Arabic" w:hint="cs"/>
                <w:sz w:val="14"/>
                <w:szCs w:val="14"/>
                <w:rtl/>
                <w:lang w:val="en-US"/>
              </w:rPr>
              <w:t xml:space="preserve">الاجتماع التاسع والعشرون للهيئة الفرعية للمشورة العلمية والتقنية والتكنولوجية + الاجتماع الثامن للهيئة الفرعية للتنفيذ*** </w:t>
            </w:r>
          </w:p>
        </w:tc>
        <w:tc>
          <w:tcPr>
            <w:tcW w:w="589" w:type="dxa"/>
            <w:tcBorders>
              <w:top w:val="nil"/>
              <w:left w:val="nil"/>
              <w:bottom w:val="single" w:sz="4" w:space="0" w:color="auto"/>
              <w:right w:val="single" w:sz="4" w:space="0" w:color="auto"/>
            </w:tcBorders>
            <w:noWrap/>
            <w:vAlign w:val="bottom"/>
            <w:hideMark/>
          </w:tcPr>
          <w:p w14:paraId="5F25F692" w14:textId="77777777" w:rsidR="000E0F3F" w:rsidRPr="000E0F3F" w:rsidRDefault="000E0F3F" w:rsidP="000E0F3F">
            <w:pPr>
              <w:tabs>
                <w:tab w:val="clear" w:pos="567"/>
                <w:tab w:val="clear" w:pos="1134"/>
                <w:tab w:val="clear" w:pos="1701"/>
                <w:tab w:val="clear" w:pos="2268"/>
              </w:tabs>
              <w:jc w:val="center"/>
              <w:rPr>
                <w:rFonts w:ascii="Simplified Arabic" w:eastAsia="Times New Roman" w:hAnsi="Simplified Arabic"/>
                <w:sz w:val="16"/>
                <w:szCs w:val="16"/>
                <w:rtl/>
                <w:lang w:val="en-US"/>
              </w:rPr>
            </w:pPr>
            <w:r w:rsidRPr="000E0F3F">
              <w:rPr>
                <w:rFonts w:ascii="Simplified Arabic" w:eastAsia="Times New Roman" w:hAnsi="Simplified Arabic" w:hint="cs"/>
                <w:sz w:val="16"/>
                <w:szCs w:val="16"/>
                <w:lang w:val="en-US"/>
              </w:rPr>
              <w:t>20</w:t>
            </w:r>
          </w:p>
        </w:tc>
        <w:tc>
          <w:tcPr>
            <w:tcW w:w="1050" w:type="dxa"/>
            <w:tcBorders>
              <w:top w:val="nil"/>
              <w:left w:val="nil"/>
              <w:bottom w:val="single" w:sz="4" w:space="0" w:color="auto"/>
              <w:right w:val="single" w:sz="8" w:space="0" w:color="auto"/>
            </w:tcBorders>
            <w:noWrap/>
            <w:vAlign w:val="bottom"/>
            <w:hideMark/>
          </w:tcPr>
          <w:p w14:paraId="4E712671" w14:textId="7E960C79"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1,917,685 </w:t>
            </w:r>
          </w:p>
        </w:tc>
        <w:tc>
          <w:tcPr>
            <w:tcW w:w="1160" w:type="dxa"/>
            <w:gridSpan w:val="2"/>
            <w:tcBorders>
              <w:top w:val="nil"/>
              <w:left w:val="nil"/>
              <w:bottom w:val="single" w:sz="4" w:space="0" w:color="auto"/>
              <w:right w:val="single" w:sz="4" w:space="0" w:color="auto"/>
            </w:tcBorders>
            <w:noWrap/>
            <w:vAlign w:val="bottom"/>
            <w:hideMark/>
          </w:tcPr>
          <w:p w14:paraId="65DC8A00" w14:textId="7332D9E5"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1,917,685 </w:t>
            </w:r>
          </w:p>
        </w:tc>
        <w:tc>
          <w:tcPr>
            <w:tcW w:w="1187" w:type="dxa"/>
            <w:tcBorders>
              <w:top w:val="nil"/>
              <w:left w:val="nil"/>
              <w:bottom w:val="single" w:sz="4" w:space="0" w:color="auto"/>
              <w:right w:val="single" w:sz="4" w:space="0" w:color="auto"/>
            </w:tcBorders>
            <w:noWrap/>
            <w:vAlign w:val="bottom"/>
            <w:hideMark/>
          </w:tcPr>
          <w:p w14:paraId="58A710BE" w14:textId="386DF818"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951,792 </w:t>
            </w:r>
          </w:p>
        </w:tc>
        <w:tc>
          <w:tcPr>
            <w:tcW w:w="1179" w:type="dxa"/>
            <w:gridSpan w:val="2"/>
            <w:tcBorders>
              <w:top w:val="nil"/>
              <w:left w:val="nil"/>
              <w:bottom w:val="single" w:sz="4" w:space="0" w:color="auto"/>
              <w:right w:val="single" w:sz="8" w:space="0" w:color="auto"/>
            </w:tcBorders>
            <w:noWrap/>
            <w:vAlign w:val="bottom"/>
            <w:hideMark/>
          </w:tcPr>
          <w:p w14:paraId="1C3A34B3" w14:textId="703A3C91"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2,869,477 </w:t>
            </w:r>
          </w:p>
        </w:tc>
        <w:tc>
          <w:tcPr>
            <w:tcW w:w="1260" w:type="dxa"/>
            <w:gridSpan w:val="2"/>
            <w:tcBorders>
              <w:top w:val="nil"/>
              <w:left w:val="nil"/>
              <w:bottom w:val="single" w:sz="4" w:space="0" w:color="auto"/>
              <w:right w:val="single" w:sz="4" w:space="0" w:color="auto"/>
            </w:tcBorders>
            <w:noWrap/>
            <w:vAlign w:val="bottom"/>
            <w:hideMark/>
          </w:tcPr>
          <w:p w14:paraId="00046B2F" w14:textId="1DB11685"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1,917,685 </w:t>
            </w:r>
          </w:p>
        </w:tc>
        <w:tc>
          <w:tcPr>
            <w:tcW w:w="1160" w:type="dxa"/>
            <w:gridSpan w:val="2"/>
            <w:tcBorders>
              <w:top w:val="nil"/>
              <w:left w:val="nil"/>
              <w:bottom w:val="single" w:sz="4" w:space="0" w:color="auto"/>
              <w:right w:val="single" w:sz="4" w:space="0" w:color="auto"/>
            </w:tcBorders>
            <w:noWrap/>
            <w:vAlign w:val="bottom"/>
            <w:hideMark/>
          </w:tcPr>
          <w:p w14:paraId="4490875F" w14:textId="613D5616"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1,927,680 </w:t>
            </w:r>
          </w:p>
        </w:tc>
        <w:tc>
          <w:tcPr>
            <w:tcW w:w="1100" w:type="dxa"/>
            <w:tcBorders>
              <w:top w:val="nil"/>
              <w:left w:val="nil"/>
              <w:bottom w:val="single" w:sz="4" w:space="0" w:color="auto"/>
              <w:right w:val="single" w:sz="8" w:space="0" w:color="auto"/>
            </w:tcBorders>
            <w:noWrap/>
            <w:vAlign w:val="bottom"/>
            <w:hideMark/>
          </w:tcPr>
          <w:p w14:paraId="77A6222C" w14:textId="3C0B74B3"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3,845,365 </w:t>
            </w:r>
          </w:p>
        </w:tc>
      </w:tr>
      <w:tr w:rsidR="000E0F3F" w:rsidRPr="000E0F3F" w14:paraId="7057DC57" w14:textId="77777777" w:rsidTr="000404A3">
        <w:trPr>
          <w:trHeight w:val="1344"/>
        </w:trPr>
        <w:tc>
          <w:tcPr>
            <w:tcW w:w="1321" w:type="dxa"/>
            <w:tcBorders>
              <w:top w:val="nil"/>
              <w:left w:val="single" w:sz="8" w:space="0" w:color="auto"/>
              <w:bottom w:val="single" w:sz="4" w:space="0" w:color="auto"/>
              <w:right w:val="single" w:sz="4" w:space="0" w:color="auto"/>
            </w:tcBorders>
            <w:vAlign w:val="bottom"/>
            <w:hideMark/>
          </w:tcPr>
          <w:p w14:paraId="5124838F" w14:textId="77777777" w:rsidR="000E0F3F" w:rsidRPr="00951E45" w:rsidRDefault="000E0F3F" w:rsidP="000E0F3F">
            <w:pPr>
              <w:tabs>
                <w:tab w:val="clear" w:pos="567"/>
                <w:tab w:val="clear" w:pos="1134"/>
                <w:tab w:val="clear" w:pos="1701"/>
                <w:tab w:val="clear" w:pos="2268"/>
              </w:tabs>
              <w:bidi/>
              <w:jc w:val="left"/>
              <w:rPr>
                <w:rFonts w:ascii="Simplified Arabic" w:eastAsia="Times New Roman" w:hAnsi="Simplified Arabic"/>
                <w:sz w:val="14"/>
                <w:szCs w:val="14"/>
                <w:lang w:val="en-US"/>
              </w:rPr>
            </w:pPr>
            <w:r w:rsidRPr="00951E45">
              <w:rPr>
                <w:rFonts w:ascii="Simplified Arabic" w:eastAsia="Times New Roman" w:hAnsi="Simplified Arabic" w:hint="cs"/>
                <w:sz w:val="14"/>
                <w:szCs w:val="14"/>
                <w:rtl/>
                <w:lang w:val="en-US"/>
              </w:rPr>
              <w:t>الهيئة الفرعية المعنية بالمادة 8 (ي) وغيرها من أحكام اتفاقية التنوع البيولوجي المتعلقة بالشعوب الأصلية والمجتمعات المحلية</w:t>
            </w:r>
          </w:p>
        </w:tc>
        <w:tc>
          <w:tcPr>
            <w:tcW w:w="589" w:type="dxa"/>
            <w:tcBorders>
              <w:top w:val="nil"/>
              <w:left w:val="nil"/>
              <w:bottom w:val="single" w:sz="4" w:space="0" w:color="auto"/>
              <w:right w:val="single" w:sz="4" w:space="0" w:color="auto"/>
            </w:tcBorders>
            <w:noWrap/>
            <w:vAlign w:val="bottom"/>
            <w:hideMark/>
          </w:tcPr>
          <w:p w14:paraId="00D7EA1B" w14:textId="77777777" w:rsidR="000E0F3F" w:rsidRPr="000E0F3F" w:rsidRDefault="000E0F3F" w:rsidP="000E0F3F">
            <w:pPr>
              <w:tabs>
                <w:tab w:val="clear" w:pos="567"/>
                <w:tab w:val="clear" w:pos="1134"/>
                <w:tab w:val="clear" w:pos="1701"/>
                <w:tab w:val="clear" w:pos="2268"/>
              </w:tabs>
              <w:jc w:val="center"/>
              <w:rPr>
                <w:rFonts w:ascii="Simplified Arabic" w:eastAsia="Times New Roman" w:hAnsi="Simplified Arabic"/>
                <w:sz w:val="16"/>
                <w:szCs w:val="16"/>
                <w:rtl/>
                <w:lang w:val="en-US"/>
              </w:rPr>
            </w:pPr>
            <w:r w:rsidRPr="000E0F3F">
              <w:rPr>
                <w:rFonts w:ascii="Simplified Arabic" w:eastAsia="Times New Roman" w:hAnsi="Simplified Arabic" w:hint="cs"/>
                <w:sz w:val="16"/>
                <w:szCs w:val="16"/>
                <w:lang w:val="en-US"/>
              </w:rPr>
              <w:t>5</w:t>
            </w:r>
          </w:p>
        </w:tc>
        <w:tc>
          <w:tcPr>
            <w:tcW w:w="1050" w:type="dxa"/>
            <w:tcBorders>
              <w:top w:val="nil"/>
              <w:left w:val="nil"/>
              <w:bottom w:val="single" w:sz="4" w:space="0" w:color="auto"/>
              <w:right w:val="single" w:sz="8" w:space="0" w:color="auto"/>
            </w:tcBorders>
            <w:noWrap/>
            <w:vAlign w:val="bottom"/>
            <w:hideMark/>
          </w:tcPr>
          <w:p w14:paraId="763CC986" w14:textId="243BB0C6"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378,965 </w:t>
            </w:r>
          </w:p>
        </w:tc>
        <w:tc>
          <w:tcPr>
            <w:tcW w:w="1160" w:type="dxa"/>
            <w:gridSpan w:val="2"/>
            <w:tcBorders>
              <w:top w:val="nil"/>
              <w:left w:val="nil"/>
              <w:bottom w:val="single" w:sz="4" w:space="0" w:color="auto"/>
              <w:right w:val="single" w:sz="4" w:space="0" w:color="auto"/>
            </w:tcBorders>
            <w:noWrap/>
            <w:vAlign w:val="bottom"/>
            <w:hideMark/>
          </w:tcPr>
          <w:p w14:paraId="150C10F8" w14:textId="641140A4"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378,965 </w:t>
            </w:r>
          </w:p>
        </w:tc>
        <w:tc>
          <w:tcPr>
            <w:tcW w:w="1187" w:type="dxa"/>
            <w:tcBorders>
              <w:top w:val="nil"/>
              <w:left w:val="nil"/>
              <w:bottom w:val="single" w:sz="4" w:space="0" w:color="auto"/>
              <w:right w:val="single" w:sz="4" w:space="0" w:color="auto"/>
            </w:tcBorders>
            <w:noWrap/>
            <w:vAlign w:val="bottom"/>
            <w:hideMark/>
          </w:tcPr>
          <w:p w14:paraId="0AF3BFB5" w14:textId="463F68DD"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427,074 </w:t>
            </w:r>
          </w:p>
        </w:tc>
        <w:tc>
          <w:tcPr>
            <w:tcW w:w="1179" w:type="dxa"/>
            <w:gridSpan w:val="2"/>
            <w:tcBorders>
              <w:top w:val="nil"/>
              <w:left w:val="nil"/>
              <w:bottom w:val="single" w:sz="4" w:space="0" w:color="auto"/>
              <w:right w:val="single" w:sz="8" w:space="0" w:color="auto"/>
            </w:tcBorders>
            <w:noWrap/>
            <w:vAlign w:val="bottom"/>
            <w:hideMark/>
          </w:tcPr>
          <w:p w14:paraId="440E2C6A" w14:textId="4CA46768"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806,039 </w:t>
            </w:r>
          </w:p>
        </w:tc>
        <w:tc>
          <w:tcPr>
            <w:tcW w:w="1260" w:type="dxa"/>
            <w:gridSpan w:val="2"/>
            <w:tcBorders>
              <w:top w:val="nil"/>
              <w:left w:val="nil"/>
              <w:bottom w:val="single" w:sz="4" w:space="0" w:color="auto"/>
              <w:right w:val="single" w:sz="4" w:space="0" w:color="auto"/>
            </w:tcBorders>
            <w:noWrap/>
            <w:vAlign w:val="bottom"/>
            <w:hideMark/>
          </w:tcPr>
          <w:p w14:paraId="6ECAB80B" w14:textId="2F946816"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378,965 </w:t>
            </w:r>
          </w:p>
        </w:tc>
        <w:tc>
          <w:tcPr>
            <w:tcW w:w="1160" w:type="dxa"/>
            <w:gridSpan w:val="2"/>
            <w:tcBorders>
              <w:top w:val="nil"/>
              <w:left w:val="nil"/>
              <w:bottom w:val="single" w:sz="4" w:space="0" w:color="auto"/>
              <w:right w:val="single" w:sz="4" w:space="0" w:color="auto"/>
            </w:tcBorders>
            <w:noWrap/>
            <w:vAlign w:val="bottom"/>
            <w:hideMark/>
          </w:tcPr>
          <w:p w14:paraId="72038085" w14:textId="0B2226D0"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864,960 </w:t>
            </w:r>
          </w:p>
        </w:tc>
        <w:tc>
          <w:tcPr>
            <w:tcW w:w="1100" w:type="dxa"/>
            <w:tcBorders>
              <w:top w:val="nil"/>
              <w:left w:val="nil"/>
              <w:bottom w:val="single" w:sz="4" w:space="0" w:color="auto"/>
              <w:right w:val="single" w:sz="8" w:space="0" w:color="auto"/>
            </w:tcBorders>
            <w:noWrap/>
            <w:vAlign w:val="bottom"/>
            <w:hideMark/>
          </w:tcPr>
          <w:p w14:paraId="0B665858" w14:textId="0A86A2BA"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sz w:val="16"/>
                <w:szCs w:val="16"/>
                <w:lang w:val="en-US"/>
              </w:rPr>
            </w:pPr>
            <w:r w:rsidRPr="000E0F3F">
              <w:rPr>
                <w:rFonts w:ascii="Simplified Arabic" w:eastAsia="Times New Roman" w:hAnsi="Simplified Arabic" w:hint="cs"/>
                <w:sz w:val="16"/>
                <w:szCs w:val="16"/>
                <w:lang w:val="en-US"/>
              </w:rPr>
              <w:t xml:space="preserve">1,243,925 </w:t>
            </w:r>
          </w:p>
        </w:tc>
      </w:tr>
      <w:tr w:rsidR="000E0F3F" w:rsidRPr="000E0F3F" w14:paraId="71DB272F" w14:textId="77777777" w:rsidTr="000404A3">
        <w:trPr>
          <w:trHeight w:val="360"/>
        </w:trPr>
        <w:tc>
          <w:tcPr>
            <w:tcW w:w="1321" w:type="dxa"/>
            <w:tcBorders>
              <w:top w:val="nil"/>
              <w:left w:val="single" w:sz="8" w:space="0" w:color="auto"/>
              <w:bottom w:val="single" w:sz="8" w:space="0" w:color="auto"/>
              <w:right w:val="single" w:sz="4" w:space="0" w:color="auto"/>
            </w:tcBorders>
            <w:noWrap/>
            <w:vAlign w:val="bottom"/>
            <w:hideMark/>
          </w:tcPr>
          <w:p w14:paraId="75ACF488" w14:textId="77777777" w:rsidR="000E0F3F" w:rsidRPr="000E0F3F" w:rsidRDefault="000E0F3F" w:rsidP="000E0F3F">
            <w:pPr>
              <w:tabs>
                <w:tab w:val="clear" w:pos="567"/>
                <w:tab w:val="clear" w:pos="1134"/>
                <w:tab w:val="clear" w:pos="1701"/>
                <w:tab w:val="clear" w:pos="2268"/>
              </w:tabs>
              <w:bidi/>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rtl/>
                <w:lang w:val="en-US"/>
              </w:rPr>
              <w:t>إجمالي السيناريو 3</w:t>
            </w:r>
          </w:p>
        </w:tc>
        <w:tc>
          <w:tcPr>
            <w:tcW w:w="589" w:type="dxa"/>
            <w:tcBorders>
              <w:top w:val="nil"/>
              <w:left w:val="nil"/>
              <w:bottom w:val="single" w:sz="8" w:space="0" w:color="auto"/>
              <w:right w:val="single" w:sz="4" w:space="0" w:color="auto"/>
            </w:tcBorders>
            <w:noWrap/>
            <w:vAlign w:val="bottom"/>
            <w:hideMark/>
          </w:tcPr>
          <w:p w14:paraId="072DFA39" w14:textId="77777777" w:rsidR="000E0F3F" w:rsidRPr="000E0F3F" w:rsidRDefault="000E0F3F" w:rsidP="000E0F3F">
            <w:pPr>
              <w:tabs>
                <w:tab w:val="clear" w:pos="567"/>
                <w:tab w:val="clear" w:pos="1134"/>
                <w:tab w:val="clear" w:pos="1701"/>
                <w:tab w:val="clear" w:pos="2268"/>
              </w:tabs>
              <w:jc w:val="center"/>
              <w:rPr>
                <w:rFonts w:ascii="Simplified Arabic" w:eastAsia="Times New Roman" w:hAnsi="Simplified Arabic"/>
                <w:b/>
                <w:bCs/>
                <w:sz w:val="16"/>
                <w:szCs w:val="16"/>
                <w:rtl/>
                <w:lang w:val="en-US"/>
              </w:rPr>
            </w:pPr>
            <w:r w:rsidRPr="000E0F3F">
              <w:rPr>
                <w:rFonts w:ascii="Simplified Arabic" w:eastAsia="Times New Roman" w:hAnsi="Simplified Arabic" w:hint="cs"/>
                <w:b/>
                <w:bCs/>
                <w:sz w:val="16"/>
                <w:szCs w:val="16"/>
                <w:lang w:val="en-US"/>
              </w:rPr>
              <w:t> </w:t>
            </w:r>
          </w:p>
        </w:tc>
        <w:tc>
          <w:tcPr>
            <w:tcW w:w="1050" w:type="dxa"/>
            <w:tcBorders>
              <w:top w:val="nil"/>
              <w:left w:val="nil"/>
              <w:bottom w:val="single" w:sz="8" w:space="0" w:color="auto"/>
              <w:right w:val="single" w:sz="8" w:space="0" w:color="auto"/>
            </w:tcBorders>
            <w:noWrap/>
            <w:vAlign w:val="bottom"/>
            <w:hideMark/>
          </w:tcPr>
          <w:p w14:paraId="09E51714" w14:textId="7425AA9B"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4,958,155 </w:t>
            </w:r>
          </w:p>
        </w:tc>
        <w:tc>
          <w:tcPr>
            <w:tcW w:w="1160" w:type="dxa"/>
            <w:gridSpan w:val="2"/>
            <w:tcBorders>
              <w:top w:val="nil"/>
              <w:left w:val="nil"/>
              <w:bottom w:val="single" w:sz="8" w:space="0" w:color="auto"/>
              <w:right w:val="single" w:sz="4" w:space="0" w:color="auto"/>
            </w:tcBorders>
            <w:noWrap/>
            <w:vAlign w:val="bottom"/>
            <w:hideMark/>
          </w:tcPr>
          <w:p w14:paraId="34B320D9" w14:textId="7016D10A"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4,958,155 </w:t>
            </w:r>
          </w:p>
        </w:tc>
        <w:tc>
          <w:tcPr>
            <w:tcW w:w="1187" w:type="dxa"/>
            <w:tcBorders>
              <w:top w:val="nil"/>
              <w:left w:val="nil"/>
              <w:bottom w:val="single" w:sz="8" w:space="0" w:color="auto"/>
              <w:right w:val="single" w:sz="4" w:space="0" w:color="auto"/>
            </w:tcBorders>
            <w:noWrap/>
            <w:vAlign w:val="bottom"/>
            <w:hideMark/>
          </w:tcPr>
          <w:p w14:paraId="570002B7" w14:textId="33891CE0"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1,991,274 </w:t>
            </w:r>
          </w:p>
        </w:tc>
        <w:tc>
          <w:tcPr>
            <w:tcW w:w="1179" w:type="dxa"/>
            <w:gridSpan w:val="2"/>
            <w:tcBorders>
              <w:top w:val="nil"/>
              <w:left w:val="nil"/>
              <w:bottom w:val="single" w:sz="8" w:space="0" w:color="auto"/>
              <w:right w:val="single" w:sz="8" w:space="0" w:color="auto"/>
            </w:tcBorders>
            <w:noWrap/>
            <w:vAlign w:val="bottom"/>
            <w:hideMark/>
          </w:tcPr>
          <w:p w14:paraId="3675172C" w14:textId="51D42656"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6,949,429 </w:t>
            </w:r>
          </w:p>
        </w:tc>
        <w:tc>
          <w:tcPr>
            <w:tcW w:w="1260" w:type="dxa"/>
            <w:gridSpan w:val="2"/>
            <w:tcBorders>
              <w:top w:val="nil"/>
              <w:left w:val="nil"/>
              <w:bottom w:val="single" w:sz="8" w:space="0" w:color="auto"/>
              <w:right w:val="single" w:sz="4" w:space="0" w:color="auto"/>
            </w:tcBorders>
            <w:noWrap/>
            <w:vAlign w:val="bottom"/>
            <w:hideMark/>
          </w:tcPr>
          <w:p w14:paraId="4506D404" w14:textId="37A6E430"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4,958,155 </w:t>
            </w:r>
          </w:p>
        </w:tc>
        <w:tc>
          <w:tcPr>
            <w:tcW w:w="1160" w:type="dxa"/>
            <w:gridSpan w:val="2"/>
            <w:tcBorders>
              <w:top w:val="nil"/>
              <w:left w:val="nil"/>
              <w:bottom w:val="single" w:sz="8" w:space="0" w:color="auto"/>
              <w:right w:val="single" w:sz="4" w:space="0" w:color="auto"/>
            </w:tcBorders>
            <w:noWrap/>
            <w:vAlign w:val="bottom"/>
            <w:hideMark/>
          </w:tcPr>
          <w:p w14:paraId="32007FE9" w14:textId="7A2C77EE"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4,032,960 </w:t>
            </w:r>
          </w:p>
        </w:tc>
        <w:tc>
          <w:tcPr>
            <w:tcW w:w="1100" w:type="dxa"/>
            <w:tcBorders>
              <w:top w:val="nil"/>
              <w:left w:val="nil"/>
              <w:bottom w:val="single" w:sz="8" w:space="0" w:color="auto"/>
              <w:right w:val="single" w:sz="8" w:space="0" w:color="auto"/>
            </w:tcBorders>
            <w:noWrap/>
            <w:vAlign w:val="bottom"/>
            <w:hideMark/>
          </w:tcPr>
          <w:p w14:paraId="5837DB0B" w14:textId="6963499D" w:rsidR="000E0F3F" w:rsidRPr="000E0F3F" w:rsidRDefault="000E0F3F" w:rsidP="000E0F3F">
            <w:pPr>
              <w:tabs>
                <w:tab w:val="clear" w:pos="567"/>
                <w:tab w:val="clear" w:pos="1134"/>
                <w:tab w:val="clear" w:pos="1701"/>
                <w:tab w:val="clear" w:pos="2268"/>
              </w:tabs>
              <w:jc w:val="left"/>
              <w:rPr>
                <w:rFonts w:ascii="Simplified Arabic" w:eastAsia="Times New Roman" w:hAnsi="Simplified Arabic"/>
                <w:b/>
                <w:bCs/>
                <w:sz w:val="16"/>
                <w:szCs w:val="16"/>
                <w:lang w:val="en-US"/>
              </w:rPr>
            </w:pPr>
            <w:r w:rsidRPr="000E0F3F">
              <w:rPr>
                <w:rFonts w:ascii="Simplified Arabic" w:eastAsia="Times New Roman" w:hAnsi="Simplified Arabic" w:hint="cs"/>
                <w:b/>
                <w:bCs/>
                <w:sz w:val="16"/>
                <w:szCs w:val="16"/>
                <w:lang w:val="en-US"/>
              </w:rPr>
              <w:t xml:space="preserve">8,991,115 </w:t>
            </w:r>
          </w:p>
        </w:tc>
      </w:tr>
      <w:tr w:rsidR="000E0F3F" w:rsidRPr="000E0F3F" w14:paraId="33D59F70" w14:textId="77777777" w:rsidTr="00951E45">
        <w:trPr>
          <w:trHeight w:val="1332"/>
        </w:trPr>
        <w:tc>
          <w:tcPr>
            <w:tcW w:w="10006" w:type="dxa"/>
            <w:gridSpan w:val="13"/>
            <w:tcBorders>
              <w:top w:val="single" w:sz="8" w:space="0" w:color="auto"/>
              <w:left w:val="single" w:sz="8" w:space="0" w:color="auto"/>
              <w:bottom w:val="single" w:sz="8" w:space="0" w:color="auto"/>
              <w:right w:val="single" w:sz="4" w:space="0" w:color="auto"/>
            </w:tcBorders>
            <w:vAlign w:val="bottom"/>
            <w:hideMark/>
          </w:tcPr>
          <w:p w14:paraId="7F7B2F61" w14:textId="77777777" w:rsidR="000E0F3F" w:rsidRPr="000E0F3F" w:rsidRDefault="000E0F3F" w:rsidP="000E0F3F">
            <w:pPr>
              <w:tabs>
                <w:tab w:val="clear" w:pos="567"/>
                <w:tab w:val="clear" w:pos="1134"/>
                <w:tab w:val="clear" w:pos="1701"/>
                <w:tab w:val="clear" w:pos="2268"/>
              </w:tabs>
              <w:bidi/>
              <w:jc w:val="left"/>
              <w:rPr>
                <w:rFonts w:ascii="Simplified Arabic" w:eastAsia="Times New Roman" w:hAnsi="Simplified Arabic"/>
                <w:b/>
                <w:bCs/>
                <w:i/>
                <w:iCs/>
                <w:sz w:val="16"/>
                <w:szCs w:val="16"/>
                <w:lang w:val="en-US"/>
              </w:rPr>
            </w:pPr>
            <w:r w:rsidRPr="000E0F3F">
              <w:rPr>
                <w:rFonts w:ascii="Simplified Arabic" w:eastAsia="Times New Roman" w:hAnsi="Simplified Arabic" w:hint="cs"/>
                <w:b/>
                <w:bCs/>
                <w:i/>
                <w:iCs/>
                <w:sz w:val="16"/>
                <w:szCs w:val="16"/>
                <w:rtl/>
                <w:lang w:val="en-US"/>
              </w:rPr>
              <w:t>***انخفضت تكلفة سفر الموظفين مقارنةً بعقد الاجتماعات بشكل منفصل، غير أن بدل الإقامة اليومي (</w:t>
            </w:r>
            <w:r w:rsidRPr="000E0F3F">
              <w:rPr>
                <w:rFonts w:ascii="Simplified Arabic" w:eastAsia="Times New Roman" w:hAnsi="Simplified Arabic" w:hint="cs"/>
                <w:b/>
                <w:bCs/>
                <w:i/>
                <w:iCs/>
                <w:sz w:val="16"/>
                <w:szCs w:val="16"/>
                <w:lang w:val="en-US"/>
              </w:rPr>
              <w:t>DSA</w:t>
            </w:r>
            <w:r w:rsidRPr="000E0F3F">
              <w:rPr>
                <w:rFonts w:ascii="Simplified Arabic" w:eastAsia="Times New Roman" w:hAnsi="Simplified Arabic" w:hint="cs"/>
                <w:b/>
                <w:bCs/>
                <w:i/>
                <w:iCs/>
                <w:sz w:val="16"/>
                <w:szCs w:val="16"/>
                <w:rtl/>
                <w:lang w:val="en-US"/>
              </w:rPr>
              <w:t>) يبقى تقريبًا على حاله. وتظل تكلفة مشاركة الأطراف مماثلة لتكلفة الاجتماعات المنفصلة (مشارك واحد لكل اجتماع).</w:t>
            </w:r>
            <w:r w:rsidRPr="000E0F3F">
              <w:rPr>
                <w:rFonts w:ascii="Simplified Arabic" w:eastAsia="Times New Roman" w:hAnsi="Simplified Arabic" w:hint="cs"/>
                <w:b/>
                <w:bCs/>
                <w:i/>
                <w:iCs/>
                <w:sz w:val="16"/>
                <w:szCs w:val="16"/>
                <w:rtl/>
                <w:lang w:val="en-US"/>
              </w:rPr>
              <w:br/>
              <w:t>أما العبء الإداري واللوجستي فقد ازداد بشكل كبير، مع ترتب تكاليف إضافية على الاستعانة بالخبراء الاستشاريين الأفراد (</w:t>
            </w:r>
            <w:r w:rsidRPr="000E0F3F">
              <w:rPr>
                <w:rFonts w:ascii="Simplified Arabic" w:eastAsia="Times New Roman" w:hAnsi="Simplified Arabic" w:hint="cs"/>
                <w:b/>
                <w:bCs/>
                <w:i/>
                <w:iCs/>
                <w:sz w:val="16"/>
                <w:szCs w:val="16"/>
                <w:lang w:val="en-US"/>
              </w:rPr>
              <w:t>ICs</w:t>
            </w:r>
            <w:r w:rsidRPr="000E0F3F">
              <w:rPr>
                <w:rFonts w:ascii="Simplified Arabic" w:eastAsia="Times New Roman" w:hAnsi="Simplified Arabic" w:hint="cs"/>
                <w:b/>
                <w:bCs/>
                <w:i/>
                <w:iCs/>
                <w:sz w:val="16"/>
                <w:szCs w:val="16"/>
                <w:rtl/>
                <w:lang w:val="en-US"/>
              </w:rPr>
              <w:t>) والاستشاريين لتلبية الاحتياجات المتعددة. كما تضاعفت متطلبات موظفي البرامج، الذين يقدمون الوثائق لكلا الاجتماعين في الوقت نفسه، مما يزيد من خطر التأخير.</w:t>
            </w:r>
          </w:p>
        </w:tc>
      </w:tr>
    </w:tbl>
    <w:p w14:paraId="1BC1F037" w14:textId="77777777" w:rsidR="00CB7D1A" w:rsidRPr="000E0F3F" w:rsidRDefault="00CB7D1A" w:rsidP="00CB7D1A">
      <w:pPr>
        <w:pStyle w:val="CBDNormalNumber"/>
        <w:numPr>
          <w:ilvl w:val="0"/>
          <w:numId w:val="0"/>
        </w:numPr>
        <w:ind w:left="567"/>
        <w:jc w:val="right"/>
        <w:rPr>
          <w:lang w:val="en-US"/>
        </w:rPr>
      </w:pPr>
    </w:p>
    <w:p w14:paraId="4940C07A" w14:textId="77777777" w:rsidR="00EF4371" w:rsidRPr="004502A2" w:rsidRDefault="00F06BEC" w:rsidP="00F06BEC">
      <w:pPr>
        <w:pStyle w:val="CBDNormalNumber"/>
        <w:numPr>
          <w:ilvl w:val="0"/>
          <w:numId w:val="0"/>
        </w:numPr>
        <w:bidi/>
        <w:ind w:left="567"/>
        <w:jc w:val="left"/>
        <w:rPr>
          <w:sz w:val="20"/>
          <w:szCs w:val="24"/>
          <w:rtl/>
        </w:rPr>
      </w:pPr>
      <w:r w:rsidRPr="004502A2">
        <w:rPr>
          <w:sz w:val="20"/>
          <w:szCs w:val="24"/>
          <w:rtl/>
        </w:rPr>
        <w:t>السيناريو 1:</w:t>
      </w:r>
    </w:p>
    <w:p w14:paraId="709C8506" w14:textId="7AD9EF9D" w:rsidR="001D48D9" w:rsidRPr="004502A2" w:rsidRDefault="00A04872" w:rsidP="002537BE">
      <w:pPr>
        <w:pStyle w:val="CBDNormalNumber"/>
        <w:numPr>
          <w:ilvl w:val="1"/>
          <w:numId w:val="24"/>
        </w:numPr>
        <w:tabs>
          <w:tab w:val="clear" w:pos="1701"/>
        </w:tabs>
        <w:bidi/>
        <w:spacing w:before="60" w:after="60"/>
        <w:ind w:left="1135" w:hanging="284"/>
        <w:rPr>
          <w:sz w:val="20"/>
          <w:szCs w:val="24"/>
          <w:rtl/>
        </w:rPr>
      </w:pPr>
      <w:r w:rsidRPr="004502A2">
        <w:rPr>
          <w:sz w:val="20"/>
          <w:szCs w:val="24"/>
        </w:rPr>
        <w:lastRenderedPageBreak/>
        <w:tab/>
      </w:r>
      <w:r w:rsidRPr="004502A2">
        <w:rPr>
          <w:sz w:val="20"/>
          <w:szCs w:val="24"/>
          <w:rtl/>
        </w:rPr>
        <w:t>الاجتماع الثامن عشر لمؤتمر الأطراف، والاجتماع الثالث عشر لمؤتمر الأطراف العامل كاجتماع للأطراف في بروتوكول قرطاجنة، والاجتماع السابع لمؤتمر الأطراف العامل كاجتماع للأطراف في بروتوكول ناغويا: 14 يوما</w:t>
      </w:r>
    </w:p>
    <w:p w14:paraId="3FF78C04" w14:textId="10B975E1" w:rsidR="00053374" w:rsidRPr="004502A2" w:rsidRDefault="00445100" w:rsidP="002537BE">
      <w:pPr>
        <w:pStyle w:val="CBDNormalNumber"/>
        <w:numPr>
          <w:ilvl w:val="1"/>
          <w:numId w:val="24"/>
        </w:numPr>
        <w:tabs>
          <w:tab w:val="clear" w:pos="1701"/>
        </w:tabs>
        <w:bidi/>
        <w:spacing w:before="60" w:after="60"/>
        <w:ind w:left="1135" w:hanging="284"/>
        <w:rPr>
          <w:sz w:val="20"/>
          <w:szCs w:val="24"/>
          <w:rtl/>
        </w:rPr>
      </w:pPr>
      <w:r w:rsidRPr="004502A2">
        <w:rPr>
          <w:sz w:val="20"/>
          <w:szCs w:val="24"/>
        </w:rPr>
        <w:tab/>
      </w:r>
      <w:r w:rsidRPr="004502A2">
        <w:rPr>
          <w:sz w:val="20"/>
          <w:szCs w:val="24"/>
          <w:rtl/>
        </w:rPr>
        <w:t>الاجتماع التاسع والعشرون للهيئة الفرعية للمشورة العلمية والتقنية والتكنولوجية: 12 يوما</w:t>
      </w:r>
    </w:p>
    <w:p w14:paraId="73080F98" w14:textId="19318E0D" w:rsidR="0021480E" w:rsidRPr="004502A2" w:rsidRDefault="00DA6907" w:rsidP="006870CF">
      <w:pPr>
        <w:pStyle w:val="CBDNormalNumber"/>
        <w:numPr>
          <w:ilvl w:val="1"/>
          <w:numId w:val="24"/>
        </w:numPr>
        <w:tabs>
          <w:tab w:val="clear" w:pos="1701"/>
        </w:tabs>
        <w:bidi/>
        <w:spacing w:before="60" w:after="60"/>
        <w:ind w:left="1135" w:hanging="284"/>
        <w:rPr>
          <w:sz w:val="20"/>
          <w:szCs w:val="24"/>
          <w:rtl/>
        </w:rPr>
      </w:pPr>
      <w:r w:rsidRPr="004502A2">
        <w:rPr>
          <w:sz w:val="20"/>
          <w:szCs w:val="24"/>
        </w:rPr>
        <w:tab/>
      </w:r>
      <w:r w:rsidRPr="004502A2">
        <w:rPr>
          <w:sz w:val="20"/>
          <w:szCs w:val="24"/>
          <w:rtl/>
        </w:rPr>
        <w:t>الاجتماع الثامن للهيئة الفرعية للتنفيذ: 12 يوما</w:t>
      </w:r>
    </w:p>
    <w:p w14:paraId="56B7EF24" w14:textId="51E6ACE2" w:rsidR="00EF4371" w:rsidRPr="004502A2" w:rsidRDefault="00293CB8" w:rsidP="00850C24">
      <w:pPr>
        <w:pStyle w:val="CBDNormalNumber"/>
        <w:numPr>
          <w:ilvl w:val="1"/>
          <w:numId w:val="24"/>
        </w:numPr>
        <w:tabs>
          <w:tab w:val="clear" w:pos="1701"/>
        </w:tabs>
        <w:bidi/>
        <w:spacing w:before="60" w:after="60"/>
        <w:ind w:left="1135" w:hanging="284"/>
        <w:rPr>
          <w:sz w:val="20"/>
          <w:szCs w:val="24"/>
          <w:rtl/>
        </w:rPr>
      </w:pPr>
      <w:r w:rsidRPr="004502A2">
        <w:rPr>
          <w:sz w:val="20"/>
          <w:szCs w:val="24"/>
        </w:rPr>
        <w:tab/>
      </w:r>
      <w:r w:rsidRPr="004502A2">
        <w:rPr>
          <w:sz w:val="20"/>
          <w:szCs w:val="24"/>
          <w:rtl/>
        </w:rPr>
        <w:t xml:space="preserve">الاجتماع الثاني </w:t>
      </w:r>
      <w:r w:rsidR="00850C24" w:rsidRPr="004502A2">
        <w:rPr>
          <w:rFonts w:hint="cs"/>
          <w:sz w:val="20"/>
          <w:szCs w:val="24"/>
          <w:rtl/>
        </w:rPr>
        <w:t>ل</w:t>
      </w:r>
      <w:r w:rsidR="00850C24" w:rsidRPr="004502A2">
        <w:rPr>
          <w:sz w:val="20"/>
          <w:szCs w:val="24"/>
          <w:rtl/>
        </w:rPr>
        <w:t>لهيئة الفرعية المعنية بالمادة 8 (ي) وغيرها من أحكام اتفاقية التنوع البيولوجي المتعلقة بالشعوب الأصلية والمجتمعات المحلية</w:t>
      </w:r>
      <w:r w:rsidRPr="004502A2">
        <w:rPr>
          <w:sz w:val="20"/>
          <w:szCs w:val="24"/>
          <w:rtl/>
        </w:rPr>
        <w:t>: 5 أيام</w:t>
      </w:r>
    </w:p>
    <w:p w14:paraId="0E82E62D" w14:textId="50E6E8CA" w:rsidR="00315353" w:rsidRPr="004502A2" w:rsidRDefault="00D4303A" w:rsidP="002537BE">
      <w:pPr>
        <w:pStyle w:val="CBDNormalNumber"/>
        <w:numPr>
          <w:ilvl w:val="0"/>
          <w:numId w:val="0"/>
        </w:numPr>
        <w:bidi/>
        <w:ind w:left="567"/>
        <w:jc w:val="left"/>
        <w:rPr>
          <w:sz w:val="20"/>
          <w:szCs w:val="24"/>
          <w:rtl/>
        </w:rPr>
      </w:pPr>
      <w:r w:rsidRPr="004502A2">
        <w:rPr>
          <w:sz w:val="20"/>
          <w:szCs w:val="24"/>
          <w:rtl/>
        </w:rPr>
        <w:t>السيناريو 2 (اجتماعات أقصر للهيئتين الفرعيتين):</w:t>
      </w:r>
    </w:p>
    <w:p w14:paraId="3B105834" w14:textId="750F07FD" w:rsidR="00515A2B" w:rsidRPr="004502A2" w:rsidRDefault="00515A2B" w:rsidP="002537BE">
      <w:pPr>
        <w:pStyle w:val="CBDNormalNumber"/>
        <w:numPr>
          <w:ilvl w:val="1"/>
          <w:numId w:val="24"/>
        </w:numPr>
        <w:tabs>
          <w:tab w:val="clear" w:pos="1701"/>
        </w:tabs>
        <w:bidi/>
        <w:spacing w:before="60" w:after="60"/>
        <w:ind w:left="1135" w:hanging="284"/>
        <w:rPr>
          <w:sz w:val="20"/>
          <w:szCs w:val="24"/>
          <w:rtl/>
        </w:rPr>
      </w:pPr>
      <w:r w:rsidRPr="004502A2">
        <w:rPr>
          <w:sz w:val="20"/>
          <w:szCs w:val="24"/>
        </w:rPr>
        <w:tab/>
      </w:r>
      <w:r w:rsidRPr="004502A2">
        <w:rPr>
          <w:sz w:val="20"/>
          <w:szCs w:val="24"/>
          <w:rtl/>
        </w:rPr>
        <w:t>الاجتماع الثامن عشر لمؤتمر الأطراف، والاجتماع الثالث عشر لمؤتمر الأطراف العامل كاجتماع للأطراف في بروتوكول قرطاجنة، والاجتماع السابع لمؤتمر الأطراف العامل كاجتماع للأطراف في بروتوكول ناغويا: 14 يوما</w:t>
      </w:r>
    </w:p>
    <w:p w14:paraId="7D1493BC" w14:textId="01359555" w:rsidR="00515A2B" w:rsidRPr="004502A2" w:rsidRDefault="00515A2B" w:rsidP="006870CF">
      <w:pPr>
        <w:pStyle w:val="CBDNormalNumber"/>
        <w:numPr>
          <w:ilvl w:val="1"/>
          <w:numId w:val="24"/>
        </w:numPr>
        <w:tabs>
          <w:tab w:val="clear" w:pos="1701"/>
        </w:tabs>
        <w:bidi/>
        <w:spacing w:before="60" w:after="60"/>
        <w:ind w:left="1135" w:hanging="284"/>
        <w:rPr>
          <w:sz w:val="20"/>
          <w:szCs w:val="24"/>
          <w:rtl/>
        </w:rPr>
      </w:pPr>
      <w:r w:rsidRPr="004502A2">
        <w:rPr>
          <w:sz w:val="20"/>
          <w:szCs w:val="24"/>
        </w:rPr>
        <w:tab/>
      </w:r>
      <w:r w:rsidRPr="004502A2">
        <w:rPr>
          <w:sz w:val="20"/>
          <w:szCs w:val="24"/>
          <w:rtl/>
        </w:rPr>
        <w:t>الاجتماع التاسع والعشرون للهيئة الفرعية للمشورة العلمية والتقنية والتكنولوجية: 10 أيام</w:t>
      </w:r>
    </w:p>
    <w:p w14:paraId="19749321" w14:textId="3947D142" w:rsidR="00515A2B" w:rsidRPr="004502A2" w:rsidRDefault="00515A2B" w:rsidP="006870CF">
      <w:pPr>
        <w:pStyle w:val="CBDNormalNumber"/>
        <w:numPr>
          <w:ilvl w:val="1"/>
          <w:numId w:val="24"/>
        </w:numPr>
        <w:tabs>
          <w:tab w:val="clear" w:pos="1701"/>
        </w:tabs>
        <w:bidi/>
        <w:spacing w:before="60" w:after="60"/>
        <w:ind w:left="1135" w:hanging="284"/>
        <w:rPr>
          <w:sz w:val="20"/>
          <w:szCs w:val="24"/>
          <w:rtl/>
        </w:rPr>
      </w:pPr>
      <w:r w:rsidRPr="004502A2">
        <w:rPr>
          <w:sz w:val="20"/>
          <w:szCs w:val="24"/>
        </w:rPr>
        <w:tab/>
      </w:r>
      <w:r w:rsidRPr="004502A2">
        <w:rPr>
          <w:sz w:val="20"/>
          <w:szCs w:val="24"/>
          <w:rtl/>
        </w:rPr>
        <w:t>الاجتماع الثامن للهيئة الفرعية للتنفيذ: 10 أيام</w:t>
      </w:r>
    </w:p>
    <w:p w14:paraId="283D07F8" w14:textId="38A95018" w:rsidR="00515A2B" w:rsidRPr="004502A2" w:rsidRDefault="00515A2B" w:rsidP="00850C24">
      <w:pPr>
        <w:pStyle w:val="CBDNormalNumber"/>
        <w:numPr>
          <w:ilvl w:val="1"/>
          <w:numId w:val="24"/>
        </w:numPr>
        <w:tabs>
          <w:tab w:val="clear" w:pos="1701"/>
        </w:tabs>
        <w:bidi/>
        <w:spacing w:before="60" w:after="60"/>
        <w:ind w:left="1135" w:hanging="284"/>
        <w:rPr>
          <w:sz w:val="20"/>
          <w:szCs w:val="24"/>
          <w:rtl/>
        </w:rPr>
      </w:pPr>
      <w:r w:rsidRPr="004502A2">
        <w:rPr>
          <w:sz w:val="20"/>
          <w:szCs w:val="24"/>
        </w:rPr>
        <w:tab/>
      </w:r>
      <w:r w:rsidRPr="004502A2">
        <w:rPr>
          <w:sz w:val="20"/>
          <w:szCs w:val="24"/>
          <w:rtl/>
        </w:rPr>
        <w:t xml:space="preserve">الاجتماع الثاني </w:t>
      </w:r>
      <w:r w:rsidR="00850C24" w:rsidRPr="004502A2">
        <w:rPr>
          <w:rFonts w:hint="cs"/>
          <w:sz w:val="20"/>
          <w:szCs w:val="24"/>
          <w:rtl/>
        </w:rPr>
        <w:t>ل</w:t>
      </w:r>
      <w:r w:rsidR="00850C24" w:rsidRPr="004502A2">
        <w:rPr>
          <w:sz w:val="20"/>
          <w:szCs w:val="24"/>
          <w:rtl/>
        </w:rPr>
        <w:t>لهيئة الفرعية المعنية بالمادة 8 (ي) وغيرها من أحكام اتفاقية التنوع البيولوجي المتعلقة بالشعوب الأصلية والمجتمعات المحلية</w:t>
      </w:r>
      <w:r w:rsidRPr="004502A2">
        <w:rPr>
          <w:sz w:val="20"/>
          <w:szCs w:val="24"/>
          <w:rtl/>
        </w:rPr>
        <w:t>: 5 أيام</w:t>
      </w:r>
    </w:p>
    <w:p w14:paraId="39C8716D" w14:textId="69D4FD18" w:rsidR="00515A2B" w:rsidRPr="004502A2" w:rsidRDefault="00326F7B" w:rsidP="002537BE">
      <w:pPr>
        <w:pStyle w:val="CBDNormalNumber"/>
        <w:numPr>
          <w:ilvl w:val="0"/>
          <w:numId w:val="0"/>
        </w:numPr>
        <w:bidi/>
        <w:ind w:left="567"/>
        <w:jc w:val="left"/>
        <w:rPr>
          <w:sz w:val="20"/>
          <w:szCs w:val="24"/>
          <w:rtl/>
        </w:rPr>
      </w:pPr>
      <w:r w:rsidRPr="004502A2">
        <w:rPr>
          <w:sz w:val="20"/>
          <w:szCs w:val="24"/>
          <w:rtl/>
        </w:rPr>
        <w:t>السيناريو 3 (الجمع بين الاجتماعات):</w:t>
      </w:r>
    </w:p>
    <w:p w14:paraId="582F3867" w14:textId="4E0797CA" w:rsidR="00326F7B" w:rsidRPr="004502A2" w:rsidRDefault="00326F7B" w:rsidP="002537BE">
      <w:pPr>
        <w:pStyle w:val="CBDNormalNumber"/>
        <w:numPr>
          <w:ilvl w:val="1"/>
          <w:numId w:val="24"/>
        </w:numPr>
        <w:tabs>
          <w:tab w:val="clear" w:pos="1701"/>
        </w:tabs>
        <w:bidi/>
        <w:spacing w:before="60" w:after="60"/>
        <w:ind w:left="1135" w:hanging="284"/>
        <w:rPr>
          <w:sz w:val="20"/>
          <w:szCs w:val="24"/>
          <w:rtl/>
        </w:rPr>
      </w:pPr>
      <w:r w:rsidRPr="004502A2">
        <w:rPr>
          <w:sz w:val="20"/>
          <w:szCs w:val="24"/>
        </w:rPr>
        <w:tab/>
      </w:r>
      <w:r w:rsidRPr="004502A2">
        <w:rPr>
          <w:sz w:val="20"/>
          <w:szCs w:val="24"/>
          <w:rtl/>
        </w:rPr>
        <w:t>الاجتماع الثامن عشر لمؤتمر الأطراف، والاجتماع الثالث عشر لمؤتمر الأطراف العامل كاجتماع للأطراف في بروتوكول قرطاجنة، والاجتماع السابع لمؤتمر الأطراف العامل كاجتماع للأطراف في بروتوكول ناغويا: 14 يوما</w:t>
      </w:r>
    </w:p>
    <w:p w14:paraId="09DA646D" w14:textId="1BA08161" w:rsidR="00326F7B" w:rsidRPr="004502A2" w:rsidRDefault="00326F7B" w:rsidP="002537BE">
      <w:pPr>
        <w:pStyle w:val="CBDNormalNumber"/>
        <w:numPr>
          <w:ilvl w:val="1"/>
          <w:numId w:val="24"/>
        </w:numPr>
        <w:tabs>
          <w:tab w:val="clear" w:pos="1701"/>
        </w:tabs>
        <w:bidi/>
        <w:spacing w:before="60" w:after="60"/>
        <w:ind w:left="1135" w:hanging="284"/>
        <w:rPr>
          <w:sz w:val="20"/>
          <w:szCs w:val="24"/>
          <w:rtl/>
        </w:rPr>
      </w:pPr>
      <w:r w:rsidRPr="004502A2">
        <w:rPr>
          <w:sz w:val="20"/>
          <w:szCs w:val="24"/>
        </w:rPr>
        <w:tab/>
      </w:r>
      <w:r w:rsidRPr="004502A2">
        <w:rPr>
          <w:sz w:val="20"/>
          <w:szCs w:val="24"/>
          <w:rtl/>
        </w:rPr>
        <w:t>الاجتماع التاسع والعشرون للهيئة الفرعية للمشورة العلمية والتقنية والتكنولوجية والاجتماع الثامن للهيئة الفرعية للتنفيذ: 20 يوما</w:t>
      </w:r>
    </w:p>
    <w:p w14:paraId="1A4B63AB" w14:textId="1B410E8A" w:rsidR="00326F7B" w:rsidRPr="004502A2" w:rsidRDefault="00326F7B" w:rsidP="00850C24">
      <w:pPr>
        <w:pStyle w:val="CBDNormalNumber"/>
        <w:numPr>
          <w:ilvl w:val="1"/>
          <w:numId w:val="24"/>
        </w:numPr>
        <w:tabs>
          <w:tab w:val="clear" w:pos="1701"/>
        </w:tabs>
        <w:bidi/>
        <w:spacing w:before="60" w:after="60"/>
        <w:ind w:left="1135" w:hanging="284"/>
        <w:rPr>
          <w:sz w:val="20"/>
          <w:szCs w:val="24"/>
          <w:rtl/>
        </w:rPr>
      </w:pPr>
      <w:r w:rsidRPr="004502A2">
        <w:rPr>
          <w:sz w:val="20"/>
          <w:szCs w:val="24"/>
        </w:rPr>
        <w:tab/>
      </w:r>
      <w:r w:rsidRPr="004502A2">
        <w:rPr>
          <w:sz w:val="20"/>
          <w:szCs w:val="24"/>
          <w:rtl/>
        </w:rPr>
        <w:t xml:space="preserve">الاجتماع الثاني </w:t>
      </w:r>
      <w:r w:rsidR="00850C24" w:rsidRPr="004502A2">
        <w:rPr>
          <w:sz w:val="20"/>
          <w:szCs w:val="24"/>
          <w:rtl/>
        </w:rPr>
        <w:t>الهيئة الفرعية المعنية بالمادة 8 (ي) وغيرها من أحكام اتفاقية التنوع البيولوجي المتعلقة بالشعوب الأصلية والمجتمعات المحلية</w:t>
      </w:r>
      <w:r w:rsidRPr="004502A2">
        <w:rPr>
          <w:sz w:val="20"/>
          <w:szCs w:val="24"/>
          <w:rtl/>
        </w:rPr>
        <w:t>: 5 أيام</w:t>
      </w:r>
    </w:p>
    <w:p w14:paraId="71314D57" w14:textId="77777777" w:rsidR="00326F7B" w:rsidRPr="00285FD7" w:rsidRDefault="00326F7B" w:rsidP="002537BE">
      <w:pPr>
        <w:pStyle w:val="CBDNormalNumber"/>
        <w:numPr>
          <w:ilvl w:val="0"/>
          <w:numId w:val="0"/>
        </w:numPr>
        <w:ind w:left="567"/>
        <w:jc w:val="left"/>
      </w:pPr>
    </w:p>
    <w:p w14:paraId="4FF93F49" w14:textId="77777777" w:rsidR="00A111D1" w:rsidRPr="003F1A75" w:rsidRDefault="00A111D1" w:rsidP="006E7BE2">
      <w:pPr>
        <w:pStyle w:val="Para1"/>
        <w:numPr>
          <w:ilvl w:val="0"/>
          <w:numId w:val="0"/>
        </w:numPr>
        <w:bidi/>
        <w:ind w:left="567"/>
        <w:jc w:val="center"/>
        <w:rPr>
          <w:rtl/>
        </w:rPr>
      </w:pPr>
      <w:r>
        <w:t>__________</w:t>
      </w:r>
    </w:p>
    <w:sectPr w:rsidR="00A111D1" w:rsidRPr="003F1A75" w:rsidSect="00A22A3F">
      <w:headerReference w:type="even" r:id="rId57"/>
      <w:headerReference w:type="default" r:id="rId58"/>
      <w:footerReference w:type="even" r:id="rId59"/>
      <w:footerReference w:type="default" r:id="rId60"/>
      <w:headerReference w:type="first" r:id="rId61"/>
      <w:footerReference w:type="first" r:id="rId62"/>
      <w:pgSz w:w="12240" w:h="15840"/>
      <w:pgMar w:top="1134" w:right="1440" w:bottom="1134" w:left="1440" w:header="705" w:footer="709" w:gutter="0"/>
      <w:cols w:space="708"/>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42C87" w14:textId="77777777" w:rsidR="00A840B4" w:rsidRPr="003F1A75" w:rsidRDefault="00A840B4" w:rsidP="00CF1848">
      <w:r w:rsidRPr="003F1A75">
        <w:separator/>
      </w:r>
    </w:p>
  </w:endnote>
  <w:endnote w:type="continuationSeparator" w:id="0">
    <w:p w14:paraId="452427B8" w14:textId="77777777" w:rsidR="00A840B4" w:rsidRPr="003F1A75" w:rsidRDefault="00A840B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Sylfaen"/>
    <w:panose1 w:val="00000000000000000000"/>
    <w:charset w:val="00"/>
    <w:family w:val="auto"/>
    <w:notTrueType/>
    <w:pitch w:val="variable"/>
    <w:sig w:usb0="E50002FF" w:usb1="500079DB" w:usb2="0000001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9470A3F" w14:textId="77777777" w:rsidR="00D75CA6" w:rsidRPr="003F1A75" w:rsidRDefault="00D75CA6" w:rsidP="00D75CA6">
            <w:pPr>
              <w:pStyle w:val="Footer"/>
              <w:jc w:val="righ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ED81303" w14:textId="77777777" w:rsidR="00D75CA6" w:rsidRPr="009E66EC" w:rsidRDefault="00D75CA6" w:rsidP="004C77BA">
        <w:pPr>
          <w:pStyle w:val="Footer"/>
          <w:jc w:val="left"/>
        </w:pPr>
        <w:r w:rsidRPr="002537BE">
          <w:rPr>
            <w:szCs w:val="20"/>
          </w:rPr>
          <w:fldChar w:fldCharType="begin"/>
        </w:r>
        <w:r w:rsidRPr="002537BE">
          <w:rPr>
            <w:szCs w:val="20"/>
          </w:rPr>
          <w:instrText xml:space="preserve"> PAGE </w:instrText>
        </w:r>
        <w:r w:rsidRPr="002537BE">
          <w:rPr>
            <w:szCs w:val="20"/>
          </w:rPr>
          <w:fldChar w:fldCharType="separate"/>
        </w:r>
        <w:r w:rsidRPr="002537BE">
          <w:rPr>
            <w:szCs w:val="20"/>
          </w:rPr>
          <w:t>2</w:t>
        </w:r>
        <w:r w:rsidRPr="002537BE">
          <w:rPr>
            <w:szCs w:val="20"/>
          </w:rPr>
          <w:fldChar w:fldCharType="end"/>
        </w:r>
        <w:r w:rsidRPr="009E66EC">
          <w:rPr>
            <w:szCs w:val="20"/>
          </w:rPr>
          <w:t>/</w:t>
        </w:r>
        <w:r w:rsidRPr="002537BE">
          <w:rPr>
            <w:szCs w:val="20"/>
          </w:rPr>
          <w:fldChar w:fldCharType="begin"/>
        </w:r>
        <w:r w:rsidRPr="002537BE">
          <w:rPr>
            <w:szCs w:val="20"/>
          </w:rPr>
          <w:instrText xml:space="preserve"> NUMPAGES  </w:instrText>
        </w:r>
        <w:r w:rsidRPr="002537BE">
          <w:rPr>
            <w:szCs w:val="20"/>
          </w:rPr>
          <w:fldChar w:fldCharType="separate"/>
        </w:r>
        <w:r w:rsidRPr="002537BE">
          <w:rPr>
            <w:szCs w:val="20"/>
          </w:rPr>
          <w:t>3</w:t>
        </w:r>
        <w:r w:rsidRPr="002537BE">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9BC8E" w14:textId="77777777" w:rsidR="005A2CBE" w:rsidRDefault="005A2C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0EF3F" w14:textId="77777777" w:rsidR="00A840B4" w:rsidRPr="003F1A75" w:rsidRDefault="00A840B4" w:rsidP="004C77BA">
      <w:pPr>
        <w:bidi/>
      </w:pPr>
      <w:r w:rsidRPr="003F1A75">
        <w:separator/>
      </w:r>
    </w:p>
  </w:footnote>
  <w:footnote w:type="continuationSeparator" w:id="0">
    <w:p w14:paraId="61FE4AF7" w14:textId="77777777" w:rsidR="00A840B4" w:rsidRPr="003F1A75" w:rsidRDefault="00A840B4" w:rsidP="00CF1848">
      <w:r w:rsidRPr="003F1A75">
        <w:continuationSeparator/>
      </w:r>
    </w:p>
  </w:footnote>
  <w:footnote w:id="1">
    <w:p w14:paraId="4103FC7A" w14:textId="77777777" w:rsidR="00E8327B" w:rsidRPr="000C1147" w:rsidRDefault="00E8327B" w:rsidP="00E8327B">
      <w:pPr>
        <w:pStyle w:val="FootnoteText"/>
        <w:bidi/>
      </w:pPr>
      <w:r>
        <w:rPr>
          <w:rStyle w:val="FootnoteReference"/>
        </w:rPr>
        <w:t>*</w:t>
      </w:r>
      <w:r>
        <w:rPr>
          <w:rFonts w:hint="cs"/>
          <w:rtl/>
        </w:rPr>
        <w:t xml:space="preserve"> </w:t>
      </w:r>
      <w:hyperlink r:id="rId1" w:history="1">
        <w:r w:rsidRPr="00800BC1">
          <w:rPr>
            <w:rStyle w:val="Hyperlink"/>
          </w:rPr>
          <w:t>CBD/COP/17/1/Rev.1</w:t>
        </w:r>
      </w:hyperlink>
      <w:r>
        <w:rPr>
          <w:rFonts w:hint="cs"/>
          <w:rtl/>
        </w:rPr>
        <w:t>.</w:t>
      </w:r>
    </w:p>
  </w:footnote>
  <w:footnote w:id="2">
    <w:p w14:paraId="50F99EF3" w14:textId="77777777" w:rsidR="00E8327B" w:rsidRPr="000C1147" w:rsidRDefault="00E8327B" w:rsidP="00E8327B">
      <w:pPr>
        <w:pStyle w:val="FootnoteText"/>
        <w:bidi/>
      </w:pPr>
      <w:r>
        <w:rPr>
          <w:rStyle w:val="FootnoteReference"/>
        </w:rPr>
        <w:t>**</w:t>
      </w:r>
      <w:r>
        <w:rPr>
          <w:rFonts w:hint="cs"/>
          <w:rtl/>
        </w:rPr>
        <w:t xml:space="preserve"> </w:t>
      </w:r>
      <w:hyperlink r:id="rId2" w:history="1">
        <w:r w:rsidRPr="00800BC1">
          <w:rPr>
            <w:rStyle w:val="Hyperlink"/>
          </w:rPr>
          <w:t>CBD/CP/MOP/12/1</w:t>
        </w:r>
      </w:hyperlink>
      <w:r w:rsidRPr="00E8327B">
        <w:rPr>
          <w:rStyle w:val="Hyperlink"/>
          <w:rFonts w:hint="cs"/>
          <w:color w:val="000000"/>
          <w:u w:val="none"/>
          <w:rtl/>
        </w:rPr>
        <w:t>.</w:t>
      </w:r>
    </w:p>
  </w:footnote>
  <w:footnote w:id="3">
    <w:p w14:paraId="1353A6D3" w14:textId="77777777" w:rsidR="00E8327B" w:rsidRPr="00B67763" w:rsidRDefault="00E8327B" w:rsidP="00E8327B">
      <w:pPr>
        <w:pStyle w:val="FootnoteText"/>
        <w:bidi/>
      </w:pPr>
      <w:r>
        <w:rPr>
          <w:rStyle w:val="FootnoteReference"/>
        </w:rPr>
        <w:t>***</w:t>
      </w:r>
      <w:r>
        <w:rPr>
          <w:rFonts w:hint="cs"/>
          <w:rtl/>
        </w:rPr>
        <w:t xml:space="preserve"> </w:t>
      </w:r>
      <w:hyperlink r:id="rId3" w:history="1">
        <w:r w:rsidRPr="00800BC1">
          <w:rPr>
            <w:rStyle w:val="Hyperlink"/>
          </w:rPr>
          <w:t>CBD/NP/MOP/6/1</w:t>
        </w:r>
      </w:hyperlink>
      <w:r w:rsidRPr="00E8327B">
        <w:rPr>
          <w:rStyle w:val="Hyperlink"/>
          <w:rFonts w:hint="cs"/>
          <w:color w:val="000000"/>
          <w:u w:val="none"/>
          <w:rtl/>
        </w:rPr>
        <w:t>.</w:t>
      </w:r>
    </w:p>
  </w:footnote>
  <w:footnote w:id="4">
    <w:p w14:paraId="5E10FABB" w14:textId="79FE55EB" w:rsidR="00DB1DFB" w:rsidRDefault="00DB1DFB">
      <w:pPr>
        <w:pStyle w:val="FootnoteText"/>
        <w:bidi/>
        <w:rPr>
          <w:rtl/>
        </w:rPr>
      </w:pPr>
      <w:r>
        <w:rPr>
          <w:rStyle w:val="FootnoteReference"/>
        </w:rPr>
        <w:sym w:font="Symbol" w:char="F02A"/>
      </w:r>
      <w:r>
        <w:rPr>
          <w:rStyle w:val="FootnoteReference"/>
        </w:rPr>
        <w:sym w:font="Symbol" w:char="F02A"/>
      </w:r>
      <w:r>
        <w:rPr>
          <w:rStyle w:val="FootnoteReference"/>
        </w:rPr>
        <w:sym w:font="Symbol" w:char="F02A"/>
      </w:r>
      <w:r>
        <w:rPr>
          <w:rStyle w:val="FootnoteReference"/>
        </w:rPr>
        <w:sym w:font="Symbol" w:char="F02A"/>
      </w:r>
      <w:r>
        <w:t xml:space="preserve"> </w:t>
      </w:r>
      <w:r>
        <w:rPr>
          <w:rtl/>
        </w:rPr>
        <w:t xml:space="preserve">صدرت </w:t>
      </w:r>
      <w:r>
        <w:rPr>
          <w:rtl/>
        </w:rPr>
        <w:t>هذه الوثيقة دون تحرير رسمي.</w:t>
      </w:r>
    </w:p>
  </w:footnote>
  <w:footnote w:id="5">
    <w:p w14:paraId="411AD8EB" w14:textId="68D2D9FB" w:rsidR="008B78C3" w:rsidRDefault="008B78C3" w:rsidP="008B78C3">
      <w:pPr>
        <w:pStyle w:val="FootnoteText"/>
        <w:bidi/>
        <w:rPr>
          <w:rtl/>
        </w:rPr>
      </w:pPr>
      <w:r>
        <w:rPr>
          <w:rStyle w:val="FootnoteReference"/>
        </w:rPr>
        <w:footnoteRef/>
      </w:r>
      <w:r>
        <w:t xml:space="preserve"> </w:t>
      </w:r>
      <w:r w:rsidR="00916066" w:rsidRPr="00916066">
        <w:rPr>
          <w:rtl/>
        </w:rPr>
        <w:t xml:space="preserve">تجدر </w:t>
      </w:r>
      <w:r w:rsidR="00916066" w:rsidRPr="00916066">
        <w:rPr>
          <w:rtl/>
        </w:rPr>
        <w:t>الإشارة إلى أن مساهمة</w:t>
      </w:r>
      <w:r>
        <w:rPr>
          <w:rtl/>
        </w:rPr>
        <w:t xml:space="preserve"> البلد المضيف تُدفع </w:t>
      </w:r>
      <w:r w:rsidR="00916066" w:rsidRPr="00916066">
        <w:rPr>
          <w:rtl/>
        </w:rPr>
        <w:t>كتعويض من الميزانية، وبالتالي فهي غير مذكورة أدناه</w:t>
      </w:r>
      <w:r>
        <w:rPr>
          <w:rtl/>
        </w:rPr>
        <w:t>.</w:t>
      </w:r>
    </w:p>
  </w:footnote>
  <w:footnote w:id="6">
    <w:p w14:paraId="3E0079ED" w14:textId="7DED2A5C" w:rsidR="008B78C3" w:rsidRDefault="008B78C3" w:rsidP="008B78C3">
      <w:pPr>
        <w:pStyle w:val="FootnoteText"/>
        <w:bidi/>
        <w:rPr>
          <w:rtl/>
        </w:rPr>
      </w:pPr>
      <w:r>
        <w:rPr>
          <w:rStyle w:val="FootnoteReference"/>
        </w:rPr>
        <w:footnoteRef/>
      </w:r>
      <w:r>
        <w:t xml:space="preserve"> </w:t>
      </w:r>
      <w:r>
        <w:rPr>
          <w:rtl/>
        </w:rPr>
        <w:t xml:space="preserve">ترد </w:t>
      </w:r>
      <w:r w:rsidR="00BF53EE" w:rsidRPr="00BF53EE">
        <w:rPr>
          <w:rtl/>
        </w:rPr>
        <w:t>متطلبات الصندوق الاستئماني للمساهمات الطوعية الإضافية لدعم الأنشطة المعتمدة للفترة 2027-2028 في</w:t>
      </w:r>
      <w:hyperlink r:id="rId4" w:history="1">
        <w:r>
          <w:rPr>
            <w:rStyle w:val="Hyperlink"/>
          </w:rPr>
          <w:t>CBD/COP/17/4/Add.2</w:t>
        </w:r>
      </w:hyperlink>
      <w:r>
        <w:t>-</w:t>
      </w:r>
      <w:hyperlink r:id="rId5" w:history="1">
        <w:r>
          <w:rPr>
            <w:rStyle w:val="Hyperlink"/>
          </w:rPr>
          <w:t>CBD/CP/MOP/12/5/Add.1</w:t>
        </w:r>
      </w:hyperlink>
      <w:r>
        <w:t>-</w:t>
      </w:r>
      <w:hyperlink r:id="rId6" w:history="1">
        <w:r>
          <w:rPr>
            <w:rStyle w:val="Hyperlink"/>
          </w:rPr>
          <w:t>CBD/NP/MOP/6/5/Add.1</w:t>
        </w:r>
      </w:hyperlink>
      <w:r>
        <w:rPr>
          <w:rtl/>
        </w:rPr>
        <w:t>. و</w:t>
      </w:r>
      <w:r w:rsidR="00BF53EE" w:rsidRPr="00BF53EE">
        <w:rPr>
          <w:rtl/>
        </w:rPr>
        <w:t>يُرجى ملاحظة أن</w:t>
      </w:r>
      <w:r>
        <w:rPr>
          <w:rtl/>
        </w:rPr>
        <w:t xml:space="preserve"> الأنشطة الإضافية تشمل الأنشطة المطلوبة من الأمينة التنفيذية والتي ترد في طلبها عبارة "رهنا بتوافر الموارد".</w:t>
      </w:r>
    </w:p>
  </w:footnote>
  <w:footnote w:id="7">
    <w:p w14:paraId="2A89D7BA" w14:textId="3F3E529A" w:rsidR="002A6971" w:rsidRPr="002A6971" w:rsidRDefault="002A6971">
      <w:pPr>
        <w:pStyle w:val="FootnoteText"/>
        <w:bidi/>
        <w:rPr>
          <w:rtl/>
        </w:rPr>
      </w:pPr>
      <w:r>
        <w:rPr>
          <w:rStyle w:val="FootnoteReference"/>
        </w:rPr>
        <w:footnoteRef/>
      </w:r>
      <w:r>
        <w:t xml:space="preserve"> </w:t>
      </w:r>
      <w:hyperlink r:id="rId7" w:history="1">
        <w:r>
          <w:rPr>
            <w:rStyle w:val="Hyperlink"/>
          </w:rPr>
          <w:t>www.cbd.int/information/adm-fin</w:t>
        </w:r>
      </w:hyperlink>
      <w:r>
        <w:t>.</w:t>
      </w:r>
    </w:p>
  </w:footnote>
  <w:footnote w:id="8">
    <w:p w14:paraId="4FA15006" w14:textId="13BE16DE" w:rsidR="009E1823" w:rsidRDefault="009E1823">
      <w:pPr>
        <w:pStyle w:val="FootnoteText"/>
        <w:bidi/>
        <w:rPr>
          <w:rtl/>
        </w:rPr>
      </w:pPr>
      <w:r>
        <w:rPr>
          <w:rStyle w:val="FootnoteReference"/>
        </w:rPr>
        <w:footnoteRef/>
      </w:r>
      <w:r>
        <w:t xml:space="preserve"> </w:t>
      </w:r>
      <w:hyperlink r:id="rId8" w:history="1">
        <w:r>
          <w:rPr>
            <w:rStyle w:val="Hyperlink"/>
          </w:rPr>
          <w:t>CBD/COP/17/4/Add.1</w:t>
        </w:r>
      </w:hyperlink>
      <w:r>
        <w:t>.</w:t>
      </w:r>
    </w:p>
  </w:footnote>
  <w:footnote w:id="9">
    <w:p w14:paraId="41322D51" w14:textId="6B314517" w:rsidR="00036E7C" w:rsidRPr="00036E7C" w:rsidRDefault="00036E7C" w:rsidP="00951E45">
      <w:pPr>
        <w:pStyle w:val="FootnoteText"/>
        <w:bidi/>
        <w:jc w:val="both"/>
        <w:rPr>
          <w:rtl/>
        </w:rPr>
      </w:pPr>
      <w:r>
        <w:rPr>
          <w:rStyle w:val="FootnoteReference"/>
        </w:rPr>
        <w:footnoteRef/>
      </w:r>
      <w:r>
        <w:t xml:space="preserve"> </w:t>
      </w:r>
      <w:r>
        <w:rPr>
          <w:rtl/>
        </w:rPr>
        <w:t xml:space="preserve">انظر </w:t>
      </w:r>
      <w:hyperlink r:id="rId9" w:history="1">
        <w:r>
          <w:rPr>
            <w:rStyle w:val="Hyperlink"/>
          </w:rPr>
          <w:t>CBD/SBI/6/INF/9</w:t>
        </w:r>
      </w:hyperlink>
      <w:r>
        <w:rPr>
          <w:rtl/>
        </w:rPr>
        <w:t xml:space="preserve">. وتتضمن الوثيقة استعراضا لآليات دعم المشاركة في الاتفاقات البيئية المتعددة الأطراف الأخرى، بما فيها اتفاقية الأمم المتحدة الإطارية بشأن تغير المناخ، واتفاقية الاتجار الدولي بأنواع الحيوانات والنباتات البرية المهددة بالانقراض، واتفاقية حفظ أنواع الحيوانات البرية المهاجرة، </w:t>
      </w:r>
      <w:r>
        <w:rPr>
          <w:rtl/>
        </w:rPr>
        <w:t xml:space="preserve">واتفاقيات بازل وروتردام واستكهولم وميناماتا، واتفاقية فيينا وبروتوكول مونتريال، واتفاقية رامسار. وهي تقر بأن جميع هذه الاتفاقات تعتمد على صناديق استئمانية طوعية. ولدى اتفاقية الأمم المتحدة الإطارية بشأن تغير المناخ واتفاقية الاتجار الدولي بأنواع الحيوانات والنباتات البرية المهددة بالانقراض معايير متميزة لتخصيص الأموال لدعم المشاركة. غير أن هذه الاتفاقات جميعها تولي الاعتبار الواجب لأقل البلدان نموا والدول الجزرية الصغيرة النامية. وتشمل عوامل الاعتبار الإضافية التي حددتها الدراسة الاستقصائية تسديد المتأخرات وصغر حجم الوفود في الاجتماع السابق لمؤتمر الأطراف. وفيما يتعلق بعملية الاتفاقية، يسترشد في تخصيص أموال الصندوق BZ بالمقرر </w:t>
      </w:r>
      <w:hyperlink r:id="rId10" w:history="1">
        <w:r>
          <w:rPr>
            <w:rStyle w:val="Hyperlink"/>
          </w:rPr>
          <w:t>9/34</w:t>
        </w:r>
      </w:hyperlink>
      <w:r>
        <w:rPr>
          <w:rtl/>
        </w:rPr>
        <w:t xml:space="preserve"> (المرفق: إجراءات تخصيص التمويل من الصندوق الاستئماني الطوعي الخاص لتيسير مشاركة الأطراف في عملية الاتفاقية)، بما في ذلك ما يلي: "1" إعطاء الأولوية لأقل البلدان نموا والدول الجزرية الصغيرة النامية؛ "2" التمثيل الجغرافي الكافي لجميع البلدان الأطراف المؤهلة؛ "3" تقديم طلب التمويل في الوقت المناسب؛ "4" الاعتبارات الجنسانية.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62D77AC" w14:textId="4641D78A" w:rsidR="00534681" w:rsidRPr="003F1A75" w:rsidRDefault="005A2CBE" w:rsidP="0093491B">
        <w:pPr>
          <w:pStyle w:val="Header"/>
          <w:tabs>
            <w:tab w:val="clear" w:pos="567"/>
            <w:tab w:val="clear" w:pos="1134"/>
            <w:tab w:val="clear" w:pos="1701"/>
            <w:tab w:val="clear" w:pos="2268"/>
          </w:tabs>
          <w:bidi/>
          <w:rPr>
            <w:szCs w:val="20"/>
          </w:rPr>
        </w:pPr>
        <w:r w:rsidRPr="005A2CBE">
          <w:t>CBD/COP/17/4/Add.5-CBD/CP/MOP/12/5/Add.2-CBD/NP/MOP/6/5/Add.2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D983E" w14:textId="77777777" w:rsidR="00F77F7F" w:rsidRDefault="00F77F7F" w:rsidP="00F77F7F">
    <w:pPr>
      <w:pStyle w:val="Header"/>
    </w:pPr>
    <w:r w:rsidRPr="006E483F">
      <w:t>CBD/COP/17/</w:t>
    </w:r>
    <w:r>
      <w:t>4/Add.5</w:t>
    </w:r>
    <w:r w:rsidRPr="006E483F">
      <w:t>-CBD/CP/MOP/12/</w:t>
    </w:r>
    <w:r>
      <w:t>5/Add.2</w:t>
    </w:r>
    <w:r w:rsidRPr="006E483F">
      <w:t>-CBD/NP/MOP/6/</w:t>
    </w:r>
    <w:r>
      <w:t>5/Add.2</w:t>
    </w:r>
  </w:p>
  <w:p w14:paraId="68F6E2EB" w14:textId="06708010" w:rsidR="006E483F" w:rsidRDefault="006E483F" w:rsidP="0093491B">
    <w:pPr>
      <w:pBdr>
        <w:bottom w:val="single" w:sz="4" w:space="1" w:color="auto"/>
      </w:pBdr>
      <w:tabs>
        <w:tab w:val="center" w:pos="4680"/>
        <w:tab w:val="right" w:pos="9360"/>
      </w:tabs>
      <w:spacing w:after="24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19761" w14:textId="77777777" w:rsidR="005A2CBE" w:rsidRDefault="005A2C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F4A52"/>
    <w:multiLevelType w:val="hybridMultilevel"/>
    <w:tmpl w:val="D4601C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E50E73"/>
    <w:multiLevelType w:val="hybridMultilevel"/>
    <w:tmpl w:val="B3485216"/>
    <w:numStyleLink w:val="ImportedStyle2"/>
  </w:abstractNum>
  <w:abstractNum w:abstractNumId="2" w15:restartNumberingAfterBreak="0">
    <w:nsid w:val="1E9D2729"/>
    <w:multiLevelType w:val="multilevel"/>
    <w:tmpl w:val="AF48CA4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2"/>
      <w:numFmt w:val="bullet"/>
      <w:lvlText w:val="-"/>
      <w:lvlJc w:val="left"/>
      <w:pPr>
        <w:ind w:left="1494" w:hanging="360"/>
      </w:pPr>
      <w:rPr>
        <w:rFonts w:ascii="Aptos" w:eastAsiaTheme="minorEastAsia" w:hAnsi="Aptos" w:cstheme="minorBidi"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arabicAbjad"/>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arabicAbjad"/>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26ED7D72"/>
    <w:multiLevelType w:val="hybridMultilevel"/>
    <w:tmpl w:val="7EF62A04"/>
    <w:styleLink w:val="ImportedStyle5"/>
    <w:lvl w:ilvl="0" w:tplc="614C0176">
      <w:start w:val="1"/>
      <w:numFmt w:val="decimal"/>
      <w:lvlText w:val="%1-"/>
      <w:lvlJc w:val="left"/>
      <w:pPr>
        <w:tabs>
          <w:tab w:val="left" w:pos="567"/>
          <w:tab w:val="left" w:pos="1134"/>
          <w:tab w:val="left" w:pos="1440"/>
          <w:tab w:val="left" w:pos="1701"/>
          <w:tab w:val="left" w:pos="2268"/>
        </w:tabs>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EB8E350">
      <w:start w:val="1"/>
      <w:numFmt w:val="arabicAbjad"/>
      <w:lvlText w:val="%2."/>
      <w:lvlJc w:val="left"/>
      <w:pPr>
        <w:tabs>
          <w:tab w:val="left" w:pos="360"/>
          <w:tab w:val="left" w:pos="567"/>
          <w:tab w:val="left" w:pos="1134"/>
          <w:tab w:val="left" w:pos="1440"/>
          <w:tab w:val="left" w:pos="1701"/>
          <w:tab w:val="left" w:pos="2268"/>
        </w:tabs>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D44066E">
      <w:start w:val="1"/>
      <w:numFmt w:val="arabicAbjad"/>
      <w:lvlText w:val="%3."/>
      <w:lvlJc w:val="left"/>
      <w:pPr>
        <w:tabs>
          <w:tab w:val="left" w:pos="360"/>
          <w:tab w:val="left" w:pos="567"/>
          <w:tab w:val="left" w:pos="1134"/>
          <w:tab w:val="left" w:pos="1440"/>
          <w:tab w:val="left" w:pos="1701"/>
          <w:tab w:val="left" w:pos="2268"/>
        </w:tabs>
        <w:ind w:left="128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AC20BE6">
      <w:start w:val="1"/>
      <w:numFmt w:val="arabicAbjad"/>
      <w:lvlText w:val="%4."/>
      <w:lvlJc w:val="left"/>
      <w:pPr>
        <w:tabs>
          <w:tab w:val="left" w:pos="360"/>
          <w:tab w:val="left" w:pos="567"/>
          <w:tab w:val="left" w:pos="1134"/>
          <w:tab w:val="left" w:pos="1701"/>
          <w:tab w:val="left" w:pos="2268"/>
        </w:tabs>
        <w:ind w:left="1494" w:hanging="29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0449062">
      <w:start w:val="1"/>
      <w:numFmt w:val="arabicAbjad"/>
      <w:suff w:val="nothing"/>
      <w:lvlText w:val="(%5)"/>
      <w:lvlJc w:val="left"/>
      <w:pPr>
        <w:tabs>
          <w:tab w:val="left" w:pos="360"/>
          <w:tab w:val="left" w:pos="567"/>
          <w:tab w:val="left" w:pos="1134"/>
          <w:tab w:val="left" w:pos="1440"/>
          <w:tab w:val="left" w:pos="1701"/>
          <w:tab w:val="left" w:pos="2268"/>
        </w:tabs>
        <w:ind w:left="1701" w:hanging="2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4CA9F3A">
      <w:start w:val="1"/>
      <w:numFmt w:val="lowerRoman"/>
      <w:lvlText w:val="(%6)"/>
      <w:lvlJc w:val="left"/>
      <w:pPr>
        <w:tabs>
          <w:tab w:val="left" w:pos="360"/>
          <w:tab w:val="left" w:pos="567"/>
          <w:tab w:val="left" w:pos="1134"/>
          <w:tab w:val="left" w:pos="1440"/>
          <w:tab w:val="left" w:pos="1701"/>
          <w:tab w:val="left" w:pos="2268"/>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346D7F8">
      <w:start w:val="1"/>
      <w:numFmt w:val="decimal"/>
      <w:lvlText w:val="%7."/>
      <w:lvlJc w:val="left"/>
      <w:pPr>
        <w:tabs>
          <w:tab w:val="left" w:pos="360"/>
          <w:tab w:val="left" w:pos="567"/>
          <w:tab w:val="left" w:pos="1134"/>
          <w:tab w:val="left" w:pos="1440"/>
          <w:tab w:val="left" w:pos="1701"/>
          <w:tab w:val="left" w:pos="2268"/>
        </w:tabs>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49E6DAC">
      <w:start w:val="1"/>
      <w:numFmt w:val="arabicAbjad"/>
      <w:lvlText w:val="%8."/>
      <w:lvlJc w:val="left"/>
      <w:pPr>
        <w:tabs>
          <w:tab w:val="left" w:pos="360"/>
          <w:tab w:val="left" w:pos="567"/>
          <w:tab w:val="left" w:pos="1134"/>
          <w:tab w:val="left" w:pos="1440"/>
          <w:tab w:val="left" w:pos="1701"/>
          <w:tab w:val="left" w:pos="2268"/>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D5651C4">
      <w:start w:val="1"/>
      <w:numFmt w:val="lowerRoman"/>
      <w:lvlText w:val="%9."/>
      <w:lvlJc w:val="left"/>
      <w:pPr>
        <w:tabs>
          <w:tab w:val="left" w:pos="360"/>
          <w:tab w:val="left" w:pos="567"/>
          <w:tab w:val="left" w:pos="1134"/>
          <w:tab w:val="left" w:pos="1440"/>
          <w:tab w:val="left" w:pos="1701"/>
          <w:tab w:val="left" w:pos="2268"/>
        </w:tabs>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1CD4A04"/>
    <w:multiLevelType w:val="hybridMultilevel"/>
    <w:tmpl w:val="3CEC7EF0"/>
    <w:lvl w:ilvl="0" w:tplc="FFFFFFFF">
      <w:start w:val="1"/>
      <w:numFmt w:val="arabicAbjad"/>
      <w:lvlText w:val="(%1)"/>
      <w:lvlJc w:val="left"/>
      <w:pPr>
        <w:ind w:left="927" w:hanging="360"/>
      </w:pPr>
      <w:rPr>
        <w:rFonts w:hint="default"/>
        <w:sz w:val="24"/>
        <w:lang w:val="en-U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33895DC2"/>
    <w:multiLevelType w:val="hybridMultilevel"/>
    <w:tmpl w:val="D2FE0FBE"/>
    <w:numStyleLink w:val="ImportedStyle6"/>
  </w:abstractNum>
  <w:abstractNum w:abstractNumId="6" w15:restartNumberingAfterBreak="0">
    <w:nsid w:val="479A31FC"/>
    <w:multiLevelType w:val="hybridMultilevel"/>
    <w:tmpl w:val="B3485216"/>
    <w:styleLink w:val="ImportedStyle2"/>
    <w:lvl w:ilvl="0" w:tplc="8F0A140A">
      <w:start w:val="1"/>
      <w:numFmt w:val="decimal"/>
      <w:lvlText w:val="%1-"/>
      <w:lvlJc w:val="left"/>
      <w:pPr>
        <w:ind w:left="360" w:hanging="360"/>
      </w:pPr>
      <w:rPr>
        <w:rFonts w:ascii="Times New Roman" w:eastAsia="Arial Unicode MS"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4DE10A2">
      <w:start w:val="1"/>
      <w:numFmt w:val="lowerRoman"/>
      <w:lvlText w:val="(%2)"/>
      <w:lvlJc w:val="left"/>
      <w:pPr>
        <w:tabs>
          <w:tab w:val="left" w:pos="360"/>
          <w:tab w:val="left" w:pos="567"/>
          <w:tab w:val="num" w:pos="1134"/>
          <w:tab w:val="left" w:pos="1440"/>
          <w:tab w:val="left" w:pos="1701"/>
          <w:tab w:val="left" w:pos="2268"/>
        </w:tabs>
        <w:ind w:left="526" w:firstLine="83"/>
      </w:pPr>
      <w:rPr>
        <w:rFonts w:hAnsi="Arial Unicode MS"/>
        <w:caps w:val="0"/>
        <w:smallCaps w:val="0"/>
        <w:strike w:val="0"/>
        <w:dstrike w:val="0"/>
        <w:outline w:val="0"/>
        <w:emboss w:val="0"/>
        <w:imprint w:val="0"/>
        <w:spacing w:val="0"/>
        <w:w w:val="100"/>
        <w:kern w:val="0"/>
        <w:position w:val="0"/>
        <w:highlight w:val="none"/>
        <w:vertAlign w:val="baseline"/>
      </w:rPr>
    </w:lvl>
    <w:lvl w:ilvl="2" w:tplc="9E0E29EC">
      <w:start w:val="1"/>
      <w:numFmt w:val="lowerRoman"/>
      <w:lvlText w:val="(%3)"/>
      <w:lvlJc w:val="left"/>
      <w:pPr>
        <w:tabs>
          <w:tab w:val="left" w:pos="360"/>
          <w:tab w:val="left" w:pos="567"/>
          <w:tab w:val="left" w:pos="1134"/>
          <w:tab w:val="num" w:pos="1526"/>
          <w:tab w:val="left" w:pos="1701"/>
          <w:tab w:val="left" w:pos="2268"/>
        </w:tabs>
        <w:ind w:left="917" w:firstLine="171"/>
      </w:pPr>
      <w:rPr>
        <w:rFonts w:hAnsi="Arial Unicode MS"/>
        <w:caps w:val="0"/>
        <w:smallCaps w:val="0"/>
        <w:strike w:val="0"/>
        <w:dstrike w:val="0"/>
        <w:outline w:val="0"/>
        <w:emboss w:val="0"/>
        <w:imprint w:val="0"/>
        <w:spacing w:val="0"/>
        <w:w w:val="100"/>
        <w:kern w:val="0"/>
        <w:position w:val="0"/>
        <w:highlight w:val="none"/>
        <w:vertAlign w:val="baseline"/>
      </w:rPr>
    </w:lvl>
    <w:lvl w:ilvl="3" w:tplc="C706D466">
      <w:start w:val="1"/>
      <w:numFmt w:val="lowerRoman"/>
      <w:lvlText w:val="(%4)"/>
      <w:lvlJc w:val="left"/>
      <w:pPr>
        <w:tabs>
          <w:tab w:val="left" w:pos="360"/>
          <w:tab w:val="left" w:pos="567"/>
          <w:tab w:val="left" w:pos="1134"/>
          <w:tab w:val="left" w:pos="1440"/>
          <w:tab w:val="left" w:pos="1701"/>
          <w:tab w:val="num" w:pos="1918"/>
          <w:tab w:val="left" w:pos="2268"/>
        </w:tabs>
        <w:ind w:left="1309" w:firstLine="259"/>
      </w:pPr>
      <w:rPr>
        <w:rFonts w:hAnsi="Arial Unicode MS"/>
        <w:caps w:val="0"/>
        <w:smallCaps w:val="0"/>
        <w:strike w:val="0"/>
        <w:dstrike w:val="0"/>
        <w:outline w:val="0"/>
        <w:emboss w:val="0"/>
        <w:imprint w:val="0"/>
        <w:spacing w:val="0"/>
        <w:w w:val="100"/>
        <w:kern w:val="0"/>
        <w:position w:val="0"/>
        <w:highlight w:val="none"/>
        <w:vertAlign w:val="baseline"/>
      </w:rPr>
    </w:lvl>
    <w:lvl w:ilvl="4" w:tplc="E4BCA4F4">
      <w:start w:val="1"/>
      <w:numFmt w:val="arabicAbjad"/>
      <w:lvlText w:val="(%5)"/>
      <w:lvlJc w:val="left"/>
      <w:pPr>
        <w:tabs>
          <w:tab w:val="left" w:pos="360"/>
          <w:tab w:val="left" w:pos="567"/>
          <w:tab w:val="left" w:pos="1134"/>
          <w:tab w:val="left" w:pos="1440"/>
          <w:tab w:val="left" w:pos="1701"/>
          <w:tab w:val="left" w:pos="2268"/>
          <w:tab w:val="num" w:pos="2309"/>
        </w:tabs>
        <w:ind w:left="1701" w:firstLine="347"/>
      </w:pPr>
      <w:rPr>
        <w:rFonts w:hAnsi="Arial Unicode MS"/>
        <w:caps w:val="0"/>
        <w:smallCaps w:val="0"/>
        <w:strike w:val="0"/>
        <w:dstrike w:val="0"/>
        <w:outline w:val="0"/>
        <w:emboss w:val="0"/>
        <w:imprint w:val="0"/>
        <w:spacing w:val="0"/>
        <w:w w:val="100"/>
        <w:kern w:val="0"/>
        <w:position w:val="0"/>
        <w:highlight w:val="none"/>
        <w:vertAlign w:val="baseline"/>
      </w:rPr>
    </w:lvl>
    <w:lvl w:ilvl="5" w:tplc="ACC6A786">
      <w:start w:val="1"/>
      <w:numFmt w:val="lowerRoman"/>
      <w:lvlText w:val="(%6)"/>
      <w:lvlJc w:val="left"/>
      <w:pPr>
        <w:tabs>
          <w:tab w:val="left" w:pos="360"/>
          <w:tab w:val="left" w:pos="567"/>
          <w:tab w:val="left" w:pos="1134"/>
          <w:tab w:val="left" w:pos="1440"/>
          <w:tab w:val="left" w:pos="1701"/>
          <w:tab w:val="left" w:pos="2268"/>
          <w:tab w:val="num" w:pos="2768"/>
        </w:tabs>
        <w:ind w:left="2160" w:firstLine="248"/>
      </w:pPr>
      <w:rPr>
        <w:rFonts w:hAnsi="Arial Unicode MS"/>
        <w:caps w:val="0"/>
        <w:smallCaps w:val="0"/>
        <w:strike w:val="0"/>
        <w:dstrike w:val="0"/>
        <w:outline w:val="0"/>
        <w:emboss w:val="0"/>
        <w:imprint w:val="0"/>
        <w:spacing w:val="0"/>
        <w:w w:val="100"/>
        <w:kern w:val="0"/>
        <w:position w:val="0"/>
        <w:highlight w:val="none"/>
        <w:vertAlign w:val="baseline"/>
      </w:rPr>
    </w:lvl>
    <w:lvl w:ilvl="6" w:tplc="5658E764">
      <w:start w:val="1"/>
      <w:numFmt w:val="decimal"/>
      <w:lvlText w:val="%7."/>
      <w:lvlJc w:val="left"/>
      <w:pPr>
        <w:tabs>
          <w:tab w:val="left" w:pos="360"/>
          <w:tab w:val="left" w:pos="567"/>
          <w:tab w:val="left" w:pos="1134"/>
          <w:tab w:val="left" w:pos="1440"/>
          <w:tab w:val="left" w:pos="1701"/>
          <w:tab w:val="left" w:pos="2268"/>
          <w:tab w:val="num" w:pos="3128"/>
        </w:tabs>
        <w:ind w:left="2520" w:firstLine="248"/>
      </w:pPr>
      <w:rPr>
        <w:rFonts w:hAnsi="Arial Unicode MS"/>
        <w:caps w:val="0"/>
        <w:smallCaps w:val="0"/>
        <w:strike w:val="0"/>
        <w:dstrike w:val="0"/>
        <w:outline w:val="0"/>
        <w:emboss w:val="0"/>
        <w:imprint w:val="0"/>
        <w:spacing w:val="0"/>
        <w:w w:val="100"/>
        <w:kern w:val="0"/>
        <w:position w:val="0"/>
        <w:highlight w:val="none"/>
        <w:vertAlign w:val="baseline"/>
      </w:rPr>
    </w:lvl>
    <w:lvl w:ilvl="7" w:tplc="A73AF104">
      <w:start w:val="1"/>
      <w:numFmt w:val="arabicAbjad"/>
      <w:lvlText w:val="%8."/>
      <w:lvlJc w:val="left"/>
      <w:pPr>
        <w:tabs>
          <w:tab w:val="left" w:pos="360"/>
          <w:tab w:val="left" w:pos="567"/>
          <w:tab w:val="left" w:pos="1134"/>
          <w:tab w:val="left" w:pos="1440"/>
          <w:tab w:val="left" w:pos="1701"/>
          <w:tab w:val="left" w:pos="2268"/>
          <w:tab w:val="num" w:pos="3488"/>
        </w:tabs>
        <w:ind w:left="2880" w:firstLine="248"/>
      </w:pPr>
      <w:rPr>
        <w:rFonts w:hAnsi="Arial Unicode MS"/>
        <w:caps w:val="0"/>
        <w:smallCaps w:val="0"/>
        <w:strike w:val="0"/>
        <w:dstrike w:val="0"/>
        <w:outline w:val="0"/>
        <w:emboss w:val="0"/>
        <w:imprint w:val="0"/>
        <w:spacing w:val="0"/>
        <w:w w:val="100"/>
        <w:kern w:val="0"/>
        <w:position w:val="0"/>
        <w:highlight w:val="none"/>
        <w:vertAlign w:val="baseline"/>
      </w:rPr>
    </w:lvl>
    <w:lvl w:ilvl="8" w:tplc="B2CA8C44">
      <w:start w:val="1"/>
      <w:numFmt w:val="lowerRoman"/>
      <w:lvlText w:val="%9."/>
      <w:lvlJc w:val="left"/>
      <w:pPr>
        <w:tabs>
          <w:tab w:val="left" w:pos="360"/>
          <w:tab w:val="left" w:pos="567"/>
          <w:tab w:val="left" w:pos="1134"/>
          <w:tab w:val="left" w:pos="1440"/>
          <w:tab w:val="left" w:pos="1701"/>
          <w:tab w:val="left" w:pos="2268"/>
          <w:tab w:val="num" w:pos="3848"/>
        </w:tabs>
        <w:ind w:left="3240" w:firstLine="24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arabicAbjad"/>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arabicAbjad"/>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arabicAbjad"/>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arabicAbjad"/>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arabicAbjad"/>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arabicAbjad"/>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arabicAbjad"/>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arabicAbjad"/>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arabicAbjad"/>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4E09698C"/>
    <w:multiLevelType w:val="hybridMultilevel"/>
    <w:tmpl w:val="D2FE0FBE"/>
    <w:styleLink w:val="ImportedStyle6"/>
    <w:lvl w:ilvl="0" w:tplc="675C9CAC">
      <w:start w:val="1"/>
      <w:numFmt w:val="lowerRoman"/>
      <w:suff w:val="nothing"/>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8F6BB6A">
      <w:start w:val="1"/>
      <w:numFmt w:val="arabicAbjad"/>
      <w:lvlText w:val="%2."/>
      <w:lvlJc w:val="left"/>
      <w:pPr>
        <w:tabs>
          <w:tab w:val="num" w:pos="1440"/>
        </w:tabs>
        <w:ind w:left="1593" w:hanging="513"/>
      </w:pPr>
      <w:rPr>
        <w:rFonts w:hAnsi="Arial Unicode MS"/>
        <w:caps w:val="0"/>
        <w:smallCaps w:val="0"/>
        <w:strike w:val="0"/>
        <w:dstrike w:val="0"/>
        <w:outline w:val="0"/>
        <w:emboss w:val="0"/>
        <w:imprint w:val="0"/>
        <w:spacing w:val="0"/>
        <w:w w:val="100"/>
        <w:kern w:val="0"/>
        <w:position w:val="0"/>
        <w:highlight w:val="none"/>
        <w:vertAlign w:val="baseline"/>
      </w:rPr>
    </w:lvl>
    <w:lvl w:ilvl="2" w:tplc="5E2644FA">
      <w:start w:val="1"/>
      <w:numFmt w:val="lowerRoman"/>
      <w:lvlText w:val="%3."/>
      <w:lvlJc w:val="left"/>
      <w:pPr>
        <w:tabs>
          <w:tab w:val="num" w:pos="2160"/>
        </w:tabs>
        <w:ind w:left="2313" w:hanging="445"/>
      </w:pPr>
      <w:rPr>
        <w:rFonts w:hAnsi="Arial Unicode MS"/>
        <w:caps w:val="0"/>
        <w:smallCaps w:val="0"/>
        <w:strike w:val="0"/>
        <w:dstrike w:val="0"/>
        <w:outline w:val="0"/>
        <w:emboss w:val="0"/>
        <w:imprint w:val="0"/>
        <w:spacing w:val="0"/>
        <w:w w:val="100"/>
        <w:kern w:val="0"/>
        <w:position w:val="0"/>
        <w:highlight w:val="none"/>
        <w:vertAlign w:val="baseline"/>
      </w:rPr>
    </w:lvl>
    <w:lvl w:ilvl="3" w:tplc="AF76E5AC">
      <w:start w:val="1"/>
      <w:numFmt w:val="decimal"/>
      <w:lvlText w:val="%4."/>
      <w:lvlJc w:val="left"/>
      <w:pPr>
        <w:tabs>
          <w:tab w:val="num" w:pos="2880"/>
        </w:tabs>
        <w:ind w:left="3033" w:hanging="513"/>
      </w:pPr>
      <w:rPr>
        <w:rFonts w:hAnsi="Arial Unicode MS"/>
        <w:caps w:val="0"/>
        <w:smallCaps w:val="0"/>
        <w:strike w:val="0"/>
        <w:dstrike w:val="0"/>
        <w:outline w:val="0"/>
        <w:emboss w:val="0"/>
        <w:imprint w:val="0"/>
        <w:spacing w:val="0"/>
        <w:w w:val="100"/>
        <w:kern w:val="0"/>
        <w:position w:val="0"/>
        <w:highlight w:val="none"/>
        <w:vertAlign w:val="baseline"/>
      </w:rPr>
    </w:lvl>
    <w:lvl w:ilvl="4" w:tplc="778A8A7A">
      <w:start w:val="1"/>
      <w:numFmt w:val="arabicAbjad"/>
      <w:lvlText w:val="%5."/>
      <w:lvlJc w:val="left"/>
      <w:pPr>
        <w:tabs>
          <w:tab w:val="num" w:pos="3600"/>
        </w:tabs>
        <w:ind w:left="3753" w:hanging="513"/>
      </w:pPr>
      <w:rPr>
        <w:rFonts w:hAnsi="Arial Unicode MS"/>
        <w:caps w:val="0"/>
        <w:smallCaps w:val="0"/>
        <w:strike w:val="0"/>
        <w:dstrike w:val="0"/>
        <w:outline w:val="0"/>
        <w:emboss w:val="0"/>
        <w:imprint w:val="0"/>
        <w:spacing w:val="0"/>
        <w:w w:val="100"/>
        <w:kern w:val="0"/>
        <w:position w:val="0"/>
        <w:highlight w:val="none"/>
        <w:vertAlign w:val="baseline"/>
      </w:rPr>
    </w:lvl>
    <w:lvl w:ilvl="5" w:tplc="E7AEBC42">
      <w:start w:val="1"/>
      <w:numFmt w:val="lowerRoman"/>
      <w:lvlText w:val="%6."/>
      <w:lvlJc w:val="left"/>
      <w:pPr>
        <w:tabs>
          <w:tab w:val="num" w:pos="4320"/>
        </w:tabs>
        <w:ind w:left="4473" w:hanging="445"/>
      </w:pPr>
      <w:rPr>
        <w:rFonts w:hAnsi="Arial Unicode MS"/>
        <w:caps w:val="0"/>
        <w:smallCaps w:val="0"/>
        <w:strike w:val="0"/>
        <w:dstrike w:val="0"/>
        <w:outline w:val="0"/>
        <w:emboss w:val="0"/>
        <w:imprint w:val="0"/>
        <w:spacing w:val="0"/>
        <w:w w:val="100"/>
        <w:kern w:val="0"/>
        <w:position w:val="0"/>
        <w:highlight w:val="none"/>
        <w:vertAlign w:val="baseline"/>
      </w:rPr>
    </w:lvl>
    <w:lvl w:ilvl="6" w:tplc="A94EAFA6">
      <w:start w:val="1"/>
      <w:numFmt w:val="decimal"/>
      <w:lvlText w:val="%7."/>
      <w:lvlJc w:val="left"/>
      <w:pPr>
        <w:tabs>
          <w:tab w:val="num" w:pos="5040"/>
        </w:tabs>
        <w:ind w:left="5193" w:hanging="513"/>
      </w:pPr>
      <w:rPr>
        <w:rFonts w:hAnsi="Arial Unicode MS"/>
        <w:caps w:val="0"/>
        <w:smallCaps w:val="0"/>
        <w:strike w:val="0"/>
        <w:dstrike w:val="0"/>
        <w:outline w:val="0"/>
        <w:emboss w:val="0"/>
        <w:imprint w:val="0"/>
        <w:spacing w:val="0"/>
        <w:w w:val="100"/>
        <w:kern w:val="0"/>
        <w:position w:val="0"/>
        <w:highlight w:val="none"/>
        <w:vertAlign w:val="baseline"/>
      </w:rPr>
    </w:lvl>
    <w:lvl w:ilvl="7" w:tplc="EFE48544">
      <w:start w:val="1"/>
      <w:numFmt w:val="arabicAbjad"/>
      <w:lvlText w:val="%8."/>
      <w:lvlJc w:val="left"/>
      <w:pPr>
        <w:tabs>
          <w:tab w:val="num" w:pos="5760"/>
        </w:tabs>
        <w:ind w:left="5913" w:hanging="513"/>
      </w:pPr>
      <w:rPr>
        <w:rFonts w:hAnsi="Arial Unicode MS"/>
        <w:caps w:val="0"/>
        <w:smallCaps w:val="0"/>
        <w:strike w:val="0"/>
        <w:dstrike w:val="0"/>
        <w:outline w:val="0"/>
        <w:emboss w:val="0"/>
        <w:imprint w:val="0"/>
        <w:spacing w:val="0"/>
        <w:w w:val="100"/>
        <w:kern w:val="0"/>
        <w:position w:val="0"/>
        <w:highlight w:val="none"/>
        <w:vertAlign w:val="baseline"/>
      </w:rPr>
    </w:lvl>
    <w:lvl w:ilvl="8" w:tplc="1FA0C4EE">
      <w:start w:val="1"/>
      <w:numFmt w:val="lowerRoman"/>
      <w:lvlText w:val="%9."/>
      <w:lvlJc w:val="left"/>
      <w:pPr>
        <w:tabs>
          <w:tab w:val="num" w:pos="6480"/>
        </w:tabs>
        <w:ind w:left="6633" w:hanging="4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5D943BEE"/>
    <w:multiLevelType w:val="multilevel"/>
    <w:tmpl w:val="331041F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arabicAbjad"/>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arabicAbjad"/>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arabicAbjad"/>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arabicAbjad"/>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arabicAbjad"/>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arabicAbjad"/>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arabicAbjad"/>
      <w:lvlText w:val="(%3)"/>
      <w:lvlJc w:val="left"/>
      <w:pPr>
        <w:ind w:left="720" w:hanging="432"/>
      </w:pPr>
      <w:rPr>
        <w:rFonts w:hint="default"/>
      </w:rPr>
    </w:lvl>
    <w:lvl w:ilvl="3">
      <w:start w:val="1"/>
      <w:numFmt w:val="arabicAbjad"/>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arabicAbjad"/>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arabicAbjad"/>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C052AE0"/>
    <w:multiLevelType w:val="hybridMultilevel"/>
    <w:tmpl w:val="0F1028FC"/>
    <w:lvl w:ilvl="0" w:tplc="49F0D82A">
      <w:start w:val="1"/>
      <w:numFmt w:val="arabicAbjad"/>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C718A5"/>
    <w:multiLevelType w:val="hybridMultilevel"/>
    <w:tmpl w:val="5CA48BA0"/>
    <w:lvl w:ilvl="0" w:tplc="5B508F20">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9"/>
  </w:num>
  <w:num w:numId="2" w16cid:durableId="1858829">
    <w:abstractNumId w:val="7"/>
  </w:num>
  <w:num w:numId="3" w16cid:durableId="1333221471">
    <w:abstractNumId w:val="13"/>
  </w:num>
  <w:num w:numId="4" w16cid:durableId="1072390599">
    <w:abstractNumId w:val="14"/>
  </w:num>
  <w:num w:numId="5" w16cid:durableId="960385107">
    <w:abstractNumId w:val="8"/>
  </w:num>
  <w:num w:numId="6" w16cid:durableId="893932166">
    <w:abstractNumId w:val="12"/>
  </w:num>
  <w:num w:numId="7" w16cid:durableId="323945383">
    <w:abstractNumId w:val="11"/>
  </w:num>
  <w:num w:numId="8" w16cid:durableId="18192278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5533580">
    <w:abstractNumId w:val="6"/>
  </w:num>
  <w:num w:numId="10" w16cid:durableId="1591816919">
    <w:abstractNumId w:val="1"/>
  </w:num>
  <w:num w:numId="11" w16cid:durableId="238372124">
    <w:abstractNumId w:val="11"/>
  </w:num>
  <w:num w:numId="12" w16cid:durableId="1945069781">
    <w:abstractNumId w:val="11"/>
  </w:num>
  <w:num w:numId="13" w16cid:durableId="1393457382">
    <w:abstractNumId w:val="11"/>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3659273">
    <w:abstractNumId w:val="11"/>
    <w:lvlOverride w:ilvl="0">
      <w:startOverride w:val="2"/>
    </w:lvlOverride>
    <w:lvlOverride w:ilvl="1">
      <w:startOverride w:val="6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45175726">
    <w:abstractNumId w:val="11"/>
    <w:lvlOverride w:ilvl="0">
      <w:startOverride w:val="2"/>
    </w:lvlOverride>
    <w:lvlOverride w:ilvl="1">
      <w:startOverride w:val="3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23113590">
    <w:abstractNumId w:val="3"/>
  </w:num>
  <w:num w:numId="17" w16cid:durableId="2926846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9128888">
    <w:abstractNumId w:val="10"/>
  </w:num>
  <w:num w:numId="19" w16cid:durableId="1907758823">
    <w:abstractNumId w:val="5"/>
    <w:lvlOverride w:ilvl="0">
      <w:startOverride w:val="2"/>
    </w:lvlOverride>
  </w:num>
  <w:num w:numId="20" w16cid:durableId="2078279013">
    <w:abstractNumId w:val="16"/>
  </w:num>
  <w:num w:numId="21" w16cid:durableId="1500926122">
    <w:abstractNumId w:val="11"/>
  </w:num>
  <w:num w:numId="22" w16cid:durableId="208952877">
    <w:abstractNumId w:val="11"/>
  </w:num>
  <w:num w:numId="23" w16cid:durableId="18685173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59721291">
    <w:abstractNumId w:val="2"/>
  </w:num>
  <w:num w:numId="25" w16cid:durableId="1050571106">
    <w:abstractNumId w:val="4"/>
  </w:num>
  <w:num w:numId="26" w16cid:durableId="1572694373">
    <w:abstractNumId w:val="0"/>
  </w:num>
  <w:num w:numId="27" w16cid:durableId="289552108">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8C3"/>
    <w:rsid w:val="00000101"/>
    <w:rsid w:val="0000081A"/>
    <w:rsid w:val="000029C3"/>
    <w:rsid w:val="00002D02"/>
    <w:rsid w:val="00006385"/>
    <w:rsid w:val="00006AA5"/>
    <w:rsid w:val="000125DA"/>
    <w:rsid w:val="00013D10"/>
    <w:rsid w:val="000140C4"/>
    <w:rsid w:val="00015192"/>
    <w:rsid w:val="000165AA"/>
    <w:rsid w:val="00022191"/>
    <w:rsid w:val="00023550"/>
    <w:rsid w:val="0002459E"/>
    <w:rsid w:val="00025FB9"/>
    <w:rsid w:val="0002730A"/>
    <w:rsid w:val="0003598A"/>
    <w:rsid w:val="00036E7C"/>
    <w:rsid w:val="0003749E"/>
    <w:rsid w:val="000404A3"/>
    <w:rsid w:val="00041DAA"/>
    <w:rsid w:val="00043BE4"/>
    <w:rsid w:val="00043F23"/>
    <w:rsid w:val="00044133"/>
    <w:rsid w:val="0004547C"/>
    <w:rsid w:val="00046CCC"/>
    <w:rsid w:val="00046FEC"/>
    <w:rsid w:val="0005091C"/>
    <w:rsid w:val="00051835"/>
    <w:rsid w:val="00053374"/>
    <w:rsid w:val="00053EB2"/>
    <w:rsid w:val="0005759A"/>
    <w:rsid w:val="00057EB2"/>
    <w:rsid w:val="00060B2D"/>
    <w:rsid w:val="000646CA"/>
    <w:rsid w:val="0007171B"/>
    <w:rsid w:val="0007306D"/>
    <w:rsid w:val="00074C4C"/>
    <w:rsid w:val="000757D8"/>
    <w:rsid w:val="000844BD"/>
    <w:rsid w:val="00093A9A"/>
    <w:rsid w:val="00093B01"/>
    <w:rsid w:val="000A0399"/>
    <w:rsid w:val="000A0D57"/>
    <w:rsid w:val="000A0E8B"/>
    <w:rsid w:val="000A1C22"/>
    <w:rsid w:val="000A2992"/>
    <w:rsid w:val="000A2FF4"/>
    <w:rsid w:val="000A3BFD"/>
    <w:rsid w:val="000B24AD"/>
    <w:rsid w:val="000B2860"/>
    <w:rsid w:val="000B2B98"/>
    <w:rsid w:val="000B3EB6"/>
    <w:rsid w:val="000B48DF"/>
    <w:rsid w:val="000C26C0"/>
    <w:rsid w:val="000C6BD6"/>
    <w:rsid w:val="000C7DCF"/>
    <w:rsid w:val="000D033A"/>
    <w:rsid w:val="000D0F68"/>
    <w:rsid w:val="000D24D6"/>
    <w:rsid w:val="000D3243"/>
    <w:rsid w:val="000D4DA0"/>
    <w:rsid w:val="000D5E82"/>
    <w:rsid w:val="000E0963"/>
    <w:rsid w:val="000E0F3F"/>
    <w:rsid w:val="000E102A"/>
    <w:rsid w:val="000E40B2"/>
    <w:rsid w:val="000E673A"/>
    <w:rsid w:val="000F199E"/>
    <w:rsid w:val="000F3809"/>
    <w:rsid w:val="000F6945"/>
    <w:rsid w:val="000F74F5"/>
    <w:rsid w:val="000F78FC"/>
    <w:rsid w:val="001006E0"/>
    <w:rsid w:val="0010187D"/>
    <w:rsid w:val="00102F2A"/>
    <w:rsid w:val="001031DF"/>
    <w:rsid w:val="00104F10"/>
    <w:rsid w:val="00105372"/>
    <w:rsid w:val="001054A6"/>
    <w:rsid w:val="00106D50"/>
    <w:rsid w:val="00107206"/>
    <w:rsid w:val="001078A1"/>
    <w:rsid w:val="00110389"/>
    <w:rsid w:val="001117FF"/>
    <w:rsid w:val="00113857"/>
    <w:rsid w:val="001170EE"/>
    <w:rsid w:val="0011727E"/>
    <w:rsid w:val="0012372E"/>
    <w:rsid w:val="00125B12"/>
    <w:rsid w:val="00127D1D"/>
    <w:rsid w:val="00127F8E"/>
    <w:rsid w:val="001301E0"/>
    <w:rsid w:val="001312AD"/>
    <w:rsid w:val="001313BC"/>
    <w:rsid w:val="00131E7A"/>
    <w:rsid w:val="00134846"/>
    <w:rsid w:val="001353CB"/>
    <w:rsid w:val="00142329"/>
    <w:rsid w:val="00145984"/>
    <w:rsid w:val="00146DD3"/>
    <w:rsid w:val="00151FE7"/>
    <w:rsid w:val="001526C8"/>
    <w:rsid w:val="00152EC2"/>
    <w:rsid w:val="00152F3D"/>
    <w:rsid w:val="001537A1"/>
    <w:rsid w:val="00164C0B"/>
    <w:rsid w:val="00164F30"/>
    <w:rsid w:val="00166E42"/>
    <w:rsid w:val="00167967"/>
    <w:rsid w:val="0017197F"/>
    <w:rsid w:val="00172AF6"/>
    <w:rsid w:val="00172C3C"/>
    <w:rsid w:val="00173EFB"/>
    <w:rsid w:val="00176CEE"/>
    <w:rsid w:val="00176DC8"/>
    <w:rsid w:val="00177364"/>
    <w:rsid w:val="001825EA"/>
    <w:rsid w:val="001830F2"/>
    <w:rsid w:val="001866C2"/>
    <w:rsid w:val="00186DD8"/>
    <w:rsid w:val="00196B61"/>
    <w:rsid w:val="00197734"/>
    <w:rsid w:val="00197D5A"/>
    <w:rsid w:val="001A1193"/>
    <w:rsid w:val="001A26EE"/>
    <w:rsid w:val="001A2973"/>
    <w:rsid w:val="001A35EC"/>
    <w:rsid w:val="001A5641"/>
    <w:rsid w:val="001A6934"/>
    <w:rsid w:val="001A6DD2"/>
    <w:rsid w:val="001B13FE"/>
    <w:rsid w:val="001B4894"/>
    <w:rsid w:val="001C1332"/>
    <w:rsid w:val="001C5378"/>
    <w:rsid w:val="001C5566"/>
    <w:rsid w:val="001D48D9"/>
    <w:rsid w:val="001D50D5"/>
    <w:rsid w:val="001D5EBF"/>
    <w:rsid w:val="001D604E"/>
    <w:rsid w:val="001D64DC"/>
    <w:rsid w:val="001E3632"/>
    <w:rsid w:val="001E618F"/>
    <w:rsid w:val="001E6655"/>
    <w:rsid w:val="001F3738"/>
    <w:rsid w:val="001F6307"/>
    <w:rsid w:val="001F64FF"/>
    <w:rsid w:val="001F680E"/>
    <w:rsid w:val="001F7919"/>
    <w:rsid w:val="00204630"/>
    <w:rsid w:val="00205971"/>
    <w:rsid w:val="00212288"/>
    <w:rsid w:val="002130F4"/>
    <w:rsid w:val="0021480E"/>
    <w:rsid w:val="0022437C"/>
    <w:rsid w:val="0022697B"/>
    <w:rsid w:val="00226E8C"/>
    <w:rsid w:val="00227D0F"/>
    <w:rsid w:val="00230A05"/>
    <w:rsid w:val="002334C0"/>
    <w:rsid w:val="00233C84"/>
    <w:rsid w:val="00234019"/>
    <w:rsid w:val="00237E49"/>
    <w:rsid w:val="002408DA"/>
    <w:rsid w:val="00240EE6"/>
    <w:rsid w:val="002412C8"/>
    <w:rsid w:val="00251D48"/>
    <w:rsid w:val="0025364B"/>
    <w:rsid w:val="002537BE"/>
    <w:rsid w:val="00253C30"/>
    <w:rsid w:val="00253CF8"/>
    <w:rsid w:val="0025410C"/>
    <w:rsid w:val="0025455D"/>
    <w:rsid w:val="002573CA"/>
    <w:rsid w:val="00263353"/>
    <w:rsid w:val="00273FD0"/>
    <w:rsid w:val="00275D9F"/>
    <w:rsid w:val="00280F62"/>
    <w:rsid w:val="00283084"/>
    <w:rsid w:val="00285FD7"/>
    <w:rsid w:val="00292149"/>
    <w:rsid w:val="00292914"/>
    <w:rsid w:val="00293210"/>
    <w:rsid w:val="00293CB8"/>
    <w:rsid w:val="00293CF1"/>
    <w:rsid w:val="00294F3D"/>
    <w:rsid w:val="002A0970"/>
    <w:rsid w:val="002A36E3"/>
    <w:rsid w:val="002A5D3D"/>
    <w:rsid w:val="002A6971"/>
    <w:rsid w:val="002B358C"/>
    <w:rsid w:val="002B442E"/>
    <w:rsid w:val="002B4B02"/>
    <w:rsid w:val="002B535F"/>
    <w:rsid w:val="002B69C2"/>
    <w:rsid w:val="002C044E"/>
    <w:rsid w:val="002C04C0"/>
    <w:rsid w:val="002C057C"/>
    <w:rsid w:val="002C1AAD"/>
    <w:rsid w:val="002C2313"/>
    <w:rsid w:val="002C3517"/>
    <w:rsid w:val="002C42C1"/>
    <w:rsid w:val="002C45CE"/>
    <w:rsid w:val="002C621A"/>
    <w:rsid w:val="002C6A9D"/>
    <w:rsid w:val="002D186E"/>
    <w:rsid w:val="002D5244"/>
    <w:rsid w:val="002E27FF"/>
    <w:rsid w:val="002E4091"/>
    <w:rsid w:val="002E62C9"/>
    <w:rsid w:val="002F0E53"/>
    <w:rsid w:val="002F1EF1"/>
    <w:rsid w:val="002F289D"/>
    <w:rsid w:val="002F358F"/>
    <w:rsid w:val="002F5550"/>
    <w:rsid w:val="002F6E18"/>
    <w:rsid w:val="002F73DB"/>
    <w:rsid w:val="003008FE"/>
    <w:rsid w:val="0030161A"/>
    <w:rsid w:val="0030169D"/>
    <w:rsid w:val="00303060"/>
    <w:rsid w:val="003037A8"/>
    <w:rsid w:val="00303BDA"/>
    <w:rsid w:val="003042DB"/>
    <w:rsid w:val="00305DB9"/>
    <w:rsid w:val="003060EB"/>
    <w:rsid w:val="00306A02"/>
    <w:rsid w:val="003117FB"/>
    <w:rsid w:val="00314C4C"/>
    <w:rsid w:val="00315353"/>
    <w:rsid w:val="003153EB"/>
    <w:rsid w:val="00316B41"/>
    <w:rsid w:val="00321083"/>
    <w:rsid w:val="0032136E"/>
    <w:rsid w:val="00321859"/>
    <w:rsid w:val="00321985"/>
    <w:rsid w:val="00322784"/>
    <w:rsid w:val="00326F7B"/>
    <w:rsid w:val="00344923"/>
    <w:rsid w:val="003473DA"/>
    <w:rsid w:val="003506B7"/>
    <w:rsid w:val="00351205"/>
    <w:rsid w:val="00352CAC"/>
    <w:rsid w:val="003554CA"/>
    <w:rsid w:val="00355546"/>
    <w:rsid w:val="003558E5"/>
    <w:rsid w:val="00355CC2"/>
    <w:rsid w:val="00355F61"/>
    <w:rsid w:val="00361E9B"/>
    <w:rsid w:val="00362457"/>
    <w:rsid w:val="003671A1"/>
    <w:rsid w:val="00367F65"/>
    <w:rsid w:val="00372F74"/>
    <w:rsid w:val="00375429"/>
    <w:rsid w:val="0037579C"/>
    <w:rsid w:val="003801F7"/>
    <w:rsid w:val="00385CCB"/>
    <w:rsid w:val="00386939"/>
    <w:rsid w:val="003878A7"/>
    <w:rsid w:val="00392DEB"/>
    <w:rsid w:val="0039345E"/>
    <w:rsid w:val="00396FB2"/>
    <w:rsid w:val="003A0CEC"/>
    <w:rsid w:val="003A4C30"/>
    <w:rsid w:val="003A56E1"/>
    <w:rsid w:val="003A5CD3"/>
    <w:rsid w:val="003B0105"/>
    <w:rsid w:val="003B43CB"/>
    <w:rsid w:val="003B52C0"/>
    <w:rsid w:val="003B7F2C"/>
    <w:rsid w:val="003C3D31"/>
    <w:rsid w:val="003C3DD0"/>
    <w:rsid w:val="003C425C"/>
    <w:rsid w:val="003D38E7"/>
    <w:rsid w:val="003D40E3"/>
    <w:rsid w:val="003D5E05"/>
    <w:rsid w:val="003D6834"/>
    <w:rsid w:val="003D6DA9"/>
    <w:rsid w:val="003E037C"/>
    <w:rsid w:val="003E2EED"/>
    <w:rsid w:val="003E714F"/>
    <w:rsid w:val="003F025A"/>
    <w:rsid w:val="003F1063"/>
    <w:rsid w:val="003F1493"/>
    <w:rsid w:val="003F189E"/>
    <w:rsid w:val="003F1A75"/>
    <w:rsid w:val="003F2055"/>
    <w:rsid w:val="003F504F"/>
    <w:rsid w:val="003F7224"/>
    <w:rsid w:val="00400E46"/>
    <w:rsid w:val="0040368D"/>
    <w:rsid w:val="004041B2"/>
    <w:rsid w:val="00404A88"/>
    <w:rsid w:val="004051C4"/>
    <w:rsid w:val="004069D2"/>
    <w:rsid w:val="00412A7D"/>
    <w:rsid w:val="00417439"/>
    <w:rsid w:val="00421F4D"/>
    <w:rsid w:val="00427D21"/>
    <w:rsid w:val="0043366E"/>
    <w:rsid w:val="004350D5"/>
    <w:rsid w:val="00437AEC"/>
    <w:rsid w:val="00445100"/>
    <w:rsid w:val="004475D6"/>
    <w:rsid w:val="00447926"/>
    <w:rsid w:val="00447F4A"/>
    <w:rsid w:val="004502A2"/>
    <w:rsid w:val="004525AD"/>
    <w:rsid w:val="00452DE3"/>
    <w:rsid w:val="00453F02"/>
    <w:rsid w:val="004556EB"/>
    <w:rsid w:val="00456F67"/>
    <w:rsid w:val="00457730"/>
    <w:rsid w:val="00461B11"/>
    <w:rsid w:val="00463157"/>
    <w:rsid w:val="004644C2"/>
    <w:rsid w:val="00464E6A"/>
    <w:rsid w:val="00466362"/>
    <w:rsid w:val="00467F9C"/>
    <w:rsid w:val="00470C84"/>
    <w:rsid w:val="004713BF"/>
    <w:rsid w:val="004736AB"/>
    <w:rsid w:val="004745F3"/>
    <w:rsid w:val="00475158"/>
    <w:rsid w:val="00475833"/>
    <w:rsid w:val="0048088F"/>
    <w:rsid w:val="00486540"/>
    <w:rsid w:val="004922D0"/>
    <w:rsid w:val="004A0164"/>
    <w:rsid w:val="004A311E"/>
    <w:rsid w:val="004A44F8"/>
    <w:rsid w:val="004A52FB"/>
    <w:rsid w:val="004B2235"/>
    <w:rsid w:val="004B2F33"/>
    <w:rsid w:val="004B3801"/>
    <w:rsid w:val="004B596F"/>
    <w:rsid w:val="004C0BFD"/>
    <w:rsid w:val="004C1D07"/>
    <w:rsid w:val="004C77BA"/>
    <w:rsid w:val="004D3086"/>
    <w:rsid w:val="004D34BA"/>
    <w:rsid w:val="004D6C7B"/>
    <w:rsid w:val="004E01A9"/>
    <w:rsid w:val="004E1305"/>
    <w:rsid w:val="004E5826"/>
    <w:rsid w:val="004E7194"/>
    <w:rsid w:val="004F6616"/>
    <w:rsid w:val="004F70C8"/>
    <w:rsid w:val="004F774A"/>
    <w:rsid w:val="0050055A"/>
    <w:rsid w:val="00503FF0"/>
    <w:rsid w:val="00504E2F"/>
    <w:rsid w:val="00506C02"/>
    <w:rsid w:val="0051006C"/>
    <w:rsid w:val="00512B9C"/>
    <w:rsid w:val="00515730"/>
    <w:rsid w:val="00515A2B"/>
    <w:rsid w:val="0051671D"/>
    <w:rsid w:val="00522FB7"/>
    <w:rsid w:val="00531525"/>
    <w:rsid w:val="00532CC0"/>
    <w:rsid w:val="00534681"/>
    <w:rsid w:val="00540C45"/>
    <w:rsid w:val="00542174"/>
    <w:rsid w:val="005433FE"/>
    <w:rsid w:val="00543B3F"/>
    <w:rsid w:val="00550122"/>
    <w:rsid w:val="0055296B"/>
    <w:rsid w:val="005543C1"/>
    <w:rsid w:val="0055456E"/>
    <w:rsid w:val="0056068E"/>
    <w:rsid w:val="00562DB1"/>
    <w:rsid w:val="00563442"/>
    <w:rsid w:val="0056348E"/>
    <w:rsid w:val="00565B42"/>
    <w:rsid w:val="00571BD8"/>
    <w:rsid w:val="00572290"/>
    <w:rsid w:val="00572D7F"/>
    <w:rsid w:val="00581467"/>
    <w:rsid w:val="00585784"/>
    <w:rsid w:val="0058663E"/>
    <w:rsid w:val="00595CD1"/>
    <w:rsid w:val="005A2CBE"/>
    <w:rsid w:val="005A3576"/>
    <w:rsid w:val="005B068A"/>
    <w:rsid w:val="005B0E1C"/>
    <w:rsid w:val="005B2525"/>
    <w:rsid w:val="005B3524"/>
    <w:rsid w:val="005B35E2"/>
    <w:rsid w:val="005B785E"/>
    <w:rsid w:val="005C1556"/>
    <w:rsid w:val="005C4CE6"/>
    <w:rsid w:val="005C7539"/>
    <w:rsid w:val="005D077E"/>
    <w:rsid w:val="005D0A05"/>
    <w:rsid w:val="005D4AC8"/>
    <w:rsid w:val="005D6392"/>
    <w:rsid w:val="005D71D2"/>
    <w:rsid w:val="005D79D4"/>
    <w:rsid w:val="005E0D1A"/>
    <w:rsid w:val="005F0132"/>
    <w:rsid w:val="005F0437"/>
    <w:rsid w:val="005F0F68"/>
    <w:rsid w:val="005F3D87"/>
    <w:rsid w:val="005F4740"/>
    <w:rsid w:val="005F653D"/>
    <w:rsid w:val="00601870"/>
    <w:rsid w:val="006025B6"/>
    <w:rsid w:val="006052E6"/>
    <w:rsid w:val="00605918"/>
    <w:rsid w:val="00605995"/>
    <w:rsid w:val="00611560"/>
    <w:rsid w:val="00611795"/>
    <w:rsid w:val="006122BA"/>
    <w:rsid w:val="006159E3"/>
    <w:rsid w:val="006208C9"/>
    <w:rsid w:val="0062209A"/>
    <w:rsid w:val="00622278"/>
    <w:rsid w:val="006223BB"/>
    <w:rsid w:val="00622D35"/>
    <w:rsid w:val="00625944"/>
    <w:rsid w:val="00625A2A"/>
    <w:rsid w:val="00625F1B"/>
    <w:rsid w:val="00627BC1"/>
    <w:rsid w:val="00631311"/>
    <w:rsid w:val="006374AB"/>
    <w:rsid w:val="006378E7"/>
    <w:rsid w:val="006416BC"/>
    <w:rsid w:val="00646E8A"/>
    <w:rsid w:val="006478BF"/>
    <w:rsid w:val="00672392"/>
    <w:rsid w:val="00674588"/>
    <w:rsid w:val="00675121"/>
    <w:rsid w:val="006769C1"/>
    <w:rsid w:val="00677452"/>
    <w:rsid w:val="00677BC7"/>
    <w:rsid w:val="006814E8"/>
    <w:rsid w:val="00682AE2"/>
    <w:rsid w:val="00682BA9"/>
    <w:rsid w:val="006870CF"/>
    <w:rsid w:val="00687524"/>
    <w:rsid w:val="00690BB9"/>
    <w:rsid w:val="00692148"/>
    <w:rsid w:val="0069310E"/>
    <w:rsid w:val="00695308"/>
    <w:rsid w:val="00697BF9"/>
    <w:rsid w:val="006A59B4"/>
    <w:rsid w:val="006A73C1"/>
    <w:rsid w:val="006A7E18"/>
    <w:rsid w:val="006B0450"/>
    <w:rsid w:val="006B1592"/>
    <w:rsid w:val="006B2290"/>
    <w:rsid w:val="006B2F7C"/>
    <w:rsid w:val="006B3BC2"/>
    <w:rsid w:val="006B65D0"/>
    <w:rsid w:val="006B71D9"/>
    <w:rsid w:val="006C0D4A"/>
    <w:rsid w:val="006C3EC8"/>
    <w:rsid w:val="006C7F3A"/>
    <w:rsid w:val="006D05AB"/>
    <w:rsid w:val="006D0E41"/>
    <w:rsid w:val="006D6527"/>
    <w:rsid w:val="006E0FEF"/>
    <w:rsid w:val="006E12C3"/>
    <w:rsid w:val="006E483F"/>
    <w:rsid w:val="006E7BE2"/>
    <w:rsid w:val="006F1995"/>
    <w:rsid w:val="006F509A"/>
    <w:rsid w:val="0070055D"/>
    <w:rsid w:val="00701475"/>
    <w:rsid w:val="007041D3"/>
    <w:rsid w:val="007060DC"/>
    <w:rsid w:val="00706744"/>
    <w:rsid w:val="00710198"/>
    <w:rsid w:val="00715C83"/>
    <w:rsid w:val="00716CEF"/>
    <w:rsid w:val="00717D88"/>
    <w:rsid w:val="00717FD0"/>
    <w:rsid w:val="007205DB"/>
    <w:rsid w:val="007208D0"/>
    <w:rsid w:val="007227C4"/>
    <w:rsid w:val="00725145"/>
    <w:rsid w:val="00726A43"/>
    <w:rsid w:val="007318B1"/>
    <w:rsid w:val="007329F5"/>
    <w:rsid w:val="00732C0F"/>
    <w:rsid w:val="0073546F"/>
    <w:rsid w:val="00736952"/>
    <w:rsid w:val="00740FDB"/>
    <w:rsid w:val="007447F4"/>
    <w:rsid w:val="00746021"/>
    <w:rsid w:val="00750B6E"/>
    <w:rsid w:val="00755275"/>
    <w:rsid w:val="007564C8"/>
    <w:rsid w:val="007569E6"/>
    <w:rsid w:val="00760086"/>
    <w:rsid w:val="0076013E"/>
    <w:rsid w:val="007621B0"/>
    <w:rsid w:val="007679A1"/>
    <w:rsid w:val="00770F4B"/>
    <w:rsid w:val="0077131B"/>
    <w:rsid w:val="00775235"/>
    <w:rsid w:val="00780A64"/>
    <w:rsid w:val="007819F8"/>
    <w:rsid w:val="00785061"/>
    <w:rsid w:val="00786056"/>
    <w:rsid w:val="00791256"/>
    <w:rsid w:val="00791C06"/>
    <w:rsid w:val="007942D3"/>
    <w:rsid w:val="007952BC"/>
    <w:rsid w:val="0079531A"/>
    <w:rsid w:val="00796360"/>
    <w:rsid w:val="00797B32"/>
    <w:rsid w:val="007A0F49"/>
    <w:rsid w:val="007B2099"/>
    <w:rsid w:val="007B2B0B"/>
    <w:rsid w:val="007B2B53"/>
    <w:rsid w:val="007B6C09"/>
    <w:rsid w:val="007B7741"/>
    <w:rsid w:val="007C0D50"/>
    <w:rsid w:val="007C2D08"/>
    <w:rsid w:val="007C3549"/>
    <w:rsid w:val="007C4951"/>
    <w:rsid w:val="007C517F"/>
    <w:rsid w:val="007C57EA"/>
    <w:rsid w:val="007D22FA"/>
    <w:rsid w:val="007D40D8"/>
    <w:rsid w:val="007D7977"/>
    <w:rsid w:val="007E09DA"/>
    <w:rsid w:val="007E0F8A"/>
    <w:rsid w:val="007E1795"/>
    <w:rsid w:val="007E32C4"/>
    <w:rsid w:val="007E6750"/>
    <w:rsid w:val="007F45B5"/>
    <w:rsid w:val="007F5D6D"/>
    <w:rsid w:val="007F718D"/>
    <w:rsid w:val="00801100"/>
    <w:rsid w:val="00801451"/>
    <w:rsid w:val="00801FAD"/>
    <w:rsid w:val="00805263"/>
    <w:rsid w:val="00805CB0"/>
    <w:rsid w:val="00811812"/>
    <w:rsid w:val="00813143"/>
    <w:rsid w:val="00814FA9"/>
    <w:rsid w:val="00815908"/>
    <w:rsid w:val="0081693E"/>
    <w:rsid w:val="00816CA3"/>
    <w:rsid w:val="008178B6"/>
    <w:rsid w:val="00817AD8"/>
    <w:rsid w:val="00820C21"/>
    <w:rsid w:val="008212A6"/>
    <w:rsid w:val="00821BDE"/>
    <w:rsid w:val="0082259B"/>
    <w:rsid w:val="008342D2"/>
    <w:rsid w:val="00834D7B"/>
    <w:rsid w:val="00835055"/>
    <w:rsid w:val="00842151"/>
    <w:rsid w:val="00843A28"/>
    <w:rsid w:val="00845560"/>
    <w:rsid w:val="00847513"/>
    <w:rsid w:val="00850C24"/>
    <w:rsid w:val="008568AB"/>
    <w:rsid w:val="00856D55"/>
    <w:rsid w:val="00857BF8"/>
    <w:rsid w:val="00857C2F"/>
    <w:rsid w:val="00860777"/>
    <w:rsid w:val="00860902"/>
    <w:rsid w:val="008618B0"/>
    <w:rsid w:val="00861DB9"/>
    <w:rsid w:val="00862B8C"/>
    <w:rsid w:val="008630E9"/>
    <w:rsid w:val="00864B3A"/>
    <w:rsid w:val="0086585E"/>
    <w:rsid w:val="00865B74"/>
    <w:rsid w:val="00866063"/>
    <w:rsid w:val="0086614D"/>
    <w:rsid w:val="008705AD"/>
    <w:rsid w:val="00872A22"/>
    <w:rsid w:val="00872B9C"/>
    <w:rsid w:val="008739B7"/>
    <w:rsid w:val="008743E9"/>
    <w:rsid w:val="0087464B"/>
    <w:rsid w:val="00875278"/>
    <w:rsid w:val="00876C1E"/>
    <w:rsid w:val="008815C9"/>
    <w:rsid w:val="0088326D"/>
    <w:rsid w:val="00884C13"/>
    <w:rsid w:val="008905B7"/>
    <w:rsid w:val="008974F0"/>
    <w:rsid w:val="008A1079"/>
    <w:rsid w:val="008A1499"/>
    <w:rsid w:val="008A17BF"/>
    <w:rsid w:val="008A3284"/>
    <w:rsid w:val="008A463B"/>
    <w:rsid w:val="008A787A"/>
    <w:rsid w:val="008A79E5"/>
    <w:rsid w:val="008B012A"/>
    <w:rsid w:val="008B22ED"/>
    <w:rsid w:val="008B45A8"/>
    <w:rsid w:val="008B78C3"/>
    <w:rsid w:val="008C0495"/>
    <w:rsid w:val="008C185F"/>
    <w:rsid w:val="008C3DFE"/>
    <w:rsid w:val="008C3FB1"/>
    <w:rsid w:val="008C479E"/>
    <w:rsid w:val="008C5102"/>
    <w:rsid w:val="008C5157"/>
    <w:rsid w:val="008D3A54"/>
    <w:rsid w:val="008D4552"/>
    <w:rsid w:val="008D577E"/>
    <w:rsid w:val="008E3FF2"/>
    <w:rsid w:val="008E48C5"/>
    <w:rsid w:val="008E509C"/>
    <w:rsid w:val="008E61FA"/>
    <w:rsid w:val="008E6333"/>
    <w:rsid w:val="008E6A66"/>
    <w:rsid w:val="008F21E3"/>
    <w:rsid w:val="008F62B9"/>
    <w:rsid w:val="008F6950"/>
    <w:rsid w:val="00905211"/>
    <w:rsid w:val="00906E17"/>
    <w:rsid w:val="009141AE"/>
    <w:rsid w:val="00916066"/>
    <w:rsid w:val="009167CB"/>
    <w:rsid w:val="00916C04"/>
    <w:rsid w:val="00917056"/>
    <w:rsid w:val="009212E0"/>
    <w:rsid w:val="00921A6E"/>
    <w:rsid w:val="00924B72"/>
    <w:rsid w:val="00924CDB"/>
    <w:rsid w:val="00925333"/>
    <w:rsid w:val="00930BA1"/>
    <w:rsid w:val="0093169E"/>
    <w:rsid w:val="009332E5"/>
    <w:rsid w:val="009335A5"/>
    <w:rsid w:val="009340BC"/>
    <w:rsid w:val="0093491B"/>
    <w:rsid w:val="00942E8C"/>
    <w:rsid w:val="009443DC"/>
    <w:rsid w:val="00947781"/>
    <w:rsid w:val="009504D3"/>
    <w:rsid w:val="009505C9"/>
    <w:rsid w:val="00950752"/>
    <w:rsid w:val="00951E45"/>
    <w:rsid w:val="0096447F"/>
    <w:rsid w:val="00964A31"/>
    <w:rsid w:val="00964CF9"/>
    <w:rsid w:val="00965282"/>
    <w:rsid w:val="009659ED"/>
    <w:rsid w:val="00965FB4"/>
    <w:rsid w:val="00966424"/>
    <w:rsid w:val="00967E64"/>
    <w:rsid w:val="009802AF"/>
    <w:rsid w:val="00980AD2"/>
    <w:rsid w:val="00982D85"/>
    <w:rsid w:val="009857E2"/>
    <w:rsid w:val="00992B4D"/>
    <w:rsid w:val="009934F0"/>
    <w:rsid w:val="00993943"/>
    <w:rsid w:val="00996FB9"/>
    <w:rsid w:val="009977D2"/>
    <w:rsid w:val="009A08BA"/>
    <w:rsid w:val="009A4040"/>
    <w:rsid w:val="009A4539"/>
    <w:rsid w:val="009A619C"/>
    <w:rsid w:val="009A660C"/>
    <w:rsid w:val="009A68E8"/>
    <w:rsid w:val="009B1B17"/>
    <w:rsid w:val="009B745C"/>
    <w:rsid w:val="009B7EBB"/>
    <w:rsid w:val="009C1750"/>
    <w:rsid w:val="009C2DE6"/>
    <w:rsid w:val="009C4781"/>
    <w:rsid w:val="009C709C"/>
    <w:rsid w:val="009D32A2"/>
    <w:rsid w:val="009D3C9E"/>
    <w:rsid w:val="009E1823"/>
    <w:rsid w:val="009E1A01"/>
    <w:rsid w:val="009E62DA"/>
    <w:rsid w:val="009E66EC"/>
    <w:rsid w:val="009F37F3"/>
    <w:rsid w:val="009F5D47"/>
    <w:rsid w:val="00A00894"/>
    <w:rsid w:val="00A0239C"/>
    <w:rsid w:val="00A04872"/>
    <w:rsid w:val="00A0551E"/>
    <w:rsid w:val="00A066A2"/>
    <w:rsid w:val="00A06D62"/>
    <w:rsid w:val="00A100A3"/>
    <w:rsid w:val="00A111D1"/>
    <w:rsid w:val="00A16DBA"/>
    <w:rsid w:val="00A22A3F"/>
    <w:rsid w:val="00A24908"/>
    <w:rsid w:val="00A26505"/>
    <w:rsid w:val="00A300E9"/>
    <w:rsid w:val="00A30C8F"/>
    <w:rsid w:val="00A31809"/>
    <w:rsid w:val="00A333C3"/>
    <w:rsid w:val="00A42078"/>
    <w:rsid w:val="00A45FDF"/>
    <w:rsid w:val="00A46C70"/>
    <w:rsid w:val="00A542A3"/>
    <w:rsid w:val="00A550F1"/>
    <w:rsid w:val="00A570DD"/>
    <w:rsid w:val="00A608D2"/>
    <w:rsid w:val="00A62D77"/>
    <w:rsid w:val="00A64AFB"/>
    <w:rsid w:val="00A65569"/>
    <w:rsid w:val="00A721E8"/>
    <w:rsid w:val="00A840B4"/>
    <w:rsid w:val="00A84714"/>
    <w:rsid w:val="00A84FB3"/>
    <w:rsid w:val="00A85239"/>
    <w:rsid w:val="00A86541"/>
    <w:rsid w:val="00A86542"/>
    <w:rsid w:val="00A86B71"/>
    <w:rsid w:val="00A93302"/>
    <w:rsid w:val="00A95855"/>
    <w:rsid w:val="00A95BFE"/>
    <w:rsid w:val="00A975D1"/>
    <w:rsid w:val="00AA1DE9"/>
    <w:rsid w:val="00AA1F44"/>
    <w:rsid w:val="00AA23F2"/>
    <w:rsid w:val="00AA256E"/>
    <w:rsid w:val="00AA2B64"/>
    <w:rsid w:val="00AA3C6E"/>
    <w:rsid w:val="00AA4471"/>
    <w:rsid w:val="00AA62F1"/>
    <w:rsid w:val="00AA6F92"/>
    <w:rsid w:val="00AA7220"/>
    <w:rsid w:val="00AA7E8D"/>
    <w:rsid w:val="00AB356E"/>
    <w:rsid w:val="00AB38D8"/>
    <w:rsid w:val="00AB4584"/>
    <w:rsid w:val="00AB58F9"/>
    <w:rsid w:val="00AB6934"/>
    <w:rsid w:val="00AB6D25"/>
    <w:rsid w:val="00AC2323"/>
    <w:rsid w:val="00AC55AF"/>
    <w:rsid w:val="00AC593D"/>
    <w:rsid w:val="00AC5A5F"/>
    <w:rsid w:val="00AC5BE4"/>
    <w:rsid w:val="00AC5FA9"/>
    <w:rsid w:val="00AC5FD0"/>
    <w:rsid w:val="00AD18CC"/>
    <w:rsid w:val="00AD2926"/>
    <w:rsid w:val="00AE3848"/>
    <w:rsid w:val="00AF42DE"/>
    <w:rsid w:val="00AF4C3B"/>
    <w:rsid w:val="00AF5D24"/>
    <w:rsid w:val="00AF5E8E"/>
    <w:rsid w:val="00B07390"/>
    <w:rsid w:val="00B07D94"/>
    <w:rsid w:val="00B07F34"/>
    <w:rsid w:val="00B1544D"/>
    <w:rsid w:val="00B17429"/>
    <w:rsid w:val="00B24C3A"/>
    <w:rsid w:val="00B27379"/>
    <w:rsid w:val="00B301E6"/>
    <w:rsid w:val="00B3369F"/>
    <w:rsid w:val="00B34EE3"/>
    <w:rsid w:val="00B36288"/>
    <w:rsid w:val="00B40E35"/>
    <w:rsid w:val="00B4527D"/>
    <w:rsid w:val="00B468D1"/>
    <w:rsid w:val="00B47D1B"/>
    <w:rsid w:val="00B51428"/>
    <w:rsid w:val="00B51FC6"/>
    <w:rsid w:val="00B53DFE"/>
    <w:rsid w:val="00B57729"/>
    <w:rsid w:val="00B60F70"/>
    <w:rsid w:val="00B618A0"/>
    <w:rsid w:val="00B625E1"/>
    <w:rsid w:val="00B62F4E"/>
    <w:rsid w:val="00B663C3"/>
    <w:rsid w:val="00B67055"/>
    <w:rsid w:val="00B71606"/>
    <w:rsid w:val="00B71B47"/>
    <w:rsid w:val="00B727BD"/>
    <w:rsid w:val="00B74D4C"/>
    <w:rsid w:val="00B74E77"/>
    <w:rsid w:val="00B7532B"/>
    <w:rsid w:val="00B75457"/>
    <w:rsid w:val="00B763C1"/>
    <w:rsid w:val="00B76EAC"/>
    <w:rsid w:val="00B77557"/>
    <w:rsid w:val="00B8484E"/>
    <w:rsid w:val="00B85654"/>
    <w:rsid w:val="00B8753C"/>
    <w:rsid w:val="00B9053E"/>
    <w:rsid w:val="00B92A9A"/>
    <w:rsid w:val="00B94AAB"/>
    <w:rsid w:val="00B94E6C"/>
    <w:rsid w:val="00B97522"/>
    <w:rsid w:val="00BA3BAD"/>
    <w:rsid w:val="00BA4B02"/>
    <w:rsid w:val="00BA6185"/>
    <w:rsid w:val="00BA691D"/>
    <w:rsid w:val="00BB4606"/>
    <w:rsid w:val="00BB4CA5"/>
    <w:rsid w:val="00BB4E5D"/>
    <w:rsid w:val="00BB71F0"/>
    <w:rsid w:val="00BC4A38"/>
    <w:rsid w:val="00BC63F3"/>
    <w:rsid w:val="00BD1F09"/>
    <w:rsid w:val="00BD385B"/>
    <w:rsid w:val="00BD4857"/>
    <w:rsid w:val="00BD76FC"/>
    <w:rsid w:val="00BE0740"/>
    <w:rsid w:val="00BE16E4"/>
    <w:rsid w:val="00BE6717"/>
    <w:rsid w:val="00BF0466"/>
    <w:rsid w:val="00BF53EE"/>
    <w:rsid w:val="00BF6533"/>
    <w:rsid w:val="00BF7DC5"/>
    <w:rsid w:val="00C008B8"/>
    <w:rsid w:val="00C02468"/>
    <w:rsid w:val="00C05229"/>
    <w:rsid w:val="00C11EE6"/>
    <w:rsid w:val="00C137CA"/>
    <w:rsid w:val="00C16D8B"/>
    <w:rsid w:val="00C21C42"/>
    <w:rsid w:val="00C227C2"/>
    <w:rsid w:val="00C23D2F"/>
    <w:rsid w:val="00C27E3F"/>
    <w:rsid w:val="00C30FEA"/>
    <w:rsid w:val="00C3453B"/>
    <w:rsid w:val="00C35F08"/>
    <w:rsid w:val="00C36C14"/>
    <w:rsid w:val="00C41EE4"/>
    <w:rsid w:val="00C436D3"/>
    <w:rsid w:val="00C43D9C"/>
    <w:rsid w:val="00C443BD"/>
    <w:rsid w:val="00C4473A"/>
    <w:rsid w:val="00C451C5"/>
    <w:rsid w:val="00C45AA6"/>
    <w:rsid w:val="00C50799"/>
    <w:rsid w:val="00C523DE"/>
    <w:rsid w:val="00C55C66"/>
    <w:rsid w:val="00C56C3E"/>
    <w:rsid w:val="00C56E79"/>
    <w:rsid w:val="00C5709E"/>
    <w:rsid w:val="00C57198"/>
    <w:rsid w:val="00C57556"/>
    <w:rsid w:val="00C57887"/>
    <w:rsid w:val="00C60B9B"/>
    <w:rsid w:val="00C638A5"/>
    <w:rsid w:val="00C65EC3"/>
    <w:rsid w:val="00C669FE"/>
    <w:rsid w:val="00C66DD0"/>
    <w:rsid w:val="00C70759"/>
    <w:rsid w:val="00C71A45"/>
    <w:rsid w:val="00C73037"/>
    <w:rsid w:val="00C8246D"/>
    <w:rsid w:val="00C865C3"/>
    <w:rsid w:val="00C90B4D"/>
    <w:rsid w:val="00C9161D"/>
    <w:rsid w:val="00C94DB1"/>
    <w:rsid w:val="00C94EC9"/>
    <w:rsid w:val="00C97F73"/>
    <w:rsid w:val="00CA026E"/>
    <w:rsid w:val="00CA0C1D"/>
    <w:rsid w:val="00CA1349"/>
    <w:rsid w:val="00CA3340"/>
    <w:rsid w:val="00CA3AFE"/>
    <w:rsid w:val="00CA3E8C"/>
    <w:rsid w:val="00CA405C"/>
    <w:rsid w:val="00CA4726"/>
    <w:rsid w:val="00CA5450"/>
    <w:rsid w:val="00CA6ED0"/>
    <w:rsid w:val="00CB048A"/>
    <w:rsid w:val="00CB5AE0"/>
    <w:rsid w:val="00CB68AD"/>
    <w:rsid w:val="00CB7D1A"/>
    <w:rsid w:val="00CC0D03"/>
    <w:rsid w:val="00CC57B2"/>
    <w:rsid w:val="00CD08BD"/>
    <w:rsid w:val="00CD3A70"/>
    <w:rsid w:val="00CD51DF"/>
    <w:rsid w:val="00CE2AA1"/>
    <w:rsid w:val="00CE42E5"/>
    <w:rsid w:val="00CF036B"/>
    <w:rsid w:val="00CF1111"/>
    <w:rsid w:val="00CF1848"/>
    <w:rsid w:val="00CF48A9"/>
    <w:rsid w:val="00CF524B"/>
    <w:rsid w:val="00D04FFF"/>
    <w:rsid w:val="00D0538B"/>
    <w:rsid w:val="00D07B9B"/>
    <w:rsid w:val="00D12044"/>
    <w:rsid w:val="00D14A00"/>
    <w:rsid w:val="00D166C5"/>
    <w:rsid w:val="00D16EC0"/>
    <w:rsid w:val="00D170D9"/>
    <w:rsid w:val="00D17AF9"/>
    <w:rsid w:val="00D25D03"/>
    <w:rsid w:val="00D30C10"/>
    <w:rsid w:val="00D33B75"/>
    <w:rsid w:val="00D33B86"/>
    <w:rsid w:val="00D33EFC"/>
    <w:rsid w:val="00D3576C"/>
    <w:rsid w:val="00D404CD"/>
    <w:rsid w:val="00D4093E"/>
    <w:rsid w:val="00D40D5A"/>
    <w:rsid w:val="00D40DBC"/>
    <w:rsid w:val="00D4303A"/>
    <w:rsid w:val="00D44D00"/>
    <w:rsid w:val="00D47925"/>
    <w:rsid w:val="00D55FC2"/>
    <w:rsid w:val="00D56018"/>
    <w:rsid w:val="00D57932"/>
    <w:rsid w:val="00D602A5"/>
    <w:rsid w:val="00D61C85"/>
    <w:rsid w:val="00D65447"/>
    <w:rsid w:val="00D656EA"/>
    <w:rsid w:val="00D75833"/>
    <w:rsid w:val="00D75CA6"/>
    <w:rsid w:val="00D76574"/>
    <w:rsid w:val="00D76A18"/>
    <w:rsid w:val="00D80849"/>
    <w:rsid w:val="00D8200E"/>
    <w:rsid w:val="00D824BE"/>
    <w:rsid w:val="00D82E8F"/>
    <w:rsid w:val="00D83147"/>
    <w:rsid w:val="00D879CF"/>
    <w:rsid w:val="00D90218"/>
    <w:rsid w:val="00D95507"/>
    <w:rsid w:val="00D97724"/>
    <w:rsid w:val="00DA13A9"/>
    <w:rsid w:val="00DA5124"/>
    <w:rsid w:val="00DA57A1"/>
    <w:rsid w:val="00DA6907"/>
    <w:rsid w:val="00DA7C0A"/>
    <w:rsid w:val="00DB1DFB"/>
    <w:rsid w:val="00DB1E5D"/>
    <w:rsid w:val="00DB5E0F"/>
    <w:rsid w:val="00DB75AC"/>
    <w:rsid w:val="00DC746C"/>
    <w:rsid w:val="00DD118C"/>
    <w:rsid w:val="00DD3AE0"/>
    <w:rsid w:val="00DD3EF8"/>
    <w:rsid w:val="00DD61C6"/>
    <w:rsid w:val="00DE0891"/>
    <w:rsid w:val="00DE2627"/>
    <w:rsid w:val="00DE6D8F"/>
    <w:rsid w:val="00DE765C"/>
    <w:rsid w:val="00DE79D4"/>
    <w:rsid w:val="00DF09EF"/>
    <w:rsid w:val="00DF3626"/>
    <w:rsid w:val="00DF497F"/>
    <w:rsid w:val="00DF5649"/>
    <w:rsid w:val="00DF70E0"/>
    <w:rsid w:val="00E00FC2"/>
    <w:rsid w:val="00E0221D"/>
    <w:rsid w:val="00E065AF"/>
    <w:rsid w:val="00E10836"/>
    <w:rsid w:val="00E11698"/>
    <w:rsid w:val="00E12243"/>
    <w:rsid w:val="00E12A58"/>
    <w:rsid w:val="00E14A1A"/>
    <w:rsid w:val="00E150A9"/>
    <w:rsid w:val="00E157AA"/>
    <w:rsid w:val="00E224A6"/>
    <w:rsid w:val="00E30548"/>
    <w:rsid w:val="00E33CE4"/>
    <w:rsid w:val="00E3400C"/>
    <w:rsid w:val="00E51F96"/>
    <w:rsid w:val="00E537CA"/>
    <w:rsid w:val="00E57814"/>
    <w:rsid w:val="00E61D70"/>
    <w:rsid w:val="00E64FC2"/>
    <w:rsid w:val="00E66235"/>
    <w:rsid w:val="00E6623C"/>
    <w:rsid w:val="00E67264"/>
    <w:rsid w:val="00E70341"/>
    <w:rsid w:val="00E71F11"/>
    <w:rsid w:val="00E76E11"/>
    <w:rsid w:val="00E802FA"/>
    <w:rsid w:val="00E80C00"/>
    <w:rsid w:val="00E8142B"/>
    <w:rsid w:val="00E82E24"/>
    <w:rsid w:val="00E8327B"/>
    <w:rsid w:val="00E83471"/>
    <w:rsid w:val="00E83C24"/>
    <w:rsid w:val="00E865E7"/>
    <w:rsid w:val="00E9318D"/>
    <w:rsid w:val="00E93F3E"/>
    <w:rsid w:val="00E95C7E"/>
    <w:rsid w:val="00E970D2"/>
    <w:rsid w:val="00E971DF"/>
    <w:rsid w:val="00E97241"/>
    <w:rsid w:val="00EA127E"/>
    <w:rsid w:val="00EA74AC"/>
    <w:rsid w:val="00EA7732"/>
    <w:rsid w:val="00EB0B75"/>
    <w:rsid w:val="00EB1CB4"/>
    <w:rsid w:val="00EB2197"/>
    <w:rsid w:val="00EB62BD"/>
    <w:rsid w:val="00EC6582"/>
    <w:rsid w:val="00EC731D"/>
    <w:rsid w:val="00ED7441"/>
    <w:rsid w:val="00EE3D00"/>
    <w:rsid w:val="00EE705A"/>
    <w:rsid w:val="00EE7B18"/>
    <w:rsid w:val="00EF138E"/>
    <w:rsid w:val="00EF2077"/>
    <w:rsid w:val="00EF2173"/>
    <w:rsid w:val="00EF33A6"/>
    <w:rsid w:val="00EF33B9"/>
    <w:rsid w:val="00EF4371"/>
    <w:rsid w:val="00EF70A0"/>
    <w:rsid w:val="00F029AB"/>
    <w:rsid w:val="00F063C2"/>
    <w:rsid w:val="00F06BEC"/>
    <w:rsid w:val="00F1274E"/>
    <w:rsid w:val="00F12C45"/>
    <w:rsid w:val="00F14C56"/>
    <w:rsid w:val="00F15291"/>
    <w:rsid w:val="00F201D7"/>
    <w:rsid w:val="00F23359"/>
    <w:rsid w:val="00F264EE"/>
    <w:rsid w:val="00F27202"/>
    <w:rsid w:val="00F32633"/>
    <w:rsid w:val="00F3289C"/>
    <w:rsid w:val="00F35BF2"/>
    <w:rsid w:val="00F40A88"/>
    <w:rsid w:val="00F45245"/>
    <w:rsid w:val="00F5289C"/>
    <w:rsid w:val="00F53193"/>
    <w:rsid w:val="00F53267"/>
    <w:rsid w:val="00F5357E"/>
    <w:rsid w:val="00F6251D"/>
    <w:rsid w:val="00F635E7"/>
    <w:rsid w:val="00F63BCC"/>
    <w:rsid w:val="00F6412D"/>
    <w:rsid w:val="00F6586C"/>
    <w:rsid w:val="00F67924"/>
    <w:rsid w:val="00F74583"/>
    <w:rsid w:val="00F76B18"/>
    <w:rsid w:val="00F77F7F"/>
    <w:rsid w:val="00F82083"/>
    <w:rsid w:val="00F822AA"/>
    <w:rsid w:val="00F822F7"/>
    <w:rsid w:val="00F82C33"/>
    <w:rsid w:val="00F83015"/>
    <w:rsid w:val="00F83EE9"/>
    <w:rsid w:val="00F872CB"/>
    <w:rsid w:val="00F87A86"/>
    <w:rsid w:val="00F9038B"/>
    <w:rsid w:val="00F904DF"/>
    <w:rsid w:val="00F90690"/>
    <w:rsid w:val="00F94774"/>
    <w:rsid w:val="00F95847"/>
    <w:rsid w:val="00F964CE"/>
    <w:rsid w:val="00FA1420"/>
    <w:rsid w:val="00FA1D6E"/>
    <w:rsid w:val="00FA1E48"/>
    <w:rsid w:val="00FA45FC"/>
    <w:rsid w:val="00FA536E"/>
    <w:rsid w:val="00FA663B"/>
    <w:rsid w:val="00FA6B87"/>
    <w:rsid w:val="00FB1FD2"/>
    <w:rsid w:val="00FB3B1C"/>
    <w:rsid w:val="00FB3B53"/>
    <w:rsid w:val="00FB4386"/>
    <w:rsid w:val="00FB4FB2"/>
    <w:rsid w:val="00FB63FF"/>
    <w:rsid w:val="00FB7835"/>
    <w:rsid w:val="00FC2BC0"/>
    <w:rsid w:val="00FC32FE"/>
    <w:rsid w:val="00FC53DB"/>
    <w:rsid w:val="00FC7712"/>
    <w:rsid w:val="00FD0F79"/>
    <w:rsid w:val="00FD1B97"/>
    <w:rsid w:val="00FD2D51"/>
    <w:rsid w:val="00FD43F1"/>
    <w:rsid w:val="00FD6DDC"/>
    <w:rsid w:val="00FD75CB"/>
    <w:rsid w:val="00FE06F3"/>
    <w:rsid w:val="00FE6678"/>
    <w:rsid w:val="00FE6FE2"/>
    <w:rsid w:val="00FF1B8E"/>
    <w:rsid w:val="00FF2126"/>
    <w:rsid w:val="00FF3988"/>
    <w:rsid w:val="00FF4E42"/>
    <w:rsid w:val="00FF52F2"/>
    <w:rsid w:val="00FF662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8514A6"/>
  <w15:docId w15:val="{466C6D5F-10D5-4BFA-A8F1-84336E720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Simplified Arabic"/>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Simplified Arabic"/>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Simplified Arabic"/>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Simplified Arabic"/>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Simplified Arabic"/>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Simplified Arabic"/>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Simplified Arabic"/>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Simplified Arabic"/>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Simplified Arabic"/>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Simplified Arabic"/>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Simplified Arabic"/>
      <w:bCs/>
      <w:szCs w:val="22"/>
      <w:lang w:val="en-GB"/>
    </w:rPr>
  </w:style>
  <w:style w:type="character" w:customStyle="1" w:styleId="Heading7Char">
    <w:name w:val="Heading 7 Char"/>
    <w:basedOn w:val="DefaultParagraphFont"/>
    <w:link w:val="Heading7"/>
    <w:rsid w:val="003F1A75"/>
    <w:rPr>
      <w:rFonts w:ascii="Times New Roman" w:eastAsia="SimSun" w:hAnsi="Times New Roman" w:cs="Simplified Arabic"/>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Simplified Arabic"/>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Simplified Arabic"/>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Simplified Arabic"/>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noProof/>
      <w:lang w:val="en-US"/>
    </w:rPr>
  </w:style>
  <w:style w:type="paragraph" w:customStyle="1" w:styleId="DarkList-Accent31">
    <w:name w:val="Dark List - Accent 31"/>
    <w:hidden/>
    <w:uiPriority w:val="99"/>
    <w:semiHidden/>
    <w:rsid w:val="003F1A75"/>
    <w:rPr>
      <w:rFonts w:ascii="Times New Roman" w:eastAsia="SimSun" w:hAnsi="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12"/>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Simplified Arabic"/>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Simplified Arabic"/>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Simplified Arabic"/>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Simplified Arabic"/>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Simplified Arabic"/>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Simplified Arabic"/>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Simplified Arabic"/>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Simplified Arabic"/>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Simplified Arabic"/>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Simplified Arabic"/>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Simplified Arabic"/>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Simplified Arabic"/>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Simplified Arabic"/>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Simplified Arabic"/>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Simplified Arabic"/>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Simplified Arabic"/>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Simplified Arabic"/>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Simplified Arabic"/>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Simplified Arabic"/>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numbering" w:customStyle="1" w:styleId="ImportedStyle2">
    <w:name w:val="Imported Style 2"/>
    <w:rsid w:val="008B78C3"/>
    <w:pPr>
      <w:numPr>
        <w:numId w:val="9"/>
      </w:numPr>
    </w:pPr>
  </w:style>
  <w:style w:type="numbering" w:customStyle="1" w:styleId="ImportedStyle5">
    <w:name w:val="Imported Style 5"/>
    <w:rsid w:val="008B78C3"/>
    <w:pPr>
      <w:numPr>
        <w:numId w:val="16"/>
      </w:numPr>
    </w:pPr>
  </w:style>
  <w:style w:type="numbering" w:customStyle="1" w:styleId="ImportedStyle6">
    <w:name w:val="Imported Style 6"/>
    <w:rsid w:val="008B78C3"/>
    <w:pPr>
      <w:numPr>
        <w:numId w:val="18"/>
      </w:numPr>
    </w:pPr>
  </w:style>
  <w:style w:type="paragraph" w:customStyle="1" w:styleId="Default">
    <w:name w:val="Default"/>
    <w:rsid w:val="008B78C3"/>
    <w:pPr>
      <w:pBdr>
        <w:top w:val="nil"/>
        <w:left w:val="nil"/>
        <w:bottom w:val="nil"/>
        <w:right w:val="nil"/>
        <w:between w:val="nil"/>
        <w:bar w:val="nil"/>
      </w:pBdr>
      <w:spacing w:before="160" w:line="288" w:lineRule="auto"/>
    </w:pPr>
    <w:rPr>
      <w:rFonts w:ascii="Helvetica Neue" w:eastAsia="Helvetica Neue" w:hAnsi="Helvetica Neue" w:cs="Helvetica Neue"/>
      <w:color w:val="000000"/>
      <w:bdr w:val="nil"/>
      <w:lang w:val="en-CA" w:eastAsia="ko-KR"/>
      <w14:textOutline w14:w="0" w14:cap="flat" w14:cmpd="sng" w14:algn="ctr">
        <w14:noFill/>
        <w14:prstDash w14:val="solid"/>
        <w14:bevel/>
      </w14:textOutline>
    </w:rPr>
  </w:style>
  <w:style w:type="paragraph" w:customStyle="1" w:styleId="paragraph">
    <w:name w:val="paragraph"/>
    <w:basedOn w:val="Normal"/>
    <w:rsid w:val="000D5E82"/>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character" w:customStyle="1" w:styleId="normaltextrun">
    <w:name w:val="normaltextrun"/>
    <w:basedOn w:val="DefaultParagraphFont"/>
    <w:rsid w:val="000D5E82"/>
  </w:style>
  <w:style w:type="character" w:customStyle="1" w:styleId="scxw17032077">
    <w:name w:val="scxw17032077"/>
    <w:basedOn w:val="DefaultParagraphFont"/>
    <w:rsid w:val="000D5E82"/>
  </w:style>
  <w:style w:type="character" w:customStyle="1" w:styleId="eop">
    <w:name w:val="eop"/>
    <w:basedOn w:val="DefaultParagraphFont"/>
    <w:rsid w:val="000D5E82"/>
  </w:style>
  <w:style w:type="character" w:customStyle="1" w:styleId="superscript">
    <w:name w:val="superscript"/>
    <w:basedOn w:val="DefaultParagraphFont"/>
    <w:rsid w:val="000D5E82"/>
  </w:style>
  <w:style w:type="table" w:customStyle="1" w:styleId="TableGrid20">
    <w:name w:val="Table Grid2"/>
    <w:basedOn w:val="TableNormal"/>
    <w:next w:val="TableGrid"/>
    <w:uiPriority w:val="39"/>
    <w:qFormat/>
    <w:rsid w:val="00E8327B"/>
    <w:rPr>
      <w:rFonts w:eastAsia="Calibri" w:cs="Arial"/>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hyperlink" Target="https://www.cbd.int/documents/CBD/COP/17/4" TargetMode="External"/><Relationship Id="rId26" Type="http://schemas.openxmlformats.org/officeDocument/2006/relationships/hyperlink" Target="https://www.cbd.int/documents/CBD/NP/MOP/6/5" TargetMode="External"/><Relationship Id="rId39" Type="http://schemas.openxmlformats.org/officeDocument/2006/relationships/hyperlink" Target="https://www.cbd.int/documents/CBD/NP/MOP/6/5/ADD1" TargetMode="External"/><Relationship Id="rId21" Type="http://schemas.openxmlformats.org/officeDocument/2006/relationships/hyperlink" Target="https://www.cbd.int/documents/CBD/COP/17/4" TargetMode="External"/><Relationship Id="rId34" Type="http://schemas.openxmlformats.org/officeDocument/2006/relationships/hyperlink" Target="https://www.cbd.int/documents/CBD/COP/17/4/ADD2" TargetMode="External"/><Relationship Id="rId42" Type="http://schemas.openxmlformats.org/officeDocument/2006/relationships/hyperlink" Target="https://www.cbd.int/documents/CBD/COP/17/3" TargetMode="External"/><Relationship Id="rId47" Type="http://schemas.openxmlformats.org/officeDocument/2006/relationships/hyperlink" Target="https://www.cbd.int/decisions/np-mop?m=np-mop-05" TargetMode="External"/><Relationship Id="rId50" Type="http://schemas.openxmlformats.org/officeDocument/2006/relationships/hyperlink" Target="https://www.cbd.int/decisions/cop/?m=cop-16" TargetMode="External"/><Relationship Id="rId55" Type="http://schemas.openxmlformats.org/officeDocument/2006/relationships/hyperlink" Target="https://www.cbd.int/documents/CBD/CP/MOP/12/5" TargetMode="External"/><Relationship Id="rId63"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uments/CBD/CP/MOP/12/4" TargetMode="External"/><Relationship Id="rId29" Type="http://schemas.openxmlformats.org/officeDocument/2006/relationships/hyperlink" Target="https://www.cbd.int/documents/CBD/NP/MOP/6/5" TargetMode="External"/><Relationship Id="rId11" Type="http://schemas.openxmlformats.org/officeDocument/2006/relationships/endnotes" Target="endnotes.xml"/><Relationship Id="rId24" Type="http://schemas.openxmlformats.org/officeDocument/2006/relationships/hyperlink" Target="https://www.cbd.int/documents/CBD/COP/17/4" TargetMode="External"/><Relationship Id="rId32" Type="http://schemas.openxmlformats.org/officeDocument/2006/relationships/hyperlink" Target="https://www.cbd.int/documents/CBD/NP/MOP/6/4" TargetMode="External"/><Relationship Id="rId37" Type="http://schemas.openxmlformats.org/officeDocument/2006/relationships/hyperlink" Target="https://www.cbd.int/documents/CBD/COP/17/4/ADD2" TargetMode="External"/><Relationship Id="rId40" Type="http://schemas.openxmlformats.org/officeDocument/2006/relationships/hyperlink" Target="https://www.cbd.int/documents/CBD/SBI/7/15/ADD1" TargetMode="External"/><Relationship Id="rId45" Type="http://schemas.openxmlformats.org/officeDocument/2006/relationships/hyperlink" Target="https://www.cbd.int/decisions/cop?m=cop-16" TargetMode="External"/><Relationship Id="rId53" Type="http://schemas.openxmlformats.org/officeDocument/2006/relationships/image" Target="media/image5.png"/><Relationship Id="rId58" Type="http://schemas.openxmlformats.org/officeDocument/2006/relationships/header" Target="header2.xml"/><Relationship Id="rId5" Type="http://schemas.openxmlformats.org/officeDocument/2006/relationships/customXml" Target="../customXml/item5.xml"/><Relationship Id="rId61" Type="http://schemas.openxmlformats.org/officeDocument/2006/relationships/header" Target="header3.xml"/><Relationship Id="rId19" Type="http://schemas.openxmlformats.org/officeDocument/2006/relationships/hyperlink" Target="https://www.cbd.int/documents/CBD/CP/MOP/12/5" TargetMode="External"/><Relationship Id="rId14" Type="http://schemas.openxmlformats.org/officeDocument/2006/relationships/image" Target="media/image3.png"/><Relationship Id="rId22" Type="http://schemas.openxmlformats.org/officeDocument/2006/relationships/hyperlink" Target="https://www.cbd.int/documents/CBD/CP/MOP/12/5" TargetMode="External"/><Relationship Id="rId27" Type="http://schemas.openxmlformats.org/officeDocument/2006/relationships/hyperlink" Target="https://www.cbd.int/documents/CBD/COP/17/4" TargetMode="External"/><Relationship Id="rId30" Type="http://schemas.openxmlformats.org/officeDocument/2006/relationships/hyperlink" Target="https://www.cbd.int/documents/CBD/COP/17/3" TargetMode="External"/><Relationship Id="rId35" Type="http://schemas.openxmlformats.org/officeDocument/2006/relationships/hyperlink" Target="https://www.cbd.int/documents/CBD/CP/MOP/12/5/ADD1" TargetMode="External"/><Relationship Id="rId43" Type="http://schemas.openxmlformats.org/officeDocument/2006/relationships/hyperlink" Target="https://www.cbd.int/documents/CBD/CP/MOP/12/4" TargetMode="External"/><Relationship Id="rId48" Type="http://schemas.openxmlformats.org/officeDocument/2006/relationships/hyperlink" Target="https://www.cbd.int/decisions/cop/?m=cop-16" TargetMode="External"/><Relationship Id="rId56" Type="http://schemas.openxmlformats.org/officeDocument/2006/relationships/hyperlink" Target="https://www.cbd.int/documents/CBD/NP/MOP/6/5" TargetMode="External"/><Relationship Id="rId64"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cbd.int/decisions/cop/?m=cop-16" TargetMode="Externa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www.cbd.int/documents/CBD/NP/MOP/6/4" TargetMode="External"/><Relationship Id="rId25" Type="http://schemas.openxmlformats.org/officeDocument/2006/relationships/hyperlink" Target="https://www.cbd.int/documents/CBD/CP/MOP/12/5" TargetMode="External"/><Relationship Id="rId33" Type="http://schemas.openxmlformats.org/officeDocument/2006/relationships/hyperlink" Target="https://www.cbd.int/documents/CBD/COP/17/4/ADD1" TargetMode="External"/><Relationship Id="rId38" Type="http://schemas.openxmlformats.org/officeDocument/2006/relationships/hyperlink" Target="https://www.cbd.int/documents/CBD/CP/MOP/12/5/ADD1" TargetMode="External"/><Relationship Id="rId46" Type="http://schemas.openxmlformats.org/officeDocument/2006/relationships/hyperlink" Target="https://www.cbd.int/decisions/mop?m=cp-mop-11" TargetMode="External"/><Relationship Id="rId59" Type="http://schemas.openxmlformats.org/officeDocument/2006/relationships/footer" Target="footer1.xml"/><Relationship Id="rId20" Type="http://schemas.openxmlformats.org/officeDocument/2006/relationships/hyperlink" Target="https://www.cbd.int/documents/CBD/NP/MOP/6/5" TargetMode="External"/><Relationship Id="rId41" Type="http://schemas.openxmlformats.org/officeDocument/2006/relationships/hyperlink" Target="https://www.cbd.int/documents/CBD/COP/17/4/ADD4" TargetMode="External"/><Relationship Id="rId54" Type="http://schemas.openxmlformats.org/officeDocument/2006/relationships/hyperlink" Target="https://www.cbd.int/documents/CBD/COP/17/4" TargetMode="External"/><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uments/CBD/COP/17/3" TargetMode="External"/><Relationship Id="rId23" Type="http://schemas.openxmlformats.org/officeDocument/2006/relationships/hyperlink" Target="https://www.cbd.int/documents/CBD/NP/MOP/6/5" TargetMode="External"/><Relationship Id="rId28" Type="http://schemas.openxmlformats.org/officeDocument/2006/relationships/hyperlink" Target="https://www.cbd.int/documents/CBD/CP/MOP/12/5" TargetMode="External"/><Relationship Id="rId36" Type="http://schemas.openxmlformats.org/officeDocument/2006/relationships/hyperlink" Target="https://www.cbd.int/documents/CBD/NP/MOP/6/5/ADD1" TargetMode="External"/><Relationship Id="rId49" Type="http://schemas.openxmlformats.org/officeDocument/2006/relationships/hyperlink" Target="https://www.cbd.int/decisions/?id=13708" TargetMode="External"/><Relationship Id="rId57" Type="http://schemas.openxmlformats.org/officeDocument/2006/relationships/header" Target="header1.xml"/><Relationship Id="rId10" Type="http://schemas.openxmlformats.org/officeDocument/2006/relationships/footnotes" Target="footnotes.xml"/><Relationship Id="rId31" Type="http://schemas.openxmlformats.org/officeDocument/2006/relationships/hyperlink" Target="https://www.cbd.int/documents/CBD/CP/MOP/12/4" TargetMode="External"/><Relationship Id="rId44" Type="http://schemas.openxmlformats.org/officeDocument/2006/relationships/hyperlink" Target="https://www.cbd.int/documents/CBD/NP/MOP/6/4" TargetMode="External"/><Relationship Id="rId52" Type="http://schemas.openxmlformats.org/officeDocument/2006/relationships/image" Target="media/image4.png"/><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7/4/ADD1"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information/adm-fin"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ocuments/CBD/NP/MOP/6/5/ADD1" TargetMode="External"/><Relationship Id="rId5" Type="http://schemas.openxmlformats.org/officeDocument/2006/relationships/hyperlink" Target="https://www.cbd.int/documents/CBD/CP/MOP/12/5/ADD1" TargetMode="External"/><Relationship Id="rId10" Type="http://schemas.openxmlformats.org/officeDocument/2006/relationships/hyperlink" Target="https://www.cbd.int/decisions/?id=11677" TargetMode="External"/><Relationship Id="rId4" Type="http://schemas.openxmlformats.org/officeDocument/2006/relationships/hyperlink" Target="https://www.cbd.int/documents/CBD/COP/17/4/ADD2" TargetMode="External"/><Relationship Id="rId9" Type="http://schemas.openxmlformats.org/officeDocument/2006/relationships/hyperlink" Target="https://www.cbd.int/documents/CBD/SBI/6/INF/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DRIDGEV\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AA86CB7E-60AD-4E50-85F5-6D9EC76FC5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2</TotalTime>
  <Pages>14</Pages>
  <Words>4809</Words>
  <Characters>27416</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Additional information on administrative and budgetary matters</vt:lpstr>
    </vt:vector>
  </TitlesOfParts>
  <Company>SCBD</Company>
  <LinksUpToDate>false</LinksUpToDate>
  <CharactersWithSpaces>32161</CharactersWithSpaces>
  <SharedDoc>false</SharedDoc>
  <HLinks>
    <vt:vector size="300" baseType="variant">
      <vt:variant>
        <vt:i4>4325380</vt:i4>
      </vt:variant>
      <vt:variant>
        <vt:i4>147</vt:i4>
      </vt:variant>
      <vt:variant>
        <vt:i4>0</vt:i4>
      </vt:variant>
      <vt:variant>
        <vt:i4>5</vt:i4>
      </vt:variant>
      <vt:variant>
        <vt:lpwstr>https://www.cbd.int/documents/CBD/NP/MOP/6/5</vt:lpwstr>
      </vt:variant>
      <vt:variant>
        <vt:lpwstr/>
      </vt:variant>
      <vt:variant>
        <vt:i4>6225940</vt:i4>
      </vt:variant>
      <vt:variant>
        <vt:i4>144</vt:i4>
      </vt:variant>
      <vt:variant>
        <vt:i4>0</vt:i4>
      </vt:variant>
      <vt:variant>
        <vt:i4>5</vt:i4>
      </vt:variant>
      <vt:variant>
        <vt:lpwstr>https://www.cbd.int/documents/CBD/CP/MOP/12/5</vt:lpwstr>
      </vt:variant>
      <vt:variant>
        <vt:lpwstr/>
      </vt:variant>
      <vt:variant>
        <vt:i4>7274535</vt:i4>
      </vt:variant>
      <vt:variant>
        <vt:i4>141</vt:i4>
      </vt:variant>
      <vt:variant>
        <vt:i4>0</vt:i4>
      </vt:variant>
      <vt:variant>
        <vt:i4>5</vt:i4>
      </vt:variant>
      <vt:variant>
        <vt:lpwstr>https://www.cbd.int/documents/CBD/COP/17/4</vt:lpwstr>
      </vt:variant>
      <vt:variant>
        <vt:lpwstr/>
      </vt:variant>
      <vt:variant>
        <vt:i4>7209057</vt:i4>
      </vt:variant>
      <vt:variant>
        <vt:i4>132</vt:i4>
      </vt:variant>
      <vt:variant>
        <vt:i4>0</vt:i4>
      </vt:variant>
      <vt:variant>
        <vt:i4>5</vt:i4>
      </vt:variant>
      <vt:variant>
        <vt:lpwstr>https://www.cbd.int/decisions/cop/?m=cop-16</vt:lpwstr>
      </vt:variant>
      <vt:variant>
        <vt:lpwstr/>
      </vt:variant>
      <vt:variant>
        <vt:i4>7209057</vt:i4>
      </vt:variant>
      <vt:variant>
        <vt:i4>129</vt:i4>
      </vt:variant>
      <vt:variant>
        <vt:i4>0</vt:i4>
      </vt:variant>
      <vt:variant>
        <vt:i4>5</vt:i4>
      </vt:variant>
      <vt:variant>
        <vt:lpwstr>https://www.cbd.int/decisions/cop/?m=cop-16</vt:lpwstr>
      </vt:variant>
      <vt:variant>
        <vt:lpwstr/>
      </vt:variant>
      <vt:variant>
        <vt:i4>3539055</vt:i4>
      </vt:variant>
      <vt:variant>
        <vt:i4>126</vt:i4>
      </vt:variant>
      <vt:variant>
        <vt:i4>0</vt:i4>
      </vt:variant>
      <vt:variant>
        <vt:i4>5</vt:i4>
      </vt:variant>
      <vt:variant>
        <vt:lpwstr>https://www.cbd.int/decisions/?id=13708</vt:lpwstr>
      </vt:variant>
      <vt:variant>
        <vt:lpwstr/>
      </vt:variant>
      <vt:variant>
        <vt:i4>7209057</vt:i4>
      </vt:variant>
      <vt:variant>
        <vt:i4>123</vt:i4>
      </vt:variant>
      <vt:variant>
        <vt:i4>0</vt:i4>
      </vt:variant>
      <vt:variant>
        <vt:i4>5</vt:i4>
      </vt:variant>
      <vt:variant>
        <vt:lpwstr>https://www.cbd.int/decisions/cop/?m=cop-16</vt:lpwstr>
      </vt:variant>
      <vt:variant>
        <vt:lpwstr/>
      </vt:variant>
      <vt:variant>
        <vt:i4>5570625</vt:i4>
      </vt:variant>
      <vt:variant>
        <vt:i4>120</vt:i4>
      </vt:variant>
      <vt:variant>
        <vt:i4>0</vt:i4>
      </vt:variant>
      <vt:variant>
        <vt:i4>5</vt:i4>
      </vt:variant>
      <vt:variant>
        <vt:lpwstr>https://www.cbd.int/decisions/np-mop?m=np-mop-05</vt:lpwstr>
      </vt:variant>
      <vt:variant>
        <vt:lpwstr/>
      </vt:variant>
      <vt:variant>
        <vt:i4>5242958</vt:i4>
      </vt:variant>
      <vt:variant>
        <vt:i4>117</vt:i4>
      </vt:variant>
      <vt:variant>
        <vt:i4>0</vt:i4>
      </vt:variant>
      <vt:variant>
        <vt:i4>5</vt:i4>
      </vt:variant>
      <vt:variant>
        <vt:lpwstr>https://www.cbd.int/decisions/mop?m=cp-mop-11</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4390916</vt:i4>
      </vt:variant>
      <vt:variant>
        <vt:i4>111</vt:i4>
      </vt:variant>
      <vt:variant>
        <vt:i4>0</vt:i4>
      </vt:variant>
      <vt:variant>
        <vt:i4>5</vt:i4>
      </vt:variant>
      <vt:variant>
        <vt:lpwstr>https://www.cbd.int/documents/CBD/NP/MOP/6/4</vt:lpwstr>
      </vt:variant>
      <vt:variant>
        <vt:lpwstr/>
      </vt:variant>
      <vt:variant>
        <vt:i4>6225940</vt:i4>
      </vt:variant>
      <vt:variant>
        <vt:i4>108</vt:i4>
      </vt:variant>
      <vt:variant>
        <vt:i4>0</vt:i4>
      </vt:variant>
      <vt:variant>
        <vt:i4>5</vt:i4>
      </vt:variant>
      <vt:variant>
        <vt:lpwstr>https://www.cbd.int/documents/CBD/CP/MOP/12/4</vt:lpwstr>
      </vt:variant>
      <vt:variant>
        <vt:lpwstr/>
      </vt:variant>
      <vt:variant>
        <vt:i4>6815783</vt:i4>
      </vt:variant>
      <vt:variant>
        <vt:i4>105</vt:i4>
      </vt:variant>
      <vt:variant>
        <vt:i4>0</vt:i4>
      </vt:variant>
      <vt:variant>
        <vt:i4>5</vt:i4>
      </vt:variant>
      <vt:variant>
        <vt:lpwstr>https://www.cbd.int/documents/CBD/COP/17/3</vt:lpwstr>
      </vt:variant>
      <vt:variant>
        <vt:lpwstr/>
      </vt:variant>
      <vt:variant>
        <vt:i4>6946924</vt:i4>
      </vt:variant>
      <vt:variant>
        <vt:i4>99</vt:i4>
      </vt:variant>
      <vt:variant>
        <vt:i4>0</vt:i4>
      </vt:variant>
      <vt:variant>
        <vt:i4>5</vt:i4>
      </vt:variant>
      <vt:variant>
        <vt:lpwstr>https://www.cbd.int/documents/CBD/COP/17/4/ADD4</vt:lpwstr>
      </vt:variant>
      <vt:variant>
        <vt:lpwstr/>
      </vt:variant>
      <vt:variant>
        <vt:i4>8257661</vt:i4>
      </vt:variant>
      <vt:variant>
        <vt:i4>96</vt:i4>
      </vt:variant>
      <vt:variant>
        <vt:i4>0</vt:i4>
      </vt:variant>
      <vt:variant>
        <vt:i4>5</vt:i4>
      </vt:variant>
      <vt:variant>
        <vt:lpwstr>https://www.cbd.int/documents/CBD/SBI/7/15/ADD1</vt:lpwstr>
      </vt:variant>
      <vt:variant>
        <vt:lpwstr/>
      </vt:variant>
      <vt:variant>
        <vt:i4>4653135</vt:i4>
      </vt:variant>
      <vt:variant>
        <vt:i4>93</vt:i4>
      </vt:variant>
      <vt:variant>
        <vt:i4>0</vt:i4>
      </vt:variant>
      <vt:variant>
        <vt:i4>5</vt:i4>
      </vt:variant>
      <vt:variant>
        <vt:lpwstr>https://www.cbd.int/documents/CBD/NP/MOP/6/5/ADD1</vt:lpwstr>
      </vt:variant>
      <vt:variant>
        <vt:lpwstr/>
      </vt:variant>
      <vt:variant>
        <vt:i4>2424868</vt:i4>
      </vt:variant>
      <vt:variant>
        <vt:i4>90</vt:i4>
      </vt:variant>
      <vt:variant>
        <vt:i4>0</vt:i4>
      </vt:variant>
      <vt:variant>
        <vt:i4>5</vt:i4>
      </vt:variant>
      <vt:variant>
        <vt:lpwstr>https://www.cbd.int/documents/CBD/CP/MOP/12/5/ADD1</vt:lpwstr>
      </vt:variant>
      <vt:variant>
        <vt:lpwstr/>
      </vt:variant>
      <vt:variant>
        <vt:i4>6946924</vt:i4>
      </vt:variant>
      <vt:variant>
        <vt:i4>87</vt:i4>
      </vt:variant>
      <vt:variant>
        <vt:i4>0</vt:i4>
      </vt:variant>
      <vt:variant>
        <vt:i4>5</vt:i4>
      </vt:variant>
      <vt:variant>
        <vt:lpwstr>https://www.cbd.int/documents/CBD/COP/17/4/ADD2</vt:lpwstr>
      </vt:variant>
      <vt:variant>
        <vt:lpwstr/>
      </vt:variant>
      <vt:variant>
        <vt:i4>4653135</vt:i4>
      </vt:variant>
      <vt:variant>
        <vt:i4>84</vt:i4>
      </vt:variant>
      <vt:variant>
        <vt:i4>0</vt:i4>
      </vt:variant>
      <vt:variant>
        <vt:i4>5</vt:i4>
      </vt:variant>
      <vt:variant>
        <vt:lpwstr>https://www.cbd.int/documents/CBD/NP/MOP/6/5/ADD1</vt:lpwstr>
      </vt:variant>
      <vt:variant>
        <vt:lpwstr/>
      </vt:variant>
      <vt:variant>
        <vt:i4>2424868</vt:i4>
      </vt:variant>
      <vt:variant>
        <vt:i4>81</vt:i4>
      </vt:variant>
      <vt:variant>
        <vt:i4>0</vt:i4>
      </vt:variant>
      <vt:variant>
        <vt:i4>5</vt:i4>
      </vt:variant>
      <vt:variant>
        <vt:lpwstr>https://www.cbd.int/documents/CBD/CP/MOP/12/5/ADD1</vt:lpwstr>
      </vt:variant>
      <vt:variant>
        <vt:lpwstr/>
      </vt:variant>
      <vt:variant>
        <vt:i4>6946924</vt:i4>
      </vt:variant>
      <vt:variant>
        <vt:i4>78</vt:i4>
      </vt:variant>
      <vt:variant>
        <vt:i4>0</vt:i4>
      </vt:variant>
      <vt:variant>
        <vt:i4>5</vt:i4>
      </vt:variant>
      <vt:variant>
        <vt:lpwstr>https://www.cbd.int/documents/CBD/COP/17/4/ADD2</vt:lpwstr>
      </vt:variant>
      <vt:variant>
        <vt:lpwstr/>
      </vt:variant>
      <vt:variant>
        <vt:i4>6946924</vt:i4>
      </vt:variant>
      <vt:variant>
        <vt:i4>75</vt:i4>
      </vt:variant>
      <vt:variant>
        <vt:i4>0</vt:i4>
      </vt:variant>
      <vt:variant>
        <vt:i4>5</vt:i4>
      </vt:variant>
      <vt:variant>
        <vt:lpwstr>https://www.cbd.int/documents/CBD/COP/17/4/ADD1</vt:lpwstr>
      </vt:variant>
      <vt:variant>
        <vt:lpwstr/>
      </vt:variant>
      <vt:variant>
        <vt:i4>4325380</vt:i4>
      </vt:variant>
      <vt:variant>
        <vt:i4>72</vt:i4>
      </vt:variant>
      <vt:variant>
        <vt:i4>0</vt:i4>
      </vt:variant>
      <vt:variant>
        <vt:i4>5</vt:i4>
      </vt:variant>
      <vt:variant>
        <vt:lpwstr>https://www.cbd.int/documents/CBD/NP/MOP/6/5</vt:lpwstr>
      </vt:variant>
      <vt:variant>
        <vt:lpwstr/>
      </vt:variant>
      <vt:variant>
        <vt:i4>6225940</vt:i4>
      </vt:variant>
      <vt:variant>
        <vt:i4>69</vt:i4>
      </vt:variant>
      <vt:variant>
        <vt:i4>0</vt:i4>
      </vt:variant>
      <vt:variant>
        <vt:i4>5</vt:i4>
      </vt:variant>
      <vt:variant>
        <vt:lpwstr>https://www.cbd.int/documents/CBD/CP/MOP/12/5</vt:lpwstr>
      </vt:variant>
      <vt:variant>
        <vt:lpwstr/>
      </vt:variant>
      <vt:variant>
        <vt:i4>7274535</vt:i4>
      </vt:variant>
      <vt:variant>
        <vt:i4>66</vt:i4>
      </vt:variant>
      <vt:variant>
        <vt:i4>0</vt:i4>
      </vt:variant>
      <vt:variant>
        <vt:i4>5</vt:i4>
      </vt:variant>
      <vt:variant>
        <vt:lpwstr>https://www.cbd.int/documents/CBD/COP/17/4</vt:lpwstr>
      </vt:variant>
      <vt:variant>
        <vt:lpwstr/>
      </vt:variant>
      <vt:variant>
        <vt:i4>4325380</vt:i4>
      </vt:variant>
      <vt:variant>
        <vt:i4>57</vt:i4>
      </vt:variant>
      <vt:variant>
        <vt:i4>0</vt:i4>
      </vt:variant>
      <vt:variant>
        <vt:i4>5</vt:i4>
      </vt:variant>
      <vt:variant>
        <vt:lpwstr>https://www.cbd.int/documents/CBD/NP/MOP/6/5</vt:lpwstr>
      </vt:variant>
      <vt:variant>
        <vt:lpwstr/>
      </vt:variant>
      <vt:variant>
        <vt:i4>6225940</vt:i4>
      </vt:variant>
      <vt:variant>
        <vt:i4>54</vt:i4>
      </vt:variant>
      <vt:variant>
        <vt:i4>0</vt:i4>
      </vt:variant>
      <vt:variant>
        <vt:i4>5</vt:i4>
      </vt:variant>
      <vt:variant>
        <vt:lpwstr>https://www.cbd.int/documents/CBD/CP/MOP/12/5</vt:lpwstr>
      </vt:variant>
      <vt:variant>
        <vt:lpwstr/>
      </vt:variant>
      <vt:variant>
        <vt:i4>7274535</vt:i4>
      </vt:variant>
      <vt:variant>
        <vt:i4>51</vt:i4>
      </vt:variant>
      <vt:variant>
        <vt:i4>0</vt:i4>
      </vt:variant>
      <vt:variant>
        <vt:i4>5</vt:i4>
      </vt:variant>
      <vt:variant>
        <vt:lpwstr>https://www.cbd.int/documents/CBD/COP/17/4</vt:lpwstr>
      </vt:variant>
      <vt:variant>
        <vt:lpwstr/>
      </vt:variant>
      <vt:variant>
        <vt:i4>4325380</vt:i4>
      </vt:variant>
      <vt:variant>
        <vt:i4>45</vt:i4>
      </vt:variant>
      <vt:variant>
        <vt:i4>0</vt:i4>
      </vt:variant>
      <vt:variant>
        <vt:i4>5</vt:i4>
      </vt:variant>
      <vt:variant>
        <vt:lpwstr>https://www.cbd.int/documents/CBD/NP/MOP/6/5</vt:lpwstr>
      </vt:variant>
      <vt:variant>
        <vt:lpwstr/>
      </vt:variant>
      <vt:variant>
        <vt:i4>6225940</vt:i4>
      </vt:variant>
      <vt:variant>
        <vt:i4>42</vt:i4>
      </vt:variant>
      <vt:variant>
        <vt:i4>0</vt:i4>
      </vt:variant>
      <vt:variant>
        <vt:i4>5</vt:i4>
      </vt:variant>
      <vt:variant>
        <vt:lpwstr>https://www.cbd.int/documents/CBD/CP/MOP/12/5</vt:lpwstr>
      </vt:variant>
      <vt:variant>
        <vt:lpwstr/>
      </vt:variant>
      <vt:variant>
        <vt:i4>7274535</vt:i4>
      </vt:variant>
      <vt:variant>
        <vt:i4>39</vt:i4>
      </vt:variant>
      <vt:variant>
        <vt:i4>0</vt:i4>
      </vt:variant>
      <vt:variant>
        <vt:i4>5</vt:i4>
      </vt:variant>
      <vt:variant>
        <vt:lpwstr>https://www.cbd.int/documents/CBD/COP/17/4</vt:lpwstr>
      </vt:variant>
      <vt:variant>
        <vt:lpwstr/>
      </vt:variant>
      <vt:variant>
        <vt:i4>4325380</vt:i4>
      </vt:variant>
      <vt:variant>
        <vt:i4>33</vt:i4>
      </vt:variant>
      <vt:variant>
        <vt:i4>0</vt:i4>
      </vt:variant>
      <vt:variant>
        <vt:i4>5</vt:i4>
      </vt:variant>
      <vt:variant>
        <vt:lpwstr>https://www.cbd.int/documents/CBD/NP/MOP/6/5</vt:lpwstr>
      </vt:variant>
      <vt:variant>
        <vt:lpwstr/>
      </vt:variant>
      <vt:variant>
        <vt:i4>6225940</vt:i4>
      </vt:variant>
      <vt:variant>
        <vt:i4>30</vt:i4>
      </vt:variant>
      <vt:variant>
        <vt:i4>0</vt:i4>
      </vt:variant>
      <vt:variant>
        <vt:i4>5</vt:i4>
      </vt:variant>
      <vt:variant>
        <vt:lpwstr>https://www.cbd.int/documents/CBD/CP/MOP/12/5</vt:lpwstr>
      </vt:variant>
      <vt:variant>
        <vt:lpwstr/>
      </vt:variant>
      <vt:variant>
        <vt:i4>7274535</vt:i4>
      </vt:variant>
      <vt:variant>
        <vt:i4>27</vt:i4>
      </vt:variant>
      <vt:variant>
        <vt:i4>0</vt:i4>
      </vt:variant>
      <vt:variant>
        <vt:i4>5</vt:i4>
      </vt:variant>
      <vt:variant>
        <vt:lpwstr>https://www.cbd.int/documents/CBD/COP/17/4</vt:lpwstr>
      </vt:variant>
      <vt:variant>
        <vt:lpwstr/>
      </vt:variant>
      <vt:variant>
        <vt:i4>4325380</vt:i4>
      </vt:variant>
      <vt:variant>
        <vt:i4>21</vt:i4>
      </vt:variant>
      <vt:variant>
        <vt:i4>0</vt:i4>
      </vt:variant>
      <vt:variant>
        <vt:i4>5</vt:i4>
      </vt:variant>
      <vt:variant>
        <vt:lpwstr>https://www.cbd.int/documents/CBD/NP/MOP/6/5</vt:lpwstr>
      </vt:variant>
      <vt:variant>
        <vt:lpwstr/>
      </vt:variant>
      <vt:variant>
        <vt:i4>6225940</vt:i4>
      </vt:variant>
      <vt:variant>
        <vt:i4>18</vt:i4>
      </vt:variant>
      <vt:variant>
        <vt:i4>0</vt:i4>
      </vt:variant>
      <vt:variant>
        <vt:i4>5</vt:i4>
      </vt:variant>
      <vt:variant>
        <vt:lpwstr>https://www.cbd.int/documents/CBD/CP/MOP/12/5</vt:lpwstr>
      </vt:variant>
      <vt:variant>
        <vt:lpwstr/>
      </vt:variant>
      <vt:variant>
        <vt:i4>7274535</vt:i4>
      </vt:variant>
      <vt:variant>
        <vt:i4>15</vt:i4>
      </vt:variant>
      <vt:variant>
        <vt:i4>0</vt:i4>
      </vt:variant>
      <vt:variant>
        <vt:i4>5</vt:i4>
      </vt:variant>
      <vt:variant>
        <vt:lpwstr>https://www.cbd.int/documents/CBD/COP/17/4</vt:lpwstr>
      </vt:variant>
      <vt:variant>
        <vt:lpwstr/>
      </vt:variant>
      <vt:variant>
        <vt:i4>4390916</vt:i4>
      </vt:variant>
      <vt:variant>
        <vt:i4>9</vt:i4>
      </vt:variant>
      <vt:variant>
        <vt:i4>0</vt:i4>
      </vt:variant>
      <vt:variant>
        <vt:i4>5</vt:i4>
      </vt:variant>
      <vt:variant>
        <vt:lpwstr>https://www.cbd.int/documents/CBD/NP/MOP/6/4</vt:lpwstr>
      </vt:variant>
      <vt:variant>
        <vt:lpwstr/>
      </vt:variant>
      <vt:variant>
        <vt:i4>6225940</vt:i4>
      </vt:variant>
      <vt:variant>
        <vt:i4>6</vt:i4>
      </vt:variant>
      <vt:variant>
        <vt:i4>0</vt:i4>
      </vt:variant>
      <vt:variant>
        <vt:i4>5</vt:i4>
      </vt:variant>
      <vt:variant>
        <vt:lpwstr>https://www.cbd.int/documents/CBD/CP/MOP/12/4</vt:lpwstr>
      </vt:variant>
      <vt:variant>
        <vt:lpwstr/>
      </vt:variant>
      <vt:variant>
        <vt:i4>6815783</vt:i4>
      </vt:variant>
      <vt:variant>
        <vt:i4>3</vt:i4>
      </vt:variant>
      <vt:variant>
        <vt:i4>0</vt:i4>
      </vt:variant>
      <vt:variant>
        <vt:i4>5</vt:i4>
      </vt:variant>
      <vt:variant>
        <vt:lpwstr>https://www.cbd.int/documents/CBD/COP/17/3</vt:lpwstr>
      </vt:variant>
      <vt:variant>
        <vt:lpwstr/>
      </vt:variant>
      <vt:variant>
        <vt:i4>3342446</vt:i4>
      </vt:variant>
      <vt:variant>
        <vt:i4>27</vt:i4>
      </vt:variant>
      <vt:variant>
        <vt:i4>0</vt:i4>
      </vt:variant>
      <vt:variant>
        <vt:i4>5</vt:i4>
      </vt:variant>
      <vt:variant>
        <vt:lpwstr>https://www.cbd.int/decisions/?id=11677</vt:lpwstr>
      </vt:variant>
      <vt:variant>
        <vt:lpwstr/>
      </vt:variant>
      <vt:variant>
        <vt:i4>983049</vt:i4>
      </vt:variant>
      <vt:variant>
        <vt:i4>24</vt:i4>
      </vt:variant>
      <vt:variant>
        <vt:i4>0</vt:i4>
      </vt:variant>
      <vt:variant>
        <vt:i4>5</vt:i4>
      </vt:variant>
      <vt:variant>
        <vt:lpwstr>https://www.cbd.int/documents/CBD/SBI/6/INF/9</vt:lpwstr>
      </vt:variant>
      <vt:variant>
        <vt:lpwstr/>
      </vt:variant>
      <vt:variant>
        <vt:i4>6946924</vt:i4>
      </vt:variant>
      <vt:variant>
        <vt:i4>21</vt:i4>
      </vt:variant>
      <vt:variant>
        <vt:i4>0</vt:i4>
      </vt:variant>
      <vt:variant>
        <vt:i4>5</vt:i4>
      </vt:variant>
      <vt:variant>
        <vt:lpwstr>https://www.cbd.int/documents/CBD/COP/17/4/ADD1</vt:lpwstr>
      </vt:variant>
      <vt:variant>
        <vt:lpwstr/>
      </vt:variant>
      <vt:variant>
        <vt:i4>3997739</vt:i4>
      </vt:variant>
      <vt:variant>
        <vt:i4>18</vt:i4>
      </vt:variant>
      <vt:variant>
        <vt:i4>0</vt:i4>
      </vt:variant>
      <vt:variant>
        <vt:i4>5</vt:i4>
      </vt:variant>
      <vt:variant>
        <vt:lpwstr>https://www.cbd.int/information/adm-fin</vt:lpwstr>
      </vt:variant>
      <vt:variant>
        <vt:lpwstr/>
      </vt:variant>
      <vt:variant>
        <vt:i4>4653135</vt:i4>
      </vt:variant>
      <vt:variant>
        <vt:i4>15</vt:i4>
      </vt:variant>
      <vt:variant>
        <vt:i4>0</vt:i4>
      </vt:variant>
      <vt:variant>
        <vt:i4>5</vt:i4>
      </vt:variant>
      <vt:variant>
        <vt:lpwstr>https://www.cbd.int/documents/CBD/NP/MOP/6/5/ADD1</vt:lpwstr>
      </vt:variant>
      <vt:variant>
        <vt:lpwstr/>
      </vt:variant>
      <vt:variant>
        <vt:i4>2424868</vt:i4>
      </vt:variant>
      <vt:variant>
        <vt:i4>12</vt:i4>
      </vt:variant>
      <vt:variant>
        <vt:i4>0</vt:i4>
      </vt:variant>
      <vt:variant>
        <vt:i4>5</vt:i4>
      </vt:variant>
      <vt:variant>
        <vt:lpwstr>https://www.cbd.int/documents/CBD/CP/MOP/12/5/ADD1</vt:lpwstr>
      </vt:variant>
      <vt:variant>
        <vt:lpwstr/>
      </vt:variant>
      <vt:variant>
        <vt:i4>6946924</vt:i4>
      </vt:variant>
      <vt:variant>
        <vt:i4>9</vt:i4>
      </vt:variant>
      <vt:variant>
        <vt:i4>0</vt:i4>
      </vt:variant>
      <vt:variant>
        <vt:i4>5</vt:i4>
      </vt:variant>
      <vt:variant>
        <vt:lpwstr>https://www.cbd.int/documents/CBD/COP/17/4/ADD2</vt:lpwstr>
      </vt:variant>
      <vt:variant>
        <vt:lpwstr/>
      </vt:variant>
      <vt:variant>
        <vt:i4>4587524</vt:i4>
      </vt:variant>
      <vt:variant>
        <vt:i4>6</vt:i4>
      </vt:variant>
      <vt:variant>
        <vt:i4>0</vt:i4>
      </vt:variant>
      <vt:variant>
        <vt:i4>5</vt:i4>
      </vt:variant>
      <vt:variant>
        <vt:lpwstr>https://www.cbd.int/documents/CBD/NP/MOP/6/1</vt:lpwstr>
      </vt:variant>
      <vt:variant>
        <vt:lpwstr/>
      </vt:variant>
      <vt:variant>
        <vt:i4>6225940</vt:i4>
      </vt:variant>
      <vt:variant>
        <vt:i4>3</vt:i4>
      </vt:variant>
      <vt:variant>
        <vt:i4>0</vt:i4>
      </vt:variant>
      <vt:variant>
        <vt:i4>5</vt:i4>
      </vt:variant>
      <vt:variant>
        <vt:lpwstr>https://www.cbd.int/documents/CBD/CP/MOP/12/1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information on administrative and budgetary matters</dc:title>
  <dc:subject>CBD/COP/17/4/Add.5-CBD/CP/MOP/12/5/Add.2-CBD/NP/MOP/6/5/Add.2</dc:subject>
  <dc:creator>CBD</dc:creator>
  <cp:keywords>Convention on Biological Diversity</cp:keywords>
  <cp:lastModifiedBy>Giovanna Sabatini</cp:lastModifiedBy>
  <cp:revision>4</cp:revision>
  <cp:lastPrinted>2026-10-01T19:01:00Z</cp:lastPrinted>
  <dcterms:created xsi:type="dcterms:W3CDTF">2026-10-09T18:08:00Z</dcterms:created>
  <dcterms:modified xsi:type="dcterms:W3CDTF">2026-10-09T20:50:00Z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