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1"/>
        <w:gridCol w:w="4089"/>
      </w:tblGrid>
      <w:tr w:rsidR="00C9161D" w:rsidRPr="009F1A4D" w:rsidTr="009F1A4D">
        <w:trPr>
          <w:trHeight w:val="851"/>
        </w:trPr>
        <w:tc>
          <w:tcPr>
            <w:tcW w:w="977" w:type="dxa"/>
            <w:tcBorders>
              <w:bottom w:val="single" w:sz="12" w:space="0" w:color="auto"/>
            </w:tcBorders>
          </w:tcPr>
          <w:p w:rsidR="00C9161D" w:rsidRPr="009F1A4D" w:rsidRDefault="00C9161D" w:rsidP="00321985">
            <w:pPr>
              <w:rPr>
                <w:lang w:val="fr-CA"/>
              </w:rPr>
            </w:pPr>
            <w:r w:rsidRPr="009F1A4D">
              <w:rPr>
                <w:noProof/>
                <w:lang w:val="fr-CA" w:eastAsia="fr-CA"/>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FA663B" w:rsidRPr="009F1A4D" w:rsidRDefault="004244C9" w:rsidP="00321985">
            <w:pPr>
              <w:rPr>
                <w:lang w:val="fr-CA"/>
              </w:rPr>
            </w:pPr>
            <w:r w:rsidRPr="004244C9">
              <w:rPr>
                <w:noProof/>
                <w:lang w:val="fr-CA" w:eastAsia="fr-CA"/>
              </w:rPr>
              <w:drawing>
                <wp:inline distT="0" distB="0" distL="0" distR="0">
                  <wp:extent cx="593090" cy="340360"/>
                  <wp:effectExtent l="0" t="0" r="0" b="0"/>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090" cy="340360"/>
                          </a:xfrm>
                          <a:prstGeom prst="rect">
                            <a:avLst/>
                          </a:prstGeom>
                          <a:noFill/>
                          <a:ln>
                            <a:noFill/>
                          </a:ln>
                        </pic:spPr>
                      </pic:pic>
                    </a:graphicData>
                  </a:graphic>
                </wp:inline>
              </w:drawing>
            </w:r>
          </w:p>
        </w:tc>
        <w:tc>
          <w:tcPr>
            <w:tcW w:w="4089" w:type="dxa"/>
            <w:tcBorders>
              <w:bottom w:val="single" w:sz="12" w:space="0" w:color="auto"/>
            </w:tcBorders>
          </w:tcPr>
          <w:p w:rsidR="00C9161D" w:rsidRPr="009F1A4D" w:rsidRDefault="00C9161D" w:rsidP="00C9161D">
            <w:pPr>
              <w:jc w:val="right"/>
              <w:rPr>
                <w:rFonts w:ascii="Arial" w:hAnsi="Arial" w:cs="Arial"/>
                <w:b/>
                <w:sz w:val="32"/>
                <w:szCs w:val="32"/>
                <w:lang w:val="fr-CA"/>
              </w:rPr>
            </w:pPr>
            <w:r w:rsidRPr="009F1A4D">
              <w:rPr>
                <w:rFonts w:ascii="Arial" w:hAnsi="Arial" w:cs="Arial"/>
                <w:b/>
                <w:sz w:val="32"/>
                <w:szCs w:val="32"/>
                <w:lang w:val="fr-CA"/>
              </w:rPr>
              <w:t>CBD</w:t>
            </w:r>
          </w:p>
        </w:tc>
      </w:tr>
      <w:tr w:rsidR="00C9161D" w:rsidRPr="009F1A4D" w:rsidTr="009F1A4D">
        <w:tc>
          <w:tcPr>
            <w:tcW w:w="6118" w:type="dxa"/>
            <w:gridSpan w:val="2"/>
            <w:tcBorders>
              <w:top w:val="single" w:sz="12" w:space="0" w:color="auto"/>
              <w:bottom w:val="single" w:sz="36" w:space="0" w:color="auto"/>
            </w:tcBorders>
            <w:vAlign w:val="center"/>
          </w:tcPr>
          <w:p w:rsidR="00C9161D" w:rsidRPr="009F1A4D" w:rsidRDefault="009F1A4D" w:rsidP="00C9161D">
            <w:pPr>
              <w:rPr>
                <w:lang w:val="fr-CA"/>
              </w:rPr>
            </w:pPr>
            <w:r w:rsidRPr="009F1A4D">
              <w:rPr>
                <w:noProof/>
                <w:lang w:val="fr-CA" w:eastAsia="fr-CA"/>
              </w:rPr>
              <w:drawing>
                <wp:inline distT="0" distB="0" distL="0" distR="0">
                  <wp:extent cx="2358390" cy="939800"/>
                  <wp:effectExtent l="0" t="0" r="0" b="0"/>
                  <wp:docPr id="3" name="Image 3" descr="CBD_logo_fr-CMYK-black [Conver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BD_logo_fr-CMYK-black [Converted]"/>
                          <pic:cNvPicPr>
                            <a:picLocks/>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58390" cy="939800"/>
                          </a:xfrm>
                          <a:prstGeom prst="rect">
                            <a:avLst/>
                          </a:prstGeom>
                          <a:noFill/>
                          <a:ln>
                            <a:noFill/>
                          </a:ln>
                        </pic:spPr>
                      </pic:pic>
                    </a:graphicData>
                  </a:graphic>
                </wp:inline>
              </w:drawing>
            </w:r>
          </w:p>
        </w:tc>
        <w:tc>
          <w:tcPr>
            <w:tcW w:w="4089" w:type="dxa"/>
            <w:tcBorders>
              <w:top w:val="single" w:sz="12" w:space="0" w:color="auto"/>
              <w:bottom w:val="single" w:sz="36" w:space="0" w:color="auto"/>
            </w:tcBorders>
          </w:tcPr>
          <w:p w:rsidR="00C9161D" w:rsidRPr="009F1A4D" w:rsidRDefault="00C9161D" w:rsidP="00176CEE">
            <w:pPr>
              <w:ind w:left="1215"/>
              <w:rPr>
                <w:noProof/>
                <w:szCs w:val="22"/>
                <w:lang w:val="fr-CA"/>
              </w:rPr>
            </w:pPr>
            <w:r w:rsidRPr="009F1A4D">
              <w:rPr>
                <w:noProof/>
                <w:szCs w:val="22"/>
                <w:lang w:val="fr-CA"/>
              </w:rPr>
              <w:t>Distr.</w:t>
            </w:r>
          </w:p>
          <w:p w:rsidR="00C9161D" w:rsidRPr="009F1A4D" w:rsidRDefault="00B26ACD" w:rsidP="00176CEE">
            <w:pPr>
              <w:ind w:left="1215"/>
              <w:rPr>
                <w:noProof/>
                <w:szCs w:val="22"/>
                <w:lang w:val="fr-CA"/>
              </w:rPr>
            </w:pPr>
            <w:r w:rsidRPr="009F1A4D">
              <w:rPr>
                <w:caps/>
                <w:noProof/>
                <w:szCs w:val="22"/>
                <w:lang w:val="fr-CA"/>
              </w:rPr>
              <w:t>LIMIT</w:t>
            </w:r>
            <w:r w:rsidR="009F1A4D">
              <w:rPr>
                <w:caps/>
                <w:noProof/>
                <w:szCs w:val="22"/>
                <w:lang w:val="fr-CA"/>
              </w:rPr>
              <w:t>ÉE</w:t>
            </w:r>
          </w:p>
          <w:p w:rsidR="00C9161D" w:rsidRPr="009F1A4D" w:rsidRDefault="00C9161D" w:rsidP="00176CEE">
            <w:pPr>
              <w:ind w:left="1215"/>
              <w:rPr>
                <w:noProof/>
                <w:szCs w:val="22"/>
                <w:lang w:val="fr-CA"/>
              </w:rPr>
            </w:pPr>
          </w:p>
          <w:p w:rsidR="00C9161D" w:rsidRPr="009F1A4D" w:rsidRDefault="00A82160" w:rsidP="00176CEE">
            <w:pPr>
              <w:ind w:left="1215"/>
              <w:rPr>
                <w:noProof/>
                <w:szCs w:val="22"/>
                <w:lang w:val="fr-CA"/>
              </w:rPr>
            </w:pPr>
            <w:sdt>
              <w:sdtPr>
                <w:rPr>
                  <w:noProof/>
                  <w:lang w:val="fr-CA"/>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sidR="0030169D" w:rsidRPr="009F1A4D">
                  <w:rPr>
                    <w:noProof/>
                    <w:lang w:val="fr-CA"/>
                  </w:rPr>
                  <w:t>CBD/</w:t>
                </w:r>
                <w:r w:rsidR="00937130" w:rsidRPr="009F1A4D">
                  <w:rPr>
                    <w:noProof/>
                    <w:lang w:val="fr-CA"/>
                  </w:rPr>
                  <w:t>COP/15/</w:t>
                </w:r>
                <w:r w:rsidR="00B26ACD" w:rsidRPr="009F1A4D">
                  <w:rPr>
                    <w:noProof/>
                    <w:lang w:val="fr-CA"/>
                  </w:rPr>
                  <w:t>L.</w:t>
                </w:r>
                <w:r w:rsidR="0033506D" w:rsidRPr="009F1A4D">
                  <w:rPr>
                    <w:noProof/>
                    <w:lang w:val="fr-CA"/>
                  </w:rPr>
                  <w:t>3</w:t>
                </w:r>
              </w:sdtContent>
            </w:sdt>
          </w:p>
          <w:p w:rsidR="00C9161D" w:rsidRPr="009F1A4D" w:rsidRDefault="009F1A4D" w:rsidP="00176CEE">
            <w:pPr>
              <w:ind w:left="1215"/>
              <w:rPr>
                <w:szCs w:val="22"/>
                <w:lang w:val="fr-CA"/>
              </w:rPr>
            </w:pPr>
            <w:r>
              <w:rPr>
                <w:szCs w:val="22"/>
                <w:lang w:val="fr-CA"/>
              </w:rPr>
              <w:t>9 décembre </w:t>
            </w:r>
            <w:r w:rsidR="00F6586C" w:rsidRPr="009F1A4D">
              <w:rPr>
                <w:szCs w:val="22"/>
                <w:lang w:val="fr-CA"/>
              </w:rPr>
              <w:t>20</w:t>
            </w:r>
            <w:r w:rsidR="00FC25F8" w:rsidRPr="009F1A4D">
              <w:rPr>
                <w:szCs w:val="22"/>
                <w:lang w:val="fr-CA"/>
              </w:rPr>
              <w:t>2</w:t>
            </w:r>
            <w:r w:rsidR="00B26ACD" w:rsidRPr="009F1A4D">
              <w:rPr>
                <w:szCs w:val="22"/>
                <w:lang w:val="fr-CA"/>
              </w:rPr>
              <w:t>2</w:t>
            </w:r>
          </w:p>
          <w:p w:rsidR="00C9161D" w:rsidRPr="009F1A4D" w:rsidRDefault="00C9161D" w:rsidP="00176CEE">
            <w:pPr>
              <w:ind w:left="1215"/>
              <w:rPr>
                <w:szCs w:val="22"/>
                <w:lang w:val="fr-CA"/>
              </w:rPr>
            </w:pPr>
          </w:p>
          <w:p w:rsidR="009F1A4D" w:rsidRPr="005212C7" w:rsidRDefault="009F1A4D" w:rsidP="009F1A4D">
            <w:pPr>
              <w:ind w:left="1215"/>
              <w:rPr>
                <w:szCs w:val="22"/>
                <w:lang w:val="fr-CA"/>
              </w:rPr>
            </w:pPr>
            <w:r w:rsidRPr="005212C7">
              <w:rPr>
                <w:szCs w:val="22"/>
                <w:lang w:val="fr-CA"/>
              </w:rPr>
              <w:t>FRANÇAIS</w:t>
            </w:r>
          </w:p>
          <w:p w:rsidR="00C9161D" w:rsidRPr="009F1A4D" w:rsidRDefault="009F1A4D" w:rsidP="009F1A4D">
            <w:pPr>
              <w:ind w:left="1215"/>
              <w:rPr>
                <w:szCs w:val="22"/>
                <w:lang w:val="fr-CA"/>
              </w:rPr>
            </w:pPr>
            <w:r w:rsidRPr="005212C7">
              <w:rPr>
                <w:szCs w:val="22"/>
                <w:lang w:val="fr-CA"/>
              </w:rPr>
              <w:t>ORIGINAL</w:t>
            </w:r>
            <w:r>
              <w:rPr>
                <w:szCs w:val="22"/>
                <w:lang w:val="fr-CA"/>
              </w:rPr>
              <w:t> :</w:t>
            </w:r>
            <w:r w:rsidRPr="005212C7">
              <w:rPr>
                <w:szCs w:val="22"/>
                <w:lang w:val="fr-CA"/>
              </w:rPr>
              <w:t xml:space="preserve"> ANGLAIS</w:t>
            </w:r>
          </w:p>
          <w:p w:rsidR="00C9161D" w:rsidRPr="009F1A4D" w:rsidRDefault="00C9161D">
            <w:pPr>
              <w:rPr>
                <w:lang w:val="fr-CA"/>
              </w:rPr>
            </w:pPr>
          </w:p>
        </w:tc>
      </w:tr>
    </w:tbl>
    <w:p w:rsidR="003B7BB2" w:rsidRPr="009F1A4D" w:rsidRDefault="009F1A4D" w:rsidP="003B7BB2">
      <w:pPr>
        <w:pStyle w:val="Cornernotation"/>
        <w:kinsoku w:val="0"/>
        <w:overflowPunct w:val="0"/>
        <w:autoSpaceDE w:val="0"/>
        <w:autoSpaceDN w:val="0"/>
        <w:spacing w:before="60"/>
        <w:ind w:left="227" w:right="4302" w:hanging="227"/>
        <w:rPr>
          <w:snapToGrid w:val="0"/>
          <w:kern w:val="22"/>
          <w:lang w:val="fr-CA"/>
        </w:rPr>
      </w:pPr>
      <w:r w:rsidRPr="005212C7">
        <w:rPr>
          <w:lang w:val="fr-CA"/>
        </w:rPr>
        <w:t>CONFÉRENCE DES PARTIES À LA CONVENTION SUR LA DIVERSITÉ BIOLOGIQUE</w:t>
      </w:r>
    </w:p>
    <w:p w:rsidR="003B7BB2" w:rsidRPr="009F1A4D" w:rsidRDefault="009F1A4D" w:rsidP="003B7BB2">
      <w:pPr>
        <w:pStyle w:val="Cornernotation"/>
        <w:kinsoku w:val="0"/>
        <w:overflowPunct w:val="0"/>
        <w:autoSpaceDE w:val="0"/>
        <w:autoSpaceDN w:val="0"/>
        <w:ind w:left="0" w:right="4512" w:firstLine="0"/>
        <w:rPr>
          <w:snapToGrid w:val="0"/>
          <w:kern w:val="22"/>
          <w:lang w:val="fr-CA"/>
        </w:rPr>
      </w:pPr>
      <w:r w:rsidRPr="005212C7">
        <w:rPr>
          <w:lang w:val="fr-CA"/>
        </w:rPr>
        <w:t>Quinzième réunion</w:t>
      </w:r>
      <w:r w:rsidRPr="009F1A4D">
        <w:rPr>
          <w:snapToGrid w:val="0"/>
          <w:kern w:val="22"/>
          <w:lang w:val="fr-CA"/>
        </w:rPr>
        <w:t xml:space="preserve"> </w:t>
      </w:r>
      <w:r w:rsidR="00B26ACD" w:rsidRPr="009F1A4D">
        <w:rPr>
          <w:snapToGrid w:val="0"/>
          <w:kern w:val="22"/>
          <w:lang w:val="fr-CA"/>
        </w:rPr>
        <w:t>– Part</w:t>
      </w:r>
      <w:r>
        <w:rPr>
          <w:snapToGrid w:val="0"/>
          <w:kern w:val="22"/>
          <w:lang w:val="fr-CA"/>
        </w:rPr>
        <w:t>ie </w:t>
      </w:r>
      <w:r w:rsidR="00B26ACD" w:rsidRPr="009F1A4D">
        <w:rPr>
          <w:snapToGrid w:val="0"/>
          <w:kern w:val="22"/>
          <w:lang w:val="fr-CA"/>
        </w:rPr>
        <w:t>II</w:t>
      </w:r>
    </w:p>
    <w:p w:rsidR="003B7BB2" w:rsidRPr="009F1A4D" w:rsidRDefault="009F1A4D" w:rsidP="00AD7FFC">
      <w:pPr>
        <w:pStyle w:val="Cornernotation"/>
        <w:kinsoku w:val="0"/>
        <w:overflowPunct w:val="0"/>
        <w:autoSpaceDE w:val="0"/>
        <w:autoSpaceDN w:val="0"/>
        <w:ind w:left="227" w:right="4512" w:hanging="227"/>
        <w:rPr>
          <w:snapToGrid w:val="0"/>
          <w:kern w:val="22"/>
          <w:szCs w:val="22"/>
          <w:lang w:val="fr-CA" w:eastAsia="nb-NO"/>
        </w:rPr>
      </w:pPr>
      <w:r>
        <w:rPr>
          <w:snapToGrid w:val="0"/>
          <w:kern w:val="22"/>
          <w:szCs w:val="22"/>
          <w:lang w:val="fr-CA" w:eastAsia="nb-NO"/>
        </w:rPr>
        <w:t>Montréal</w:t>
      </w:r>
      <w:r w:rsidR="00B26ACD" w:rsidRPr="009F1A4D">
        <w:rPr>
          <w:snapToGrid w:val="0"/>
          <w:kern w:val="22"/>
          <w:szCs w:val="22"/>
          <w:lang w:val="fr-CA" w:eastAsia="nb-NO"/>
        </w:rPr>
        <w:t xml:space="preserve"> </w:t>
      </w:r>
      <w:r>
        <w:rPr>
          <w:snapToGrid w:val="0"/>
          <w:kern w:val="22"/>
          <w:szCs w:val="22"/>
          <w:lang w:val="fr-CA" w:eastAsia="nb-NO"/>
        </w:rPr>
        <w:t>(</w:t>
      </w:r>
      <w:r w:rsidR="00B26ACD" w:rsidRPr="009F1A4D">
        <w:rPr>
          <w:snapToGrid w:val="0"/>
          <w:kern w:val="22"/>
          <w:szCs w:val="22"/>
          <w:lang w:val="fr-CA" w:eastAsia="nb-NO"/>
        </w:rPr>
        <w:t>Canada</w:t>
      </w:r>
      <w:r>
        <w:rPr>
          <w:snapToGrid w:val="0"/>
          <w:kern w:val="22"/>
          <w:szCs w:val="22"/>
          <w:lang w:val="fr-CA" w:eastAsia="nb-NO"/>
        </w:rPr>
        <w:t>), 7</w:t>
      </w:r>
      <w:r w:rsidR="003D668C">
        <w:rPr>
          <w:snapToGrid w:val="0"/>
          <w:kern w:val="22"/>
          <w:szCs w:val="22"/>
          <w:lang w:val="fr-CA" w:eastAsia="nb-NO"/>
        </w:rPr>
        <w:noBreakHyphen/>
      </w:r>
      <w:r>
        <w:rPr>
          <w:snapToGrid w:val="0"/>
          <w:kern w:val="22"/>
          <w:szCs w:val="22"/>
          <w:lang w:val="fr-CA" w:eastAsia="nb-NO"/>
        </w:rPr>
        <w:t>19 décembre </w:t>
      </w:r>
      <w:r w:rsidR="00B26ACD" w:rsidRPr="009F1A4D">
        <w:rPr>
          <w:snapToGrid w:val="0"/>
          <w:kern w:val="22"/>
          <w:szCs w:val="22"/>
          <w:lang w:val="fr-CA" w:eastAsia="nb-NO"/>
        </w:rPr>
        <w:t>2022</w:t>
      </w:r>
    </w:p>
    <w:p w:rsidR="00C9161D" w:rsidRPr="009F1A4D" w:rsidRDefault="009F1A4D" w:rsidP="00C9161D">
      <w:pPr>
        <w:rPr>
          <w:snapToGrid w:val="0"/>
          <w:kern w:val="22"/>
          <w:szCs w:val="22"/>
          <w:lang w:val="fr-CA"/>
        </w:rPr>
      </w:pPr>
      <w:r>
        <w:rPr>
          <w:snapToGrid w:val="0"/>
          <w:kern w:val="22"/>
          <w:szCs w:val="22"/>
          <w:lang w:val="fr-CA"/>
        </w:rPr>
        <w:t>Point </w:t>
      </w:r>
      <w:r w:rsidRPr="007944F4">
        <w:rPr>
          <w:snapToGrid w:val="0"/>
          <w:kern w:val="22"/>
          <w:szCs w:val="22"/>
          <w:lang w:val="fr-CA"/>
        </w:rPr>
        <w:t xml:space="preserve">8A </w:t>
      </w:r>
      <w:r>
        <w:rPr>
          <w:snapToGrid w:val="0"/>
          <w:kern w:val="22"/>
          <w:szCs w:val="22"/>
          <w:lang w:val="fr-CA"/>
        </w:rPr>
        <w:t>de l</w:t>
      </w:r>
      <w:r w:rsidR="003D668C">
        <w:rPr>
          <w:snapToGrid w:val="0"/>
          <w:kern w:val="22"/>
          <w:szCs w:val="22"/>
          <w:lang w:val="fr-CA"/>
        </w:rPr>
        <w:t>’</w:t>
      </w:r>
      <w:r>
        <w:rPr>
          <w:snapToGrid w:val="0"/>
          <w:kern w:val="22"/>
          <w:szCs w:val="22"/>
          <w:lang w:val="fr-CA"/>
        </w:rPr>
        <w:t>ordre du jour</w:t>
      </w:r>
    </w:p>
    <w:p w:rsidR="00836DFD" w:rsidRPr="009F1A4D" w:rsidRDefault="00836DFD" w:rsidP="00C9161D">
      <w:pPr>
        <w:rPr>
          <w:lang w:val="fr-CA"/>
        </w:rPr>
      </w:pPr>
    </w:p>
    <w:p w:rsidR="00836DFD" w:rsidRPr="009F1A4D" w:rsidRDefault="009F1A4D" w:rsidP="00836DFD">
      <w:pPr>
        <w:spacing w:before="120" w:after="240"/>
        <w:jc w:val="center"/>
        <w:rPr>
          <w:rStyle w:val="Heading1Char"/>
          <w:lang w:val="fr-CA"/>
        </w:rPr>
      </w:pPr>
      <w:r w:rsidRPr="007E7AE9">
        <w:rPr>
          <w:b/>
          <w:lang w:val="fr-CA"/>
        </w:rPr>
        <w:t>ÉCLAIRER LA BASE DE PREUVES SCIENTIFIQUES ET TECHNIQUES POUR LE CADRE MONDIAL DE LA BIODIVERSITÉ POUR L</w:t>
      </w:r>
      <w:r w:rsidR="003D668C">
        <w:rPr>
          <w:b/>
          <w:lang w:val="fr-CA"/>
        </w:rPr>
        <w:t>’</w:t>
      </w:r>
      <w:r w:rsidRPr="007E7AE9">
        <w:rPr>
          <w:b/>
          <w:lang w:val="fr-CA"/>
        </w:rPr>
        <w:t>APRÈS</w:t>
      </w:r>
      <w:r w:rsidR="003D668C">
        <w:rPr>
          <w:b/>
          <w:lang w:val="fr-CA"/>
        </w:rPr>
        <w:noBreakHyphen/>
      </w:r>
      <w:r w:rsidRPr="007E7AE9">
        <w:rPr>
          <w:b/>
          <w:lang w:val="fr-CA"/>
        </w:rPr>
        <w:t>2020</w:t>
      </w:r>
    </w:p>
    <w:p w:rsidR="00836DFD" w:rsidRPr="009F1A4D" w:rsidRDefault="009F1A4D" w:rsidP="00836DFD">
      <w:pPr>
        <w:spacing w:before="120" w:after="240"/>
        <w:jc w:val="center"/>
        <w:rPr>
          <w:lang w:val="fr-CA"/>
        </w:rPr>
      </w:pPr>
      <w:r w:rsidRPr="007E7AE9">
        <w:rPr>
          <w:b/>
          <w:szCs w:val="22"/>
          <w:lang w:val="fr-CA"/>
        </w:rPr>
        <w:t>Projet de décision proposé par le président</w:t>
      </w:r>
      <w:r>
        <w:rPr>
          <w:b/>
          <w:szCs w:val="22"/>
          <w:lang w:val="fr-CA"/>
        </w:rPr>
        <w:t xml:space="preserve"> du Groupe de travail I</w:t>
      </w:r>
    </w:p>
    <w:p w:rsidR="00836DFD" w:rsidRPr="009F1A4D" w:rsidRDefault="00FD2789" w:rsidP="00836DFD">
      <w:pPr>
        <w:pStyle w:val="Para1"/>
        <w:numPr>
          <w:ilvl w:val="0"/>
          <w:numId w:val="0"/>
        </w:numPr>
        <w:suppressLineNumbers/>
        <w:suppressAutoHyphens/>
        <w:ind w:firstLine="720"/>
        <w:rPr>
          <w:i/>
          <w:kern w:val="22"/>
          <w:szCs w:val="22"/>
          <w:lang w:val="fr-CA" w:eastAsia="ja-JP"/>
        </w:rPr>
      </w:pPr>
      <w:r w:rsidRPr="006E78A2">
        <w:rPr>
          <w:i/>
          <w:kern w:val="22"/>
          <w:szCs w:val="22"/>
          <w:lang w:val="fr-FR" w:eastAsia="ja-JP"/>
        </w:rPr>
        <w:t>La Conférence des Parties</w:t>
      </w:r>
    </w:p>
    <w:p w:rsidR="00836DFD" w:rsidRPr="009F1A4D" w:rsidRDefault="00836DFD" w:rsidP="00836DFD">
      <w:pPr>
        <w:pStyle w:val="Para1"/>
        <w:numPr>
          <w:ilvl w:val="0"/>
          <w:numId w:val="0"/>
        </w:numPr>
        <w:suppressLineNumbers/>
        <w:suppressAutoHyphens/>
        <w:ind w:firstLine="709"/>
        <w:rPr>
          <w:i/>
          <w:kern w:val="22"/>
          <w:szCs w:val="22"/>
          <w:lang w:val="fr-CA"/>
        </w:rPr>
      </w:pPr>
      <w:r w:rsidRPr="009F1A4D">
        <w:rPr>
          <w:iCs/>
          <w:kern w:val="22"/>
          <w:szCs w:val="22"/>
          <w:lang w:val="fr-CA"/>
        </w:rPr>
        <w:t>1.</w:t>
      </w:r>
      <w:r w:rsidRPr="009F1A4D">
        <w:rPr>
          <w:i/>
          <w:kern w:val="22"/>
          <w:szCs w:val="22"/>
          <w:lang w:val="fr-CA"/>
        </w:rPr>
        <w:tab/>
      </w:r>
      <w:r w:rsidR="00FD2789" w:rsidRPr="006E78A2">
        <w:rPr>
          <w:i/>
          <w:noProof/>
          <w:kern w:val="22"/>
          <w:szCs w:val="22"/>
          <w:lang w:val="fr-FR" w:bidi="fr-FR"/>
        </w:rPr>
        <w:t xml:space="preserve">Se félicite </w:t>
      </w:r>
      <w:r w:rsidR="00FD2789" w:rsidRPr="006E78A2">
        <w:rPr>
          <w:noProof/>
          <w:kern w:val="22"/>
          <w:szCs w:val="22"/>
          <w:lang w:val="fr-FR" w:bidi="fr-FR"/>
        </w:rPr>
        <w:t xml:space="preserve">du </w:t>
      </w:r>
      <w:r w:rsidR="00FD2789" w:rsidRPr="006E78A2">
        <w:rPr>
          <w:i/>
          <w:noProof/>
          <w:kern w:val="22"/>
          <w:szCs w:val="22"/>
          <w:lang w:val="fr-FR" w:bidi="fr-FR"/>
        </w:rPr>
        <w:t>Rapport sur l</w:t>
      </w:r>
      <w:r w:rsidR="003D668C">
        <w:rPr>
          <w:i/>
          <w:noProof/>
          <w:kern w:val="22"/>
          <w:szCs w:val="22"/>
          <w:lang w:val="fr-FR" w:bidi="fr-FR"/>
        </w:rPr>
        <w:t>’</w:t>
      </w:r>
      <w:r w:rsidR="00FD2789" w:rsidRPr="006E78A2">
        <w:rPr>
          <w:i/>
          <w:noProof/>
          <w:kern w:val="22"/>
          <w:szCs w:val="22"/>
          <w:lang w:val="fr-FR" w:bidi="fr-FR"/>
        </w:rPr>
        <w:t>Évaluation mondiale de la biodiversité et des services écosystémiques</w:t>
      </w:r>
      <w:r w:rsidR="00FD2789" w:rsidRPr="006E78A2">
        <w:rPr>
          <w:noProof/>
          <w:kern w:val="22"/>
          <w:szCs w:val="22"/>
          <w:lang w:val="fr-FR" w:bidi="fr-FR"/>
        </w:rPr>
        <w:t xml:space="preserve"> publié par la Plateforme intergouvernementale scientifique et politique sur la biodiversité et les services écosystémiques</w:t>
      </w:r>
      <w:r w:rsidR="00FD2789" w:rsidRPr="006E78A2">
        <w:rPr>
          <w:rStyle w:val="FootnoteReference"/>
          <w:kern w:val="22"/>
          <w:szCs w:val="22"/>
          <w:lang w:val="fr-FR"/>
        </w:rPr>
        <w:footnoteReference w:id="1"/>
      </w:r>
      <w:r w:rsidR="00FD2789" w:rsidRPr="006E78A2">
        <w:rPr>
          <w:kern w:val="22"/>
          <w:szCs w:val="22"/>
          <w:lang w:val="fr-FR" w:bidi="fr-FR"/>
        </w:rPr>
        <w:t>,</w:t>
      </w:r>
      <w:r w:rsidR="00FD2789" w:rsidRPr="006E78A2">
        <w:rPr>
          <w:kern w:val="22"/>
          <w:szCs w:val="22"/>
          <w:lang w:val="fr-FR"/>
        </w:rPr>
        <w:t xml:space="preserve"> et les évaluations régionales et thématiques connexes;</w:t>
      </w:r>
    </w:p>
    <w:p w:rsidR="00836DFD" w:rsidRPr="009F1A4D" w:rsidRDefault="00836DFD" w:rsidP="00836DFD">
      <w:pPr>
        <w:pStyle w:val="Para1"/>
        <w:numPr>
          <w:ilvl w:val="0"/>
          <w:numId w:val="0"/>
        </w:numPr>
        <w:suppressLineNumbers/>
        <w:suppressAutoHyphens/>
        <w:ind w:firstLine="709"/>
        <w:rPr>
          <w:kern w:val="22"/>
          <w:szCs w:val="22"/>
          <w:lang w:val="fr-CA"/>
        </w:rPr>
      </w:pPr>
      <w:r w:rsidRPr="009F1A4D">
        <w:rPr>
          <w:iCs/>
          <w:kern w:val="22"/>
          <w:szCs w:val="22"/>
          <w:lang w:val="fr-CA"/>
        </w:rPr>
        <w:t>2</w:t>
      </w:r>
      <w:r w:rsidRPr="009F1A4D">
        <w:rPr>
          <w:i/>
          <w:kern w:val="22"/>
          <w:szCs w:val="22"/>
          <w:lang w:val="fr-CA"/>
        </w:rPr>
        <w:t>.</w:t>
      </w:r>
      <w:r w:rsidRPr="009F1A4D">
        <w:rPr>
          <w:i/>
          <w:kern w:val="22"/>
          <w:szCs w:val="22"/>
          <w:lang w:val="fr-CA"/>
        </w:rPr>
        <w:tab/>
      </w:r>
      <w:r w:rsidR="00FD2789" w:rsidRPr="006E78A2">
        <w:rPr>
          <w:i/>
          <w:kern w:val="22"/>
          <w:szCs w:val="22"/>
          <w:lang w:val="fr-FR"/>
        </w:rPr>
        <w:t xml:space="preserve">Se félicite </w:t>
      </w:r>
      <w:r w:rsidR="00FD2789" w:rsidRPr="006E78A2">
        <w:rPr>
          <w:kern w:val="22"/>
          <w:szCs w:val="22"/>
          <w:lang w:val="fr-FR"/>
        </w:rPr>
        <w:t>des rapports spéciaux du Groupe d</w:t>
      </w:r>
      <w:r w:rsidR="003D668C">
        <w:rPr>
          <w:kern w:val="22"/>
          <w:szCs w:val="22"/>
          <w:lang w:val="fr-FR"/>
        </w:rPr>
        <w:t>’</w:t>
      </w:r>
      <w:r w:rsidR="00FD2789" w:rsidRPr="006E78A2">
        <w:rPr>
          <w:kern w:val="22"/>
          <w:szCs w:val="22"/>
          <w:lang w:val="fr-FR"/>
        </w:rPr>
        <w:t>experts intergouvernemental sur l</w:t>
      </w:r>
      <w:r w:rsidR="003D668C">
        <w:rPr>
          <w:kern w:val="22"/>
          <w:szCs w:val="22"/>
          <w:lang w:val="fr-FR"/>
        </w:rPr>
        <w:t>’</w:t>
      </w:r>
      <w:r w:rsidR="00FD2789" w:rsidRPr="006E78A2">
        <w:rPr>
          <w:kern w:val="22"/>
          <w:szCs w:val="22"/>
          <w:lang w:val="fr-FR"/>
        </w:rPr>
        <w:t>évolution du climat portant sur les conséquences d</w:t>
      </w:r>
      <w:r w:rsidR="003D668C">
        <w:rPr>
          <w:kern w:val="22"/>
          <w:szCs w:val="22"/>
          <w:lang w:val="fr-FR"/>
        </w:rPr>
        <w:t>’</w:t>
      </w:r>
      <w:r w:rsidR="00FD2789" w:rsidRPr="006E78A2">
        <w:rPr>
          <w:kern w:val="22"/>
          <w:szCs w:val="22"/>
          <w:lang w:val="fr-FR"/>
        </w:rPr>
        <w:t>un réchauffement planétaire de 1,5°C par rapport aux niveaux préindustriels et les trajectoires associées d</w:t>
      </w:r>
      <w:r w:rsidR="003D668C">
        <w:rPr>
          <w:kern w:val="22"/>
          <w:szCs w:val="22"/>
          <w:lang w:val="fr-FR"/>
        </w:rPr>
        <w:t>’</w:t>
      </w:r>
      <w:r w:rsidR="00FD2789" w:rsidRPr="006E78A2">
        <w:rPr>
          <w:kern w:val="22"/>
          <w:szCs w:val="22"/>
          <w:lang w:val="fr-FR"/>
        </w:rPr>
        <w:t>émissions mondiales de gaz à effet de serre, sur l</w:t>
      </w:r>
      <w:r w:rsidR="003D668C">
        <w:rPr>
          <w:kern w:val="22"/>
          <w:szCs w:val="22"/>
          <w:lang w:val="fr-FR"/>
        </w:rPr>
        <w:t>’</w:t>
      </w:r>
      <w:r w:rsidR="00FD2789" w:rsidRPr="006E78A2">
        <w:rPr>
          <w:kern w:val="22"/>
          <w:szCs w:val="22"/>
          <w:lang w:val="fr-FR"/>
        </w:rPr>
        <w:t xml:space="preserve">océan, la </w:t>
      </w:r>
      <w:r w:rsidR="00FD2789" w:rsidRPr="003D668C">
        <w:rPr>
          <w:noProof/>
          <w:kern w:val="22"/>
          <w:szCs w:val="22"/>
          <w:lang w:val="fr-CA"/>
        </w:rPr>
        <w:t>cryosphère dans</w:t>
      </w:r>
      <w:r w:rsidR="00FD2789" w:rsidRPr="006E78A2">
        <w:rPr>
          <w:kern w:val="22"/>
          <w:szCs w:val="22"/>
          <w:lang w:val="fr-FR"/>
        </w:rPr>
        <w:t xml:space="preserve"> le contexte du changement climatique, et sur les changements climatiques, la désertification, la dégradation des sols, la gestion durable des terres, la sécurité alimentaire et les flux de gaz à effet de serre dans les écosystèmes terrestres;</w:t>
      </w:r>
    </w:p>
    <w:p w:rsidR="00836DFD" w:rsidRPr="009F1A4D" w:rsidRDefault="00836DFD" w:rsidP="00836DFD">
      <w:pPr>
        <w:pStyle w:val="Para1"/>
        <w:numPr>
          <w:ilvl w:val="0"/>
          <w:numId w:val="0"/>
        </w:numPr>
        <w:suppressLineNumbers/>
        <w:suppressAutoHyphens/>
        <w:kinsoku w:val="0"/>
        <w:overflowPunct w:val="0"/>
        <w:autoSpaceDE w:val="0"/>
        <w:autoSpaceDN w:val="0"/>
        <w:ind w:firstLine="720"/>
        <w:rPr>
          <w:kern w:val="22"/>
          <w:szCs w:val="22"/>
          <w:lang w:val="fr-CA"/>
        </w:rPr>
      </w:pPr>
      <w:bookmarkStart w:id="0" w:name="_Hlk120524174"/>
      <w:bookmarkStart w:id="1" w:name="_Hlk71227805"/>
      <w:r w:rsidRPr="009F1A4D">
        <w:rPr>
          <w:iCs/>
          <w:kern w:val="22"/>
          <w:szCs w:val="22"/>
          <w:lang w:val="fr-CA"/>
        </w:rPr>
        <w:t>3.</w:t>
      </w:r>
      <w:r w:rsidRPr="009F1A4D">
        <w:rPr>
          <w:i/>
          <w:kern w:val="22"/>
          <w:szCs w:val="22"/>
          <w:lang w:val="fr-CA"/>
        </w:rPr>
        <w:tab/>
      </w:r>
      <w:r w:rsidR="00FD2789" w:rsidRPr="006E78A2">
        <w:rPr>
          <w:i/>
          <w:iCs/>
          <w:kern w:val="22"/>
          <w:szCs w:val="22"/>
          <w:lang w:val="fr-FR"/>
        </w:rPr>
        <w:t>Prend note</w:t>
      </w:r>
      <w:r w:rsidR="00FD2789" w:rsidRPr="006E78A2">
        <w:rPr>
          <w:kern w:val="22"/>
          <w:szCs w:val="22"/>
          <w:lang w:val="fr-FR"/>
        </w:rPr>
        <w:t xml:space="preserve"> de la cinquième édition des </w:t>
      </w:r>
      <w:r w:rsidR="00FD2789" w:rsidRPr="006E78A2">
        <w:rPr>
          <w:i/>
          <w:iCs/>
          <w:kern w:val="22"/>
          <w:szCs w:val="22"/>
          <w:lang w:val="fr-FR"/>
        </w:rPr>
        <w:t>Perspectives mondiales de la diversité biologique</w:t>
      </w:r>
      <w:r w:rsidR="00FD2789" w:rsidRPr="006E78A2">
        <w:rPr>
          <w:rStyle w:val="FootnoteReference"/>
          <w:kern w:val="22"/>
          <w:szCs w:val="22"/>
          <w:lang w:val="fr-FR"/>
        </w:rPr>
        <w:footnoteReference w:id="2"/>
      </w:r>
      <w:r w:rsidR="00FD2789" w:rsidRPr="006E78A2">
        <w:rPr>
          <w:kern w:val="22"/>
          <w:szCs w:val="22"/>
          <w:lang w:val="fr-FR"/>
        </w:rPr>
        <w:t>, y compris son résumé à l</w:t>
      </w:r>
      <w:r w:rsidR="003D668C">
        <w:rPr>
          <w:kern w:val="22"/>
          <w:szCs w:val="22"/>
          <w:lang w:val="fr-FR"/>
        </w:rPr>
        <w:t>’</w:t>
      </w:r>
      <w:r w:rsidR="00FD2789" w:rsidRPr="006E78A2">
        <w:rPr>
          <w:kern w:val="22"/>
          <w:szCs w:val="22"/>
          <w:lang w:val="fr-FR"/>
        </w:rPr>
        <w:t xml:space="preserve">intention des décideurs, ainsi que de la deuxième édition des </w:t>
      </w:r>
      <w:r w:rsidR="00FD2789" w:rsidRPr="006E78A2">
        <w:rPr>
          <w:i/>
          <w:iCs/>
          <w:kern w:val="22"/>
          <w:szCs w:val="22"/>
          <w:lang w:val="fr-FR"/>
        </w:rPr>
        <w:t>Perspectives locales de la diversité biologique</w:t>
      </w:r>
      <w:r w:rsidR="00FD2789" w:rsidRPr="006E78A2">
        <w:rPr>
          <w:rStyle w:val="FootnoteReference"/>
          <w:kern w:val="22"/>
          <w:szCs w:val="22"/>
          <w:lang w:val="fr-FR"/>
        </w:rPr>
        <w:footnoteReference w:id="3"/>
      </w:r>
      <w:r w:rsidR="00FD2789" w:rsidRPr="006E78A2">
        <w:rPr>
          <w:kern w:val="22"/>
          <w:szCs w:val="22"/>
          <w:lang w:val="fr-FR"/>
        </w:rPr>
        <w:t xml:space="preserve"> et du Rapport 2020 sur la conservation des plantes;</w:t>
      </w:r>
      <w:r w:rsidR="00FD2789" w:rsidRPr="006E78A2">
        <w:rPr>
          <w:rStyle w:val="FootnoteReference"/>
          <w:kern w:val="22"/>
          <w:szCs w:val="22"/>
          <w:lang w:val="fr-FR"/>
        </w:rPr>
        <w:footnoteReference w:id="4"/>
      </w:r>
    </w:p>
    <w:bookmarkEnd w:id="0"/>
    <w:p w:rsidR="00836DFD" w:rsidRPr="009F1A4D" w:rsidRDefault="00836DFD" w:rsidP="00836DFD">
      <w:pPr>
        <w:pStyle w:val="Para1"/>
        <w:numPr>
          <w:ilvl w:val="0"/>
          <w:numId w:val="0"/>
        </w:numPr>
        <w:suppressLineNumbers/>
        <w:suppressAutoHyphens/>
        <w:kinsoku w:val="0"/>
        <w:overflowPunct w:val="0"/>
        <w:autoSpaceDE w:val="0"/>
        <w:autoSpaceDN w:val="0"/>
        <w:ind w:firstLine="720"/>
        <w:rPr>
          <w:kern w:val="22"/>
          <w:szCs w:val="22"/>
          <w:lang w:val="fr-CA"/>
        </w:rPr>
      </w:pPr>
      <w:r w:rsidRPr="009F1A4D">
        <w:rPr>
          <w:iCs/>
          <w:kern w:val="22"/>
          <w:szCs w:val="22"/>
          <w:lang w:val="fr-CA"/>
        </w:rPr>
        <w:t>4.</w:t>
      </w:r>
      <w:r w:rsidRPr="009F1A4D">
        <w:rPr>
          <w:i/>
          <w:kern w:val="22"/>
          <w:szCs w:val="22"/>
          <w:lang w:val="fr-CA"/>
        </w:rPr>
        <w:tab/>
      </w:r>
      <w:r w:rsidR="00FD2789" w:rsidRPr="006E78A2">
        <w:rPr>
          <w:i/>
          <w:kern w:val="22"/>
          <w:szCs w:val="22"/>
          <w:lang w:val="fr-FR"/>
        </w:rPr>
        <w:t>Accueille avec satisfaction</w:t>
      </w:r>
      <w:r w:rsidR="00FD2789" w:rsidRPr="006E78A2">
        <w:rPr>
          <w:kern w:val="22"/>
          <w:szCs w:val="22"/>
          <w:lang w:val="fr-FR"/>
        </w:rPr>
        <w:t xml:space="preserve"> le soutien financier apporté par les gouvernements du Canada, du Japon et du </w:t>
      </w:r>
      <w:r w:rsidR="00FD2789" w:rsidRPr="006E78A2">
        <w:rPr>
          <w:noProof/>
          <w:kern w:val="22"/>
          <w:szCs w:val="22"/>
          <w:lang w:val="fr-FR"/>
        </w:rPr>
        <w:t>Royaume</w:t>
      </w:r>
      <w:r w:rsidR="003D668C">
        <w:rPr>
          <w:noProof/>
          <w:kern w:val="22"/>
          <w:szCs w:val="22"/>
          <w:lang w:val="fr-FR"/>
        </w:rPr>
        <w:noBreakHyphen/>
      </w:r>
      <w:r w:rsidR="00FD2789" w:rsidRPr="006E78A2">
        <w:rPr>
          <w:noProof/>
          <w:kern w:val="22"/>
          <w:szCs w:val="22"/>
          <w:lang w:val="fr-FR"/>
        </w:rPr>
        <w:t>Uni de Grande</w:t>
      </w:r>
      <w:r w:rsidR="003D668C">
        <w:rPr>
          <w:noProof/>
          <w:kern w:val="22"/>
          <w:szCs w:val="22"/>
          <w:lang w:val="fr-FR"/>
        </w:rPr>
        <w:noBreakHyphen/>
      </w:r>
      <w:r w:rsidR="00FD2789" w:rsidRPr="006E78A2">
        <w:rPr>
          <w:noProof/>
          <w:kern w:val="22"/>
          <w:szCs w:val="22"/>
          <w:lang w:val="fr-FR"/>
        </w:rPr>
        <w:t>Bretagne et d</w:t>
      </w:r>
      <w:r w:rsidR="003D668C">
        <w:rPr>
          <w:noProof/>
          <w:kern w:val="22"/>
          <w:szCs w:val="22"/>
          <w:lang w:val="fr-FR"/>
        </w:rPr>
        <w:t>’</w:t>
      </w:r>
      <w:r w:rsidR="00FD2789" w:rsidRPr="006E78A2">
        <w:rPr>
          <w:noProof/>
          <w:kern w:val="22"/>
          <w:szCs w:val="22"/>
          <w:lang w:val="fr-FR"/>
        </w:rPr>
        <w:t>Irlande du Nord ainsi</w:t>
      </w:r>
      <w:r w:rsidR="00FD2789" w:rsidRPr="006E78A2">
        <w:rPr>
          <w:kern w:val="22"/>
          <w:szCs w:val="22"/>
          <w:lang w:val="fr-FR"/>
        </w:rPr>
        <w:t xml:space="preserve"> que par l</w:t>
      </w:r>
      <w:r w:rsidR="003D668C">
        <w:rPr>
          <w:kern w:val="22"/>
          <w:szCs w:val="22"/>
          <w:lang w:val="fr-FR"/>
        </w:rPr>
        <w:t>’</w:t>
      </w:r>
      <w:r w:rsidR="00FD2789" w:rsidRPr="006E78A2">
        <w:rPr>
          <w:kern w:val="22"/>
          <w:szCs w:val="22"/>
          <w:lang w:val="fr-FR"/>
        </w:rPr>
        <w:t>Union européenne pour l</w:t>
      </w:r>
      <w:r w:rsidR="003D668C">
        <w:rPr>
          <w:kern w:val="22"/>
          <w:szCs w:val="22"/>
          <w:lang w:val="fr-FR"/>
        </w:rPr>
        <w:t>’</w:t>
      </w:r>
      <w:r w:rsidR="00FD2789" w:rsidRPr="006E78A2">
        <w:rPr>
          <w:kern w:val="22"/>
          <w:szCs w:val="22"/>
          <w:lang w:val="fr-FR"/>
        </w:rPr>
        <w:t>élaboration de la cinquième édition des</w:t>
      </w:r>
      <w:r w:rsidR="00FD2789" w:rsidRPr="006E78A2">
        <w:rPr>
          <w:i/>
          <w:kern w:val="22"/>
          <w:szCs w:val="22"/>
          <w:lang w:val="fr-FR"/>
        </w:rPr>
        <w:t xml:space="preserve"> Perspectives mondiales de la diversité biologique</w:t>
      </w:r>
      <w:r w:rsidRPr="009F1A4D">
        <w:rPr>
          <w:kern w:val="22"/>
          <w:szCs w:val="22"/>
          <w:lang w:val="fr-CA"/>
        </w:rPr>
        <w:t>;</w:t>
      </w:r>
    </w:p>
    <w:p w:rsidR="00836DFD" w:rsidRPr="009F1A4D" w:rsidRDefault="00836DFD" w:rsidP="00836DFD">
      <w:pPr>
        <w:pStyle w:val="Para1"/>
        <w:numPr>
          <w:ilvl w:val="0"/>
          <w:numId w:val="0"/>
        </w:numPr>
        <w:suppressLineNumbers/>
        <w:suppressAutoHyphens/>
        <w:kinsoku w:val="0"/>
        <w:overflowPunct w:val="0"/>
        <w:autoSpaceDE w:val="0"/>
        <w:autoSpaceDN w:val="0"/>
        <w:ind w:firstLine="720"/>
        <w:rPr>
          <w:kern w:val="22"/>
          <w:szCs w:val="22"/>
          <w:lang w:val="fr-CA"/>
        </w:rPr>
      </w:pPr>
      <w:r w:rsidRPr="009F1A4D">
        <w:rPr>
          <w:kern w:val="22"/>
          <w:szCs w:val="22"/>
          <w:lang w:val="fr-CA"/>
        </w:rPr>
        <w:t>5.</w:t>
      </w:r>
      <w:r w:rsidRPr="009F1A4D">
        <w:rPr>
          <w:i/>
          <w:iCs/>
          <w:kern w:val="22"/>
          <w:szCs w:val="22"/>
          <w:lang w:val="fr-CA"/>
        </w:rPr>
        <w:tab/>
      </w:r>
      <w:r w:rsidR="00FD2789" w:rsidRPr="006E78A2">
        <w:rPr>
          <w:i/>
          <w:iCs/>
          <w:kern w:val="22"/>
          <w:szCs w:val="22"/>
          <w:lang w:val="fr-FR"/>
        </w:rPr>
        <w:t xml:space="preserve">Prend note </w:t>
      </w:r>
      <w:r w:rsidR="00FD2789" w:rsidRPr="006E78A2">
        <w:rPr>
          <w:kern w:val="22"/>
          <w:szCs w:val="22"/>
          <w:lang w:val="fr-FR"/>
        </w:rPr>
        <w:t xml:space="preserve">des conclusions générales de la cinquième édition des </w:t>
      </w:r>
      <w:r w:rsidR="00FD2789" w:rsidRPr="006E78A2">
        <w:rPr>
          <w:i/>
          <w:iCs/>
          <w:kern w:val="22"/>
          <w:szCs w:val="22"/>
          <w:lang w:val="fr-FR"/>
        </w:rPr>
        <w:t>Perspectives mondiales de la diversité biologique</w:t>
      </w:r>
      <w:r w:rsidRPr="009F1A4D">
        <w:rPr>
          <w:kern w:val="22"/>
          <w:szCs w:val="22"/>
          <w:lang w:val="fr-CA"/>
        </w:rPr>
        <w:t>;</w:t>
      </w:r>
    </w:p>
    <w:p w:rsidR="00836DFD" w:rsidRPr="009F1A4D" w:rsidRDefault="00836DFD" w:rsidP="00836DFD">
      <w:pPr>
        <w:pStyle w:val="Para1"/>
        <w:numPr>
          <w:ilvl w:val="0"/>
          <w:numId w:val="0"/>
        </w:numPr>
        <w:suppressLineNumbers/>
        <w:suppressAutoHyphens/>
        <w:kinsoku w:val="0"/>
        <w:overflowPunct w:val="0"/>
        <w:autoSpaceDE w:val="0"/>
        <w:autoSpaceDN w:val="0"/>
        <w:ind w:firstLine="720"/>
        <w:rPr>
          <w:kern w:val="22"/>
          <w:szCs w:val="22"/>
          <w:lang w:val="fr-CA"/>
        </w:rPr>
      </w:pPr>
      <w:r w:rsidRPr="009F1A4D">
        <w:rPr>
          <w:iCs/>
          <w:kern w:val="22"/>
          <w:szCs w:val="22"/>
          <w:lang w:val="fr-CA"/>
        </w:rPr>
        <w:lastRenderedPageBreak/>
        <w:t>6.</w:t>
      </w:r>
      <w:r w:rsidRPr="009F1A4D">
        <w:rPr>
          <w:i/>
          <w:kern w:val="22"/>
          <w:szCs w:val="22"/>
          <w:lang w:val="fr-CA"/>
        </w:rPr>
        <w:tab/>
      </w:r>
      <w:r w:rsidR="00FD2789" w:rsidRPr="006E78A2">
        <w:rPr>
          <w:i/>
          <w:kern w:val="22"/>
          <w:szCs w:val="22"/>
          <w:lang w:val="fr-FR"/>
        </w:rPr>
        <w:t>Prend également note</w:t>
      </w:r>
      <w:r w:rsidR="00FD2789" w:rsidRPr="006E78A2">
        <w:rPr>
          <w:kern w:val="22"/>
          <w:szCs w:val="22"/>
          <w:lang w:val="fr-FR"/>
        </w:rPr>
        <w:t xml:space="preserve"> des enseignements tirés de la mise en œuvre du Plan stratégique 2011</w:t>
      </w:r>
      <w:r w:rsidR="003D668C">
        <w:rPr>
          <w:kern w:val="22"/>
          <w:szCs w:val="22"/>
          <w:lang w:val="fr-FR"/>
        </w:rPr>
        <w:noBreakHyphen/>
      </w:r>
      <w:r w:rsidR="00FD2789" w:rsidRPr="006E78A2">
        <w:rPr>
          <w:kern w:val="22"/>
          <w:szCs w:val="22"/>
          <w:lang w:val="fr-FR"/>
        </w:rPr>
        <w:t>2020 pour la diversité biologique</w:t>
      </w:r>
      <w:r w:rsidR="00FD2789" w:rsidRPr="006E78A2">
        <w:rPr>
          <w:rStyle w:val="FootnoteReference"/>
          <w:kern w:val="22"/>
          <w:szCs w:val="22"/>
          <w:lang w:val="fr-FR"/>
        </w:rPr>
        <w:footnoteReference w:id="5"/>
      </w:r>
      <w:r w:rsidR="00FD2789" w:rsidRPr="006E78A2">
        <w:rPr>
          <w:kern w:val="22"/>
          <w:szCs w:val="22"/>
          <w:lang w:val="fr-FR"/>
        </w:rPr>
        <w:t xml:space="preserve"> identifiés dans la cinquième édition des </w:t>
      </w:r>
      <w:r w:rsidR="00FD2789" w:rsidRPr="006E78A2">
        <w:rPr>
          <w:i/>
          <w:kern w:val="22"/>
          <w:szCs w:val="22"/>
          <w:lang w:val="fr-FR"/>
        </w:rPr>
        <w:t>Perspectives mondiales de la diversité biologique</w:t>
      </w:r>
      <w:r w:rsidRPr="009F1A4D">
        <w:rPr>
          <w:i/>
          <w:kern w:val="22"/>
          <w:szCs w:val="22"/>
          <w:lang w:val="fr-CA"/>
        </w:rPr>
        <w:t>;</w:t>
      </w:r>
    </w:p>
    <w:p w:rsidR="00836DFD" w:rsidRPr="009F1A4D" w:rsidRDefault="00836DFD" w:rsidP="00836DFD">
      <w:pPr>
        <w:pStyle w:val="Para1"/>
        <w:numPr>
          <w:ilvl w:val="0"/>
          <w:numId w:val="0"/>
        </w:numPr>
        <w:suppressLineNumbers/>
        <w:suppressAutoHyphens/>
        <w:kinsoku w:val="0"/>
        <w:overflowPunct w:val="0"/>
        <w:autoSpaceDE w:val="0"/>
        <w:autoSpaceDN w:val="0"/>
        <w:ind w:firstLine="720"/>
        <w:rPr>
          <w:kern w:val="22"/>
          <w:lang w:val="fr-CA"/>
        </w:rPr>
      </w:pPr>
      <w:r w:rsidRPr="009F1A4D">
        <w:rPr>
          <w:iCs/>
          <w:kern w:val="22"/>
          <w:szCs w:val="22"/>
          <w:lang w:val="fr-CA"/>
        </w:rPr>
        <w:t>7.</w:t>
      </w:r>
      <w:r w:rsidRPr="009F1A4D">
        <w:rPr>
          <w:i/>
          <w:kern w:val="22"/>
          <w:szCs w:val="22"/>
          <w:lang w:val="fr-CA"/>
        </w:rPr>
        <w:tab/>
      </w:r>
      <w:r w:rsidR="00FD2789" w:rsidRPr="006E78A2">
        <w:rPr>
          <w:i/>
          <w:kern w:val="22"/>
          <w:szCs w:val="22"/>
          <w:lang w:val="fr-FR"/>
        </w:rPr>
        <w:t>Encourage</w:t>
      </w:r>
      <w:r w:rsidR="00FD2789" w:rsidRPr="006E78A2">
        <w:rPr>
          <w:kern w:val="22"/>
          <w:szCs w:val="22"/>
          <w:lang w:val="fr-FR"/>
        </w:rPr>
        <w:t xml:space="preserve"> les Parties, et invite les autres gouvernements et les administrations locales et infranationales ainsi que les organisations compétentes, selon qu</w:t>
      </w:r>
      <w:r w:rsidR="003D668C">
        <w:rPr>
          <w:kern w:val="22"/>
          <w:szCs w:val="22"/>
          <w:lang w:val="fr-FR"/>
        </w:rPr>
        <w:t>’</w:t>
      </w:r>
      <w:r w:rsidR="00FD2789" w:rsidRPr="006E78A2">
        <w:rPr>
          <w:kern w:val="22"/>
          <w:szCs w:val="22"/>
          <w:lang w:val="fr-FR"/>
        </w:rPr>
        <w:t>il convient, à utiliser les rapports et à prendre des mesures pour diffuser largement leurs conclusions, notamment en traduisant les rapports dans les langues locales et en réalisant d</w:t>
      </w:r>
      <w:r w:rsidR="003D668C">
        <w:rPr>
          <w:kern w:val="22"/>
          <w:szCs w:val="22"/>
          <w:lang w:val="fr-FR"/>
        </w:rPr>
        <w:t>’</w:t>
      </w:r>
      <w:r w:rsidR="00FD2789" w:rsidRPr="006E78A2">
        <w:rPr>
          <w:kern w:val="22"/>
          <w:szCs w:val="22"/>
          <w:lang w:val="fr-FR"/>
        </w:rPr>
        <w:t>autres produits de communication appropriés pour les différentes parties prenantes, et à utiliser les rapports aux fins de la mise en œuvre du cadre mondial de la biodiversité pour l</w:t>
      </w:r>
      <w:r w:rsidR="003D668C">
        <w:rPr>
          <w:kern w:val="22"/>
          <w:szCs w:val="22"/>
          <w:lang w:val="fr-FR"/>
        </w:rPr>
        <w:t>’</w:t>
      </w:r>
      <w:r w:rsidR="00FD2789" w:rsidRPr="006E78A2">
        <w:rPr>
          <w:kern w:val="22"/>
          <w:szCs w:val="22"/>
          <w:lang w:val="fr-FR"/>
        </w:rPr>
        <w:t>après</w:t>
      </w:r>
      <w:r w:rsidR="003D668C">
        <w:rPr>
          <w:kern w:val="22"/>
          <w:szCs w:val="22"/>
          <w:lang w:val="fr-FR"/>
        </w:rPr>
        <w:noBreakHyphen/>
      </w:r>
      <w:r w:rsidR="00FD2789" w:rsidRPr="006E78A2">
        <w:rPr>
          <w:kern w:val="22"/>
          <w:szCs w:val="22"/>
          <w:lang w:val="fr-FR"/>
        </w:rPr>
        <w:t>2020</w:t>
      </w:r>
      <w:r w:rsidRPr="009F1A4D">
        <w:rPr>
          <w:kern w:val="22"/>
          <w:szCs w:val="22"/>
          <w:lang w:val="fr-CA"/>
        </w:rPr>
        <w:t>.</w:t>
      </w:r>
      <w:bookmarkEnd w:id="1"/>
    </w:p>
    <w:p w:rsidR="00836DFD" w:rsidRPr="009F1A4D" w:rsidRDefault="00836DFD" w:rsidP="00836DFD">
      <w:pPr>
        <w:pStyle w:val="Para1"/>
        <w:numPr>
          <w:ilvl w:val="0"/>
          <w:numId w:val="0"/>
        </w:numPr>
        <w:suppressLineNumbers/>
        <w:suppressAutoHyphens/>
        <w:ind w:firstLine="709"/>
        <w:rPr>
          <w:kern w:val="22"/>
          <w:szCs w:val="22"/>
          <w:lang w:val="fr-CA"/>
        </w:rPr>
      </w:pPr>
      <w:bookmarkStart w:id="2" w:name="_Hlk120524346"/>
      <w:bookmarkStart w:id="3" w:name="_Hlk120524398"/>
      <w:r w:rsidRPr="009F1A4D">
        <w:rPr>
          <w:kern w:val="22"/>
          <w:szCs w:val="22"/>
          <w:lang w:val="fr-CA"/>
        </w:rPr>
        <w:t>8.</w:t>
      </w:r>
      <w:r w:rsidRPr="009F1A4D">
        <w:rPr>
          <w:kern w:val="22"/>
          <w:szCs w:val="22"/>
          <w:lang w:val="fr-CA"/>
        </w:rPr>
        <w:tab/>
      </w:r>
      <w:r w:rsidR="00FD2789" w:rsidRPr="006E78A2">
        <w:rPr>
          <w:i/>
          <w:kern w:val="22"/>
          <w:szCs w:val="22"/>
          <w:lang w:val="fr-FR"/>
        </w:rPr>
        <w:t xml:space="preserve">Exhorte </w:t>
      </w:r>
      <w:r w:rsidR="00FD2789" w:rsidRPr="006E78A2">
        <w:rPr>
          <w:kern w:val="22"/>
          <w:szCs w:val="22"/>
          <w:lang w:val="fr-FR"/>
        </w:rPr>
        <w:t>les Parties à prendre d</w:t>
      </w:r>
      <w:r w:rsidR="003D668C">
        <w:rPr>
          <w:kern w:val="22"/>
          <w:szCs w:val="22"/>
          <w:lang w:val="fr-FR"/>
        </w:rPr>
        <w:t>’</w:t>
      </w:r>
      <w:r w:rsidR="00FD2789" w:rsidRPr="006E78A2">
        <w:rPr>
          <w:kern w:val="22"/>
          <w:szCs w:val="22"/>
          <w:lang w:val="fr-FR"/>
        </w:rPr>
        <w:t>urgence des mesures pour lutter contre les facteurs de la perte de diversité biologique, tels qu</w:t>
      </w:r>
      <w:r w:rsidR="003D668C">
        <w:rPr>
          <w:kern w:val="22"/>
          <w:szCs w:val="22"/>
          <w:lang w:val="fr-FR"/>
        </w:rPr>
        <w:t>’</w:t>
      </w:r>
      <w:r w:rsidR="00FD2789" w:rsidRPr="006E78A2">
        <w:rPr>
          <w:kern w:val="22"/>
          <w:szCs w:val="22"/>
          <w:lang w:val="fr-FR"/>
        </w:rPr>
        <w:t>identifiés dans l</w:t>
      </w:r>
      <w:r w:rsidR="003D668C">
        <w:rPr>
          <w:kern w:val="22"/>
          <w:szCs w:val="22"/>
          <w:lang w:val="fr-FR"/>
        </w:rPr>
        <w:t>’</w:t>
      </w:r>
      <w:r w:rsidR="00FD2789" w:rsidRPr="006E78A2">
        <w:rPr>
          <w:kern w:val="22"/>
          <w:szCs w:val="22"/>
          <w:lang w:val="fr-FR"/>
        </w:rPr>
        <w:t xml:space="preserve">Évaluation mondiale de la Plateforme intergouvernementale scientifique et politique sur la biodiversité et les </w:t>
      </w:r>
      <w:r w:rsidR="00FD2789" w:rsidRPr="006E78A2">
        <w:rPr>
          <w:noProof/>
          <w:kern w:val="22"/>
          <w:szCs w:val="22"/>
          <w:lang w:val="fr-FR"/>
        </w:rPr>
        <w:t>services écosystémiques</w:t>
      </w:r>
      <w:r w:rsidR="00FD2789" w:rsidRPr="006E78A2">
        <w:rPr>
          <w:kern w:val="22"/>
          <w:szCs w:val="22"/>
          <w:lang w:val="fr-FR"/>
        </w:rPr>
        <w:t>, ainsi que ceux des changements climatiques et de la dégradation de</w:t>
      </w:r>
      <w:r w:rsidR="00FD2789">
        <w:rPr>
          <w:kern w:val="22"/>
          <w:szCs w:val="22"/>
          <w:lang w:val="fr-FR"/>
        </w:rPr>
        <w:t>s sols, d</w:t>
      </w:r>
      <w:r w:rsidR="003D668C">
        <w:rPr>
          <w:kern w:val="22"/>
          <w:szCs w:val="22"/>
          <w:lang w:val="fr-FR"/>
        </w:rPr>
        <w:t>’</w:t>
      </w:r>
      <w:r w:rsidR="00FD2789">
        <w:rPr>
          <w:kern w:val="22"/>
          <w:szCs w:val="22"/>
          <w:lang w:val="fr-FR"/>
        </w:rPr>
        <w:t>une manière intégrée</w:t>
      </w:r>
      <w:bookmarkEnd w:id="2"/>
      <w:r w:rsidR="00BB2F86">
        <w:rPr>
          <w:kern w:val="22"/>
          <w:szCs w:val="22"/>
          <w:lang w:val="fr-CA"/>
        </w:rPr>
        <w:t>.</w:t>
      </w:r>
    </w:p>
    <w:bookmarkEnd w:id="3"/>
    <w:p w:rsidR="00B3369F" w:rsidRPr="009F1A4D" w:rsidRDefault="00142046" w:rsidP="00142046">
      <w:pPr>
        <w:jc w:val="center"/>
        <w:rPr>
          <w:lang w:val="fr-CA"/>
        </w:rPr>
      </w:pPr>
      <w:r w:rsidRPr="009F1A4D">
        <w:rPr>
          <w:lang w:val="fr-CA"/>
        </w:rPr>
        <w:t>__________</w:t>
      </w:r>
    </w:p>
    <w:sectPr w:rsidR="00B3369F" w:rsidRPr="009F1A4D" w:rsidSect="00142046">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679" w:rsidRDefault="004C4679" w:rsidP="00CF1848">
      <w:r>
        <w:separator/>
      </w:r>
    </w:p>
  </w:endnote>
  <w:endnote w:type="continuationSeparator" w:id="0">
    <w:p w:rsidR="004C4679" w:rsidRDefault="004C4679"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679" w:rsidRDefault="004C4679" w:rsidP="00CF1848">
      <w:r>
        <w:separator/>
      </w:r>
    </w:p>
  </w:footnote>
  <w:footnote w:type="continuationSeparator" w:id="0">
    <w:p w:rsidR="004C4679" w:rsidRDefault="004C4679" w:rsidP="00CF1848">
      <w:r>
        <w:continuationSeparator/>
      </w:r>
    </w:p>
  </w:footnote>
  <w:footnote w:id="1">
    <w:p w:rsidR="00FD2789" w:rsidRPr="0066322C" w:rsidRDefault="00FD2789" w:rsidP="00FD2789">
      <w:pPr>
        <w:pStyle w:val="FootnoteText"/>
        <w:suppressLineNumbers/>
        <w:suppressAutoHyphens/>
        <w:ind w:firstLine="0"/>
        <w:jc w:val="left"/>
        <w:rPr>
          <w:kern w:val="18"/>
          <w:szCs w:val="18"/>
          <w:lang w:val="fr-FR"/>
        </w:rPr>
      </w:pPr>
      <w:r w:rsidRPr="002D4190">
        <w:rPr>
          <w:rStyle w:val="FootnoteReference"/>
          <w:kern w:val="18"/>
          <w:sz w:val="18"/>
          <w:szCs w:val="18"/>
        </w:rPr>
        <w:footnoteRef/>
      </w:r>
      <w:r w:rsidRPr="0066322C">
        <w:rPr>
          <w:kern w:val="18"/>
          <w:szCs w:val="18"/>
          <w:lang w:val="fr-FR"/>
        </w:rPr>
        <w:t xml:space="preserve"> </w:t>
      </w:r>
      <w:r>
        <w:rPr>
          <w:kern w:val="18"/>
          <w:szCs w:val="18"/>
          <w:lang w:val="fr-CA"/>
        </w:rPr>
        <w:t>https://www.ipbes.net/global</w:t>
      </w:r>
      <w:r w:rsidR="003D668C">
        <w:rPr>
          <w:kern w:val="18"/>
          <w:szCs w:val="18"/>
          <w:lang w:val="fr-CA"/>
        </w:rPr>
        <w:noBreakHyphen/>
      </w:r>
      <w:r>
        <w:rPr>
          <w:kern w:val="18"/>
          <w:szCs w:val="18"/>
          <w:lang w:val="fr-CA"/>
        </w:rPr>
        <w:t>assessment</w:t>
      </w:r>
      <w:r w:rsidR="003D668C">
        <w:rPr>
          <w:kern w:val="18"/>
          <w:szCs w:val="18"/>
          <w:lang w:val="fr-CA"/>
        </w:rPr>
        <w:noBreakHyphen/>
      </w:r>
      <w:r>
        <w:rPr>
          <w:kern w:val="18"/>
          <w:szCs w:val="18"/>
          <w:lang w:val="fr-CA"/>
        </w:rPr>
        <w:t>report</w:t>
      </w:r>
      <w:r w:rsidR="003D668C">
        <w:rPr>
          <w:kern w:val="18"/>
          <w:szCs w:val="18"/>
          <w:lang w:val="fr-CA"/>
        </w:rPr>
        <w:noBreakHyphen/>
      </w:r>
      <w:r>
        <w:rPr>
          <w:kern w:val="18"/>
          <w:szCs w:val="18"/>
          <w:lang w:val="fr-CA"/>
        </w:rPr>
        <w:t>biodiversité</w:t>
      </w:r>
      <w:r w:rsidR="003D668C">
        <w:rPr>
          <w:kern w:val="18"/>
          <w:szCs w:val="18"/>
          <w:lang w:val="fr-CA"/>
        </w:rPr>
        <w:noBreakHyphen/>
      </w:r>
      <w:r>
        <w:rPr>
          <w:kern w:val="18"/>
          <w:szCs w:val="18"/>
          <w:lang w:val="fr-CA"/>
        </w:rPr>
        <w:t>écosystème</w:t>
      </w:r>
      <w:r w:rsidR="003D668C">
        <w:rPr>
          <w:kern w:val="18"/>
          <w:szCs w:val="18"/>
          <w:lang w:val="fr-CA"/>
        </w:rPr>
        <w:noBreakHyphen/>
      </w:r>
      <w:r>
        <w:rPr>
          <w:kern w:val="18"/>
          <w:szCs w:val="18"/>
          <w:lang w:val="fr-CA"/>
        </w:rPr>
        <w:t>services</w:t>
      </w:r>
    </w:p>
  </w:footnote>
  <w:footnote w:id="2">
    <w:p w:rsidR="00FD2789" w:rsidRPr="001C35B1" w:rsidRDefault="00FD2789" w:rsidP="00FD2789">
      <w:pPr>
        <w:pStyle w:val="FootnoteText"/>
        <w:suppressLineNumbers/>
        <w:suppressAutoHyphens/>
        <w:kinsoku w:val="0"/>
        <w:overflowPunct w:val="0"/>
        <w:autoSpaceDE w:val="0"/>
        <w:autoSpaceDN w:val="0"/>
        <w:ind w:firstLine="0"/>
        <w:jc w:val="left"/>
        <w:rPr>
          <w:kern w:val="18"/>
          <w:szCs w:val="18"/>
          <w:lang w:val="fr-CA"/>
        </w:rPr>
      </w:pPr>
      <w:r>
        <w:rPr>
          <w:rStyle w:val="FootnoteReference"/>
          <w:kern w:val="18"/>
          <w:sz w:val="18"/>
          <w:szCs w:val="18"/>
        </w:rPr>
        <w:footnoteRef/>
      </w:r>
      <w:r w:rsidRPr="001C35B1">
        <w:rPr>
          <w:kern w:val="18"/>
          <w:szCs w:val="18"/>
          <w:lang w:val="fr-CA"/>
        </w:rPr>
        <w:t xml:space="preserve"> Secrétariat de la Convention sur la diversité biologique (2020). Cinquième édition des </w:t>
      </w:r>
      <w:r w:rsidRPr="001C35B1">
        <w:rPr>
          <w:i/>
          <w:kern w:val="18"/>
          <w:szCs w:val="18"/>
          <w:lang w:val="fr-CA"/>
        </w:rPr>
        <w:t>Perspectives mondiales de la diversité biologique</w:t>
      </w:r>
      <w:r w:rsidRPr="001C35B1">
        <w:rPr>
          <w:kern w:val="18"/>
          <w:szCs w:val="18"/>
          <w:lang w:val="fr-CA"/>
        </w:rPr>
        <w:t>. Montréal.</w:t>
      </w:r>
    </w:p>
  </w:footnote>
  <w:footnote w:id="3">
    <w:p w:rsidR="00FD2789" w:rsidRPr="001C35B1" w:rsidRDefault="00FD2789" w:rsidP="00FD2789">
      <w:pPr>
        <w:pStyle w:val="FootnoteText"/>
        <w:suppressLineNumbers/>
        <w:suppressAutoHyphens/>
        <w:kinsoku w:val="0"/>
        <w:overflowPunct w:val="0"/>
        <w:autoSpaceDE w:val="0"/>
        <w:autoSpaceDN w:val="0"/>
        <w:ind w:firstLine="0"/>
        <w:jc w:val="left"/>
        <w:rPr>
          <w:noProof/>
          <w:kern w:val="18"/>
          <w:szCs w:val="18"/>
          <w:lang w:val="fr-CA"/>
        </w:rPr>
      </w:pPr>
      <w:r>
        <w:rPr>
          <w:rStyle w:val="FootnoteReference"/>
          <w:kern w:val="18"/>
          <w:sz w:val="18"/>
          <w:szCs w:val="18"/>
        </w:rPr>
        <w:footnoteRef/>
      </w:r>
      <w:r w:rsidRPr="001C35B1">
        <w:rPr>
          <w:kern w:val="18"/>
          <w:szCs w:val="18"/>
          <w:lang w:val="fr-CA"/>
        </w:rPr>
        <w:t xml:space="preserve"> Forest Peoples Programme (2020). </w:t>
      </w:r>
      <w:r w:rsidRPr="001C35B1">
        <w:rPr>
          <w:i/>
          <w:kern w:val="18"/>
          <w:szCs w:val="18"/>
          <w:lang w:val="fr-CA"/>
        </w:rPr>
        <w:t xml:space="preserve">Perspectives locales de la diversité biologique 2 : Contributions des peuples autochtones et des communautés locales à la mise en œuvre du Plan stratégique pour la diversité </w:t>
      </w:r>
      <w:r w:rsidRPr="001C35B1">
        <w:rPr>
          <w:i/>
          <w:noProof/>
          <w:kern w:val="18"/>
          <w:szCs w:val="18"/>
          <w:lang w:val="fr-CA"/>
        </w:rPr>
        <w:t>biologique 2011–2020 et le renouveau de la nature et des cultures. Complément à la cinquième édition des Perspectives mondiales de la diversité biologique</w:t>
      </w:r>
      <w:r w:rsidRPr="001C35B1">
        <w:rPr>
          <w:noProof/>
          <w:kern w:val="18"/>
          <w:szCs w:val="18"/>
          <w:lang w:val="fr-CA"/>
        </w:rPr>
        <w:t>. Moreton</w:t>
      </w:r>
      <w:r w:rsidR="003D668C">
        <w:rPr>
          <w:noProof/>
          <w:kern w:val="18"/>
          <w:szCs w:val="18"/>
          <w:lang w:val="fr-CA"/>
        </w:rPr>
        <w:noBreakHyphen/>
      </w:r>
      <w:r w:rsidRPr="001C35B1">
        <w:rPr>
          <w:noProof/>
          <w:kern w:val="18"/>
          <w:szCs w:val="18"/>
          <w:lang w:val="fr-CA"/>
        </w:rPr>
        <w:t>in</w:t>
      </w:r>
      <w:r w:rsidR="003D668C">
        <w:rPr>
          <w:noProof/>
          <w:kern w:val="18"/>
          <w:szCs w:val="18"/>
          <w:lang w:val="fr-CA"/>
        </w:rPr>
        <w:noBreakHyphen/>
      </w:r>
      <w:r w:rsidRPr="001C35B1">
        <w:rPr>
          <w:noProof/>
          <w:kern w:val="18"/>
          <w:szCs w:val="18"/>
          <w:lang w:val="fr-CA"/>
        </w:rPr>
        <w:t>Marsh, Royaume</w:t>
      </w:r>
      <w:r w:rsidR="003D668C">
        <w:rPr>
          <w:noProof/>
          <w:kern w:val="18"/>
          <w:szCs w:val="18"/>
          <w:lang w:val="fr-CA"/>
        </w:rPr>
        <w:noBreakHyphen/>
      </w:r>
      <w:r w:rsidRPr="001C35B1">
        <w:rPr>
          <w:noProof/>
          <w:kern w:val="18"/>
          <w:szCs w:val="18"/>
          <w:lang w:val="fr-CA"/>
        </w:rPr>
        <w:t>Uni (voir www.localbiodiversityoutlooks.net).</w:t>
      </w:r>
    </w:p>
  </w:footnote>
  <w:footnote w:id="4">
    <w:p w:rsidR="00FD2789" w:rsidRPr="00AD2D33" w:rsidRDefault="00FD2789" w:rsidP="00FD2789">
      <w:pPr>
        <w:pStyle w:val="FootnoteText"/>
        <w:suppressLineNumbers/>
        <w:suppressAutoHyphens/>
        <w:kinsoku w:val="0"/>
        <w:overflowPunct w:val="0"/>
        <w:autoSpaceDE w:val="0"/>
        <w:autoSpaceDN w:val="0"/>
        <w:ind w:firstLine="0"/>
        <w:jc w:val="left"/>
        <w:rPr>
          <w:kern w:val="18"/>
          <w:szCs w:val="18"/>
          <w:lang w:val="fr-CA"/>
        </w:rPr>
      </w:pPr>
      <w:r w:rsidRPr="00C01D5A">
        <w:rPr>
          <w:rStyle w:val="FootnoteReference"/>
          <w:kern w:val="18"/>
          <w:sz w:val="18"/>
          <w:szCs w:val="18"/>
        </w:rPr>
        <w:footnoteRef/>
      </w:r>
      <w:r w:rsidRPr="001C35B1">
        <w:rPr>
          <w:kern w:val="18"/>
          <w:szCs w:val="18"/>
          <w:lang w:val="fr-CA"/>
        </w:rPr>
        <w:t xml:space="preserve"> </w:t>
      </w:r>
      <w:r w:rsidRPr="004E3149">
        <w:rPr>
          <w:noProof/>
          <w:kern w:val="18"/>
          <w:szCs w:val="18"/>
          <w:lang w:val="en-CA"/>
        </w:rPr>
        <w:t xml:space="preserve">Sharrock, S. (2020). </w:t>
      </w:r>
      <w:r w:rsidRPr="004E3149">
        <w:rPr>
          <w:i/>
          <w:noProof/>
          <w:kern w:val="18"/>
          <w:szCs w:val="18"/>
          <w:lang w:val="en-CA"/>
        </w:rPr>
        <w:t>Plant Conservation</w:t>
      </w:r>
      <w:r w:rsidRPr="00C01D5A">
        <w:rPr>
          <w:i/>
          <w:kern w:val="18"/>
          <w:szCs w:val="18"/>
        </w:rPr>
        <w:t xml:space="preserve"> Report 2020: A review of progress in implementation of the Global Strategy for Plant Conservation 2011</w:t>
      </w:r>
      <w:r w:rsidR="003D668C">
        <w:rPr>
          <w:i/>
          <w:kern w:val="18"/>
          <w:szCs w:val="18"/>
        </w:rPr>
        <w:noBreakHyphen/>
      </w:r>
      <w:r w:rsidRPr="00C01D5A">
        <w:rPr>
          <w:i/>
          <w:kern w:val="18"/>
          <w:szCs w:val="18"/>
        </w:rPr>
        <w:t>2020</w:t>
      </w:r>
      <w:r w:rsidRPr="00C01D5A">
        <w:rPr>
          <w:kern w:val="18"/>
          <w:szCs w:val="18"/>
        </w:rPr>
        <w:t xml:space="preserve">. Secretariat of the Convention on Biological Diversity, Montreal, Canada and Botanic Gardens Conservation International, Richmond, United Kingdom. </w:t>
      </w:r>
      <w:r w:rsidRPr="004E3149">
        <w:rPr>
          <w:i/>
          <w:noProof/>
          <w:kern w:val="18"/>
          <w:szCs w:val="18"/>
          <w:lang w:val="en-CA"/>
        </w:rPr>
        <w:t>Technical Series</w:t>
      </w:r>
      <w:r w:rsidRPr="00AD2D33">
        <w:rPr>
          <w:i/>
          <w:kern w:val="18"/>
          <w:szCs w:val="18"/>
          <w:lang w:val="fr-CA"/>
        </w:rPr>
        <w:t xml:space="preserve"> No. 95</w:t>
      </w:r>
      <w:r w:rsidRPr="00AD2D33">
        <w:rPr>
          <w:kern w:val="18"/>
          <w:szCs w:val="18"/>
          <w:lang w:val="fr-CA"/>
        </w:rPr>
        <w:t>.</w:t>
      </w:r>
    </w:p>
  </w:footnote>
  <w:footnote w:id="5">
    <w:p w:rsidR="00FD2789" w:rsidRPr="001C35B1" w:rsidRDefault="00FD2789" w:rsidP="00FD2789">
      <w:pPr>
        <w:pStyle w:val="FootnoteText"/>
        <w:suppressLineNumbers/>
        <w:suppressAutoHyphens/>
        <w:kinsoku w:val="0"/>
        <w:overflowPunct w:val="0"/>
        <w:autoSpaceDE w:val="0"/>
        <w:autoSpaceDN w:val="0"/>
        <w:ind w:firstLine="0"/>
        <w:jc w:val="left"/>
        <w:rPr>
          <w:kern w:val="18"/>
          <w:szCs w:val="18"/>
          <w:lang w:val="fr-CA"/>
        </w:rPr>
      </w:pPr>
      <w:r>
        <w:rPr>
          <w:rStyle w:val="FootnoteReference"/>
          <w:kern w:val="18"/>
          <w:sz w:val="18"/>
          <w:szCs w:val="18"/>
        </w:rPr>
        <w:footnoteRef/>
      </w:r>
      <w:r w:rsidRPr="001C35B1">
        <w:rPr>
          <w:kern w:val="18"/>
          <w:szCs w:val="18"/>
          <w:lang w:val="fr-CA"/>
        </w:rPr>
        <w:t xml:space="preserve"> Décision</w:t>
      </w:r>
      <w:r w:rsidR="004E3149">
        <w:rPr>
          <w:kern w:val="18"/>
          <w:szCs w:val="18"/>
          <w:lang w:val="fr-CA"/>
        </w:rPr>
        <w:t> </w:t>
      </w:r>
      <w:r>
        <w:rPr>
          <w:kern w:val="18"/>
          <w:szCs w:val="18"/>
          <w:lang w:val="fr-CA"/>
        </w:rPr>
        <w:t>X/2</w:t>
      </w:r>
      <w:r w:rsidRPr="001C35B1">
        <w:rPr>
          <w:kern w:val="18"/>
          <w:szCs w:val="18"/>
          <w:lang w:val="fr-CA"/>
        </w:rPr>
        <w:t xml:space="preserve"> de la Conférence des Parties, annexe.</w:t>
      </w:r>
      <w:r>
        <w:rPr>
          <w:kern w:val="18"/>
          <w:szCs w:val="18"/>
          <w:lang w:val="fr-CA"/>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534681" w:rsidRPr="00134846" w:rsidRDefault="0033506D" w:rsidP="00534681">
        <w:pPr>
          <w:pStyle w:val="Header"/>
          <w:rPr>
            <w:lang w:val="fr-FR"/>
          </w:rPr>
        </w:pPr>
        <w:r>
          <w:rPr>
            <w:lang w:val="fr-FR"/>
          </w:rPr>
          <w:t>CBD/COP/15/L.3</w:t>
        </w:r>
      </w:p>
    </w:sdtContent>
  </w:sdt>
  <w:p w:rsidR="00534681" w:rsidRPr="00134846" w:rsidRDefault="00534681" w:rsidP="00534681">
    <w:pPr>
      <w:pStyle w:val="Header"/>
      <w:rPr>
        <w:lang w:val="fr-FR"/>
      </w:rPr>
    </w:pPr>
    <w:r w:rsidRPr="00134846">
      <w:rPr>
        <w:lang w:val="fr-FR"/>
      </w:rPr>
      <w:t xml:space="preserve">Page </w:t>
    </w:r>
    <w:r w:rsidR="00A82160">
      <w:fldChar w:fldCharType="begin"/>
    </w:r>
    <w:r w:rsidRPr="00134846">
      <w:rPr>
        <w:lang w:val="fr-FR"/>
      </w:rPr>
      <w:instrText xml:space="preserve"> PAGE   \* MERGEFORMAT </w:instrText>
    </w:r>
    <w:r w:rsidR="00A82160">
      <w:fldChar w:fldCharType="separate"/>
    </w:r>
    <w:r w:rsidR="004244C9">
      <w:rPr>
        <w:noProof/>
        <w:lang w:val="fr-FR"/>
      </w:rPr>
      <w:t>2</w:t>
    </w:r>
    <w:r w:rsidR="00A82160">
      <w:rPr>
        <w:noProof/>
      </w:rPr>
      <w:fldChar w:fldCharType="end"/>
    </w:r>
  </w:p>
  <w:p w:rsidR="00534681" w:rsidRPr="00134846" w:rsidRDefault="00534681">
    <w:pPr>
      <w:pStyle w:val="Header"/>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9505C9" w:rsidRPr="00134846" w:rsidRDefault="0033506D" w:rsidP="009505C9">
        <w:pPr>
          <w:pStyle w:val="Header"/>
          <w:jc w:val="right"/>
          <w:rPr>
            <w:lang w:val="fr-FR"/>
          </w:rPr>
        </w:pPr>
        <w:r>
          <w:rPr>
            <w:lang w:val="fr-FR"/>
          </w:rPr>
          <w:t>CBD/COP/15/L.3</w:t>
        </w:r>
      </w:p>
    </w:sdtContent>
  </w:sdt>
  <w:p w:rsidR="009505C9" w:rsidRPr="00134846" w:rsidRDefault="009505C9" w:rsidP="009505C9">
    <w:pPr>
      <w:pStyle w:val="Header"/>
      <w:jc w:val="right"/>
      <w:rPr>
        <w:lang w:val="fr-FR"/>
      </w:rPr>
    </w:pPr>
    <w:r w:rsidRPr="00134846">
      <w:rPr>
        <w:lang w:val="fr-FR"/>
      </w:rPr>
      <w:t xml:space="preserve">Page </w:t>
    </w:r>
    <w:r w:rsidR="00A82160">
      <w:fldChar w:fldCharType="begin"/>
    </w:r>
    <w:r w:rsidRPr="00134846">
      <w:rPr>
        <w:lang w:val="fr-FR"/>
      </w:rPr>
      <w:instrText xml:space="preserve"> PAGE   \* MERGEFORMAT </w:instrText>
    </w:r>
    <w:r w:rsidR="00A82160">
      <w:fldChar w:fldCharType="separate"/>
    </w:r>
    <w:r w:rsidR="00F6586C" w:rsidRPr="00134846">
      <w:rPr>
        <w:noProof/>
        <w:lang w:val="fr-FR"/>
      </w:rPr>
      <w:t>3</w:t>
    </w:r>
    <w:r w:rsidR="00A82160">
      <w:rPr>
        <w:noProof/>
      </w:rPr>
      <w:fldChar w:fldCharType="end"/>
    </w:r>
  </w:p>
  <w:p w:rsidR="009505C9" w:rsidRPr="00134846" w:rsidRDefault="009505C9">
    <w:pPr>
      <w:pStyle w:val="Header"/>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 w:numId="19">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hyphenationZone w:val="425"/>
  <w:evenAndOddHeaders/>
  <w:characterSpacingControl w:val="doNotCompress"/>
  <w:hdrShapeDefaults>
    <o:shapedefaults v:ext="edit" spidmax="6146"/>
  </w:hdrShapeDefaults>
  <w:footnotePr>
    <w:footnote w:id="-1"/>
    <w:footnote w:id="0"/>
  </w:footnotePr>
  <w:endnotePr>
    <w:endnote w:id="-1"/>
    <w:endnote w:id="0"/>
  </w:endnotePr>
  <w:compat>
    <w:useFELayout/>
  </w:compat>
  <w:rsids>
    <w:rsidRoot w:val="00C9161D"/>
    <w:rsid w:val="00014947"/>
    <w:rsid w:val="00020A25"/>
    <w:rsid w:val="00021CAB"/>
    <w:rsid w:val="0007171B"/>
    <w:rsid w:val="000B022A"/>
    <w:rsid w:val="000C64C2"/>
    <w:rsid w:val="000E40F7"/>
    <w:rsid w:val="000E673A"/>
    <w:rsid w:val="000F74F5"/>
    <w:rsid w:val="00105372"/>
    <w:rsid w:val="001312AD"/>
    <w:rsid w:val="00131E7A"/>
    <w:rsid w:val="00134846"/>
    <w:rsid w:val="00142046"/>
    <w:rsid w:val="00172AF6"/>
    <w:rsid w:val="00176CEE"/>
    <w:rsid w:val="00186DD8"/>
    <w:rsid w:val="001B13FE"/>
    <w:rsid w:val="0030169D"/>
    <w:rsid w:val="003060EB"/>
    <w:rsid w:val="003153EB"/>
    <w:rsid w:val="00321985"/>
    <w:rsid w:val="0033506D"/>
    <w:rsid w:val="00351205"/>
    <w:rsid w:val="00372F74"/>
    <w:rsid w:val="003B7BB2"/>
    <w:rsid w:val="003D668C"/>
    <w:rsid w:val="003F7224"/>
    <w:rsid w:val="004244C9"/>
    <w:rsid w:val="00427D21"/>
    <w:rsid w:val="004644C2"/>
    <w:rsid w:val="00467F9C"/>
    <w:rsid w:val="004A3D12"/>
    <w:rsid w:val="004C4679"/>
    <w:rsid w:val="004E3149"/>
    <w:rsid w:val="00534681"/>
    <w:rsid w:val="0055515A"/>
    <w:rsid w:val="00563442"/>
    <w:rsid w:val="00565B42"/>
    <w:rsid w:val="005B4ADC"/>
    <w:rsid w:val="005C4CE6"/>
    <w:rsid w:val="006122BA"/>
    <w:rsid w:val="006B2290"/>
    <w:rsid w:val="00717D88"/>
    <w:rsid w:val="00743050"/>
    <w:rsid w:val="00786056"/>
    <w:rsid w:val="007942D3"/>
    <w:rsid w:val="007B2099"/>
    <w:rsid w:val="007B6C09"/>
    <w:rsid w:val="007B7741"/>
    <w:rsid w:val="007E09DA"/>
    <w:rsid w:val="008178B6"/>
    <w:rsid w:val="00836DFD"/>
    <w:rsid w:val="00865B74"/>
    <w:rsid w:val="008974F0"/>
    <w:rsid w:val="008B012A"/>
    <w:rsid w:val="00906E17"/>
    <w:rsid w:val="00927D27"/>
    <w:rsid w:val="00930BA1"/>
    <w:rsid w:val="0093169E"/>
    <w:rsid w:val="00937130"/>
    <w:rsid w:val="009505C9"/>
    <w:rsid w:val="00950752"/>
    <w:rsid w:val="00966424"/>
    <w:rsid w:val="009C2DE6"/>
    <w:rsid w:val="009F1A4D"/>
    <w:rsid w:val="009F5ACB"/>
    <w:rsid w:val="00A1252A"/>
    <w:rsid w:val="00A82160"/>
    <w:rsid w:val="00AA6F92"/>
    <w:rsid w:val="00AB6934"/>
    <w:rsid w:val="00AD7FFC"/>
    <w:rsid w:val="00AF42DE"/>
    <w:rsid w:val="00B047BF"/>
    <w:rsid w:val="00B26ACD"/>
    <w:rsid w:val="00B3369F"/>
    <w:rsid w:val="00B94E6C"/>
    <w:rsid w:val="00BB2F86"/>
    <w:rsid w:val="00BB4606"/>
    <w:rsid w:val="00BF11F9"/>
    <w:rsid w:val="00C23D2F"/>
    <w:rsid w:val="00C36E3A"/>
    <w:rsid w:val="00C443BD"/>
    <w:rsid w:val="00C451C5"/>
    <w:rsid w:val="00C9161D"/>
    <w:rsid w:val="00CA0C1D"/>
    <w:rsid w:val="00CF1848"/>
    <w:rsid w:val="00CF54FC"/>
    <w:rsid w:val="00D12044"/>
    <w:rsid w:val="00D228C5"/>
    <w:rsid w:val="00D30264"/>
    <w:rsid w:val="00D33EFC"/>
    <w:rsid w:val="00D40DBC"/>
    <w:rsid w:val="00D76A18"/>
    <w:rsid w:val="00D80849"/>
    <w:rsid w:val="00D82E8F"/>
    <w:rsid w:val="00DD118C"/>
    <w:rsid w:val="00E66235"/>
    <w:rsid w:val="00E83C24"/>
    <w:rsid w:val="00E9318D"/>
    <w:rsid w:val="00EC1F46"/>
    <w:rsid w:val="00F53193"/>
    <w:rsid w:val="00F5357E"/>
    <w:rsid w:val="00F6586C"/>
    <w:rsid w:val="00F94774"/>
    <w:rsid w:val="00FA663B"/>
    <w:rsid w:val="00FC25F8"/>
    <w:rsid w:val="00FC53DB"/>
    <w:rsid w:val="00FD2789"/>
    <w:rsid w:val="00FE2131"/>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836DFD"/>
    <w:pPr>
      <w:spacing w:after="160" w:line="240" w:lineRule="exact"/>
      <w:jc w:val="left"/>
    </w:pPr>
    <w:rPr>
      <w:rFonts w:asciiTheme="minorHAnsi" w:eastAsiaTheme="minorEastAsia" w:hAnsiTheme="minorHAnsi" w:cstheme="minorBidi"/>
      <w:vertAlign w:val="superscript"/>
      <w:lang w:val="fr-CA"/>
    </w:rPr>
  </w:style>
</w:styles>
</file>

<file path=word/webSettings.xml><?xml version="1.0" encoding="utf-8"?>
<w:webSettings xmlns:r="http://schemas.openxmlformats.org/officeDocument/2006/relationships" xmlns:w="http://schemas.openxmlformats.org/wordprocessingml/2006/main">
  <w:divs>
    <w:div w:id="18449332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810A55"/>
    <w:rsid w:val="002907B2"/>
    <w:rsid w:val="0046422C"/>
    <w:rsid w:val="004760CF"/>
    <w:rsid w:val="004E092F"/>
    <w:rsid w:val="00500A2B"/>
    <w:rsid w:val="00512E76"/>
    <w:rsid w:val="0058288D"/>
    <w:rsid w:val="00665C6B"/>
    <w:rsid w:val="006801B3"/>
    <w:rsid w:val="00810A55"/>
    <w:rsid w:val="00886CD9"/>
    <w:rsid w:val="008916BC"/>
    <w:rsid w:val="008C6619"/>
    <w:rsid w:val="008D420E"/>
    <w:rsid w:val="0098642F"/>
    <w:rsid w:val="00AF1734"/>
    <w:rsid w:val="00B27D2C"/>
    <w:rsid w:val="00C8104B"/>
    <w:rsid w:val="00CD1015"/>
    <w:rsid w:val="00D31D12"/>
    <w:rsid w:val="00D83E45"/>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7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1734"/>
  </w:style>
  <w:style w:type="paragraph" w:customStyle="1" w:styleId="C67846FDEDA74D6B8721C70E1D9C68B6">
    <w:name w:val="C67846FDEDA74D6B8721C70E1D9C68B6"/>
    <w:rsid w:val="00AF1734"/>
    <w:pPr>
      <w:spacing w:after="160" w:line="259" w:lineRule="auto"/>
    </w:pPr>
    <w:rPr>
      <w:lang w:eastAsia="zh-CN"/>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8DA235358DD041A63AF04E77C2BD0C" ma:contentTypeVersion="4" ma:contentTypeDescription="Create a new document." ma:contentTypeScope="" ma:versionID="92533f4d30af82f422cc045d4804fecd">
  <xsd:schema xmlns:xsd="http://www.w3.org/2001/XMLSchema" xmlns:xs="http://www.w3.org/2001/XMLSchema" xmlns:p="http://schemas.microsoft.com/office/2006/metadata/properties" xmlns:ns2="896be14e-24a1-4415-aa96-ea50c61cac62" xmlns:ns3="eecf0134-05ac-4446-933a-7f637bccae5b" targetNamespace="http://schemas.microsoft.com/office/2006/metadata/properties" ma:root="true" ma:fieldsID="411d7575070f5acb1ca7ae091c9ead1d" ns2:_="" ns3:_="">
    <xsd:import namespace="896be14e-24a1-4415-aa96-ea50c61cac62"/>
    <xsd:import namespace="eecf0134-05ac-4446-933a-7f637bccae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be14e-24a1-4415-aa96-ea50c61ca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cf0134-05ac-4446-933a-7f637bccae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0ADB9F-9AB8-4207-BBFB-8C8E00736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be14e-24a1-4415-aa96-ea50c61cac62"/>
    <ds:schemaRef ds:uri="eecf0134-05ac-4446-933a-7f637bcc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A26DF07A-D063-441C-85FB-92344EE6F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485</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INFORMING THE SCIENTIFIC AND TECHNICAL EVIDENCE BASE FOR THE POST-2020 GLOBAL BIODIVERSITY FRAMEWORK</vt:lpstr>
    </vt:vector>
  </TitlesOfParts>
  <Company>SCBD</Company>
  <LinksUpToDate>false</LinksUpToDate>
  <CharactersWithSpaces>3150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INFORMING THE SCIENTIFIC AND TECHNICAL EVIDENCE BASE FOR THE POST-2020 GLOBAL BIODIVERSITY FRAMEWORK</dc:title>
  <dc:subject>CBD/COP/15/L.3</dc:subject>
  <dc:creator>SCBD</dc:creator>
  <cp:keywords>Conference of the Parties to the Convention on Biological Diversity, fifteenth meeting</cp:keywords>
  <cp:lastModifiedBy>BUBIC</cp:lastModifiedBy>
  <cp:revision>8</cp:revision>
  <cp:lastPrinted>2020-01-21T16:56:00Z</cp:lastPrinted>
  <dcterms:created xsi:type="dcterms:W3CDTF">2022-12-09T20:40:00Z</dcterms:created>
  <dcterms:modified xsi:type="dcterms:W3CDTF">2022-12-09T20:59:00Z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ies>
</file>