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C9161D" w:rsidTr="00CF1848">
        <w:trPr>
          <w:trHeight w:val="709"/>
        </w:trPr>
        <w:tc>
          <w:tcPr>
            <w:tcW w:w="976" w:type="dxa"/>
            <w:tcBorders>
              <w:bottom w:val="single" w:sz="12" w:space="0" w:color="auto"/>
            </w:tcBorders>
          </w:tcPr>
          <w:p w:rsidR="00C9161D" w:rsidRDefault="00C9161D">
            <w:r>
              <w:rPr>
                <w:noProof/>
                <w:lang w:val="en-US"/>
              </w:rPr>
              <w:drawing>
                <wp:inline distT="0" distB="0" distL="0" distR="0" wp14:anchorId="64194E7B" wp14:editId="39E4AAF6">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rsidR="00C9161D" w:rsidRDefault="00C9161D">
            <w:r>
              <w:rPr>
                <w:noProof/>
                <w:lang w:val="en-US"/>
              </w:rPr>
              <w:drawing>
                <wp:inline distT="0" distB="0" distL="0" distR="0" wp14:anchorId="147F76E3" wp14:editId="79009BEF">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rsidR="00C9161D" w:rsidRPr="00C9161D" w:rsidRDefault="00C9161D" w:rsidP="00C9161D">
            <w:pPr>
              <w:jc w:val="right"/>
              <w:rPr>
                <w:rFonts w:ascii="Arial" w:hAnsi="Arial" w:cs="Arial"/>
                <w:b/>
                <w:sz w:val="32"/>
                <w:szCs w:val="32"/>
              </w:rPr>
            </w:pPr>
            <w:r w:rsidRPr="00C9161D">
              <w:rPr>
                <w:rFonts w:ascii="Arial" w:hAnsi="Arial" w:cs="Arial"/>
                <w:b/>
                <w:sz w:val="32"/>
                <w:szCs w:val="32"/>
              </w:rPr>
              <w:t>CBD</w:t>
            </w:r>
          </w:p>
        </w:tc>
      </w:tr>
      <w:tr w:rsidR="00C9161D" w:rsidTr="00CF1848">
        <w:tc>
          <w:tcPr>
            <w:tcW w:w="6117" w:type="dxa"/>
            <w:gridSpan w:val="2"/>
            <w:tcBorders>
              <w:top w:val="single" w:sz="12" w:space="0" w:color="auto"/>
              <w:bottom w:val="single" w:sz="36" w:space="0" w:color="auto"/>
            </w:tcBorders>
            <w:vAlign w:val="center"/>
          </w:tcPr>
          <w:p w:rsidR="00C9161D" w:rsidRDefault="00C9161D" w:rsidP="00C9161D">
            <w:r>
              <w:rPr>
                <w:noProof/>
                <w:lang w:val="en-US"/>
              </w:rPr>
              <w:drawing>
                <wp:inline distT="0" distB="0" distL="0" distR="0" wp14:anchorId="276B05E1" wp14:editId="4FCD4B80">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rsidR="00C9161D" w:rsidRPr="00C9161D" w:rsidRDefault="00C9161D" w:rsidP="00176CEE">
            <w:pPr>
              <w:ind w:left="1215"/>
              <w:rPr>
                <w:szCs w:val="22"/>
              </w:rPr>
            </w:pPr>
            <w:r w:rsidRPr="00C9161D">
              <w:rPr>
                <w:szCs w:val="22"/>
              </w:rPr>
              <w:t>Distr.</w:t>
            </w:r>
          </w:p>
          <w:p w:rsidR="00C9161D" w:rsidRPr="00C9161D" w:rsidRDefault="0001427D" w:rsidP="00176CEE">
            <w:pPr>
              <w:ind w:left="1215"/>
              <w:rPr>
                <w:szCs w:val="22"/>
              </w:rPr>
            </w:pPr>
            <w:sdt>
              <w:sdtPr>
                <w:rPr>
                  <w:caps/>
                  <w:szCs w:val="22"/>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134846">
                  <w:rPr>
                    <w:caps/>
                    <w:szCs w:val="22"/>
                  </w:rPr>
                  <w:t>GENERAL</w:t>
                </w:r>
              </w:sdtContent>
            </w:sdt>
          </w:p>
          <w:p w:rsidR="00C9161D" w:rsidRPr="00C9161D" w:rsidRDefault="00C9161D" w:rsidP="00176CEE">
            <w:pPr>
              <w:ind w:left="1215"/>
              <w:rPr>
                <w:szCs w:val="22"/>
              </w:rPr>
            </w:pPr>
          </w:p>
          <w:p w:rsidR="00C9161D" w:rsidRPr="00C9161D" w:rsidRDefault="0001427D" w:rsidP="00176CEE">
            <w:pPr>
              <w:ind w:left="1215"/>
              <w:rPr>
                <w:szCs w:val="22"/>
              </w:rPr>
            </w:pPr>
            <w:sdt>
              <w:sdtPr>
                <w:rPr>
                  <w:kern w:val="22"/>
                  <w:szCs w:val="22"/>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CF4487" w:rsidRPr="00AD6138">
                  <w:rPr>
                    <w:kern w:val="22"/>
                    <w:szCs w:val="22"/>
                  </w:rPr>
                  <w:t>CBD/CHM/IAC/2019/1/</w:t>
                </w:r>
                <w:r w:rsidR="00CF4487">
                  <w:rPr>
                    <w:kern w:val="22"/>
                    <w:szCs w:val="22"/>
                  </w:rPr>
                  <w:t>3</w:t>
                </w:r>
              </w:sdtContent>
            </w:sdt>
          </w:p>
          <w:p w:rsidR="00C9161D" w:rsidRPr="00C9161D" w:rsidRDefault="0001427D" w:rsidP="00176CEE">
            <w:pPr>
              <w:ind w:left="1215"/>
              <w:rPr>
                <w:szCs w:val="22"/>
              </w:rPr>
            </w:pPr>
            <w:sdt>
              <w:sdtPr>
                <w:rPr>
                  <w:szCs w:val="22"/>
                </w:rPr>
                <w:alias w:val="Publish Date"/>
                <w:tag w:val=""/>
                <w:id w:val="276757068"/>
                <w:placeholder>
                  <w:docPart w:val="0E8C501BBE954700A0C458443305DA39"/>
                </w:placeholder>
                <w:dataBinding w:prefixMappings="xmlns:ns0='http://schemas.microsoft.com/office/2006/coverPageProps' " w:xpath="/ns0:CoverPageProperties[1]/ns0:PublishDate[1]" w:storeItemID="{55AF091B-3C7A-41E3-B477-F2FDAA23CFDA}"/>
                <w:date w:fullDate="2019-07-16T00:00:00Z">
                  <w:dateFormat w:val="d MMMM yyyy"/>
                  <w:lid w:val="en-US"/>
                  <w:storeMappedDataAs w:val="dateTime"/>
                  <w:calendar w:val="gregorian"/>
                </w:date>
              </w:sdtPr>
              <w:sdtEndPr/>
              <w:sdtContent>
                <w:r w:rsidR="00C11172">
                  <w:rPr>
                    <w:szCs w:val="22"/>
                  </w:rPr>
                  <w:t>16</w:t>
                </w:r>
                <w:r w:rsidR="00097056">
                  <w:rPr>
                    <w:szCs w:val="22"/>
                    <w:lang w:val="en-US"/>
                  </w:rPr>
                  <w:t xml:space="preserve"> Ju</w:t>
                </w:r>
                <w:r w:rsidR="00C11172">
                  <w:rPr>
                    <w:szCs w:val="22"/>
                    <w:lang w:val="en-US"/>
                  </w:rPr>
                  <w:t>ly</w:t>
                </w:r>
                <w:r w:rsidR="00097056">
                  <w:rPr>
                    <w:szCs w:val="22"/>
                    <w:lang w:val="en-US"/>
                  </w:rPr>
                  <w:t xml:space="preserve"> 2019</w:t>
                </w:r>
              </w:sdtContent>
            </w:sdt>
          </w:p>
          <w:p w:rsidR="00C9161D" w:rsidRPr="00C9161D" w:rsidRDefault="00C9161D" w:rsidP="00176CEE">
            <w:pPr>
              <w:ind w:left="1215"/>
              <w:rPr>
                <w:szCs w:val="22"/>
              </w:rPr>
            </w:pPr>
          </w:p>
          <w:p w:rsidR="00C9161D" w:rsidRPr="00C9161D" w:rsidRDefault="006B2290" w:rsidP="00176CEE">
            <w:pPr>
              <w:ind w:left="1215"/>
              <w:rPr>
                <w:szCs w:val="22"/>
              </w:rPr>
            </w:pPr>
            <w:r>
              <w:rPr>
                <w:szCs w:val="22"/>
              </w:rPr>
              <w:t xml:space="preserve">ORIGINAL: </w:t>
            </w:r>
            <w:r w:rsidR="00C9161D" w:rsidRPr="00C9161D">
              <w:rPr>
                <w:szCs w:val="22"/>
              </w:rPr>
              <w:t>ENGLISH</w:t>
            </w:r>
          </w:p>
          <w:p w:rsidR="00C9161D" w:rsidRDefault="00C9161D"/>
        </w:tc>
      </w:tr>
    </w:tbl>
    <w:p w:rsidR="00C9161D" w:rsidRPr="00254DEE" w:rsidRDefault="0001427D" w:rsidP="00B21738">
      <w:pPr>
        <w:pStyle w:val="Heading1"/>
      </w:pPr>
      <w:sdt>
        <w:sdtPr>
          <w:rPr>
            <w:szCs w:val="22"/>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254DEE" w:rsidRPr="00B21738">
            <w:rPr>
              <w:szCs w:val="22"/>
            </w:rPr>
            <w:t>Report on the meeting of the Informal Advisory Committee to the Clearing-house Mechanism of the Convention on Biological Diversity, 17-19 June 2019</w:t>
          </w:r>
        </w:sdtContent>
      </w:sdt>
    </w:p>
    <w:tbl>
      <w:tblPr>
        <w:tblW w:w="9828" w:type="dxa"/>
        <w:tblLook w:val="04A0" w:firstRow="1" w:lastRow="0" w:firstColumn="1" w:lastColumn="0" w:noHBand="0" w:noVBand="1"/>
      </w:tblPr>
      <w:tblGrid>
        <w:gridCol w:w="9828"/>
      </w:tblGrid>
      <w:tr w:rsidR="00305501" w:rsidRPr="007A31CB" w:rsidTr="00873C72">
        <w:tc>
          <w:tcPr>
            <w:tcW w:w="9828" w:type="dxa"/>
            <w:tcBorders>
              <w:top w:val="single" w:sz="4" w:space="0" w:color="auto"/>
              <w:left w:val="single" w:sz="4" w:space="0" w:color="auto"/>
              <w:bottom w:val="single" w:sz="4" w:space="0" w:color="auto"/>
              <w:right w:val="single" w:sz="4" w:space="0" w:color="auto"/>
            </w:tcBorders>
          </w:tcPr>
          <w:p w:rsidR="00E73692" w:rsidRPr="00B21738" w:rsidRDefault="00E73692" w:rsidP="00B21738">
            <w:pPr>
              <w:spacing w:before="120" w:after="120"/>
              <w:jc w:val="center"/>
              <w:rPr>
                <w:i/>
                <w:kern w:val="22"/>
                <w:szCs w:val="22"/>
              </w:rPr>
            </w:pPr>
            <w:bookmarkStart w:id="0" w:name="_Hlk503274165"/>
            <w:r w:rsidRPr="00B21738">
              <w:rPr>
                <w:i/>
                <w:kern w:val="22"/>
                <w:szCs w:val="22"/>
              </w:rPr>
              <w:t>Summary</w:t>
            </w:r>
          </w:p>
          <w:p w:rsidR="00305501" w:rsidRDefault="00305501" w:rsidP="00AA6009">
            <w:pPr>
              <w:spacing w:before="120" w:after="120"/>
              <w:ind w:firstLine="709"/>
              <w:rPr>
                <w:kern w:val="22"/>
                <w:szCs w:val="22"/>
              </w:rPr>
            </w:pPr>
            <w:r w:rsidRPr="00C64897">
              <w:rPr>
                <w:kern w:val="22"/>
                <w:szCs w:val="22"/>
              </w:rPr>
              <w:t xml:space="preserve">The </w:t>
            </w:r>
            <w:r>
              <w:rPr>
                <w:kern w:val="22"/>
                <w:szCs w:val="22"/>
              </w:rPr>
              <w:t>Informal Advisory Committee to the Clearing-House Mechanism</w:t>
            </w:r>
            <w:r w:rsidR="003A32FD">
              <w:rPr>
                <w:kern w:val="22"/>
                <w:szCs w:val="22"/>
              </w:rPr>
              <w:t xml:space="preserve"> </w:t>
            </w:r>
            <w:r>
              <w:rPr>
                <w:kern w:val="22"/>
                <w:szCs w:val="22"/>
              </w:rPr>
              <w:t>met</w:t>
            </w:r>
            <w:r w:rsidRPr="00C64897">
              <w:rPr>
                <w:kern w:val="22"/>
                <w:szCs w:val="22"/>
              </w:rPr>
              <w:t xml:space="preserve"> in Montreal, Canada, from </w:t>
            </w:r>
            <w:r>
              <w:rPr>
                <w:kern w:val="22"/>
                <w:szCs w:val="22"/>
              </w:rPr>
              <w:t>17</w:t>
            </w:r>
            <w:r w:rsidRPr="00C64897">
              <w:rPr>
                <w:kern w:val="22"/>
                <w:szCs w:val="22"/>
              </w:rPr>
              <w:t xml:space="preserve"> to </w:t>
            </w:r>
            <w:r>
              <w:rPr>
                <w:kern w:val="22"/>
                <w:szCs w:val="22"/>
              </w:rPr>
              <w:t>19</w:t>
            </w:r>
            <w:r w:rsidRPr="00C64897">
              <w:rPr>
                <w:kern w:val="22"/>
                <w:szCs w:val="22"/>
              </w:rPr>
              <w:t xml:space="preserve"> Ju</w:t>
            </w:r>
            <w:r>
              <w:rPr>
                <w:kern w:val="22"/>
                <w:szCs w:val="22"/>
              </w:rPr>
              <w:t>ne</w:t>
            </w:r>
            <w:r w:rsidRPr="00C64897">
              <w:rPr>
                <w:kern w:val="22"/>
                <w:szCs w:val="22"/>
              </w:rPr>
              <w:t xml:space="preserve"> 201</w:t>
            </w:r>
            <w:r>
              <w:rPr>
                <w:kern w:val="22"/>
                <w:szCs w:val="22"/>
              </w:rPr>
              <w:t>9</w:t>
            </w:r>
            <w:r w:rsidRPr="00C64897">
              <w:rPr>
                <w:kern w:val="22"/>
                <w:szCs w:val="22"/>
              </w:rPr>
              <w:t xml:space="preserve">. It </w:t>
            </w:r>
            <w:r>
              <w:rPr>
                <w:kern w:val="22"/>
                <w:szCs w:val="22"/>
              </w:rPr>
              <w:t>provided</w:t>
            </w:r>
            <w:r w:rsidRPr="00C64897">
              <w:rPr>
                <w:kern w:val="22"/>
                <w:szCs w:val="22"/>
              </w:rPr>
              <w:t xml:space="preserve"> </w:t>
            </w:r>
            <w:r w:rsidRPr="00B27DEF">
              <w:rPr>
                <w:kern w:val="22"/>
                <w:szCs w:val="22"/>
              </w:rPr>
              <w:t xml:space="preserve">recommendations </w:t>
            </w:r>
            <w:r w:rsidR="00873C72">
              <w:rPr>
                <w:kern w:val="22"/>
                <w:szCs w:val="22"/>
              </w:rPr>
              <w:t xml:space="preserve">to the Executive Secretary </w:t>
            </w:r>
            <w:r w:rsidRPr="00B27DEF">
              <w:rPr>
                <w:kern w:val="22"/>
                <w:szCs w:val="22"/>
              </w:rPr>
              <w:t>concerning</w:t>
            </w:r>
            <w:r w:rsidRPr="00212A8E">
              <w:rPr>
                <w:kern w:val="22"/>
                <w:szCs w:val="22"/>
              </w:rPr>
              <w:t>:</w:t>
            </w:r>
            <w:r w:rsidRPr="006D45AF">
              <w:rPr>
                <w:kern w:val="22"/>
                <w:szCs w:val="22"/>
              </w:rPr>
              <w:t xml:space="preserve"> (a) </w:t>
            </w:r>
            <w:r>
              <w:rPr>
                <w:kern w:val="22"/>
                <w:szCs w:val="22"/>
              </w:rPr>
              <w:t>award for national clearing-house mechanisms</w:t>
            </w:r>
            <w:r w:rsidR="003A32FD">
              <w:rPr>
                <w:kern w:val="22"/>
                <w:szCs w:val="22"/>
              </w:rPr>
              <w:t xml:space="preserve"> (CHM Award)</w:t>
            </w:r>
            <w:r w:rsidRPr="00A85A73">
              <w:rPr>
                <w:kern w:val="22"/>
                <w:szCs w:val="22"/>
              </w:rPr>
              <w:t xml:space="preserve">; (b) </w:t>
            </w:r>
            <w:r w:rsidR="00873C72">
              <w:rPr>
                <w:kern w:val="22"/>
                <w:szCs w:val="22"/>
              </w:rPr>
              <w:t xml:space="preserve">the </w:t>
            </w:r>
            <w:r>
              <w:rPr>
                <w:kern w:val="22"/>
                <w:szCs w:val="22"/>
              </w:rPr>
              <w:t>online reporting tool</w:t>
            </w:r>
            <w:r w:rsidRPr="00375067">
              <w:rPr>
                <w:kern w:val="22"/>
                <w:szCs w:val="22"/>
              </w:rPr>
              <w:t xml:space="preserve">; (c) </w:t>
            </w:r>
            <w:r>
              <w:rPr>
                <w:kern w:val="22"/>
                <w:szCs w:val="22"/>
              </w:rPr>
              <w:t>support to national clearing-house mechanisms</w:t>
            </w:r>
            <w:r w:rsidRPr="00375067">
              <w:rPr>
                <w:kern w:val="22"/>
                <w:szCs w:val="22"/>
              </w:rPr>
              <w:t xml:space="preserve">; (d) </w:t>
            </w:r>
            <w:r>
              <w:rPr>
                <w:kern w:val="22"/>
                <w:szCs w:val="22"/>
              </w:rPr>
              <w:t>knowledge management</w:t>
            </w:r>
            <w:r w:rsidRPr="00375067">
              <w:rPr>
                <w:kern w:val="22"/>
                <w:szCs w:val="22"/>
              </w:rPr>
              <w:t xml:space="preserve">; </w:t>
            </w:r>
            <w:r>
              <w:rPr>
                <w:kern w:val="22"/>
                <w:szCs w:val="22"/>
              </w:rPr>
              <w:t xml:space="preserve">and </w:t>
            </w:r>
            <w:r w:rsidRPr="00375067">
              <w:rPr>
                <w:kern w:val="22"/>
                <w:szCs w:val="22"/>
              </w:rPr>
              <w:t xml:space="preserve">(e) </w:t>
            </w:r>
            <w:r>
              <w:rPr>
                <w:kern w:val="22"/>
                <w:szCs w:val="22"/>
              </w:rPr>
              <w:t>technical and scientific cooperation</w:t>
            </w:r>
            <w:r w:rsidRPr="00A66014">
              <w:rPr>
                <w:kern w:val="22"/>
                <w:szCs w:val="22"/>
              </w:rPr>
              <w:t>. These are provided in section I of the report.</w:t>
            </w:r>
          </w:p>
          <w:p w:rsidR="00873C72" w:rsidRPr="00A66014" w:rsidRDefault="000A39CB" w:rsidP="00AA6009">
            <w:pPr>
              <w:spacing w:before="120" w:after="120"/>
              <w:ind w:firstLine="709"/>
              <w:rPr>
                <w:kern w:val="22"/>
                <w:szCs w:val="22"/>
              </w:rPr>
            </w:pPr>
            <w:r w:rsidRPr="00C64897">
              <w:rPr>
                <w:kern w:val="22"/>
                <w:szCs w:val="22"/>
              </w:rPr>
              <w:t xml:space="preserve">The </w:t>
            </w:r>
            <w:r>
              <w:rPr>
                <w:kern w:val="22"/>
                <w:szCs w:val="22"/>
              </w:rPr>
              <w:t xml:space="preserve">Informal Advisory Committee also </w:t>
            </w:r>
            <w:r w:rsidR="004B19AF" w:rsidRPr="004B19AF">
              <w:rPr>
                <w:kern w:val="22"/>
                <w:szCs w:val="22"/>
              </w:rPr>
              <w:t xml:space="preserve">reviewed and further developed the draft terms of reference for an informal advisory committee on technical and scientific cooperation, pursuant to paragraph 3 of </w:t>
            </w:r>
            <w:r w:rsidR="0002734F">
              <w:rPr>
                <w:kern w:val="22"/>
                <w:szCs w:val="22"/>
              </w:rPr>
              <w:t>r</w:t>
            </w:r>
            <w:r w:rsidR="004B19AF" w:rsidRPr="004B19AF">
              <w:rPr>
                <w:kern w:val="22"/>
                <w:szCs w:val="22"/>
              </w:rPr>
              <w:t>ecommendation SBI-2/8 of the Subsidiary Body on Implementation</w:t>
            </w:r>
            <w:r>
              <w:rPr>
                <w:kern w:val="22"/>
                <w:szCs w:val="22"/>
              </w:rPr>
              <w:t xml:space="preserve">. The revised draft terms of reference are contained in </w:t>
            </w:r>
            <w:r w:rsidR="0002734F">
              <w:rPr>
                <w:kern w:val="22"/>
                <w:szCs w:val="22"/>
              </w:rPr>
              <w:t>a</w:t>
            </w:r>
            <w:r>
              <w:rPr>
                <w:kern w:val="22"/>
                <w:szCs w:val="22"/>
              </w:rPr>
              <w:t xml:space="preserve">nnex </w:t>
            </w:r>
            <w:r w:rsidR="0002734F">
              <w:rPr>
                <w:kern w:val="22"/>
                <w:szCs w:val="22"/>
              </w:rPr>
              <w:t>I</w:t>
            </w:r>
            <w:r w:rsidRPr="00A66014">
              <w:rPr>
                <w:kern w:val="22"/>
                <w:szCs w:val="22"/>
              </w:rPr>
              <w:t xml:space="preserve"> </w:t>
            </w:r>
            <w:r>
              <w:rPr>
                <w:kern w:val="22"/>
                <w:szCs w:val="22"/>
              </w:rPr>
              <w:t xml:space="preserve">under </w:t>
            </w:r>
            <w:r w:rsidRPr="00A66014">
              <w:rPr>
                <w:kern w:val="22"/>
                <w:szCs w:val="22"/>
              </w:rPr>
              <w:t>section I of the report</w:t>
            </w:r>
            <w:r>
              <w:rPr>
                <w:kern w:val="22"/>
                <w:szCs w:val="22"/>
              </w:rPr>
              <w:t>.</w:t>
            </w:r>
          </w:p>
          <w:p w:rsidR="00305501" w:rsidRPr="00436B1A" w:rsidRDefault="00305501" w:rsidP="00AA6009">
            <w:pPr>
              <w:spacing w:before="120" w:after="120"/>
              <w:ind w:firstLine="709"/>
              <w:rPr>
                <w:kern w:val="22"/>
                <w:szCs w:val="22"/>
              </w:rPr>
            </w:pPr>
            <w:r w:rsidRPr="00E56BD4">
              <w:rPr>
                <w:kern w:val="22"/>
                <w:szCs w:val="22"/>
              </w:rPr>
              <w:t xml:space="preserve">The </w:t>
            </w:r>
            <w:r>
              <w:rPr>
                <w:kern w:val="22"/>
                <w:szCs w:val="22"/>
              </w:rPr>
              <w:t>Executive Secretary</w:t>
            </w:r>
            <w:r w:rsidRPr="00E56BD4">
              <w:rPr>
                <w:kern w:val="22"/>
                <w:szCs w:val="22"/>
              </w:rPr>
              <w:t xml:space="preserve"> </w:t>
            </w:r>
            <w:r w:rsidR="00AD119A">
              <w:rPr>
                <w:kern w:val="22"/>
                <w:szCs w:val="22"/>
              </w:rPr>
              <w:t>may wish to take into account</w:t>
            </w:r>
            <w:r w:rsidR="00913E51">
              <w:rPr>
                <w:kern w:val="22"/>
                <w:szCs w:val="22"/>
              </w:rPr>
              <w:t>, as appropriate,</w:t>
            </w:r>
            <w:r w:rsidR="00AD119A">
              <w:rPr>
                <w:kern w:val="22"/>
                <w:szCs w:val="22"/>
              </w:rPr>
              <w:t xml:space="preserve"> the advice </w:t>
            </w:r>
            <w:r w:rsidRPr="00E56BD4">
              <w:rPr>
                <w:kern w:val="22"/>
                <w:szCs w:val="22"/>
              </w:rPr>
              <w:t xml:space="preserve">contained in the recommendations </w:t>
            </w:r>
            <w:r w:rsidR="005C2C6D">
              <w:rPr>
                <w:kern w:val="22"/>
                <w:szCs w:val="22"/>
              </w:rPr>
              <w:t xml:space="preserve">in </w:t>
            </w:r>
            <w:r w:rsidR="00EF5861">
              <w:rPr>
                <w:kern w:val="22"/>
                <w:szCs w:val="22"/>
              </w:rPr>
              <w:t xml:space="preserve">the implementation of decisions of the Conference of the Parties and </w:t>
            </w:r>
            <w:r w:rsidR="002850B0">
              <w:rPr>
                <w:kern w:val="22"/>
                <w:szCs w:val="22"/>
              </w:rPr>
              <w:t xml:space="preserve">in </w:t>
            </w:r>
            <w:r w:rsidR="00EF5861">
              <w:rPr>
                <w:kern w:val="22"/>
                <w:szCs w:val="22"/>
              </w:rPr>
              <w:t xml:space="preserve">the </w:t>
            </w:r>
            <w:r w:rsidR="00B9232C">
              <w:rPr>
                <w:kern w:val="22"/>
                <w:szCs w:val="22"/>
              </w:rPr>
              <w:t xml:space="preserve">preparation of documents for consideration by </w:t>
            </w:r>
            <w:r w:rsidRPr="00F85576">
              <w:rPr>
                <w:kern w:val="22"/>
                <w:szCs w:val="22"/>
              </w:rPr>
              <w:t xml:space="preserve">the </w:t>
            </w:r>
            <w:r>
              <w:rPr>
                <w:kern w:val="22"/>
                <w:szCs w:val="22"/>
              </w:rPr>
              <w:t>Subsidiary Body on Scientific, Technical and Technological Cooperation at its twenty-third meeting</w:t>
            </w:r>
            <w:r w:rsidR="000A39CB">
              <w:rPr>
                <w:kern w:val="22"/>
                <w:szCs w:val="22"/>
              </w:rPr>
              <w:t xml:space="preserve">, </w:t>
            </w:r>
            <w:r w:rsidRPr="00F85576">
              <w:rPr>
                <w:szCs w:val="22"/>
              </w:rPr>
              <w:t xml:space="preserve">the </w:t>
            </w:r>
            <w:r>
              <w:rPr>
                <w:szCs w:val="22"/>
              </w:rPr>
              <w:t>Subsidiary Body on Implementation at its third meeting</w:t>
            </w:r>
            <w:r w:rsidR="000A39CB">
              <w:rPr>
                <w:szCs w:val="22"/>
              </w:rPr>
              <w:t xml:space="preserve"> and Conference of the Parties at its fifteenth meeting</w:t>
            </w:r>
            <w:r w:rsidRPr="00AB3F7F">
              <w:rPr>
                <w:szCs w:val="22"/>
              </w:rPr>
              <w:t>.</w:t>
            </w:r>
          </w:p>
          <w:p w:rsidR="00305501" w:rsidRPr="00436B1A" w:rsidRDefault="00305501" w:rsidP="00AA6009">
            <w:pPr>
              <w:spacing w:before="120" w:after="120"/>
              <w:ind w:firstLine="709"/>
              <w:rPr>
                <w:kern w:val="22"/>
                <w:szCs w:val="22"/>
              </w:rPr>
            </w:pPr>
            <w:r w:rsidRPr="00436B1A">
              <w:rPr>
                <w:kern w:val="22"/>
                <w:szCs w:val="22"/>
              </w:rPr>
              <w:t>The account of the proceedings of the meeting appears in section II of the report.</w:t>
            </w:r>
          </w:p>
        </w:tc>
        <w:bookmarkEnd w:id="0"/>
      </w:tr>
    </w:tbl>
    <w:p w:rsidR="00C9161D" w:rsidRDefault="00BE422B" w:rsidP="0093169E">
      <w:pPr>
        <w:pStyle w:val="Heading1"/>
        <w:numPr>
          <w:ilvl w:val="0"/>
          <w:numId w:val="14"/>
        </w:numPr>
      </w:pPr>
      <w:r>
        <w:t>RECOMMENDATIONS TO THE eXECUTIVE sECRETARY</w:t>
      </w:r>
    </w:p>
    <w:p w:rsidR="00BE422B" w:rsidRPr="00D8260B" w:rsidRDefault="00BE422B" w:rsidP="00B21738">
      <w:pPr>
        <w:pStyle w:val="CBD-Sub-Item"/>
        <w:numPr>
          <w:ilvl w:val="0"/>
          <w:numId w:val="32"/>
        </w:numPr>
        <w:spacing w:after="240"/>
        <w:rPr>
          <w:snapToGrid w:val="0"/>
          <w:kern w:val="22"/>
          <w:lang w:val="en-GB"/>
        </w:rPr>
      </w:pPr>
      <w:r w:rsidRPr="00D8260B">
        <w:rPr>
          <w:snapToGrid w:val="0"/>
          <w:kern w:val="22"/>
          <w:lang w:val="en-GB"/>
        </w:rPr>
        <w:t xml:space="preserve">Award for national </w:t>
      </w:r>
      <w:r w:rsidRPr="00A002C0">
        <w:rPr>
          <w:snapToGrid w:val="0"/>
          <w:kern w:val="22"/>
          <w:lang w:val="en-GB"/>
        </w:rPr>
        <w:t>clearing-house mechanisms</w:t>
      </w:r>
    </w:p>
    <w:p w:rsidR="00BE422B" w:rsidRDefault="00BE422B" w:rsidP="00B21738">
      <w:pPr>
        <w:pStyle w:val="ListParagraph"/>
        <w:numPr>
          <w:ilvl w:val="0"/>
          <w:numId w:val="37"/>
        </w:numPr>
        <w:suppressLineNumbers/>
        <w:suppressAutoHyphens/>
        <w:spacing w:before="120" w:after="120"/>
        <w:ind w:left="0" w:firstLine="0"/>
        <w:contextualSpacing w:val="0"/>
      </w:pPr>
      <w:r>
        <w:t xml:space="preserve">Update the criteria issued for the second award process based on </w:t>
      </w:r>
      <w:r w:rsidR="00A23AC9">
        <w:t xml:space="preserve">the </w:t>
      </w:r>
      <w:r>
        <w:t xml:space="preserve">feedback </w:t>
      </w:r>
      <w:r w:rsidR="00A23AC9">
        <w:t xml:space="preserve">received </w:t>
      </w:r>
      <w:r>
        <w:t>from members</w:t>
      </w:r>
      <w:r w:rsidR="0002734F">
        <w:t xml:space="preserve"> of the </w:t>
      </w:r>
      <w:r w:rsidR="0002734F" w:rsidRPr="0002734F">
        <w:t>Informal Advisory Committee to the Clearing-House Mechanism</w:t>
      </w:r>
      <w:r>
        <w:t>.</w:t>
      </w:r>
    </w:p>
    <w:p w:rsidR="00BE422B" w:rsidRPr="00D53E95" w:rsidRDefault="00BE422B" w:rsidP="00B21738">
      <w:pPr>
        <w:pStyle w:val="ListParagraph"/>
        <w:numPr>
          <w:ilvl w:val="0"/>
          <w:numId w:val="37"/>
        </w:numPr>
        <w:suppressLineNumbers/>
        <w:suppressAutoHyphens/>
        <w:spacing w:before="120" w:after="120"/>
        <w:ind w:left="0" w:firstLine="0"/>
        <w:contextualSpacing w:val="0"/>
        <w:rPr>
          <w:snapToGrid w:val="0"/>
          <w:kern w:val="22"/>
          <w:lang w:eastAsia="x-none"/>
        </w:rPr>
      </w:pPr>
      <w:r w:rsidRPr="00D53E95">
        <w:rPr>
          <w:snapToGrid w:val="0"/>
          <w:kern w:val="22"/>
          <w:lang w:eastAsia="x-none"/>
        </w:rPr>
        <w:t xml:space="preserve">Convene a </w:t>
      </w:r>
      <w:r w:rsidRPr="00FF2949">
        <w:rPr>
          <w:snapToGrid w:val="0"/>
          <w:kern w:val="22"/>
          <w:lang w:eastAsia="x-none"/>
        </w:rPr>
        <w:t xml:space="preserve">meeting </w:t>
      </w:r>
      <w:r>
        <w:rPr>
          <w:snapToGrid w:val="0"/>
          <w:kern w:val="22"/>
          <w:lang w:eastAsia="x-none"/>
        </w:rPr>
        <w:t xml:space="preserve">of the CHM Awards jury </w:t>
      </w:r>
      <w:r w:rsidRPr="00D53E95">
        <w:rPr>
          <w:snapToGrid w:val="0"/>
          <w:kern w:val="22"/>
          <w:lang w:eastAsia="x-none"/>
        </w:rPr>
        <w:t>before the end of August 2020</w:t>
      </w:r>
      <w:r>
        <w:rPr>
          <w:snapToGrid w:val="0"/>
          <w:kern w:val="22"/>
          <w:lang w:eastAsia="x-none"/>
        </w:rPr>
        <w:t>, subject to the availability of resources,</w:t>
      </w:r>
      <w:r w:rsidRPr="00D53E95">
        <w:rPr>
          <w:snapToGrid w:val="0"/>
          <w:kern w:val="22"/>
          <w:lang w:eastAsia="x-none"/>
        </w:rPr>
        <w:t xml:space="preserve"> to </w:t>
      </w:r>
      <w:r>
        <w:rPr>
          <w:snapToGrid w:val="0"/>
          <w:kern w:val="22"/>
          <w:lang w:eastAsia="x-none"/>
        </w:rPr>
        <w:t>select the Award winners</w:t>
      </w:r>
      <w:r w:rsidRPr="00D53E95">
        <w:rPr>
          <w:snapToGrid w:val="0"/>
          <w:kern w:val="22"/>
          <w:lang w:eastAsia="x-none"/>
        </w:rPr>
        <w:t>.</w:t>
      </w:r>
    </w:p>
    <w:p w:rsidR="00BE422B" w:rsidRPr="00116360" w:rsidRDefault="00BE422B" w:rsidP="00B21738">
      <w:pPr>
        <w:pStyle w:val="CBD-Sub-Item"/>
        <w:numPr>
          <w:ilvl w:val="0"/>
          <w:numId w:val="32"/>
        </w:numPr>
        <w:spacing w:before="120"/>
        <w:ind w:left="714" w:hanging="357"/>
        <w:rPr>
          <w:snapToGrid w:val="0"/>
          <w:kern w:val="22"/>
          <w:lang w:val="en-GB"/>
        </w:rPr>
      </w:pPr>
      <w:r w:rsidRPr="00116360">
        <w:rPr>
          <w:snapToGrid w:val="0"/>
          <w:kern w:val="22"/>
          <w:lang w:val="en-GB"/>
        </w:rPr>
        <w:t>Online reporting tool</w:t>
      </w:r>
    </w:p>
    <w:p w:rsidR="00BE422B" w:rsidRDefault="00BE422B" w:rsidP="00B21738">
      <w:pPr>
        <w:pStyle w:val="ListParagraph"/>
        <w:numPr>
          <w:ilvl w:val="0"/>
          <w:numId w:val="37"/>
        </w:numPr>
        <w:suppressLineNumbers/>
        <w:suppressAutoHyphens/>
        <w:spacing w:before="120" w:after="120"/>
        <w:ind w:left="0" w:firstLine="0"/>
        <w:contextualSpacing w:val="0"/>
      </w:pPr>
      <w:r>
        <w:t>S</w:t>
      </w:r>
      <w:r w:rsidRPr="006C1164">
        <w:t xml:space="preserve">eek feedback from Parties on their experience using the </w:t>
      </w:r>
      <w:r>
        <w:t xml:space="preserve">online reporting tool and </w:t>
      </w:r>
      <w:r w:rsidRPr="006C1164">
        <w:t>fix any technical issues</w:t>
      </w:r>
      <w:r>
        <w:t xml:space="preserve">, with a view to informing </w:t>
      </w:r>
      <w:r w:rsidR="001760A0">
        <w:t xml:space="preserve">the </w:t>
      </w:r>
      <w:r>
        <w:t xml:space="preserve">development of the </w:t>
      </w:r>
      <w:r w:rsidR="00F002DF">
        <w:t xml:space="preserve">seventh </w:t>
      </w:r>
      <w:r>
        <w:t>national report</w:t>
      </w:r>
      <w:r w:rsidR="001760A0">
        <w:t xml:space="preserve"> format</w:t>
      </w:r>
      <w:r>
        <w:t>.</w:t>
      </w:r>
      <w:r w:rsidRPr="006C1164">
        <w:t xml:space="preserve"> </w:t>
      </w:r>
    </w:p>
    <w:p w:rsidR="00BE422B" w:rsidRDefault="00BE422B" w:rsidP="00B21738">
      <w:pPr>
        <w:pStyle w:val="ListParagraph"/>
        <w:numPr>
          <w:ilvl w:val="0"/>
          <w:numId w:val="37"/>
        </w:numPr>
        <w:suppressLineNumbers/>
        <w:suppressAutoHyphens/>
        <w:spacing w:before="120" w:after="120"/>
        <w:ind w:left="0" w:firstLine="0"/>
        <w:contextualSpacing w:val="0"/>
      </w:pPr>
      <w:r>
        <w:t xml:space="preserve">Fully utilize the expertise of the </w:t>
      </w:r>
      <w:r w:rsidR="0002734F" w:rsidRPr="0002734F">
        <w:t xml:space="preserve">Informal Advisory Committee to the Clearing-House Mechanism </w:t>
      </w:r>
      <w:r>
        <w:t>in developing and testing any new features and improvements to the functionality of the online reporting tool.</w:t>
      </w:r>
    </w:p>
    <w:p w:rsidR="00BE422B" w:rsidRPr="00D8260B" w:rsidRDefault="00BE422B" w:rsidP="00B21738">
      <w:pPr>
        <w:pStyle w:val="CBD-Sub-Item"/>
        <w:numPr>
          <w:ilvl w:val="0"/>
          <w:numId w:val="32"/>
        </w:numPr>
        <w:spacing w:before="120"/>
        <w:ind w:left="714" w:hanging="357"/>
        <w:rPr>
          <w:snapToGrid w:val="0"/>
          <w:kern w:val="22"/>
          <w:lang w:val="en-GB"/>
        </w:rPr>
      </w:pPr>
      <w:r w:rsidRPr="00D8260B">
        <w:rPr>
          <w:snapToGrid w:val="0"/>
          <w:kern w:val="22"/>
          <w:lang w:val="en-GB"/>
        </w:rPr>
        <w:t xml:space="preserve">Support to national </w:t>
      </w:r>
      <w:r w:rsidRPr="00A002C0">
        <w:rPr>
          <w:snapToGrid w:val="0"/>
          <w:kern w:val="22"/>
          <w:lang w:val="en-GB"/>
        </w:rPr>
        <w:t>clearing-house mechanisms</w:t>
      </w:r>
    </w:p>
    <w:p w:rsidR="00BE422B" w:rsidRDefault="00BE422B" w:rsidP="00B21738">
      <w:pPr>
        <w:pStyle w:val="ListParagraph"/>
        <w:numPr>
          <w:ilvl w:val="0"/>
          <w:numId w:val="37"/>
        </w:numPr>
        <w:suppressLineNumbers/>
        <w:suppressAutoHyphens/>
        <w:spacing w:before="120" w:after="120"/>
        <w:ind w:left="0" w:firstLine="0"/>
        <w:contextualSpacing w:val="0"/>
      </w:pPr>
      <w:r w:rsidRPr="0039183A">
        <w:t xml:space="preserve">Continue to prioritize the development and implementation of the </w:t>
      </w:r>
      <w:proofErr w:type="spellStart"/>
      <w:r w:rsidRPr="0039183A">
        <w:t>Bioland</w:t>
      </w:r>
      <w:proofErr w:type="spellEnd"/>
      <w:r w:rsidRPr="0039183A">
        <w:t xml:space="preserve"> tool</w:t>
      </w:r>
      <w:r>
        <w:t xml:space="preserve"> </w:t>
      </w:r>
      <w:r w:rsidRPr="0039183A">
        <w:t xml:space="preserve">and provide </w:t>
      </w:r>
      <w:r w:rsidR="00EB7FF0">
        <w:t xml:space="preserve">support to </w:t>
      </w:r>
      <w:r w:rsidRPr="0039183A">
        <w:t xml:space="preserve">Parties </w:t>
      </w:r>
      <w:r w:rsidR="00BF6681" w:rsidRPr="00C846DB">
        <w:t xml:space="preserve">that wish to </w:t>
      </w:r>
      <w:r w:rsidR="00BF6681" w:rsidRPr="002411C7">
        <w:t xml:space="preserve">use the tool </w:t>
      </w:r>
      <w:r w:rsidR="00BF6681" w:rsidRPr="00C846DB">
        <w:t>to develop their national clearing-house mechanism</w:t>
      </w:r>
      <w:r w:rsidR="00BF6681">
        <w:t xml:space="preserve"> website</w:t>
      </w:r>
      <w:r w:rsidR="00BF6681" w:rsidRPr="00C846DB">
        <w:t xml:space="preserve">s or redesign </w:t>
      </w:r>
      <w:r w:rsidR="000731B6">
        <w:t xml:space="preserve">and improve </w:t>
      </w:r>
      <w:r w:rsidR="00BF6681" w:rsidRPr="00C846DB">
        <w:t>existing ones</w:t>
      </w:r>
      <w:r w:rsidRPr="0039183A">
        <w:t>.</w:t>
      </w:r>
    </w:p>
    <w:p w:rsidR="00BE422B" w:rsidRPr="002411C7" w:rsidRDefault="00610B90" w:rsidP="00B21738">
      <w:pPr>
        <w:pStyle w:val="ListParagraph"/>
        <w:numPr>
          <w:ilvl w:val="0"/>
          <w:numId w:val="37"/>
        </w:numPr>
        <w:suppressLineNumbers/>
        <w:suppressAutoHyphens/>
        <w:spacing w:before="120" w:after="120"/>
        <w:ind w:left="0" w:firstLine="0"/>
        <w:contextualSpacing w:val="0"/>
      </w:pPr>
      <w:r>
        <w:lastRenderedPageBreak/>
        <w:t>Keep under r</w:t>
      </w:r>
      <w:r w:rsidR="00BE422B">
        <w:t>eview</w:t>
      </w:r>
      <w:r w:rsidR="00BE422B" w:rsidRPr="002411C7">
        <w:t xml:space="preserve"> the level of support available to Parties </w:t>
      </w:r>
      <w:r w:rsidR="00C10B30">
        <w:t xml:space="preserve">as </w:t>
      </w:r>
      <w:r w:rsidR="00BE422B" w:rsidRPr="002411C7">
        <w:t>usage of the tool</w:t>
      </w:r>
      <w:r w:rsidR="00C10B30">
        <w:t xml:space="preserve"> increases</w:t>
      </w:r>
      <w:r w:rsidR="00BE422B" w:rsidRPr="002411C7">
        <w:t>.</w:t>
      </w:r>
    </w:p>
    <w:p w:rsidR="00BE422B" w:rsidRDefault="00BE422B" w:rsidP="00B21738">
      <w:pPr>
        <w:pStyle w:val="ListParagraph"/>
        <w:numPr>
          <w:ilvl w:val="0"/>
          <w:numId w:val="37"/>
        </w:numPr>
        <w:suppressLineNumbers/>
        <w:suppressAutoHyphens/>
        <w:spacing w:before="120" w:after="120"/>
        <w:ind w:left="0" w:firstLine="0"/>
        <w:contextualSpacing w:val="0"/>
      </w:pPr>
      <w:r w:rsidRPr="0039183A">
        <w:t>Increase</w:t>
      </w:r>
      <w:r w:rsidR="00802947">
        <w:t>,</w:t>
      </w:r>
      <w:r w:rsidRPr="0039183A">
        <w:t xml:space="preserve"> </w:t>
      </w:r>
      <w:r w:rsidR="00802947" w:rsidRPr="0039183A">
        <w:t>through interoperability</w:t>
      </w:r>
      <w:r w:rsidR="002747B4">
        <w:t xml:space="preserve"> and </w:t>
      </w:r>
      <w:r w:rsidR="00D16785" w:rsidRPr="00D16785">
        <w:t>Application Programming Interface</w:t>
      </w:r>
      <w:r w:rsidR="00D16785">
        <w:t>s</w:t>
      </w:r>
      <w:r w:rsidR="00802947">
        <w:t>,</w:t>
      </w:r>
      <w:r w:rsidR="00802947" w:rsidRPr="0039183A">
        <w:t xml:space="preserve"> </w:t>
      </w:r>
      <w:r w:rsidRPr="0039183A">
        <w:t>the incorporation</w:t>
      </w:r>
      <w:r>
        <w:t xml:space="preserve"> </w:t>
      </w:r>
      <w:r w:rsidRPr="0039183A">
        <w:t xml:space="preserve">in the </w:t>
      </w:r>
      <w:proofErr w:type="spellStart"/>
      <w:r w:rsidRPr="0039183A">
        <w:t>Bioland</w:t>
      </w:r>
      <w:proofErr w:type="spellEnd"/>
      <w:r w:rsidRPr="0039183A">
        <w:t xml:space="preserve"> tool</w:t>
      </w:r>
      <w:r>
        <w:t xml:space="preserve">, </w:t>
      </w:r>
      <w:r w:rsidRPr="0039183A">
        <w:t>of relevant information</w:t>
      </w:r>
      <w:r>
        <w:t xml:space="preserve"> existing in different repositories</w:t>
      </w:r>
      <w:r w:rsidRPr="0039183A">
        <w:t>, working with partner organizations, as appropriate.</w:t>
      </w:r>
    </w:p>
    <w:p w:rsidR="00BE422B" w:rsidRPr="0039183A" w:rsidRDefault="00BE422B" w:rsidP="00B21738">
      <w:pPr>
        <w:pStyle w:val="ListParagraph"/>
        <w:numPr>
          <w:ilvl w:val="0"/>
          <w:numId w:val="37"/>
        </w:numPr>
        <w:suppressLineNumbers/>
        <w:suppressAutoHyphens/>
        <w:spacing w:before="120" w:after="120"/>
        <w:ind w:left="0" w:firstLine="0"/>
        <w:contextualSpacing w:val="0"/>
      </w:pPr>
      <w:r>
        <w:t xml:space="preserve">Leverage regional organizations to support Parties to use the </w:t>
      </w:r>
      <w:proofErr w:type="spellStart"/>
      <w:r>
        <w:t>Bioland</w:t>
      </w:r>
      <w:proofErr w:type="spellEnd"/>
      <w:r>
        <w:t xml:space="preserve"> tool to establish or </w:t>
      </w:r>
      <w:r w:rsidR="00BC64CA">
        <w:t xml:space="preserve">improve </w:t>
      </w:r>
      <w:r>
        <w:t>their national clearing-house mechanism websites.</w:t>
      </w:r>
    </w:p>
    <w:p w:rsidR="00BE422B" w:rsidRPr="0039183A" w:rsidRDefault="00BE422B" w:rsidP="00B21738">
      <w:pPr>
        <w:pStyle w:val="ListParagraph"/>
        <w:numPr>
          <w:ilvl w:val="0"/>
          <w:numId w:val="37"/>
        </w:numPr>
        <w:suppressLineNumbers/>
        <w:suppressAutoHyphens/>
        <w:spacing w:before="120" w:after="120"/>
        <w:ind w:left="0" w:firstLine="0"/>
        <w:contextualSpacing w:val="0"/>
      </w:pPr>
      <w:r>
        <w:t xml:space="preserve">Fully utilize the expertise of the sub-committee on </w:t>
      </w:r>
      <w:proofErr w:type="spellStart"/>
      <w:r>
        <w:t>Bioland</w:t>
      </w:r>
      <w:proofErr w:type="spellEnd"/>
      <w:r>
        <w:t xml:space="preserve"> </w:t>
      </w:r>
      <w:r w:rsidR="00D80741">
        <w:t xml:space="preserve">of the </w:t>
      </w:r>
      <w:r w:rsidR="00D80741" w:rsidRPr="00D80741">
        <w:t>Informal Advisory Committee to the Clearing-House Mechanism</w:t>
      </w:r>
      <w:r w:rsidR="00D80741">
        <w:t xml:space="preserve"> </w:t>
      </w:r>
      <w:r>
        <w:t xml:space="preserve">in </w:t>
      </w:r>
      <w:r w:rsidR="008503A4">
        <w:t xml:space="preserve">the </w:t>
      </w:r>
      <w:r>
        <w:t xml:space="preserve">ongoing </w:t>
      </w:r>
      <w:r w:rsidRPr="0039183A">
        <w:t xml:space="preserve">development </w:t>
      </w:r>
      <w:r>
        <w:t xml:space="preserve">and testing </w:t>
      </w:r>
      <w:r w:rsidRPr="0039183A">
        <w:t xml:space="preserve">of the </w:t>
      </w:r>
      <w:proofErr w:type="spellStart"/>
      <w:r w:rsidRPr="0039183A">
        <w:t>Bioland</w:t>
      </w:r>
      <w:proofErr w:type="spellEnd"/>
      <w:r w:rsidRPr="0039183A">
        <w:t xml:space="preserve"> tool.</w:t>
      </w:r>
    </w:p>
    <w:p w:rsidR="00BE422B" w:rsidRPr="00D8260B" w:rsidRDefault="00BE422B" w:rsidP="00B21738">
      <w:pPr>
        <w:pStyle w:val="CBD-Sub-Item"/>
        <w:numPr>
          <w:ilvl w:val="0"/>
          <w:numId w:val="32"/>
        </w:numPr>
        <w:spacing w:before="120"/>
        <w:ind w:left="714" w:hanging="357"/>
        <w:rPr>
          <w:snapToGrid w:val="0"/>
          <w:kern w:val="22"/>
          <w:lang w:val="en-GB"/>
        </w:rPr>
      </w:pPr>
      <w:r>
        <w:rPr>
          <w:snapToGrid w:val="0"/>
          <w:kern w:val="22"/>
          <w:lang w:val="en-GB"/>
        </w:rPr>
        <w:t xml:space="preserve">Knowledge </w:t>
      </w:r>
      <w:r w:rsidR="0002734F">
        <w:rPr>
          <w:snapToGrid w:val="0"/>
          <w:kern w:val="22"/>
          <w:lang w:val="en-GB"/>
        </w:rPr>
        <w:t>m</w:t>
      </w:r>
      <w:r>
        <w:rPr>
          <w:snapToGrid w:val="0"/>
          <w:kern w:val="22"/>
          <w:lang w:val="en-GB"/>
        </w:rPr>
        <w:t>anagement</w:t>
      </w:r>
    </w:p>
    <w:p w:rsidR="00BE422B" w:rsidRPr="0039183A" w:rsidRDefault="00BE422B" w:rsidP="00B21738">
      <w:pPr>
        <w:pStyle w:val="ListParagraph"/>
        <w:numPr>
          <w:ilvl w:val="0"/>
          <w:numId w:val="37"/>
        </w:numPr>
        <w:suppressLineNumbers/>
        <w:suppressAutoHyphens/>
        <w:spacing w:before="120" w:after="120"/>
        <w:ind w:left="0" w:firstLine="0"/>
        <w:contextualSpacing w:val="0"/>
      </w:pPr>
      <w:proofErr w:type="gramStart"/>
      <w:r>
        <w:t>Take into account</w:t>
      </w:r>
      <w:proofErr w:type="gramEnd"/>
      <w:r>
        <w:t xml:space="preserve"> the work of the </w:t>
      </w:r>
      <w:r w:rsidR="00D80741">
        <w:t xml:space="preserve">Intergovernmental Science-Policy Platform on Biodiversity and Ecosystem Services </w:t>
      </w:r>
      <w:r>
        <w:t xml:space="preserve">task force on knowledge and data in the development of the knowledge management </w:t>
      </w:r>
      <w:r w:rsidRPr="007636E5">
        <w:t>component</w:t>
      </w:r>
      <w:r w:rsidR="00207C24">
        <w:t>/</w:t>
      </w:r>
      <w:r w:rsidR="003A32FD">
        <w:t>strategy</w:t>
      </w:r>
      <w:r w:rsidR="003A32FD" w:rsidRPr="00B21738">
        <w:footnoteReference w:id="1"/>
      </w:r>
      <w:r>
        <w:t xml:space="preserve"> for the post-2020 global biodiversity framework</w:t>
      </w:r>
      <w:r w:rsidRPr="0039183A">
        <w:t>.</w:t>
      </w:r>
      <w:r>
        <w:t xml:space="preserve">  </w:t>
      </w:r>
    </w:p>
    <w:p w:rsidR="00BE422B" w:rsidRPr="0039183A" w:rsidRDefault="00BE422B" w:rsidP="00B21738">
      <w:pPr>
        <w:pStyle w:val="ListParagraph"/>
        <w:numPr>
          <w:ilvl w:val="0"/>
          <w:numId w:val="37"/>
        </w:numPr>
        <w:suppressLineNumbers/>
        <w:suppressAutoHyphens/>
        <w:spacing w:before="120" w:after="120"/>
        <w:ind w:left="0" w:firstLine="0"/>
        <w:contextualSpacing w:val="0"/>
      </w:pPr>
      <w:r>
        <w:t xml:space="preserve">Consider the interlinkages between </w:t>
      </w:r>
      <w:r w:rsidR="00454B20">
        <w:t>knowledge management</w:t>
      </w:r>
      <w:r w:rsidR="008D7754">
        <w:t>,</w:t>
      </w:r>
      <w:r w:rsidR="00454B20">
        <w:t xml:space="preserve"> </w:t>
      </w:r>
      <w:r>
        <w:t>capacity</w:t>
      </w:r>
      <w:r w:rsidR="00D80741">
        <w:t>-</w:t>
      </w:r>
      <w:r>
        <w:t xml:space="preserve">building, and technical and scientific cooperation when developing </w:t>
      </w:r>
      <w:r w:rsidR="008D7754">
        <w:t xml:space="preserve">the above </w:t>
      </w:r>
      <w:r>
        <w:t xml:space="preserve">knowledge management </w:t>
      </w:r>
      <w:r w:rsidR="003A32FD" w:rsidRPr="007636E5">
        <w:t>component</w:t>
      </w:r>
      <w:r w:rsidR="00207C24">
        <w:t>/</w:t>
      </w:r>
      <w:r w:rsidR="003A32FD">
        <w:t xml:space="preserve">strategy </w:t>
      </w:r>
      <w:r>
        <w:t>to ensure alignment and consistency.</w:t>
      </w:r>
    </w:p>
    <w:p w:rsidR="00BE422B" w:rsidRDefault="00BE422B" w:rsidP="00B21738">
      <w:pPr>
        <w:pStyle w:val="ListParagraph"/>
        <w:numPr>
          <w:ilvl w:val="0"/>
          <w:numId w:val="37"/>
        </w:numPr>
        <w:suppressLineNumbers/>
        <w:suppressAutoHyphens/>
        <w:spacing w:before="120" w:after="120"/>
        <w:ind w:left="0" w:firstLine="0"/>
        <w:contextualSpacing w:val="0"/>
      </w:pPr>
      <w:r>
        <w:t xml:space="preserve">Consult with biodiversity-related Conventions, the Rio </w:t>
      </w:r>
      <w:r w:rsidR="00D80741">
        <w:t>c</w:t>
      </w:r>
      <w:r>
        <w:t xml:space="preserve">onventions, and relevant organizations to ensure that the needs of the biodiversity community are reflected in the knowledge management </w:t>
      </w:r>
      <w:r w:rsidR="00EF5861">
        <w:t xml:space="preserve">component </w:t>
      </w:r>
      <w:r>
        <w:t xml:space="preserve">of the post-2020 global biodiversity framework. </w:t>
      </w:r>
    </w:p>
    <w:p w:rsidR="00BE422B" w:rsidRDefault="00BE422B" w:rsidP="00B21738">
      <w:pPr>
        <w:pStyle w:val="ListParagraph"/>
        <w:numPr>
          <w:ilvl w:val="0"/>
          <w:numId w:val="37"/>
        </w:numPr>
        <w:suppressLineNumbers/>
        <w:suppressAutoHyphens/>
        <w:spacing w:before="120" w:after="120"/>
        <w:ind w:left="0" w:firstLine="0"/>
        <w:contextualSpacing w:val="0"/>
      </w:pPr>
      <w:r>
        <w:t xml:space="preserve">Review and incorporate </w:t>
      </w:r>
      <w:r w:rsidR="00EF5861">
        <w:t xml:space="preserve">relevant </w:t>
      </w:r>
      <w:r>
        <w:t xml:space="preserve">elements of existing reports on knowledge management and information sharing submitted to </w:t>
      </w:r>
      <w:r w:rsidR="00D80741">
        <w:t xml:space="preserve">the Conference of the Parties </w:t>
      </w:r>
      <w:r>
        <w:t xml:space="preserve">and its subsidiary bodies into the knowledge management </w:t>
      </w:r>
      <w:r w:rsidR="003A32FD" w:rsidRPr="007636E5">
        <w:t>component</w:t>
      </w:r>
      <w:r w:rsidR="00207C24">
        <w:t>/</w:t>
      </w:r>
      <w:r w:rsidR="003A32FD">
        <w:t>strategy</w:t>
      </w:r>
      <w:r w:rsidR="00207C24">
        <w:t>.</w:t>
      </w:r>
      <w:r w:rsidRPr="00B21738">
        <w:rPr>
          <w:vertAlign w:val="superscript"/>
        </w:rPr>
        <w:footnoteReference w:id="2"/>
      </w:r>
    </w:p>
    <w:p w:rsidR="00BE422B" w:rsidRDefault="00EF5861" w:rsidP="00B21738">
      <w:pPr>
        <w:pStyle w:val="ListParagraph"/>
        <w:numPr>
          <w:ilvl w:val="0"/>
          <w:numId w:val="37"/>
        </w:numPr>
        <w:suppressLineNumbers/>
        <w:suppressAutoHyphens/>
        <w:spacing w:before="120" w:after="120"/>
        <w:ind w:left="0" w:firstLine="0"/>
        <w:contextualSpacing w:val="0"/>
      </w:pPr>
      <w:r>
        <w:t xml:space="preserve">Ensure that </w:t>
      </w:r>
      <w:r w:rsidR="00BE422B">
        <w:t xml:space="preserve">the language used in the draft knowledge management </w:t>
      </w:r>
      <w:r w:rsidR="003A32FD" w:rsidRPr="007636E5">
        <w:t>component</w:t>
      </w:r>
      <w:r w:rsidR="00207C24">
        <w:t>/</w:t>
      </w:r>
      <w:r w:rsidR="003A32FD">
        <w:t xml:space="preserve">strategy </w:t>
      </w:r>
      <w:r w:rsidR="00BE422B">
        <w:t>is sensitive to indigenous peoples and local communities and their knowledge</w:t>
      </w:r>
      <w:r w:rsidR="004B541A">
        <w:t>.</w:t>
      </w:r>
      <w:r w:rsidR="00BE422B">
        <w:t xml:space="preserve"> </w:t>
      </w:r>
      <w:r w:rsidR="004B541A">
        <w:t>For example</w:t>
      </w:r>
      <w:r w:rsidR="00441346">
        <w:t>,</w:t>
      </w:r>
      <w:r w:rsidR="004B541A">
        <w:t xml:space="preserve"> </w:t>
      </w:r>
      <w:r w:rsidR="00BE422B">
        <w:t xml:space="preserve">use of </w:t>
      </w:r>
      <w:r w:rsidR="00441346">
        <w:t xml:space="preserve">such </w:t>
      </w:r>
      <w:proofErr w:type="spellStart"/>
      <w:r w:rsidR="00BE422B">
        <w:t>term</w:t>
      </w:r>
      <w:r w:rsidR="004B541A">
        <w:t>s</w:t>
      </w:r>
      <w:proofErr w:type="spellEnd"/>
      <w:r w:rsidR="004B541A">
        <w:t xml:space="preserve"> as</w:t>
      </w:r>
      <w:r w:rsidR="00BE422B">
        <w:t xml:space="preserve"> “</w:t>
      </w:r>
      <w:r w:rsidR="004B541A">
        <w:t xml:space="preserve">knowledge </w:t>
      </w:r>
      <w:r w:rsidR="00BE422B">
        <w:t>capture” in reference to indigenous knowledge</w:t>
      </w:r>
      <w:r w:rsidR="004B541A">
        <w:t xml:space="preserve"> should be avoided</w:t>
      </w:r>
      <w:r w:rsidR="00BE422B">
        <w:t xml:space="preserve">. </w:t>
      </w:r>
    </w:p>
    <w:p w:rsidR="00BE422B" w:rsidRDefault="00BE422B" w:rsidP="00B21738">
      <w:pPr>
        <w:pStyle w:val="CBD-Sub-Item"/>
        <w:numPr>
          <w:ilvl w:val="0"/>
          <w:numId w:val="32"/>
        </w:numPr>
        <w:spacing w:before="120"/>
        <w:ind w:left="714" w:hanging="357"/>
        <w:rPr>
          <w:snapToGrid w:val="0"/>
          <w:kern w:val="22"/>
          <w:lang w:val="en-GB"/>
        </w:rPr>
      </w:pPr>
      <w:r>
        <w:rPr>
          <w:snapToGrid w:val="0"/>
          <w:kern w:val="22"/>
          <w:lang w:val="en-GB"/>
        </w:rPr>
        <w:t xml:space="preserve">Technical and </w:t>
      </w:r>
      <w:r w:rsidR="0002734F">
        <w:rPr>
          <w:snapToGrid w:val="0"/>
          <w:kern w:val="22"/>
          <w:lang w:val="en-GB"/>
        </w:rPr>
        <w:t>s</w:t>
      </w:r>
      <w:r>
        <w:rPr>
          <w:snapToGrid w:val="0"/>
          <w:kern w:val="22"/>
          <w:lang w:val="en-GB"/>
        </w:rPr>
        <w:t xml:space="preserve">cientific </w:t>
      </w:r>
      <w:r w:rsidR="0002734F">
        <w:rPr>
          <w:snapToGrid w:val="0"/>
          <w:kern w:val="22"/>
          <w:lang w:val="en-GB"/>
        </w:rPr>
        <w:t>c</w:t>
      </w:r>
      <w:r>
        <w:rPr>
          <w:snapToGrid w:val="0"/>
          <w:kern w:val="22"/>
          <w:lang w:val="en-GB"/>
        </w:rPr>
        <w:t>ooperation</w:t>
      </w:r>
    </w:p>
    <w:p w:rsidR="00BE422B" w:rsidRDefault="00BE422B" w:rsidP="00B21738">
      <w:pPr>
        <w:pStyle w:val="ListParagraph"/>
        <w:numPr>
          <w:ilvl w:val="0"/>
          <w:numId w:val="37"/>
        </w:numPr>
        <w:suppressLineNumbers/>
        <w:suppressAutoHyphens/>
        <w:spacing w:before="120" w:after="120"/>
        <w:ind w:left="0" w:firstLine="0"/>
        <w:contextualSpacing w:val="0"/>
      </w:pPr>
      <w:r>
        <w:t xml:space="preserve">Further develop the strategy </w:t>
      </w:r>
      <w:r w:rsidR="004B541A">
        <w:t xml:space="preserve">to strengthen </w:t>
      </w:r>
      <w:r>
        <w:t>technical and scientific cooperation</w:t>
      </w:r>
      <w:r w:rsidR="004B541A">
        <w:t xml:space="preserve"> in support of the post</w:t>
      </w:r>
      <w:r w:rsidR="00D80741">
        <w:noBreakHyphen/>
      </w:r>
      <w:r w:rsidR="004B541A">
        <w:t>2020 global biodiversity framework</w:t>
      </w:r>
      <w:r>
        <w:t>.</w:t>
      </w:r>
    </w:p>
    <w:p w:rsidR="00283FFD" w:rsidRDefault="00283FFD" w:rsidP="00B21738">
      <w:pPr>
        <w:pStyle w:val="ListParagraph"/>
        <w:numPr>
          <w:ilvl w:val="0"/>
          <w:numId w:val="37"/>
        </w:numPr>
        <w:suppressLineNumbers/>
        <w:suppressAutoHyphens/>
        <w:spacing w:before="120" w:after="120"/>
        <w:ind w:left="0" w:firstLine="0"/>
        <w:contextualSpacing w:val="0"/>
      </w:pPr>
      <w:r>
        <w:t>Further consider the role of the Consortium of Scientific Partners</w:t>
      </w:r>
      <w:r w:rsidR="004B541A">
        <w:t xml:space="preserve"> on Biodiversity</w:t>
      </w:r>
      <w:r>
        <w:t xml:space="preserve"> </w:t>
      </w:r>
      <w:r w:rsidR="00837253">
        <w:t xml:space="preserve">and other relevant groups and networks </w:t>
      </w:r>
      <w:r>
        <w:t xml:space="preserve">in </w:t>
      </w:r>
      <w:r w:rsidR="008D7754">
        <w:t xml:space="preserve">development and implementation of </w:t>
      </w:r>
      <w:r>
        <w:t xml:space="preserve">the proposed </w:t>
      </w:r>
      <w:r w:rsidR="00837253">
        <w:t xml:space="preserve">strategy on </w:t>
      </w:r>
      <w:r>
        <w:t>technical and scientific cooperation.</w:t>
      </w:r>
    </w:p>
    <w:p w:rsidR="00837253" w:rsidRDefault="00EC550A" w:rsidP="00B21738">
      <w:pPr>
        <w:pStyle w:val="ListParagraph"/>
        <w:numPr>
          <w:ilvl w:val="0"/>
          <w:numId w:val="37"/>
        </w:numPr>
        <w:suppressLineNumbers/>
        <w:suppressAutoHyphens/>
        <w:spacing w:before="120" w:after="120"/>
        <w:ind w:left="0" w:firstLine="0"/>
        <w:contextualSpacing w:val="0"/>
      </w:pPr>
      <w:r w:rsidRPr="00EC550A">
        <w:t xml:space="preserve">Consider the updated draft terms of reference </w:t>
      </w:r>
      <w:r>
        <w:t>of the</w:t>
      </w:r>
      <w:r w:rsidRPr="00EC550A">
        <w:t xml:space="preserve"> informal advisory committee on technical and scientific cooperation contained in annex</w:t>
      </w:r>
      <w:r>
        <w:t xml:space="preserve"> </w:t>
      </w:r>
      <w:r w:rsidR="00D80741">
        <w:t>I</w:t>
      </w:r>
      <w:r w:rsidRPr="00EC550A">
        <w:t xml:space="preserve"> below and make them available for the consideration by the Subsidiary Body on Implementation at its third meeting and the Conference of the Parties at its fifteenth meeting</w:t>
      </w:r>
      <w:r w:rsidR="003A32FD">
        <w:t>.</w:t>
      </w:r>
    </w:p>
    <w:p w:rsidR="00814C15" w:rsidRDefault="00814C15" w:rsidP="00B21738">
      <w:pPr>
        <w:keepNext/>
        <w:keepLines/>
        <w:widowControl w:val="0"/>
        <w:kinsoku w:val="0"/>
        <w:overflowPunct w:val="0"/>
        <w:autoSpaceDE w:val="0"/>
        <w:autoSpaceDN w:val="0"/>
        <w:adjustRightInd w:val="0"/>
        <w:snapToGrid w:val="0"/>
        <w:spacing w:before="120" w:after="120"/>
        <w:jc w:val="center"/>
        <w:rPr>
          <w:i/>
          <w:kern w:val="22"/>
          <w:szCs w:val="22"/>
        </w:rPr>
      </w:pPr>
      <w:r>
        <w:rPr>
          <w:i/>
          <w:kern w:val="22"/>
          <w:szCs w:val="22"/>
        </w:rPr>
        <w:lastRenderedPageBreak/>
        <w:t>Annex I</w:t>
      </w:r>
    </w:p>
    <w:p w:rsidR="00814C15" w:rsidRPr="00B21738" w:rsidRDefault="003C3695" w:rsidP="00B21738">
      <w:pPr>
        <w:keepNext/>
        <w:keepLines/>
        <w:widowControl w:val="0"/>
        <w:kinsoku w:val="0"/>
        <w:overflowPunct w:val="0"/>
        <w:autoSpaceDE w:val="0"/>
        <w:autoSpaceDN w:val="0"/>
        <w:adjustRightInd w:val="0"/>
        <w:snapToGrid w:val="0"/>
        <w:spacing w:before="120"/>
        <w:jc w:val="center"/>
        <w:rPr>
          <w:kern w:val="22"/>
          <w:szCs w:val="22"/>
        </w:rPr>
      </w:pPr>
      <w:r w:rsidRPr="003C3695">
        <w:rPr>
          <w:b/>
          <w:kern w:val="22"/>
          <w:szCs w:val="22"/>
        </w:rPr>
        <w:t xml:space="preserve">Revised draft </w:t>
      </w:r>
      <w:r w:rsidR="00814C15" w:rsidRPr="00B21738">
        <w:rPr>
          <w:b/>
          <w:kern w:val="22"/>
          <w:szCs w:val="22"/>
        </w:rPr>
        <w:t xml:space="preserve">terms of reference of the </w:t>
      </w:r>
      <w:r>
        <w:rPr>
          <w:b/>
          <w:kern w:val="22"/>
          <w:szCs w:val="22"/>
          <w:lang w:eastAsia="en-CA"/>
        </w:rPr>
        <w:t>I</w:t>
      </w:r>
      <w:r w:rsidR="00814C15" w:rsidRPr="00B21738">
        <w:rPr>
          <w:b/>
          <w:kern w:val="22"/>
          <w:szCs w:val="22"/>
          <w:lang w:eastAsia="en-CA"/>
        </w:rPr>
        <w:t xml:space="preserve">nformal </w:t>
      </w:r>
      <w:r>
        <w:rPr>
          <w:b/>
          <w:kern w:val="22"/>
          <w:szCs w:val="22"/>
          <w:lang w:eastAsia="en-CA"/>
        </w:rPr>
        <w:t>A</w:t>
      </w:r>
      <w:r w:rsidR="00814C15" w:rsidRPr="00B21738">
        <w:rPr>
          <w:b/>
          <w:kern w:val="22"/>
          <w:szCs w:val="22"/>
          <w:lang w:eastAsia="en-CA"/>
        </w:rPr>
        <w:t xml:space="preserve">dvisory </w:t>
      </w:r>
      <w:r>
        <w:rPr>
          <w:b/>
          <w:kern w:val="22"/>
          <w:szCs w:val="22"/>
          <w:lang w:eastAsia="en-CA"/>
        </w:rPr>
        <w:t>C</w:t>
      </w:r>
      <w:r w:rsidR="00814C15" w:rsidRPr="00B21738">
        <w:rPr>
          <w:b/>
          <w:kern w:val="22"/>
          <w:szCs w:val="22"/>
          <w:lang w:eastAsia="en-CA"/>
        </w:rPr>
        <w:t xml:space="preserve">ommittee on </w:t>
      </w:r>
      <w:r>
        <w:rPr>
          <w:b/>
          <w:kern w:val="22"/>
          <w:szCs w:val="22"/>
          <w:lang w:eastAsia="en-CA"/>
        </w:rPr>
        <w:t>T</w:t>
      </w:r>
      <w:r w:rsidR="00814C15" w:rsidRPr="00B21738">
        <w:rPr>
          <w:b/>
          <w:kern w:val="22"/>
          <w:szCs w:val="22"/>
          <w:lang w:eastAsia="en-CA"/>
        </w:rPr>
        <w:t xml:space="preserve">echnical and </w:t>
      </w:r>
      <w:r>
        <w:rPr>
          <w:b/>
          <w:kern w:val="22"/>
          <w:szCs w:val="22"/>
          <w:lang w:eastAsia="en-CA"/>
        </w:rPr>
        <w:t>S</w:t>
      </w:r>
      <w:r w:rsidR="00814C15" w:rsidRPr="00B21738">
        <w:rPr>
          <w:b/>
          <w:kern w:val="22"/>
          <w:szCs w:val="22"/>
          <w:lang w:eastAsia="en-CA"/>
        </w:rPr>
        <w:t xml:space="preserve">cientific </w:t>
      </w:r>
      <w:r>
        <w:rPr>
          <w:b/>
          <w:kern w:val="22"/>
          <w:szCs w:val="22"/>
          <w:lang w:eastAsia="en-CA"/>
        </w:rPr>
        <w:t>C</w:t>
      </w:r>
      <w:r w:rsidR="00814C15" w:rsidRPr="00B21738">
        <w:rPr>
          <w:b/>
          <w:kern w:val="22"/>
          <w:szCs w:val="22"/>
          <w:lang w:eastAsia="en-CA"/>
        </w:rPr>
        <w:t>ooperation</w:t>
      </w:r>
      <w:r w:rsidR="00814C15" w:rsidRPr="00B21738">
        <w:rPr>
          <w:rStyle w:val="FootnoteReference"/>
        </w:rPr>
        <w:footnoteReference w:id="3"/>
      </w:r>
    </w:p>
    <w:p w:rsidR="00814C15" w:rsidRDefault="00814C15" w:rsidP="00B21738">
      <w:pPr>
        <w:keepNext/>
        <w:keepLines/>
        <w:widowControl w:val="0"/>
        <w:kinsoku w:val="0"/>
        <w:overflowPunct w:val="0"/>
        <w:autoSpaceDE w:val="0"/>
        <w:autoSpaceDN w:val="0"/>
        <w:adjustRightInd w:val="0"/>
        <w:snapToGrid w:val="0"/>
        <w:spacing w:before="120" w:after="120"/>
        <w:rPr>
          <w:b/>
          <w:kern w:val="22"/>
          <w:szCs w:val="22"/>
          <w:lang w:eastAsia="en-CA"/>
        </w:rPr>
      </w:pPr>
      <w:r>
        <w:rPr>
          <w:b/>
          <w:kern w:val="22"/>
          <w:szCs w:val="22"/>
          <w:lang w:eastAsia="en-CA"/>
        </w:rPr>
        <w:t>1.</w:t>
      </w:r>
      <w:r>
        <w:rPr>
          <w:b/>
          <w:kern w:val="22"/>
          <w:szCs w:val="22"/>
          <w:lang w:eastAsia="en-CA"/>
        </w:rPr>
        <w:tab/>
        <w:t>Background</w:t>
      </w:r>
    </w:p>
    <w:p w:rsidR="00814C15" w:rsidRDefault="00814C15" w:rsidP="00814C15">
      <w:pPr>
        <w:widowControl w:val="0"/>
        <w:kinsoku w:val="0"/>
        <w:overflowPunct w:val="0"/>
        <w:autoSpaceDE w:val="0"/>
        <w:autoSpaceDN w:val="0"/>
        <w:adjustRightInd w:val="0"/>
        <w:snapToGrid w:val="0"/>
        <w:spacing w:before="120" w:after="120"/>
        <w:rPr>
          <w:kern w:val="22"/>
          <w:szCs w:val="22"/>
          <w:lang w:eastAsia="en-CA"/>
        </w:rPr>
      </w:pPr>
      <w:r>
        <w:rPr>
          <w:kern w:val="22"/>
          <w:szCs w:val="22"/>
          <w:lang w:eastAsia="en-CA"/>
        </w:rPr>
        <w:t>1.</w:t>
      </w:r>
      <w:r>
        <w:rPr>
          <w:kern w:val="22"/>
          <w:szCs w:val="22"/>
          <w:lang w:eastAsia="en-CA"/>
        </w:rPr>
        <w:tab/>
        <w:t>Article 18 of the Convention on Biological Diversity requires Parties to promote technical and scientific cooperation in the field of conservation and sustainable use of biological diversity, including cooperation in human resources development and institution building, development and use of relevant technologies</w:t>
      </w:r>
      <w:r>
        <w:rPr>
          <w:kern w:val="22"/>
          <w:szCs w:val="22"/>
        </w:rPr>
        <w:t xml:space="preserve"> </w:t>
      </w:r>
      <w:r>
        <w:rPr>
          <w:kern w:val="22"/>
          <w:szCs w:val="22"/>
          <w:lang w:eastAsia="en-CA"/>
        </w:rPr>
        <w:t>(including indigenous and traditional technologies), training of personnel, exchange of experts, and establishment of joint research programmes and joint ventures for development of relevant technologies.</w:t>
      </w:r>
    </w:p>
    <w:p w:rsidR="00814C15" w:rsidRDefault="00814C15" w:rsidP="00814C15">
      <w:pPr>
        <w:widowControl w:val="0"/>
        <w:kinsoku w:val="0"/>
        <w:overflowPunct w:val="0"/>
        <w:autoSpaceDE w:val="0"/>
        <w:autoSpaceDN w:val="0"/>
        <w:adjustRightInd w:val="0"/>
        <w:snapToGrid w:val="0"/>
        <w:spacing w:before="120" w:after="120"/>
        <w:rPr>
          <w:kern w:val="22"/>
          <w:szCs w:val="22"/>
          <w:lang w:eastAsia="en-CA"/>
        </w:rPr>
      </w:pPr>
      <w:r>
        <w:rPr>
          <w:kern w:val="22"/>
          <w:szCs w:val="22"/>
          <w:lang w:eastAsia="en-CA"/>
        </w:rPr>
        <w:t>2.</w:t>
      </w:r>
      <w:r>
        <w:rPr>
          <w:kern w:val="22"/>
          <w:szCs w:val="22"/>
          <w:lang w:eastAsia="en-CA"/>
        </w:rPr>
        <w:tab/>
        <w:t xml:space="preserve">In decisions XIII/23, XIII/31, XII/2, X/16, IX/14, VIII/12 and VII/29, the Conference of the Parties </w:t>
      </w:r>
      <w:r>
        <w:rPr>
          <w:kern w:val="22"/>
          <w:szCs w:val="22"/>
        </w:rPr>
        <w:t xml:space="preserve">adopted </w:t>
      </w:r>
      <w:proofErr w:type="gramStart"/>
      <w:r>
        <w:rPr>
          <w:kern w:val="22"/>
          <w:szCs w:val="22"/>
        </w:rPr>
        <w:t>a number of</w:t>
      </w:r>
      <w:proofErr w:type="gramEnd"/>
      <w:r>
        <w:rPr>
          <w:kern w:val="22"/>
          <w:szCs w:val="22"/>
        </w:rPr>
        <w:t xml:space="preserve"> measures and provided guidance on various aspects </w:t>
      </w:r>
      <w:r>
        <w:rPr>
          <w:kern w:val="22"/>
          <w:szCs w:val="22"/>
          <w:lang w:eastAsia="en-CA"/>
        </w:rPr>
        <w:t>relating to technical and scientific cooperation and technology transfer.</w:t>
      </w:r>
    </w:p>
    <w:p w:rsidR="00814C15" w:rsidRPr="00394BE6" w:rsidRDefault="00814C15" w:rsidP="0065701E">
      <w:pPr>
        <w:pStyle w:val="Para1"/>
        <w:suppressLineNumbers/>
        <w:suppressAutoHyphens/>
        <w:kinsoku w:val="0"/>
        <w:overflowPunct w:val="0"/>
        <w:autoSpaceDE w:val="0"/>
        <w:autoSpaceDN w:val="0"/>
        <w:adjustRightInd w:val="0"/>
        <w:snapToGrid w:val="0"/>
        <w:spacing w:line="238" w:lineRule="auto"/>
        <w:rPr>
          <w:snapToGrid/>
          <w:kern w:val="22"/>
          <w:szCs w:val="22"/>
        </w:rPr>
      </w:pPr>
      <w:r>
        <w:rPr>
          <w:kern w:val="22"/>
          <w:szCs w:val="22"/>
          <w:lang w:eastAsia="en-CA"/>
        </w:rPr>
        <w:t>3.</w:t>
      </w:r>
      <w:r>
        <w:rPr>
          <w:kern w:val="22"/>
          <w:szCs w:val="22"/>
          <w:lang w:eastAsia="en-CA"/>
        </w:rPr>
        <w:tab/>
        <w:t>In decision 1</w:t>
      </w:r>
      <w:r>
        <w:rPr>
          <w:rFonts w:eastAsia="Malgun Gothic"/>
          <w:kern w:val="22"/>
          <w:szCs w:val="22"/>
        </w:rPr>
        <w:t xml:space="preserve">4/24, the Conference of the Parties </w:t>
      </w:r>
      <w:r>
        <w:rPr>
          <w:snapToGrid/>
          <w:kern w:val="22"/>
          <w:szCs w:val="22"/>
        </w:rPr>
        <w:t xml:space="preserve">decided </w:t>
      </w:r>
      <w:r w:rsidRPr="00394BE6">
        <w:rPr>
          <w:snapToGrid/>
          <w:kern w:val="22"/>
          <w:szCs w:val="22"/>
        </w:rPr>
        <w:t>to consider establishing, at its fifteenth meeting, an informal advisory committee on technical and scientific cooperation, to be operational at the end of the mandate of the current Informal Advisory Committee to the Clearing-house Mechanism in 2020, to provide the Executive Secretary with advice on practical measures, tools and opportunities to promote technical and scientific cooperation for the effective implementation of the Convention</w:t>
      </w:r>
      <w:r w:rsidR="006202F8">
        <w:rPr>
          <w:snapToGrid/>
          <w:kern w:val="22"/>
          <w:szCs w:val="22"/>
        </w:rPr>
        <w:t>.</w:t>
      </w:r>
    </w:p>
    <w:p w:rsidR="00814C15" w:rsidRDefault="00814C15" w:rsidP="00814C15">
      <w:pPr>
        <w:widowControl w:val="0"/>
        <w:kinsoku w:val="0"/>
        <w:overflowPunct w:val="0"/>
        <w:autoSpaceDE w:val="0"/>
        <w:autoSpaceDN w:val="0"/>
        <w:adjustRightInd w:val="0"/>
        <w:snapToGrid w:val="0"/>
        <w:spacing w:before="120" w:after="120"/>
        <w:rPr>
          <w:b/>
          <w:kern w:val="22"/>
          <w:szCs w:val="22"/>
          <w:lang w:eastAsia="en-CA"/>
        </w:rPr>
      </w:pPr>
      <w:r>
        <w:rPr>
          <w:b/>
          <w:kern w:val="22"/>
          <w:szCs w:val="22"/>
          <w:lang w:eastAsia="en-CA"/>
        </w:rPr>
        <w:t>2.</w:t>
      </w:r>
      <w:r>
        <w:rPr>
          <w:b/>
          <w:kern w:val="22"/>
          <w:szCs w:val="22"/>
          <w:lang w:eastAsia="en-CA"/>
        </w:rPr>
        <w:tab/>
        <w:t>Purpose</w:t>
      </w:r>
    </w:p>
    <w:p w:rsidR="00814C15" w:rsidRDefault="00814C15" w:rsidP="00814C15">
      <w:pPr>
        <w:widowControl w:val="0"/>
        <w:kinsoku w:val="0"/>
        <w:overflowPunct w:val="0"/>
        <w:autoSpaceDE w:val="0"/>
        <w:autoSpaceDN w:val="0"/>
        <w:adjustRightInd w:val="0"/>
        <w:snapToGrid w:val="0"/>
        <w:spacing w:before="120" w:after="120"/>
        <w:rPr>
          <w:kern w:val="22"/>
          <w:szCs w:val="22"/>
          <w:lang w:eastAsia="en-CA"/>
        </w:rPr>
      </w:pPr>
      <w:r>
        <w:rPr>
          <w:kern w:val="22"/>
          <w:szCs w:val="22"/>
          <w:lang w:eastAsia="en-CA"/>
        </w:rPr>
        <w:t>4.</w:t>
      </w:r>
      <w:r>
        <w:rPr>
          <w:kern w:val="22"/>
          <w:szCs w:val="22"/>
          <w:lang w:eastAsia="en-CA"/>
        </w:rPr>
        <w:tab/>
        <w:t xml:space="preserve">The Informal Advisory Committee </w:t>
      </w:r>
      <w:r w:rsidR="00960B0C">
        <w:rPr>
          <w:kern w:val="22"/>
          <w:szCs w:val="22"/>
          <w:lang w:eastAsia="en-CA"/>
        </w:rPr>
        <w:t xml:space="preserve">on Technical and Scientific Cooperation </w:t>
      </w:r>
      <w:r>
        <w:rPr>
          <w:kern w:val="22"/>
          <w:szCs w:val="22"/>
          <w:lang w:eastAsia="en-CA"/>
        </w:rPr>
        <w:t>shall provide advice to the Executive Secretary on ways and means to promote and facilitate technical and scientific cooperation, technology transfer, capacity building, knowledge management, and the clearing-house mechanism in support of the post</w:t>
      </w:r>
      <w:r w:rsidR="00960B0C">
        <w:rPr>
          <w:kern w:val="22"/>
          <w:szCs w:val="22"/>
          <w:lang w:eastAsia="en-CA"/>
        </w:rPr>
        <w:t>-</w:t>
      </w:r>
      <w:r>
        <w:rPr>
          <w:kern w:val="22"/>
          <w:szCs w:val="22"/>
          <w:lang w:eastAsia="en-CA"/>
        </w:rPr>
        <w:t xml:space="preserve">2020 global biodiversity framework. In particular, the Informal Advisory Committee shall provide advice, </w:t>
      </w:r>
      <w:r w:rsidR="002A6864">
        <w:rPr>
          <w:kern w:val="22"/>
          <w:szCs w:val="22"/>
          <w:lang w:eastAsia="en-CA"/>
        </w:rPr>
        <w:t>guidance and</w:t>
      </w:r>
      <w:r>
        <w:rPr>
          <w:kern w:val="22"/>
          <w:szCs w:val="22"/>
          <w:lang w:eastAsia="en-CA"/>
        </w:rPr>
        <w:t xml:space="preserve"> recommendations on:</w:t>
      </w:r>
    </w:p>
    <w:p w:rsidR="00814C15" w:rsidRPr="0053285C" w:rsidRDefault="006202F8" w:rsidP="00B21738">
      <w:pPr>
        <w:pStyle w:val="Para1"/>
        <w:widowControl w:val="0"/>
        <w:numPr>
          <w:ilvl w:val="1"/>
          <w:numId w:val="34"/>
        </w:numPr>
        <w:ind w:left="0" w:firstLine="709"/>
        <w:rPr>
          <w:rFonts w:cs="Angsana New"/>
        </w:rPr>
      </w:pPr>
      <w:r w:rsidRPr="0053285C">
        <w:rPr>
          <w:rFonts w:cs="Angsana New"/>
        </w:rPr>
        <w:t>P</w:t>
      </w:r>
      <w:r w:rsidR="00814C15" w:rsidRPr="0053285C">
        <w:rPr>
          <w:rFonts w:cs="Angsana New"/>
        </w:rPr>
        <w:t>ractical measures and approaches to promote technical and scientific cooperation for the effective implementation of the Convention;</w:t>
      </w:r>
    </w:p>
    <w:p w:rsidR="00814C15" w:rsidRPr="0053285C" w:rsidRDefault="006202F8" w:rsidP="00B21738">
      <w:pPr>
        <w:pStyle w:val="Para1"/>
        <w:widowControl w:val="0"/>
        <w:numPr>
          <w:ilvl w:val="1"/>
          <w:numId w:val="34"/>
        </w:numPr>
        <w:ind w:left="0" w:firstLine="709"/>
        <w:rPr>
          <w:rFonts w:cs="Angsana New"/>
        </w:rPr>
      </w:pPr>
      <w:r w:rsidRPr="0053285C">
        <w:rPr>
          <w:rFonts w:cs="Angsana New"/>
        </w:rPr>
        <w:t>M</w:t>
      </w:r>
      <w:r w:rsidR="00814C15" w:rsidRPr="0053285C">
        <w:rPr>
          <w:rFonts w:cs="Angsana New"/>
        </w:rPr>
        <w:t xml:space="preserve">easures to </w:t>
      </w:r>
      <w:r w:rsidR="002A6864" w:rsidRPr="0053285C">
        <w:rPr>
          <w:rFonts w:cs="Angsana New"/>
        </w:rPr>
        <w:t xml:space="preserve">enhance </w:t>
      </w:r>
      <w:r w:rsidR="00960B0C" w:rsidRPr="0053285C">
        <w:rPr>
          <w:rFonts w:cs="Angsana New"/>
        </w:rPr>
        <w:t>collaboration</w:t>
      </w:r>
      <w:r w:rsidR="00814C15" w:rsidRPr="0053285C">
        <w:rPr>
          <w:rFonts w:cs="Angsana New"/>
        </w:rPr>
        <w:t xml:space="preserve"> with other biodiversity-related conventions and relevant organizations</w:t>
      </w:r>
      <w:r w:rsidR="002A6864" w:rsidRPr="0053285C">
        <w:rPr>
          <w:rFonts w:cs="Angsana New"/>
        </w:rPr>
        <w:t xml:space="preserve"> </w:t>
      </w:r>
      <w:r w:rsidR="00814C15" w:rsidRPr="0053285C">
        <w:rPr>
          <w:rFonts w:cs="Angsana New"/>
        </w:rPr>
        <w:t>with respect to technical and scientific cooperation and technology transfer initiatives;</w:t>
      </w:r>
    </w:p>
    <w:p w:rsidR="00814C15" w:rsidRPr="0053285C" w:rsidRDefault="006202F8" w:rsidP="00B21738">
      <w:pPr>
        <w:pStyle w:val="Para1"/>
        <w:widowControl w:val="0"/>
        <w:numPr>
          <w:ilvl w:val="1"/>
          <w:numId w:val="34"/>
        </w:numPr>
        <w:ind w:left="0" w:firstLine="709"/>
        <w:rPr>
          <w:rFonts w:cs="Angsana New"/>
        </w:rPr>
      </w:pPr>
      <w:r w:rsidRPr="0053285C">
        <w:rPr>
          <w:rFonts w:cs="Angsana New"/>
        </w:rPr>
        <w:t>S</w:t>
      </w:r>
      <w:r w:rsidR="00814C15" w:rsidRPr="0053285C">
        <w:rPr>
          <w:rFonts w:cs="Angsana New"/>
        </w:rPr>
        <w:t>trategic and programmatic</w:t>
      </w:r>
      <w:r w:rsidR="002A6864" w:rsidRPr="0053285C">
        <w:rPr>
          <w:rFonts w:cs="Angsana New"/>
        </w:rPr>
        <w:t xml:space="preserve"> </w:t>
      </w:r>
      <w:r w:rsidR="00814C15" w:rsidRPr="0053285C">
        <w:rPr>
          <w:rFonts w:cs="Angsana New"/>
        </w:rPr>
        <w:t>implementation of technical and scientific cooperation initiatives and programmes established under the Convention;</w:t>
      </w:r>
    </w:p>
    <w:p w:rsidR="00814C15" w:rsidRPr="0053285C" w:rsidRDefault="00814C15" w:rsidP="00B21738">
      <w:pPr>
        <w:pStyle w:val="Para1"/>
        <w:widowControl w:val="0"/>
        <w:numPr>
          <w:ilvl w:val="1"/>
          <w:numId w:val="34"/>
        </w:numPr>
        <w:ind w:left="0" w:firstLine="709"/>
        <w:rPr>
          <w:rFonts w:cs="Angsana New"/>
        </w:rPr>
      </w:pPr>
      <w:r w:rsidRPr="0053285C">
        <w:rPr>
          <w:rFonts w:cs="Angsana New"/>
        </w:rPr>
        <w:t xml:space="preserve">Monitoring </w:t>
      </w:r>
      <w:r w:rsidR="00960B0C" w:rsidRPr="0053285C">
        <w:rPr>
          <w:rFonts w:cs="Angsana New"/>
        </w:rPr>
        <w:t xml:space="preserve">the </w:t>
      </w:r>
      <w:r w:rsidRPr="0053285C">
        <w:rPr>
          <w:rFonts w:cs="Angsana New"/>
        </w:rPr>
        <w:t>implementation of the</w:t>
      </w:r>
      <w:r w:rsidR="00960B0C" w:rsidRPr="0053285C">
        <w:rPr>
          <w:rFonts w:cs="Angsana New"/>
        </w:rPr>
        <w:t xml:space="preserve"> </w:t>
      </w:r>
      <w:r w:rsidR="002A6864" w:rsidRPr="0053285C">
        <w:rPr>
          <w:rFonts w:cs="Angsana New"/>
        </w:rPr>
        <w:t>strategies on</w:t>
      </w:r>
      <w:r w:rsidRPr="0053285C">
        <w:rPr>
          <w:rFonts w:cs="Angsana New"/>
        </w:rPr>
        <w:t xml:space="preserve"> technical and scientific </w:t>
      </w:r>
      <w:r w:rsidR="002A6864" w:rsidRPr="0053285C">
        <w:rPr>
          <w:rFonts w:cs="Angsana New"/>
        </w:rPr>
        <w:t>cooperation,</w:t>
      </w:r>
      <w:r w:rsidRPr="0053285C">
        <w:rPr>
          <w:rFonts w:cs="Angsana New"/>
        </w:rPr>
        <w:t xml:space="preserve"> capacity building and knowledge management </w:t>
      </w:r>
      <w:r w:rsidR="00960B0C" w:rsidRPr="0053285C">
        <w:rPr>
          <w:rFonts w:cs="Angsana New"/>
        </w:rPr>
        <w:t xml:space="preserve">in support of the post-2020 global biodiversity framework </w:t>
      </w:r>
      <w:r w:rsidRPr="0053285C">
        <w:rPr>
          <w:rFonts w:cs="Angsana New"/>
        </w:rPr>
        <w:t>to ensure coherence and consistency;</w:t>
      </w:r>
    </w:p>
    <w:p w:rsidR="00814C15" w:rsidRPr="0053285C" w:rsidRDefault="002A6864" w:rsidP="00B21738">
      <w:pPr>
        <w:pStyle w:val="Para1"/>
        <w:widowControl w:val="0"/>
        <w:numPr>
          <w:ilvl w:val="1"/>
          <w:numId w:val="34"/>
        </w:numPr>
        <w:ind w:left="0" w:firstLine="709"/>
        <w:rPr>
          <w:rFonts w:cs="Angsana New"/>
        </w:rPr>
      </w:pPr>
      <w:r w:rsidRPr="0053285C">
        <w:rPr>
          <w:rFonts w:cs="Angsana New"/>
        </w:rPr>
        <w:t>D</w:t>
      </w:r>
      <w:r w:rsidR="00814C15" w:rsidRPr="0053285C">
        <w:rPr>
          <w:rFonts w:cs="Angsana New"/>
        </w:rPr>
        <w:t>evelopment and implementation of tools and mechanisms to promote and facilitate technical and scientific cooperation, capacity building and knowledge</w:t>
      </w:r>
      <w:r w:rsidRPr="0053285C">
        <w:rPr>
          <w:rFonts w:cs="Angsana New"/>
        </w:rPr>
        <w:t xml:space="preserve"> manage</w:t>
      </w:r>
      <w:r w:rsidR="00814C15" w:rsidRPr="0053285C">
        <w:rPr>
          <w:rFonts w:cs="Angsana New"/>
        </w:rPr>
        <w:t>ment;</w:t>
      </w:r>
    </w:p>
    <w:p w:rsidR="00814C15" w:rsidRPr="0053285C" w:rsidRDefault="002A6864" w:rsidP="00B21738">
      <w:pPr>
        <w:pStyle w:val="Para1"/>
        <w:widowControl w:val="0"/>
        <w:numPr>
          <w:ilvl w:val="1"/>
          <w:numId w:val="34"/>
        </w:numPr>
        <w:ind w:left="0" w:firstLine="709"/>
        <w:rPr>
          <w:rFonts w:cs="Angsana New"/>
        </w:rPr>
      </w:pPr>
      <w:r w:rsidRPr="0053285C">
        <w:rPr>
          <w:rFonts w:cs="Angsana New"/>
        </w:rPr>
        <w:t>M</w:t>
      </w:r>
      <w:r w:rsidR="00814C15" w:rsidRPr="0053285C">
        <w:rPr>
          <w:rFonts w:cs="Angsana New"/>
        </w:rPr>
        <w:t xml:space="preserve">atters relating to the clearing house-mechanism, </w:t>
      </w:r>
      <w:proofErr w:type="gramStart"/>
      <w:r w:rsidR="00814C15" w:rsidRPr="0053285C">
        <w:rPr>
          <w:rFonts w:cs="Angsana New"/>
        </w:rPr>
        <w:t>and in particular, on</w:t>
      </w:r>
      <w:proofErr w:type="gramEnd"/>
      <w:r w:rsidR="00814C15" w:rsidRPr="0053285C">
        <w:rPr>
          <w:rFonts w:cs="Angsana New"/>
        </w:rPr>
        <w:t xml:space="preserve"> how to improve its effectiveness as a mechanism to promote and facilitate technical and scientific cooperation and exchange of information;</w:t>
      </w:r>
    </w:p>
    <w:p w:rsidR="00814C15" w:rsidRDefault="002A6864" w:rsidP="00B21738">
      <w:pPr>
        <w:pStyle w:val="Para1"/>
        <w:widowControl w:val="0"/>
        <w:numPr>
          <w:ilvl w:val="1"/>
          <w:numId w:val="34"/>
        </w:numPr>
        <w:ind w:left="0" w:firstLine="709"/>
        <w:rPr>
          <w:kern w:val="22"/>
          <w:szCs w:val="22"/>
          <w:lang w:eastAsia="en-CA"/>
        </w:rPr>
      </w:pPr>
      <w:r w:rsidRPr="0053285C">
        <w:rPr>
          <w:rFonts w:cs="Angsana New"/>
        </w:rPr>
        <w:t>P</w:t>
      </w:r>
      <w:r w:rsidR="00814C15" w:rsidRPr="0053285C">
        <w:rPr>
          <w:rFonts w:cs="Angsana New"/>
        </w:rPr>
        <w:t>oten</w:t>
      </w:r>
      <w:r w:rsidR="00814C15">
        <w:rPr>
          <w:kern w:val="22"/>
          <w:szCs w:val="22"/>
          <w:lang w:eastAsia="en-CA"/>
        </w:rPr>
        <w:t>tial opportunities for mobilizing technical and financial resources to promote and sustain technical and scientific cooperation activities.</w:t>
      </w:r>
    </w:p>
    <w:p w:rsidR="00814C15" w:rsidRDefault="00814C15" w:rsidP="00814C15">
      <w:pPr>
        <w:widowControl w:val="0"/>
        <w:kinsoku w:val="0"/>
        <w:overflowPunct w:val="0"/>
        <w:autoSpaceDE w:val="0"/>
        <w:autoSpaceDN w:val="0"/>
        <w:adjustRightInd w:val="0"/>
        <w:snapToGrid w:val="0"/>
        <w:spacing w:before="120" w:after="120"/>
        <w:rPr>
          <w:kern w:val="22"/>
          <w:szCs w:val="22"/>
          <w:lang w:eastAsia="en-CA"/>
        </w:rPr>
      </w:pPr>
      <w:r>
        <w:rPr>
          <w:kern w:val="22"/>
          <w:szCs w:val="22"/>
          <w:lang w:eastAsia="en-CA"/>
        </w:rPr>
        <w:t>5.</w:t>
      </w:r>
      <w:r>
        <w:rPr>
          <w:kern w:val="22"/>
          <w:szCs w:val="22"/>
          <w:lang w:eastAsia="en-CA"/>
        </w:rPr>
        <w:tab/>
        <w:t>The Secretariat of the Convention on Biological Diversity will support the work of the Informal Advisory Committee, including the provision of necessary logistical and secretarial support for its work.</w:t>
      </w:r>
    </w:p>
    <w:p w:rsidR="00814C15" w:rsidRDefault="00814C15" w:rsidP="00814C15">
      <w:pPr>
        <w:widowControl w:val="0"/>
        <w:kinsoku w:val="0"/>
        <w:overflowPunct w:val="0"/>
        <w:autoSpaceDE w:val="0"/>
        <w:autoSpaceDN w:val="0"/>
        <w:adjustRightInd w:val="0"/>
        <w:snapToGrid w:val="0"/>
        <w:spacing w:before="120" w:after="120"/>
        <w:rPr>
          <w:b/>
          <w:bCs/>
          <w:kern w:val="22"/>
          <w:szCs w:val="22"/>
          <w:lang w:eastAsia="en-CA"/>
        </w:rPr>
      </w:pPr>
      <w:r>
        <w:rPr>
          <w:b/>
          <w:bCs/>
          <w:kern w:val="22"/>
          <w:szCs w:val="22"/>
          <w:lang w:eastAsia="en-CA"/>
        </w:rPr>
        <w:lastRenderedPageBreak/>
        <w:t>3.</w:t>
      </w:r>
      <w:r>
        <w:rPr>
          <w:b/>
          <w:bCs/>
          <w:kern w:val="22"/>
          <w:szCs w:val="22"/>
          <w:lang w:eastAsia="en-CA"/>
        </w:rPr>
        <w:tab/>
        <w:t>Membership</w:t>
      </w:r>
    </w:p>
    <w:p w:rsidR="00814C15" w:rsidRDefault="00814C15" w:rsidP="00814C15">
      <w:pPr>
        <w:widowControl w:val="0"/>
        <w:kinsoku w:val="0"/>
        <w:overflowPunct w:val="0"/>
        <w:autoSpaceDE w:val="0"/>
        <w:autoSpaceDN w:val="0"/>
        <w:adjustRightInd w:val="0"/>
        <w:snapToGrid w:val="0"/>
        <w:spacing w:before="120" w:after="120"/>
        <w:rPr>
          <w:kern w:val="22"/>
          <w:szCs w:val="22"/>
          <w:lang w:eastAsia="en-CA"/>
        </w:rPr>
      </w:pPr>
      <w:r>
        <w:rPr>
          <w:kern w:val="22"/>
          <w:szCs w:val="22"/>
          <w:lang w:eastAsia="en-CA"/>
        </w:rPr>
        <w:t>6.</w:t>
      </w:r>
      <w:r>
        <w:rPr>
          <w:kern w:val="22"/>
          <w:szCs w:val="22"/>
          <w:lang w:eastAsia="en-CA"/>
        </w:rPr>
        <w:tab/>
        <w:t xml:space="preserve">The Informal Advisory Committee </w:t>
      </w:r>
      <w:r w:rsidRPr="00EA28AE">
        <w:rPr>
          <w:snapToGrid w:val="0"/>
          <w:color w:val="000000" w:themeColor="text1"/>
          <w:kern w:val="22"/>
        </w:rPr>
        <w:t xml:space="preserve">will be composed of experts nominated by Parties, with due regard to </w:t>
      </w:r>
      <w:r w:rsidR="00960B0C">
        <w:rPr>
          <w:snapToGrid w:val="0"/>
          <w:color w:val="000000" w:themeColor="text1"/>
          <w:kern w:val="22"/>
        </w:rPr>
        <w:t xml:space="preserve">equitable </w:t>
      </w:r>
      <w:r w:rsidRPr="00EA28AE">
        <w:rPr>
          <w:snapToGrid w:val="0"/>
          <w:color w:val="000000" w:themeColor="text1"/>
          <w:kern w:val="22"/>
        </w:rPr>
        <w:t>regional representation</w:t>
      </w:r>
      <w:r w:rsidR="00960B0C">
        <w:rPr>
          <w:snapToGrid w:val="0"/>
          <w:color w:val="000000" w:themeColor="text1"/>
          <w:kern w:val="22"/>
        </w:rPr>
        <w:t xml:space="preserve"> and</w:t>
      </w:r>
      <w:r w:rsidR="00960B0C" w:rsidRPr="00EA28AE">
        <w:rPr>
          <w:snapToGrid w:val="0"/>
          <w:color w:val="000000" w:themeColor="text1"/>
          <w:kern w:val="22"/>
        </w:rPr>
        <w:t xml:space="preserve"> </w:t>
      </w:r>
      <w:r w:rsidRPr="00EA28AE">
        <w:rPr>
          <w:snapToGrid w:val="0"/>
          <w:color w:val="000000" w:themeColor="text1"/>
          <w:kern w:val="22"/>
        </w:rPr>
        <w:t xml:space="preserve">gender balance, as well as </w:t>
      </w:r>
      <w:r w:rsidR="00960B0C" w:rsidRPr="00EA28AE">
        <w:rPr>
          <w:snapToGrid w:val="0"/>
          <w:color w:val="000000" w:themeColor="text1"/>
          <w:kern w:val="22"/>
        </w:rPr>
        <w:t xml:space="preserve">experts </w:t>
      </w:r>
      <w:r w:rsidR="00960B0C">
        <w:rPr>
          <w:snapToGrid w:val="0"/>
          <w:color w:val="000000" w:themeColor="text1"/>
          <w:kern w:val="22"/>
        </w:rPr>
        <w:t>from</w:t>
      </w:r>
      <w:r w:rsidR="00960B0C" w:rsidRPr="00EA28AE">
        <w:rPr>
          <w:snapToGrid w:val="0"/>
          <w:color w:val="000000" w:themeColor="text1"/>
          <w:kern w:val="22"/>
        </w:rPr>
        <w:t xml:space="preserve"> </w:t>
      </w:r>
      <w:r w:rsidRPr="00EA28AE">
        <w:rPr>
          <w:snapToGrid w:val="0"/>
          <w:color w:val="000000" w:themeColor="text1"/>
          <w:kern w:val="22"/>
        </w:rPr>
        <w:t>indigenous peoples and local communities and relevant organizations</w:t>
      </w:r>
      <w:r>
        <w:rPr>
          <w:snapToGrid w:val="0"/>
          <w:color w:val="000000" w:themeColor="text1"/>
          <w:kern w:val="22"/>
        </w:rPr>
        <w:t>.</w:t>
      </w:r>
      <w:r w:rsidRPr="00EA28AE">
        <w:rPr>
          <w:snapToGrid w:val="0"/>
          <w:color w:val="000000" w:themeColor="text1"/>
          <w:kern w:val="22"/>
        </w:rPr>
        <w:t xml:space="preserve"> The number of experts from organizations shall not exceed the number of experts nominated by Parties.</w:t>
      </w:r>
      <w:r>
        <w:rPr>
          <w:snapToGrid w:val="0"/>
          <w:color w:val="000000" w:themeColor="text1"/>
          <w:kern w:val="22"/>
        </w:rPr>
        <w:t xml:space="preserve"> </w:t>
      </w:r>
      <w:r>
        <w:rPr>
          <w:kern w:val="22"/>
          <w:szCs w:val="22"/>
          <w:lang w:eastAsia="en-CA"/>
        </w:rPr>
        <w:t xml:space="preserve">Members shall be selected </w:t>
      </w:r>
      <w:proofErr w:type="gramStart"/>
      <w:r>
        <w:rPr>
          <w:kern w:val="22"/>
          <w:szCs w:val="22"/>
          <w:lang w:eastAsia="en-CA"/>
        </w:rPr>
        <w:t>on the basis of</w:t>
      </w:r>
      <w:proofErr w:type="gramEnd"/>
      <w:r>
        <w:rPr>
          <w:kern w:val="22"/>
          <w:szCs w:val="22"/>
          <w:lang w:eastAsia="en-CA"/>
        </w:rPr>
        <w:t xml:space="preserve"> the following criteria, as evidenced in their curriculum vitae:</w:t>
      </w:r>
    </w:p>
    <w:p w:rsidR="00814C15" w:rsidRPr="0053285C" w:rsidRDefault="00814C15" w:rsidP="00B21738">
      <w:pPr>
        <w:pStyle w:val="Para1"/>
        <w:widowControl w:val="0"/>
        <w:numPr>
          <w:ilvl w:val="1"/>
          <w:numId w:val="36"/>
        </w:numPr>
        <w:ind w:left="0" w:firstLine="709"/>
        <w:rPr>
          <w:rFonts w:cs="Angsana New"/>
        </w:rPr>
      </w:pPr>
      <w:r>
        <w:rPr>
          <w:kern w:val="22"/>
          <w:szCs w:val="22"/>
          <w:lang w:eastAsia="en-CA"/>
        </w:rPr>
        <w:t xml:space="preserve">At least </w:t>
      </w:r>
      <w:r w:rsidRPr="0053285C">
        <w:rPr>
          <w:rFonts w:cs="Angsana New"/>
        </w:rPr>
        <w:t xml:space="preserve">five years of working experience on technical and scientific </w:t>
      </w:r>
      <w:r w:rsidR="0053285C" w:rsidRPr="0053285C">
        <w:rPr>
          <w:rFonts w:cs="Angsana New"/>
        </w:rPr>
        <w:t xml:space="preserve">issues </w:t>
      </w:r>
      <w:r w:rsidRPr="0053285C">
        <w:rPr>
          <w:rFonts w:cs="Angsana New"/>
        </w:rPr>
        <w:t>related to the implementation of the Convention on Biological Diversity and/or other biodiversity-related conventions;</w:t>
      </w:r>
    </w:p>
    <w:p w:rsidR="00814C15" w:rsidRPr="0053285C" w:rsidRDefault="00814C15" w:rsidP="00B21738">
      <w:pPr>
        <w:pStyle w:val="Para1"/>
        <w:widowControl w:val="0"/>
        <w:numPr>
          <w:ilvl w:val="1"/>
          <w:numId w:val="36"/>
        </w:numPr>
        <w:ind w:left="0" w:firstLine="709"/>
        <w:rPr>
          <w:rFonts w:cs="Angsana New"/>
        </w:rPr>
      </w:pPr>
      <w:r w:rsidRPr="0053285C">
        <w:rPr>
          <w:rFonts w:cs="Angsana New"/>
        </w:rPr>
        <w:t>Expertise relevant to technical and scientific cooperation, capacity</w:t>
      </w:r>
      <w:r w:rsidR="00626D25">
        <w:rPr>
          <w:rFonts w:cs="Angsana New"/>
        </w:rPr>
        <w:t>-</w:t>
      </w:r>
      <w:r w:rsidRPr="0053285C">
        <w:rPr>
          <w:rFonts w:cs="Angsana New"/>
        </w:rPr>
        <w:t>building, and knowledge management and the clearing-house mechanism;</w:t>
      </w:r>
    </w:p>
    <w:p w:rsidR="00814C15" w:rsidRDefault="00814C15" w:rsidP="00B21738">
      <w:pPr>
        <w:pStyle w:val="Para1"/>
        <w:widowControl w:val="0"/>
        <w:numPr>
          <w:ilvl w:val="1"/>
          <w:numId w:val="36"/>
        </w:numPr>
        <w:ind w:left="0" w:firstLine="709"/>
        <w:rPr>
          <w:kern w:val="22"/>
          <w:szCs w:val="22"/>
          <w:lang w:eastAsia="en-CA"/>
        </w:rPr>
      </w:pPr>
      <w:r w:rsidRPr="0053285C">
        <w:rPr>
          <w:rFonts w:cs="Angsana New"/>
        </w:rPr>
        <w:t>Demonstrated</w:t>
      </w:r>
      <w:r>
        <w:rPr>
          <w:kern w:val="22"/>
          <w:szCs w:val="22"/>
          <w:lang w:eastAsia="en-CA"/>
        </w:rPr>
        <w:t xml:space="preserve"> experience with regional or international cooperation processes and programmes related to Biodiversity.</w:t>
      </w:r>
    </w:p>
    <w:p w:rsidR="00814C15" w:rsidRDefault="00814C15" w:rsidP="00814C15">
      <w:pPr>
        <w:widowControl w:val="0"/>
        <w:kinsoku w:val="0"/>
        <w:overflowPunct w:val="0"/>
        <w:autoSpaceDE w:val="0"/>
        <w:autoSpaceDN w:val="0"/>
        <w:adjustRightInd w:val="0"/>
        <w:snapToGrid w:val="0"/>
        <w:spacing w:before="120" w:after="120"/>
        <w:rPr>
          <w:kern w:val="22"/>
          <w:szCs w:val="22"/>
          <w:lang w:eastAsia="en-CA"/>
        </w:rPr>
      </w:pPr>
      <w:r>
        <w:rPr>
          <w:kern w:val="22"/>
          <w:szCs w:val="22"/>
          <w:lang w:eastAsia="en-CA"/>
        </w:rPr>
        <w:t>7.</w:t>
      </w:r>
      <w:r>
        <w:rPr>
          <w:kern w:val="22"/>
          <w:szCs w:val="22"/>
          <w:lang w:eastAsia="en-CA"/>
        </w:rPr>
        <w:tab/>
        <w:t xml:space="preserve">Members of the Informal Advisory Committee shall be selected through a formal nomination process based on the above criteria. The Executive Secretary may select experts </w:t>
      </w:r>
      <w:r w:rsidR="0053285C">
        <w:rPr>
          <w:kern w:val="22"/>
          <w:szCs w:val="22"/>
          <w:lang w:eastAsia="en-CA"/>
        </w:rPr>
        <w:t xml:space="preserve">knowledgeable in </w:t>
      </w:r>
      <w:r>
        <w:rPr>
          <w:kern w:val="22"/>
          <w:szCs w:val="22"/>
          <w:lang w:eastAsia="en-CA"/>
        </w:rPr>
        <w:t xml:space="preserve">specific issues </w:t>
      </w:r>
      <w:r w:rsidR="0053285C">
        <w:rPr>
          <w:kern w:val="22"/>
          <w:szCs w:val="22"/>
          <w:lang w:eastAsia="en-CA"/>
        </w:rPr>
        <w:t xml:space="preserve">or </w:t>
      </w:r>
      <w:r w:rsidR="00447E2C">
        <w:rPr>
          <w:kern w:val="22"/>
          <w:szCs w:val="22"/>
          <w:lang w:eastAsia="en-CA"/>
        </w:rPr>
        <w:t>thematic areas</w:t>
      </w:r>
      <w:r w:rsidR="0053285C">
        <w:rPr>
          <w:kern w:val="22"/>
          <w:szCs w:val="22"/>
          <w:lang w:eastAsia="en-CA"/>
        </w:rPr>
        <w:t xml:space="preserve"> </w:t>
      </w:r>
      <w:r>
        <w:rPr>
          <w:kern w:val="22"/>
          <w:szCs w:val="22"/>
          <w:lang w:eastAsia="en-CA"/>
        </w:rPr>
        <w:t>to be discussed at each of the Informal Advisory Committee meetings, ensuring a balance of experts on matters related to the Convention. The members shall serve in their personal capacity and not as representatives of a government, organization or other entity.</w:t>
      </w:r>
    </w:p>
    <w:p w:rsidR="00814C15" w:rsidRDefault="00814C15" w:rsidP="00814C15">
      <w:pPr>
        <w:widowControl w:val="0"/>
        <w:kinsoku w:val="0"/>
        <w:overflowPunct w:val="0"/>
        <w:autoSpaceDE w:val="0"/>
        <w:autoSpaceDN w:val="0"/>
        <w:adjustRightInd w:val="0"/>
        <w:snapToGrid w:val="0"/>
        <w:spacing w:before="120" w:after="120"/>
        <w:rPr>
          <w:kern w:val="22"/>
          <w:szCs w:val="22"/>
          <w:lang w:eastAsia="en-CA"/>
        </w:rPr>
      </w:pPr>
      <w:r>
        <w:rPr>
          <w:kern w:val="22"/>
          <w:szCs w:val="22"/>
          <w:lang w:eastAsia="en-CA"/>
        </w:rPr>
        <w:t>8.</w:t>
      </w:r>
      <w:r>
        <w:rPr>
          <w:kern w:val="22"/>
          <w:szCs w:val="22"/>
          <w:lang w:eastAsia="en-CA"/>
        </w:rPr>
        <w:tab/>
        <w:t>Members of the Informal Advisory Committee shall serve for a term of two years, with a possibility of renewal for one additional two-year term.</w:t>
      </w:r>
    </w:p>
    <w:p w:rsidR="00814C15" w:rsidRDefault="00814C15" w:rsidP="00814C15">
      <w:pPr>
        <w:widowControl w:val="0"/>
        <w:kinsoku w:val="0"/>
        <w:overflowPunct w:val="0"/>
        <w:autoSpaceDE w:val="0"/>
        <w:autoSpaceDN w:val="0"/>
        <w:adjustRightInd w:val="0"/>
        <w:snapToGrid w:val="0"/>
        <w:spacing w:before="120" w:after="120"/>
        <w:rPr>
          <w:b/>
          <w:kern w:val="22"/>
          <w:szCs w:val="22"/>
          <w:lang w:eastAsia="en-CA"/>
        </w:rPr>
      </w:pPr>
      <w:r>
        <w:rPr>
          <w:b/>
          <w:kern w:val="22"/>
          <w:szCs w:val="22"/>
          <w:lang w:eastAsia="en-CA"/>
        </w:rPr>
        <w:t>4.</w:t>
      </w:r>
      <w:r>
        <w:rPr>
          <w:b/>
          <w:kern w:val="22"/>
          <w:szCs w:val="22"/>
          <w:lang w:eastAsia="en-CA"/>
        </w:rPr>
        <w:tab/>
        <w:t>Modus operandi</w:t>
      </w:r>
    </w:p>
    <w:p w:rsidR="00814C15" w:rsidRDefault="00814C15" w:rsidP="00814C15">
      <w:pPr>
        <w:widowControl w:val="0"/>
        <w:kinsoku w:val="0"/>
        <w:overflowPunct w:val="0"/>
        <w:autoSpaceDE w:val="0"/>
        <w:autoSpaceDN w:val="0"/>
        <w:adjustRightInd w:val="0"/>
        <w:snapToGrid w:val="0"/>
        <w:spacing w:before="120" w:after="120"/>
        <w:rPr>
          <w:kern w:val="22"/>
          <w:szCs w:val="22"/>
          <w:lang w:eastAsia="en-CA"/>
        </w:rPr>
      </w:pPr>
      <w:r>
        <w:rPr>
          <w:kern w:val="22"/>
          <w:szCs w:val="22"/>
          <w:lang w:eastAsia="en-CA"/>
        </w:rPr>
        <w:t>9.</w:t>
      </w:r>
      <w:r>
        <w:rPr>
          <w:kern w:val="22"/>
          <w:szCs w:val="22"/>
          <w:lang w:eastAsia="en-CA"/>
        </w:rPr>
        <w:tab/>
        <w:t xml:space="preserve">The Advisory Committee </w:t>
      </w:r>
      <w:r w:rsidR="00447E2C">
        <w:rPr>
          <w:kern w:val="22"/>
          <w:szCs w:val="22"/>
          <w:lang w:eastAsia="en-CA"/>
        </w:rPr>
        <w:t>wi</w:t>
      </w:r>
      <w:r>
        <w:rPr>
          <w:kern w:val="22"/>
          <w:szCs w:val="22"/>
          <w:lang w:eastAsia="en-CA"/>
        </w:rPr>
        <w:t>ll meet face-to-face at least once per year</w:t>
      </w:r>
      <w:r w:rsidR="00447E2C">
        <w:rPr>
          <w:snapToGrid w:val="0"/>
          <w:kern w:val="22"/>
          <w:lang w:eastAsia="x-none"/>
        </w:rPr>
        <w:t>, subject to the availability of resources</w:t>
      </w:r>
      <w:r>
        <w:rPr>
          <w:kern w:val="22"/>
          <w:szCs w:val="22"/>
          <w:lang w:eastAsia="en-CA"/>
        </w:rPr>
        <w:t xml:space="preserve">, wherever possible in the margins of </w:t>
      </w:r>
      <w:r w:rsidR="00447E2C">
        <w:rPr>
          <w:kern w:val="22"/>
          <w:szCs w:val="22"/>
          <w:lang w:eastAsia="en-CA"/>
        </w:rPr>
        <w:t xml:space="preserve">other </w:t>
      </w:r>
      <w:r>
        <w:rPr>
          <w:kern w:val="22"/>
          <w:szCs w:val="22"/>
          <w:lang w:eastAsia="en-CA"/>
        </w:rPr>
        <w:t xml:space="preserve">meetings. The frequency of meetings </w:t>
      </w:r>
      <w:r w:rsidR="00447E2C">
        <w:rPr>
          <w:kern w:val="22"/>
          <w:szCs w:val="22"/>
          <w:lang w:eastAsia="en-CA"/>
        </w:rPr>
        <w:t xml:space="preserve">may </w:t>
      </w:r>
      <w:r>
        <w:rPr>
          <w:kern w:val="22"/>
          <w:szCs w:val="22"/>
          <w:lang w:eastAsia="en-CA"/>
        </w:rPr>
        <w:t xml:space="preserve">be adjusted by the members as the need arises. The Committee will work </w:t>
      </w:r>
      <w:proofErr w:type="spellStart"/>
      <w:r>
        <w:rPr>
          <w:kern w:val="22"/>
          <w:szCs w:val="22"/>
          <w:lang w:eastAsia="en-CA"/>
        </w:rPr>
        <w:t>intersessionally</w:t>
      </w:r>
      <w:proofErr w:type="spellEnd"/>
      <w:r>
        <w:rPr>
          <w:kern w:val="22"/>
          <w:szCs w:val="22"/>
          <w:lang w:eastAsia="en-CA"/>
        </w:rPr>
        <w:t>, as appropriate, via electronic means;</w:t>
      </w:r>
    </w:p>
    <w:p w:rsidR="00814C15" w:rsidRDefault="00814C15" w:rsidP="00814C15">
      <w:pPr>
        <w:widowControl w:val="0"/>
        <w:kinsoku w:val="0"/>
        <w:overflowPunct w:val="0"/>
        <w:autoSpaceDE w:val="0"/>
        <w:autoSpaceDN w:val="0"/>
        <w:adjustRightInd w:val="0"/>
        <w:snapToGrid w:val="0"/>
        <w:spacing w:before="120" w:after="120"/>
        <w:rPr>
          <w:kern w:val="22"/>
          <w:szCs w:val="22"/>
          <w:lang w:eastAsia="en-CA"/>
        </w:rPr>
      </w:pPr>
      <w:r>
        <w:rPr>
          <w:kern w:val="22"/>
          <w:szCs w:val="22"/>
          <w:lang w:eastAsia="en-CA"/>
        </w:rPr>
        <w:t>10.</w:t>
      </w:r>
      <w:r>
        <w:rPr>
          <w:kern w:val="22"/>
          <w:szCs w:val="22"/>
          <w:lang w:eastAsia="en-CA"/>
        </w:rPr>
        <w:tab/>
        <w:t>The Advisory Committee may, as appropriate, establish sub-committees to support it in addressing specific issues or thematic areas and co-opt relevant experts to assist;</w:t>
      </w:r>
    </w:p>
    <w:p w:rsidR="00814C15" w:rsidRDefault="00814C15" w:rsidP="00814C15">
      <w:pPr>
        <w:widowControl w:val="0"/>
        <w:kinsoku w:val="0"/>
        <w:overflowPunct w:val="0"/>
        <w:autoSpaceDE w:val="0"/>
        <w:autoSpaceDN w:val="0"/>
        <w:adjustRightInd w:val="0"/>
        <w:snapToGrid w:val="0"/>
        <w:spacing w:before="120" w:after="120"/>
        <w:rPr>
          <w:kern w:val="22"/>
          <w:szCs w:val="22"/>
          <w:lang w:eastAsia="en-CA"/>
        </w:rPr>
      </w:pPr>
      <w:r>
        <w:rPr>
          <w:kern w:val="22"/>
          <w:szCs w:val="22"/>
          <w:lang w:eastAsia="en-CA"/>
        </w:rPr>
        <w:t>11.</w:t>
      </w:r>
      <w:r>
        <w:rPr>
          <w:kern w:val="22"/>
          <w:szCs w:val="22"/>
          <w:lang w:eastAsia="en-CA"/>
        </w:rPr>
        <w:tab/>
        <w:t xml:space="preserve">The Advisory Committee members shall not receive any honorarium, fee or other remuneration from the United Nations. However, costs for the participation of Committee members nominated by developing country Parties and Parties with economies in transition </w:t>
      </w:r>
      <w:r w:rsidR="00447E2C">
        <w:rPr>
          <w:kern w:val="22"/>
          <w:szCs w:val="22"/>
          <w:lang w:eastAsia="en-CA"/>
        </w:rPr>
        <w:t xml:space="preserve">will be </w:t>
      </w:r>
      <w:r>
        <w:rPr>
          <w:kern w:val="22"/>
          <w:szCs w:val="22"/>
          <w:lang w:eastAsia="en-CA"/>
        </w:rPr>
        <w:t>covered, in line with the rules and regulations of the United Nations;</w:t>
      </w:r>
    </w:p>
    <w:p w:rsidR="00814C15" w:rsidRDefault="00814C15" w:rsidP="00814C15">
      <w:pPr>
        <w:widowControl w:val="0"/>
        <w:kinsoku w:val="0"/>
        <w:overflowPunct w:val="0"/>
        <w:autoSpaceDE w:val="0"/>
        <w:autoSpaceDN w:val="0"/>
        <w:adjustRightInd w:val="0"/>
        <w:snapToGrid w:val="0"/>
        <w:spacing w:before="120" w:after="120"/>
        <w:rPr>
          <w:kern w:val="22"/>
          <w:szCs w:val="22"/>
          <w:lang w:eastAsia="en-CA"/>
        </w:rPr>
      </w:pPr>
      <w:r>
        <w:rPr>
          <w:kern w:val="22"/>
          <w:szCs w:val="22"/>
          <w:lang w:eastAsia="en-CA"/>
        </w:rPr>
        <w:t>12.</w:t>
      </w:r>
      <w:r>
        <w:rPr>
          <w:kern w:val="22"/>
          <w:szCs w:val="22"/>
          <w:lang w:eastAsia="en-CA"/>
        </w:rPr>
        <w:tab/>
        <w:t xml:space="preserve">The Informal Advisory Committee shall elect a Chair to steer its meetings on a rotational basis. </w:t>
      </w:r>
    </w:p>
    <w:p w:rsidR="00814C15" w:rsidRDefault="00814C15" w:rsidP="000A39CB">
      <w:pPr>
        <w:widowControl w:val="0"/>
        <w:kinsoku w:val="0"/>
        <w:overflowPunct w:val="0"/>
        <w:autoSpaceDE w:val="0"/>
        <w:autoSpaceDN w:val="0"/>
        <w:adjustRightInd w:val="0"/>
        <w:snapToGrid w:val="0"/>
        <w:spacing w:before="120" w:after="120"/>
        <w:rPr>
          <w:kern w:val="22"/>
          <w:szCs w:val="22"/>
          <w:lang w:eastAsia="en-CA"/>
        </w:rPr>
      </w:pPr>
      <w:r>
        <w:rPr>
          <w:kern w:val="22"/>
          <w:szCs w:val="22"/>
          <w:lang w:eastAsia="en-CA"/>
        </w:rPr>
        <w:t>13.</w:t>
      </w:r>
      <w:r>
        <w:rPr>
          <w:kern w:val="22"/>
          <w:szCs w:val="22"/>
          <w:lang w:eastAsia="en-CA"/>
        </w:rPr>
        <w:tab/>
        <w:t>The working language of the Committee shall be English.</w:t>
      </w:r>
    </w:p>
    <w:p w:rsidR="00D80741" w:rsidRDefault="00D80741">
      <w:pPr>
        <w:jc w:val="left"/>
        <w:rPr>
          <w:b/>
          <w:bCs/>
          <w:snapToGrid w:val="0"/>
          <w:kern w:val="22"/>
          <w:szCs w:val="22"/>
        </w:rPr>
      </w:pPr>
      <w:bookmarkStart w:id="1" w:name="_Toc525727501"/>
      <w:r>
        <w:br w:type="page"/>
      </w:r>
    </w:p>
    <w:p w:rsidR="00B50CFC" w:rsidRPr="00E120A1" w:rsidRDefault="00B50CFC" w:rsidP="00D463E6">
      <w:pPr>
        <w:pStyle w:val="H1report"/>
        <w:numPr>
          <w:ilvl w:val="0"/>
          <w:numId w:val="0"/>
        </w:numPr>
        <w:spacing w:after="240"/>
      </w:pPr>
      <w:r w:rsidRPr="00BC2446">
        <w:lastRenderedPageBreak/>
        <w:t>II.</w:t>
      </w:r>
      <w:r w:rsidRPr="00BC2446">
        <w:tab/>
      </w:r>
      <w:r w:rsidRPr="00E120A1">
        <w:t>ACCOUNT OF PROCEEDINGS</w:t>
      </w:r>
      <w:bookmarkEnd w:id="1"/>
    </w:p>
    <w:p w:rsidR="00B50CFC" w:rsidRPr="006D45AF" w:rsidRDefault="00B50CFC" w:rsidP="00B50CFC">
      <w:pPr>
        <w:pStyle w:val="Heading1"/>
        <w:suppressLineNumbers/>
        <w:tabs>
          <w:tab w:val="clear" w:pos="720"/>
        </w:tabs>
        <w:suppressAutoHyphens/>
        <w:rPr>
          <w:snapToGrid w:val="0"/>
          <w:kern w:val="22"/>
          <w:szCs w:val="22"/>
        </w:rPr>
      </w:pPr>
      <w:r w:rsidRPr="006D45AF">
        <w:rPr>
          <w:bCs/>
          <w:caps w:val="0"/>
          <w:snapToGrid w:val="0"/>
          <w:kern w:val="22"/>
          <w:szCs w:val="22"/>
        </w:rPr>
        <w:t>INTRODUCTION</w:t>
      </w:r>
    </w:p>
    <w:p w:rsidR="00414A34" w:rsidRPr="00414A34" w:rsidRDefault="00B50CFC" w:rsidP="00414A34">
      <w:pPr>
        <w:pStyle w:val="Para1"/>
        <w:numPr>
          <w:ilvl w:val="0"/>
          <w:numId w:val="20"/>
        </w:numPr>
        <w:tabs>
          <w:tab w:val="clear" w:pos="360"/>
        </w:tabs>
        <w:rPr>
          <w:szCs w:val="22"/>
        </w:rPr>
      </w:pPr>
      <w:r w:rsidRPr="00C64897">
        <w:rPr>
          <w:kern w:val="22"/>
          <w:szCs w:val="22"/>
        </w:rPr>
        <w:t xml:space="preserve">The </w:t>
      </w:r>
      <w:r>
        <w:rPr>
          <w:kern w:val="22"/>
          <w:szCs w:val="22"/>
        </w:rPr>
        <w:t>Informal Advisory Committee to the Clearing-House Mechanism met</w:t>
      </w:r>
      <w:r w:rsidRPr="00C64897">
        <w:rPr>
          <w:kern w:val="22"/>
          <w:szCs w:val="22"/>
        </w:rPr>
        <w:t xml:space="preserve"> </w:t>
      </w:r>
      <w:r>
        <w:rPr>
          <w:kern w:val="22"/>
          <w:szCs w:val="22"/>
        </w:rPr>
        <w:t xml:space="preserve">at the Secretariat of the Convention on Biological Diversity </w:t>
      </w:r>
      <w:r w:rsidRPr="00C64897">
        <w:rPr>
          <w:kern w:val="22"/>
          <w:szCs w:val="22"/>
        </w:rPr>
        <w:t xml:space="preserve">in Montreal, Canada, from </w:t>
      </w:r>
      <w:r>
        <w:rPr>
          <w:kern w:val="22"/>
          <w:szCs w:val="22"/>
        </w:rPr>
        <w:t>17</w:t>
      </w:r>
      <w:r w:rsidRPr="00C64897">
        <w:rPr>
          <w:kern w:val="22"/>
          <w:szCs w:val="22"/>
        </w:rPr>
        <w:t xml:space="preserve"> to </w:t>
      </w:r>
      <w:r>
        <w:rPr>
          <w:kern w:val="22"/>
          <w:szCs w:val="22"/>
        </w:rPr>
        <w:t>19</w:t>
      </w:r>
      <w:r w:rsidRPr="00C64897">
        <w:rPr>
          <w:kern w:val="22"/>
          <w:szCs w:val="22"/>
        </w:rPr>
        <w:t xml:space="preserve"> Ju</w:t>
      </w:r>
      <w:r>
        <w:rPr>
          <w:kern w:val="22"/>
          <w:szCs w:val="22"/>
        </w:rPr>
        <w:t>ne</w:t>
      </w:r>
      <w:r w:rsidRPr="00C64897">
        <w:rPr>
          <w:kern w:val="22"/>
          <w:szCs w:val="22"/>
        </w:rPr>
        <w:t xml:space="preserve"> 201</w:t>
      </w:r>
      <w:r>
        <w:rPr>
          <w:kern w:val="22"/>
          <w:szCs w:val="22"/>
        </w:rPr>
        <w:t>9</w:t>
      </w:r>
      <w:r w:rsidRPr="00C64897">
        <w:rPr>
          <w:kern w:val="22"/>
          <w:szCs w:val="22"/>
        </w:rPr>
        <w:t>.</w:t>
      </w:r>
    </w:p>
    <w:p w:rsidR="00B50CFC" w:rsidRPr="0052588E" w:rsidRDefault="00B50CFC" w:rsidP="00B50CFC">
      <w:pPr>
        <w:keepNext/>
        <w:suppressLineNumbers/>
        <w:tabs>
          <w:tab w:val="left" w:pos="720"/>
        </w:tabs>
        <w:suppressAutoHyphens/>
        <w:spacing w:before="120" w:after="120"/>
        <w:jc w:val="center"/>
        <w:outlineLvl w:val="1"/>
        <w:rPr>
          <w:b/>
          <w:snapToGrid w:val="0"/>
          <w:kern w:val="22"/>
          <w:szCs w:val="22"/>
        </w:rPr>
      </w:pPr>
      <w:r w:rsidRPr="0052588E">
        <w:rPr>
          <w:b/>
          <w:snapToGrid w:val="0"/>
          <w:kern w:val="22"/>
          <w:szCs w:val="22"/>
        </w:rPr>
        <w:t>Attendance</w:t>
      </w:r>
    </w:p>
    <w:p w:rsidR="00B50CFC" w:rsidRPr="00626D25" w:rsidRDefault="00B50CFC" w:rsidP="00B21738">
      <w:pPr>
        <w:pStyle w:val="Para1"/>
        <w:numPr>
          <w:ilvl w:val="0"/>
          <w:numId w:val="20"/>
        </w:numPr>
        <w:tabs>
          <w:tab w:val="clear" w:pos="360"/>
        </w:tabs>
        <w:rPr>
          <w:szCs w:val="22"/>
        </w:rPr>
      </w:pPr>
      <w:r w:rsidRPr="0002549B">
        <w:rPr>
          <w:szCs w:val="22"/>
        </w:rPr>
        <w:t xml:space="preserve">The meeting was attended by </w:t>
      </w:r>
      <w:r w:rsidR="00332BB8">
        <w:rPr>
          <w:szCs w:val="22"/>
        </w:rPr>
        <w:t>the following members and observers</w:t>
      </w:r>
      <w:r w:rsidRPr="007924E1">
        <w:rPr>
          <w:szCs w:val="22"/>
        </w:rPr>
        <w:t xml:space="preserve">: </w:t>
      </w:r>
    </w:p>
    <w:tbl>
      <w:tblPr>
        <w:tblStyle w:val="TableGrid1"/>
        <w:tblW w:w="9493" w:type="dxa"/>
        <w:jc w:val="center"/>
        <w:tblCellMar>
          <w:top w:w="57" w:type="dxa"/>
          <w:left w:w="57" w:type="dxa"/>
          <w:bottom w:w="57" w:type="dxa"/>
          <w:right w:w="57" w:type="dxa"/>
        </w:tblCellMar>
        <w:tblLook w:val="04A0" w:firstRow="1" w:lastRow="0" w:firstColumn="1" w:lastColumn="0" w:noHBand="0" w:noVBand="1"/>
      </w:tblPr>
      <w:tblGrid>
        <w:gridCol w:w="508"/>
        <w:gridCol w:w="3740"/>
        <w:gridCol w:w="5245"/>
      </w:tblGrid>
      <w:tr w:rsidR="00B50CFC" w:rsidRPr="00B50CFC" w:rsidTr="0089658B">
        <w:trPr>
          <w:tblHeader/>
          <w:jc w:val="center"/>
        </w:trPr>
        <w:tc>
          <w:tcPr>
            <w:tcW w:w="508" w:type="dxa"/>
            <w:tcBorders>
              <w:bottom w:val="single" w:sz="4" w:space="0" w:color="auto"/>
            </w:tcBorders>
            <w:shd w:val="clear" w:color="auto" w:fill="BFBFBF" w:themeFill="background1" w:themeFillShade="BF"/>
          </w:tcPr>
          <w:p w:rsidR="00B50CFC" w:rsidRPr="00B21738" w:rsidRDefault="003C3695" w:rsidP="00B50CFC">
            <w:pPr>
              <w:keepNext/>
              <w:jc w:val="center"/>
              <w:rPr>
                <w:b/>
                <w:color w:val="000000"/>
                <w:szCs w:val="22"/>
              </w:rPr>
            </w:pPr>
            <w:r w:rsidRPr="00B21738">
              <w:rPr>
                <w:b/>
                <w:color w:val="000000"/>
                <w:szCs w:val="22"/>
              </w:rPr>
              <w:t>No.</w:t>
            </w:r>
          </w:p>
        </w:tc>
        <w:tc>
          <w:tcPr>
            <w:tcW w:w="3740" w:type="dxa"/>
            <w:tcBorders>
              <w:bottom w:val="single" w:sz="4" w:space="0" w:color="auto"/>
            </w:tcBorders>
            <w:shd w:val="clear" w:color="auto" w:fill="BFBFBF" w:themeFill="background1" w:themeFillShade="BF"/>
          </w:tcPr>
          <w:p w:rsidR="00B50CFC" w:rsidRPr="00B21738" w:rsidRDefault="00B50CFC" w:rsidP="00B50CFC">
            <w:pPr>
              <w:keepNext/>
              <w:jc w:val="left"/>
              <w:rPr>
                <w:b/>
                <w:color w:val="000000"/>
                <w:szCs w:val="22"/>
              </w:rPr>
            </w:pPr>
            <w:r w:rsidRPr="00B21738">
              <w:rPr>
                <w:b/>
                <w:color w:val="000000"/>
                <w:szCs w:val="22"/>
              </w:rPr>
              <w:t>Party</w:t>
            </w:r>
          </w:p>
        </w:tc>
        <w:tc>
          <w:tcPr>
            <w:tcW w:w="5245" w:type="dxa"/>
            <w:tcBorders>
              <w:bottom w:val="single" w:sz="4" w:space="0" w:color="auto"/>
            </w:tcBorders>
            <w:shd w:val="clear" w:color="auto" w:fill="BFBFBF" w:themeFill="background1" w:themeFillShade="BF"/>
          </w:tcPr>
          <w:p w:rsidR="00B50CFC" w:rsidRPr="00B21738" w:rsidRDefault="00B50CFC" w:rsidP="00B50CFC">
            <w:pPr>
              <w:keepNext/>
              <w:jc w:val="left"/>
              <w:rPr>
                <w:b/>
                <w:color w:val="000000"/>
                <w:szCs w:val="22"/>
              </w:rPr>
            </w:pPr>
            <w:r w:rsidRPr="00B21738">
              <w:rPr>
                <w:b/>
                <w:color w:val="000000"/>
                <w:szCs w:val="22"/>
              </w:rPr>
              <w:t>Member</w:t>
            </w:r>
          </w:p>
        </w:tc>
      </w:tr>
      <w:tr w:rsidR="00B50CFC" w:rsidRPr="00B50CFC" w:rsidTr="0089658B">
        <w:trPr>
          <w:jc w:val="center"/>
        </w:trPr>
        <w:tc>
          <w:tcPr>
            <w:tcW w:w="508" w:type="dxa"/>
            <w:tcBorders>
              <w:top w:val="single" w:sz="4" w:space="0" w:color="auto"/>
            </w:tcBorders>
          </w:tcPr>
          <w:p w:rsidR="00B50CFC" w:rsidRPr="00B50CFC" w:rsidRDefault="00B50CFC" w:rsidP="00B50CFC">
            <w:pPr>
              <w:jc w:val="center"/>
              <w:rPr>
                <w:color w:val="000000"/>
                <w:szCs w:val="22"/>
              </w:rPr>
            </w:pPr>
            <w:r w:rsidRPr="00B50CFC">
              <w:rPr>
                <w:color w:val="000000"/>
                <w:szCs w:val="22"/>
              </w:rPr>
              <w:t>1</w:t>
            </w:r>
          </w:p>
        </w:tc>
        <w:tc>
          <w:tcPr>
            <w:tcW w:w="3740" w:type="dxa"/>
            <w:tcBorders>
              <w:top w:val="single" w:sz="4" w:space="0" w:color="auto"/>
            </w:tcBorders>
          </w:tcPr>
          <w:p w:rsidR="00B50CFC" w:rsidRPr="00B50CFC" w:rsidRDefault="00B50CFC" w:rsidP="00B50CFC">
            <w:pPr>
              <w:jc w:val="left"/>
              <w:rPr>
                <w:color w:val="000000"/>
                <w:szCs w:val="22"/>
              </w:rPr>
            </w:pPr>
            <w:r w:rsidRPr="00B50CFC">
              <w:rPr>
                <w:color w:val="000000"/>
                <w:szCs w:val="22"/>
              </w:rPr>
              <w:t>Belgium</w:t>
            </w:r>
          </w:p>
        </w:tc>
        <w:tc>
          <w:tcPr>
            <w:tcW w:w="5245" w:type="dxa"/>
            <w:tcBorders>
              <w:top w:val="single" w:sz="4" w:space="0" w:color="auto"/>
            </w:tcBorders>
          </w:tcPr>
          <w:p w:rsidR="00B50CFC" w:rsidRPr="00B50CFC" w:rsidRDefault="00B50CFC" w:rsidP="00B50CFC">
            <w:pPr>
              <w:jc w:val="left"/>
              <w:rPr>
                <w:color w:val="000000"/>
                <w:szCs w:val="22"/>
              </w:rPr>
            </w:pPr>
            <w:r w:rsidRPr="00B50CFC">
              <w:rPr>
                <w:color w:val="000000"/>
                <w:szCs w:val="22"/>
              </w:rPr>
              <w:t xml:space="preserve">Mr. Han de </w:t>
            </w:r>
            <w:proofErr w:type="spellStart"/>
            <w:r w:rsidRPr="00B50CFC">
              <w:rPr>
                <w:color w:val="000000"/>
                <w:szCs w:val="22"/>
              </w:rPr>
              <w:t>Koeijer</w:t>
            </w:r>
            <w:proofErr w:type="spellEnd"/>
            <w:r>
              <w:rPr>
                <w:color w:val="000000"/>
                <w:szCs w:val="22"/>
              </w:rPr>
              <w:t xml:space="preserve"> - Chair</w:t>
            </w:r>
          </w:p>
        </w:tc>
      </w:tr>
      <w:tr w:rsidR="00B50CFC" w:rsidRPr="00B50CFC" w:rsidTr="0089658B">
        <w:trPr>
          <w:jc w:val="center"/>
        </w:trPr>
        <w:tc>
          <w:tcPr>
            <w:tcW w:w="508" w:type="dxa"/>
            <w:tcBorders>
              <w:bottom w:val="single" w:sz="4" w:space="0" w:color="auto"/>
            </w:tcBorders>
          </w:tcPr>
          <w:p w:rsidR="00B50CFC" w:rsidRPr="00B50CFC" w:rsidRDefault="00B50CFC" w:rsidP="00B50CFC">
            <w:pPr>
              <w:jc w:val="center"/>
              <w:rPr>
                <w:color w:val="000000"/>
                <w:szCs w:val="22"/>
              </w:rPr>
            </w:pPr>
            <w:r w:rsidRPr="00B50CFC">
              <w:rPr>
                <w:color w:val="000000"/>
                <w:szCs w:val="22"/>
              </w:rPr>
              <w:t>2</w:t>
            </w:r>
          </w:p>
        </w:tc>
        <w:tc>
          <w:tcPr>
            <w:tcW w:w="3740" w:type="dxa"/>
            <w:tcBorders>
              <w:bottom w:val="single" w:sz="4" w:space="0" w:color="auto"/>
            </w:tcBorders>
          </w:tcPr>
          <w:p w:rsidR="00B50CFC" w:rsidRPr="00B50CFC" w:rsidRDefault="00B50CFC" w:rsidP="00AA6009">
            <w:pPr>
              <w:jc w:val="left"/>
              <w:rPr>
                <w:color w:val="000000"/>
                <w:szCs w:val="22"/>
              </w:rPr>
            </w:pPr>
            <w:r w:rsidRPr="00B50CFC">
              <w:rPr>
                <w:color w:val="000000"/>
                <w:szCs w:val="22"/>
              </w:rPr>
              <w:t>Canada</w:t>
            </w:r>
          </w:p>
        </w:tc>
        <w:tc>
          <w:tcPr>
            <w:tcW w:w="5245" w:type="dxa"/>
            <w:tcBorders>
              <w:bottom w:val="single" w:sz="4" w:space="0" w:color="auto"/>
            </w:tcBorders>
          </w:tcPr>
          <w:p w:rsidR="00B50CFC" w:rsidRPr="00B50CFC" w:rsidRDefault="00B50CFC" w:rsidP="00B50CFC">
            <w:pPr>
              <w:jc w:val="left"/>
              <w:rPr>
                <w:color w:val="000000"/>
                <w:szCs w:val="22"/>
              </w:rPr>
            </w:pPr>
            <w:r w:rsidRPr="00B50CFC">
              <w:rPr>
                <w:color w:val="000000"/>
                <w:szCs w:val="22"/>
              </w:rPr>
              <w:t>Mr. Charles Shulman</w:t>
            </w:r>
            <w:r w:rsidR="0057152F">
              <w:rPr>
                <w:rStyle w:val="FootnoteReference"/>
                <w:color w:val="000000"/>
                <w:szCs w:val="22"/>
              </w:rPr>
              <w:footnoteReference w:id="4"/>
            </w:r>
          </w:p>
        </w:tc>
      </w:tr>
      <w:tr w:rsidR="00B50CFC" w:rsidRPr="00B50CFC" w:rsidTr="0089658B">
        <w:trPr>
          <w:jc w:val="center"/>
        </w:trPr>
        <w:tc>
          <w:tcPr>
            <w:tcW w:w="508" w:type="dxa"/>
            <w:tcBorders>
              <w:bottom w:val="single" w:sz="4" w:space="0" w:color="auto"/>
            </w:tcBorders>
          </w:tcPr>
          <w:p w:rsidR="00B50CFC" w:rsidRPr="00B50CFC" w:rsidRDefault="00B50CFC" w:rsidP="00B50CFC">
            <w:pPr>
              <w:jc w:val="center"/>
              <w:rPr>
                <w:color w:val="000000"/>
                <w:szCs w:val="22"/>
              </w:rPr>
            </w:pPr>
            <w:r w:rsidRPr="00B50CFC">
              <w:rPr>
                <w:color w:val="000000"/>
                <w:szCs w:val="22"/>
              </w:rPr>
              <w:t>3</w:t>
            </w:r>
          </w:p>
        </w:tc>
        <w:tc>
          <w:tcPr>
            <w:tcW w:w="3740" w:type="dxa"/>
            <w:tcBorders>
              <w:bottom w:val="single" w:sz="4" w:space="0" w:color="auto"/>
            </w:tcBorders>
          </w:tcPr>
          <w:p w:rsidR="00B50CFC" w:rsidRPr="00B50CFC" w:rsidRDefault="00B50CFC" w:rsidP="00AA6009">
            <w:pPr>
              <w:jc w:val="left"/>
              <w:rPr>
                <w:color w:val="000000"/>
                <w:szCs w:val="22"/>
              </w:rPr>
            </w:pPr>
            <w:r w:rsidRPr="00B50CFC">
              <w:rPr>
                <w:color w:val="000000"/>
                <w:szCs w:val="22"/>
              </w:rPr>
              <w:t>Jamaica</w:t>
            </w:r>
          </w:p>
        </w:tc>
        <w:tc>
          <w:tcPr>
            <w:tcW w:w="5245" w:type="dxa"/>
            <w:tcBorders>
              <w:bottom w:val="single" w:sz="4" w:space="0" w:color="auto"/>
            </w:tcBorders>
          </w:tcPr>
          <w:p w:rsidR="00B50CFC" w:rsidRPr="00B50CFC" w:rsidRDefault="00626D25" w:rsidP="00AA6009">
            <w:pPr>
              <w:jc w:val="left"/>
              <w:rPr>
                <w:color w:val="000000"/>
                <w:szCs w:val="22"/>
              </w:rPr>
            </w:pPr>
            <w:r>
              <w:rPr>
                <w:color w:val="000000"/>
                <w:szCs w:val="22"/>
              </w:rPr>
              <w:t>Ms</w:t>
            </w:r>
            <w:r w:rsidR="00B50CFC" w:rsidRPr="00B50CFC">
              <w:rPr>
                <w:color w:val="000000"/>
                <w:szCs w:val="22"/>
              </w:rPr>
              <w:t>. Suzanne Davis</w:t>
            </w:r>
            <w:r w:rsidR="0057152F">
              <w:rPr>
                <w:rStyle w:val="FootnoteReference"/>
                <w:color w:val="000000"/>
                <w:szCs w:val="22"/>
              </w:rPr>
              <w:footnoteReference w:id="5"/>
            </w:r>
          </w:p>
        </w:tc>
      </w:tr>
      <w:tr w:rsidR="00B50CFC" w:rsidRPr="00B50CFC" w:rsidTr="0089658B">
        <w:trPr>
          <w:jc w:val="center"/>
        </w:trPr>
        <w:tc>
          <w:tcPr>
            <w:tcW w:w="508" w:type="dxa"/>
            <w:tcBorders>
              <w:top w:val="single" w:sz="4" w:space="0" w:color="auto"/>
            </w:tcBorders>
          </w:tcPr>
          <w:p w:rsidR="00B50CFC" w:rsidRPr="00B50CFC" w:rsidRDefault="00B50CFC" w:rsidP="00B50CFC">
            <w:pPr>
              <w:jc w:val="center"/>
              <w:rPr>
                <w:color w:val="000000"/>
                <w:szCs w:val="22"/>
              </w:rPr>
            </w:pPr>
            <w:r w:rsidRPr="00B50CFC">
              <w:rPr>
                <w:color w:val="000000"/>
                <w:szCs w:val="22"/>
              </w:rPr>
              <w:t>4</w:t>
            </w:r>
          </w:p>
        </w:tc>
        <w:tc>
          <w:tcPr>
            <w:tcW w:w="3740" w:type="dxa"/>
            <w:tcBorders>
              <w:top w:val="single" w:sz="4" w:space="0" w:color="auto"/>
            </w:tcBorders>
          </w:tcPr>
          <w:p w:rsidR="00B50CFC" w:rsidRPr="00B50CFC" w:rsidRDefault="00B50CFC" w:rsidP="00AA6009">
            <w:pPr>
              <w:jc w:val="left"/>
              <w:rPr>
                <w:color w:val="000000"/>
                <w:szCs w:val="22"/>
              </w:rPr>
            </w:pPr>
            <w:r w:rsidRPr="00B50CFC">
              <w:rPr>
                <w:color w:val="000000"/>
                <w:szCs w:val="22"/>
              </w:rPr>
              <w:t>Morocco</w:t>
            </w:r>
          </w:p>
        </w:tc>
        <w:tc>
          <w:tcPr>
            <w:tcW w:w="5245" w:type="dxa"/>
            <w:tcBorders>
              <w:top w:val="single" w:sz="4" w:space="0" w:color="auto"/>
            </w:tcBorders>
          </w:tcPr>
          <w:p w:rsidR="00B50CFC" w:rsidRPr="00B50CFC" w:rsidRDefault="00626D25" w:rsidP="00AA6009">
            <w:pPr>
              <w:jc w:val="left"/>
              <w:rPr>
                <w:color w:val="000000"/>
                <w:szCs w:val="22"/>
              </w:rPr>
            </w:pPr>
            <w:r>
              <w:rPr>
                <w:color w:val="000000"/>
                <w:szCs w:val="22"/>
              </w:rPr>
              <w:t>Mr</w:t>
            </w:r>
            <w:r w:rsidR="00B50CFC" w:rsidRPr="00B50CFC">
              <w:rPr>
                <w:color w:val="000000"/>
                <w:szCs w:val="22"/>
              </w:rPr>
              <w:t xml:space="preserve">. Mostafa </w:t>
            </w:r>
            <w:proofErr w:type="spellStart"/>
            <w:r w:rsidR="00B50CFC" w:rsidRPr="00B50CFC">
              <w:rPr>
                <w:color w:val="000000"/>
                <w:szCs w:val="22"/>
              </w:rPr>
              <w:t>Madbouhi</w:t>
            </w:r>
            <w:proofErr w:type="spellEnd"/>
          </w:p>
        </w:tc>
      </w:tr>
      <w:tr w:rsidR="00332BB8" w:rsidRPr="00B50CFC" w:rsidTr="0089658B">
        <w:trPr>
          <w:jc w:val="center"/>
        </w:trPr>
        <w:tc>
          <w:tcPr>
            <w:tcW w:w="508" w:type="dxa"/>
            <w:tcBorders>
              <w:bottom w:val="single" w:sz="4" w:space="0" w:color="auto"/>
            </w:tcBorders>
          </w:tcPr>
          <w:p w:rsidR="00332BB8" w:rsidRPr="00B50CFC" w:rsidRDefault="00332BB8" w:rsidP="00B50CFC">
            <w:pPr>
              <w:jc w:val="center"/>
              <w:rPr>
                <w:color w:val="000000"/>
                <w:szCs w:val="22"/>
              </w:rPr>
            </w:pPr>
            <w:r w:rsidRPr="00B50CFC">
              <w:rPr>
                <w:color w:val="000000"/>
                <w:szCs w:val="22"/>
              </w:rPr>
              <w:t>5</w:t>
            </w:r>
          </w:p>
        </w:tc>
        <w:tc>
          <w:tcPr>
            <w:tcW w:w="3740" w:type="dxa"/>
            <w:tcBorders>
              <w:bottom w:val="single" w:sz="4" w:space="0" w:color="auto"/>
            </w:tcBorders>
          </w:tcPr>
          <w:p w:rsidR="00332BB8" w:rsidRPr="00B50CFC" w:rsidRDefault="00332BB8" w:rsidP="00AA6009">
            <w:pPr>
              <w:jc w:val="left"/>
              <w:rPr>
                <w:color w:val="000000"/>
                <w:szCs w:val="22"/>
              </w:rPr>
            </w:pPr>
            <w:r w:rsidRPr="00B50CFC">
              <w:rPr>
                <w:color w:val="000000"/>
                <w:szCs w:val="22"/>
              </w:rPr>
              <w:t>Serbia</w:t>
            </w:r>
          </w:p>
        </w:tc>
        <w:tc>
          <w:tcPr>
            <w:tcW w:w="5245" w:type="dxa"/>
            <w:tcBorders>
              <w:bottom w:val="single" w:sz="4" w:space="0" w:color="auto"/>
            </w:tcBorders>
          </w:tcPr>
          <w:p w:rsidR="00332BB8" w:rsidRPr="00B50CFC" w:rsidRDefault="00332BB8" w:rsidP="00AA6009">
            <w:pPr>
              <w:jc w:val="left"/>
              <w:rPr>
                <w:color w:val="000000"/>
                <w:szCs w:val="22"/>
              </w:rPr>
            </w:pPr>
            <w:r w:rsidRPr="00B50CFC">
              <w:rPr>
                <w:color w:val="000000"/>
                <w:szCs w:val="22"/>
              </w:rPr>
              <w:t xml:space="preserve">Mr. </w:t>
            </w:r>
            <w:proofErr w:type="spellStart"/>
            <w:r w:rsidRPr="00B50CFC">
              <w:rPr>
                <w:color w:val="000000"/>
                <w:szCs w:val="22"/>
              </w:rPr>
              <w:t>Slaviša</w:t>
            </w:r>
            <w:proofErr w:type="spellEnd"/>
            <w:r w:rsidRPr="00B50CFC">
              <w:rPr>
                <w:color w:val="000000"/>
                <w:szCs w:val="22"/>
              </w:rPr>
              <w:t xml:space="preserve"> </w:t>
            </w:r>
            <w:proofErr w:type="spellStart"/>
            <w:r w:rsidRPr="00B50CFC">
              <w:rPr>
                <w:color w:val="000000"/>
                <w:szCs w:val="22"/>
              </w:rPr>
              <w:t>Popović</w:t>
            </w:r>
            <w:proofErr w:type="spellEnd"/>
          </w:p>
        </w:tc>
      </w:tr>
      <w:tr w:rsidR="00332BB8" w:rsidRPr="00B50CFC" w:rsidTr="0089658B">
        <w:trPr>
          <w:jc w:val="center"/>
        </w:trPr>
        <w:tc>
          <w:tcPr>
            <w:tcW w:w="508" w:type="dxa"/>
            <w:tcBorders>
              <w:top w:val="single" w:sz="4" w:space="0" w:color="auto"/>
            </w:tcBorders>
          </w:tcPr>
          <w:p w:rsidR="00332BB8" w:rsidRPr="00B50CFC" w:rsidRDefault="00332BB8" w:rsidP="00B50CFC">
            <w:pPr>
              <w:jc w:val="center"/>
              <w:rPr>
                <w:color w:val="000000"/>
                <w:szCs w:val="22"/>
              </w:rPr>
            </w:pPr>
            <w:r w:rsidRPr="00B50CFC">
              <w:rPr>
                <w:color w:val="000000"/>
                <w:szCs w:val="22"/>
              </w:rPr>
              <w:t>6</w:t>
            </w:r>
          </w:p>
        </w:tc>
        <w:tc>
          <w:tcPr>
            <w:tcW w:w="3740" w:type="dxa"/>
            <w:tcBorders>
              <w:top w:val="single" w:sz="4" w:space="0" w:color="auto"/>
            </w:tcBorders>
          </w:tcPr>
          <w:p w:rsidR="00332BB8" w:rsidRPr="00B50CFC" w:rsidRDefault="00332BB8" w:rsidP="00AA6009">
            <w:pPr>
              <w:jc w:val="left"/>
              <w:rPr>
                <w:color w:val="000000"/>
                <w:szCs w:val="22"/>
              </w:rPr>
            </w:pPr>
            <w:r w:rsidRPr="00B50CFC">
              <w:rPr>
                <w:color w:val="000000"/>
                <w:szCs w:val="22"/>
              </w:rPr>
              <w:t>Ukraine</w:t>
            </w:r>
          </w:p>
        </w:tc>
        <w:tc>
          <w:tcPr>
            <w:tcW w:w="5245" w:type="dxa"/>
            <w:tcBorders>
              <w:top w:val="single" w:sz="4" w:space="0" w:color="auto"/>
            </w:tcBorders>
          </w:tcPr>
          <w:p w:rsidR="00332BB8" w:rsidRPr="00B50CFC" w:rsidRDefault="00332BB8" w:rsidP="00AA6009">
            <w:pPr>
              <w:jc w:val="left"/>
              <w:rPr>
                <w:color w:val="000000"/>
                <w:szCs w:val="22"/>
              </w:rPr>
            </w:pPr>
            <w:r w:rsidRPr="00B50CFC">
              <w:rPr>
                <w:color w:val="000000"/>
                <w:szCs w:val="22"/>
              </w:rPr>
              <w:t xml:space="preserve">Ms. Yuliya </w:t>
            </w:r>
            <w:proofErr w:type="spellStart"/>
            <w:r w:rsidRPr="00B50CFC">
              <w:rPr>
                <w:color w:val="000000"/>
                <w:szCs w:val="22"/>
              </w:rPr>
              <w:t>Bondarenko</w:t>
            </w:r>
            <w:proofErr w:type="spellEnd"/>
          </w:p>
        </w:tc>
      </w:tr>
      <w:tr w:rsidR="00332BB8" w:rsidRPr="00B50CFC" w:rsidTr="0089658B">
        <w:trPr>
          <w:jc w:val="center"/>
        </w:trPr>
        <w:tc>
          <w:tcPr>
            <w:tcW w:w="508" w:type="dxa"/>
            <w:tcBorders>
              <w:bottom w:val="single" w:sz="4" w:space="0" w:color="auto"/>
            </w:tcBorders>
          </w:tcPr>
          <w:p w:rsidR="00332BB8" w:rsidRPr="00B50CFC" w:rsidRDefault="00332BB8" w:rsidP="00B50CFC">
            <w:pPr>
              <w:jc w:val="center"/>
              <w:rPr>
                <w:color w:val="000000"/>
                <w:szCs w:val="22"/>
              </w:rPr>
            </w:pPr>
            <w:bookmarkStart w:id="2" w:name="_Hlk19092561"/>
            <w:r w:rsidRPr="00B50CFC">
              <w:rPr>
                <w:color w:val="000000"/>
                <w:szCs w:val="22"/>
              </w:rPr>
              <w:t>7</w:t>
            </w:r>
          </w:p>
        </w:tc>
        <w:tc>
          <w:tcPr>
            <w:tcW w:w="3740" w:type="dxa"/>
            <w:tcBorders>
              <w:bottom w:val="single" w:sz="4" w:space="0" w:color="auto"/>
            </w:tcBorders>
          </w:tcPr>
          <w:p w:rsidR="00332BB8" w:rsidRPr="00B50CFC" w:rsidRDefault="00332BB8" w:rsidP="00AA6009">
            <w:pPr>
              <w:jc w:val="left"/>
              <w:rPr>
                <w:color w:val="000000"/>
                <w:szCs w:val="22"/>
              </w:rPr>
            </w:pPr>
            <w:r w:rsidRPr="00B50CFC">
              <w:rPr>
                <w:color w:val="000000"/>
                <w:szCs w:val="22"/>
              </w:rPr>
              <w:t>Sri Lanka</w:t>
            </w:r>
          </w:p>
        </w:tc>
        <w:tc>
          <w:tcPr>
            <w:tcW w:w="5245" w:type="dxa"/>
            <w:tcBorders>
              <w:bottom w:val="single" w:sz="4" w:space="0" w:color="auto"/>
            </w:tcBorders>
          </w:tcPr>
          <w:p w:rsidR="00332BB8" w:rsidRPr="00B50CFC" w:rsidRDefault="00332BB8" w:rsidP="00AA6009">
            <w:pPr>
              <w:jc w:val="left"/>
              <w:rPr>
                <w:color w:val="000000"/>
                <w:szCs w:val="22"/>
              </w:rPr>
            </w:pPr>
            <w:r w:rsidRPr="003C3695">
              <w:rPr>
                <w:color w:val="000000"/>
                <w:szCs w:val="22"/>
              </w:rPr>
              <w:t xml:space="preserve">Ms. H. M. H. E. </w:t>
            </w:r>
            <w:proofErr w:type="spellStart"/>
            <w:r w:rsidRPr="003C3695">
              <w:rPr>
                <w:color w:val="000000"/>
                <w:szCs w:val="22"/>
              </w:rPr>
              <w:t>Herath</w:t>
            </w:r>
            <w:proofErr w:type="spellEnd"/>
          </w:p>
        </w:tc>
      </w:tr>
      <w:bookmarkEnd w:id="2"/>
      <w:tr w:rsidR="00B50CFC" w:rsidRPr="00B50CFC" w:rsidDel="000A6DCE" w:rsidTr="0089658B">
        <w:trPr>
          <w:tblHeader/>
          <w:jc w:val="center"/>
        </w:trPr>
        <w:tc>
          <w:tcPr>
            <w:tcW w:w="508" w:type="dxa"/>
            <w:tcBorders>
              <w:bottom w:val="single" w:sz="4" w:space="0" w:color="auto"/>
            </w:tcBorders>
            <w:shd w:val="clear" w:color="auto" w:fill="BFBFBF" w:themeFill="background1" w:themeFillShade="BF"/>
          </w:tcPr>
          <w:p w:rsidR="00B50CFC" w:rsidRPr="00B21738" w:rsidRDefault="00B50CFC" w:rsidP="00B50CFC">
            <w:pPr>
              <w:keepNext/>
              <w:jc w:val="center"/>
              <w:rPr>
                <w:b/>
                <w:color w:val="000000"/>
                <w:szCs w:val="22"/>
              </w:rPr>
            </w:pPr>
          </w:p>
        </w:tc>
        <w:tc>
          <w:tcPr>
            <w:tcW w:w="3740" w:type="dxa"/>
            <w:tcBorders>
              <w:bottom w:val="single" w:sz="4" w:space="0" w:color="auto"/>
            </w:tcBorders>
            <w:shd w:val="clear" w:color="auto" w:fill="BFBFBF" w:themeFill="background1" w:themeFillShade="BF"/>
          </w:tcPr>
          <w:p w:rsidR="00B50CFC" w:rsidRPr="00B21738" w:rsidRDefault="00B50CFC" w:rsidP="00B50CFC">
            <w:pPr>
              <w:keepNext/>
              <w:tabs>
                <w:tab w:val="left" w:pos="900"/>
              </w:tabs>
              <w:jc w:val="left"/>
              <w:rPr>
                <w:b/>
                <w:color w:val="000000"/>
                <w:szCs w:val="22"/>
              </w:rPr>
            </w:pPr>
            <w:r w:rsidRPr="00B21738">
              <w:rPr>
                <w:b/>
                <w:color w:val="000000"/>
                <w:szCs w:val="22"/>
              </w:rPr>
              <w:t>Partner organization</w:t>
            </w:r>
          </w:p>
        </w:tc>
        <w:tc>
          <w:tcPr>
            <w:tcW w:w="5245" w:type="dxa"/>
            <w:tcBorders>
              <w:bottom w:val="single" w:sz="4" w:space="0" w:color="auto"/>
            </w:tcBorders>
            <w:shd w:val="clear" w:color="auto" w:fill="BFBFBF" w:themeFill="background1" w:themeFillShade="BF"/>
          </w:tcPr>
          <w:p w:rsidR="00B50CFC" w:rsidRPr="00B21738" w:rsidRDefault="00B50CFC" w:rsidP="00B50CFC">
            <w:pPr>
              <w:keepNext/>
              <w:jc w:val="left"/>
              <w:rPr>
                <w:b/>
                <w:color w:val="000000"/>
                <w:szCs w:val="22"/>
              </w:rPr>
            </w:pPr>
            <w:r w:rsidRPr="00B21738">
              <w:rPr>
                <w:b/>
                <w:color w:val="000000"/>
                <w:szCs w:val="22"/>
              </w:rPr>
              <w:t>Member</w:t>
            </w:r>
          </w:p>
        </w:tc>
      </w:tr>
      <w:tr w:rsidR="00B50CFC" w:rsidRPr="00B50CFC" w:rsidTr="0089658B">
        <w:trPr>
          <w:jc w:val="center"/>
        </w:trPr>
        <w:tc>
          <w:tcPr>
            <w:tcW w:w="508" w:type="dxa"/>
          </w:tcPr>
          <w:p w:rsidR="00B50CFC" w:rsidRPr="00B50CFC" w:rsidRDefault="00332BB8" w:rsidP="00B50CFC">
            <w:pPr>
              <w:jc w:val="center"/>
              <w:rPr>
                <w:color w:val="000000"/>
                <w:szCs w:val="22"/>
              </w:rPr>
            </w:pPr>
            <w:r>
              <w:rPr>
                <w:color w:val="000000"/>
                <w:szCs w:val="22"/>
              </w:rPr>
              <w:t>8</w:t>
            </w:r>
          </w:p>
        </w:tc>
        <w:tc>
          <w:tcPr>
            <w:tcW w:w="3740" w:type="dxa"/>
          </w:tcPr>
          <w:p w:rsidR="00B50CFC" w:rsidRPr="00B50CFC" w:rsidRDefault="00B50CFC" w:rsidP="00B50CFC">
            <w:pPr>
              <w:jc w:val="left"/>
              <w:rPr>
                <w:color w:val="000000"/>
                <w:szCs w:val="22"/>
              </w:rPr>
            </w:pPr>
            <w:r w:rsidRPr="00B50CFC">
              <w:rPr>
                <w:color w:val="000000"/>
                <w:szCs w:val="22"/>
              </w:rPr>
              <w:t>ASEAN Centre for Biodiversity</w:t>
            </w:r>
          </w:p>
        </w:tc>
        <w:tc>
          <w:tcPr>
            <w:tcW w:w="5245" w:type="dxa"/>
          </w:tcPr>
          <w:p w:rsidR="00B50CFC" w:rsidRPr="00B50CFC" w:rsidRDefault="00626D25" w:rsidP="00B50CFC">
            <w:pPr>
              <w:jc w:val="left"/>
              <w:rPr>
                <w:color w:val="000000"/>
                <w:szCs w:val="22"/>
              </w:rPr>
            </w:pPr>
            <w:r>
              <w:rPr>
                <w:color w:val="000000"/>
                <w:szCs w:val="22"/>
              </w:rPr>
              <w:t>Ms</w:t>
            </w:r>
            <w:r w:rsidR="00B50CFC" w:rsidRPr="00B50CFC">
              <w:rPr>
                <w:color w:val="000000"/>
                <w:szCs w:val="22"/>
              </w:rPr>
              <w:t>. Sheila Vergara</w:t>
            </w:r>
          </w:p>
        </w:tc>
      </w:tr>
      <w:tr w:rsidR="00332BB8" w:rsidRPr="00B50CFC" w:rsidTr="0089658B">
        <w:trPr>
          <w:jc w:val="center"/>
        </w:trPr>
        <w:tc>
          <w:tcPr>
            <w:tcW w:w="508" w:type="dxa"/>
            <w:tcBorders>
              <w:bottom w:val="single" w:sz="4" w:space="0" w:color="auto"/>
            </w:tcBorders>
          </w:tcPr>
          <w:p w:rsidR="00332BB8" w:rsidRPr="00B50CFC" w:rsidRDefault="00332BB8" w:rsidP="00B50CFC">
            <w:pPr>
              <w:jc w:val="center"/>
              <w:rPr>
                <w:color w:val="000000"/>
                <w:szCs w:val="22"/>
              </w:rPr>
            </w:pPr>
            <w:r>
              <w:rPr>
                <w:color w:val="000000"/>
                <w:szCs w:val="22"/>
              </w:rPr>
              <w:t>9</w:t>
            </w:r>
          </w:p>
        </w:tc>
        <w:tc>
          <w:tcPr>
            <w:tcW w:w="3740" w:type="dxa"/>
            <w:tcBorders>
              <w:bottom w:val="single" w:sz="4" w:space="0" w:color="auto"/>
            </w:tcBorders>
          </w:tcPr>
          <w:p w:rsidR="00332BB8" w:rsidRPr="00B50CFC" w:rsidRDefault="00332BB8" w:rsidP="00AA6009">
            <w:pPr>
              <w:jc w:val="left"/>
              <w:rPr>
                <w:color w:val="000000"/>
                <w:szCs w:val="22"/>
              </w:rPr>
            </w:pPr>
            <w:r w:rsidRPr="00B50CFC">
              <w:rPr>
                <w:color w:val="000000"/>
                <w:szCs w:val="22"/>
              </w:rPr>
              <w:t>UN</w:t>
            </w:r>
            <w:r w:rsidR="00626D25">
              <w:rPr>
                <w:color w:val="000000"/>
                <w:szCs w:val="22"/>
              </w:rPr>
              <w:t>EP-</w:t>
            </w:r>
            <w:proofErr w:type="spellStart"/>
            <w:r w:rsidRPr="00B50CFC">
              <w:rPr>
                <w:color w:val="000000"/>
                <w:szCs w:val="22"/>
              </w:rPr>
              <w:t>WCMC</w:t>
            </w:r>
            <w:proofErr w:type="spellEnd"/>
          </w:p>
        </w:tc>
        <w:tc>
          <w:tcPr>
            <w:tcW w:w="5245" w:type="dxa"/>
            <w:tcBorders>
              <w:bottom w:val="single" w:sz="4" w:space="0" w:color="auto"/>
            </w:tcBorders>
          </w:tcPr>
          <w:p w:rsidR="00332BB8" w:rsidRPr="00B50CFC" w:rsidRDefault="00332BB8" w:rsidP="00AA6009">
            <w:pPr>
              <w:jc w:val="left"/>
              <w:rPr>
                <w:color w:val="000000"/>
                <w:szCs w:val="22"/>
              </w:rPr>
            </w:pPr>
            <w:r w:rsidRPr="00B50CFC">
              <w:rPr>
                <w:color w:val="000000"/>
                <w:szCs w:val="22"/>
              </w:rPr>
              <w:t>Mr. Jerry Harrison</w:t>
            </w:r>
          </w:p>
        </w:tc>
      </w:tr>
      <w:tr w:rsidR="00332BB8" w:rsidRPr="00B50CFC" w:rsidTr="0089658B">
        <w:trPr>
          <w:jc w:val="center"/>
        </w:trPr>
        <w:tc>
          <w:tcPr>
            <w:tcW w:w="508" w:type="dxa"/>
            <w:shd w:val="clear" w:color="auto" w:fill="BFBFBF" w:themeFill="background1" w:themeFillShade="BF"/>
          </w:tcPr>
          <w:p w:rsidR="00332BB8" w:rsidRPr="00B21738" w:rsidRDefault="00332BB8" w:rsidP="00AA6009">
            <w:pPr>
              <w:keepNext/>
              <w:jc w:val="center"/>
              <w:rPr>
                <w:rFonts w:ascii="Times New Roman Bold" w:hAnsi="Times New Roman Bold"/>
                <w:b/>
                <w:color w:val="000000"/>
                <w:szCs w:val="22"/>
                <w14:shadow w14:blurRad="50800" w14:dist="50800" w14:dir="5400000" w14:sx="0" w14:sy="0" w14:kx="0" w14:ky="0" w14:algn="ctr">
                  <w14:schemeClr w14:val="tx1">
                    <w14:lumMod w14:val="50000"/>
                    <w14:lumOff w14:val="50000"/>
                  </w14:schemeClr>
                </w14:shadow>
              </w:rPr>
            </w:pPr>
          </w:p>
        </w:tc>
        <w:tc>
          <w:tcPr>
            <w:tcW w:w="3740" w:type="dxa"/>
            <w:shd w:val="clear" w:color="auto" w:fill="BFBFBF" w:themeFill="background1" w:themeFillShade="BF"/>
          </w:tcPr>
          <w:p w:rsidR="00332BB8" w:rsidRPr="00B21738" w:rsidRDefault="00332BB8" w:rsidP="00AA6009">
            <w:pPr>
              <w:keepNext/>
              <w:tabs>
                <w:tab w:val="left" w:pos="900"/>
              </w:tabs>
              <w:jc w:val="left"/>
              <w:rPr>
                <w:rFonts w:ascii="Times New Roman Bold" w:hAnsi="Times New Roman Bold"/>
                <w:b/>
                <w:color w:val="000000"/>
                <w:szCs w:val="22"/>
                <w14:shadow w14:blurRad="50800" w14:dist="50800" w14:dir="5400000" w14:sx="0" w14:sy="0" w14:kx="0" w14:ky="0" w14:algn="ctr">
                  <w14:schemeClr w14:val="tx1">
                    <w14:lumMod w14:val="50000"/>
                    <w14:lumOff w14:val="50000"/>
                  </w14:schemeClr>
                </w14:shadow>
              </w:rPr>
            </w:pPr>
          </w:p>
        </w:tc>
        <w:tc>
          <w:tcPr>
            <w:tcW w:w="5245" w:type="dxa"/>
            <w:shd w:val="clear" w:color="auto" w:fill="BFBFBF" w:themeFill="background1" w:themeFillShade="BF"/>
          </w:tcPr>
          <w:p w:rsidR="00332BB8" w:rsidRPr="00B21738" w:rsidRDefault="00332BB8" w:rsidP="00AA6009">
            <w:pPr>
              <w:keepNext/>
              <w:jc w:val="left"/>
              <w:rPr>
                <w:rFonts w:ascii="Times New Roman Bold" w:hAnsi="Times New Roman Bold"/>
                <w:b/>
                <w:color w:val="000000"/>
                <w:szCs w:val="22"/>
                <w14:shadow w14:blurRad="50800" w14:dist="50800" w14:dir="5400000" w14:sx="0" w14:sy="0" w14:kx="0" w14:ky="0" w14:algn="ctr">
                  <w14:schemeClr w14:val="tx1">
                    <w14:lumMod w14:val="50000"/>
                    <w14:lumOff w14:val="50000"/>
                  </w14:schemeClr>
                </w14:shadow>
              </w:rPr>
            </w:pPr>
            <w:r w:rsidRPr="00B21738">
              <w:rPr>
                <w:rFonts w:ascii="Times New Roman Bold" w:hAnsi="Times New Roman Bold"/>
                <w:b/>
                <w:color w:val="000000"/>
                <w:szCs w:val="22"/>
                <w14:shadow w14:blurRad="50800" w14:dist="50800" w14:dir="5400000" w14:sx="0" w14:sy="0" w14:kx="0" w14:ky="0" w14:algn="ctr">
                  <w14:schemeClr w14:val="tx1">
                    <w14:lumMod w14:val="50000"/>
                    <w14:lumOff w14:val="50000"/>
                  </w14:schemeClr>
                </w14:shadow>
              </w:rPr>
              <w:t>Observer</w:t>
            </w:r>
          </w:p>
        </w:tc>
      </w:tr>
      <w:tr w:rsidR="00332BB8" w:rsidRPr="00B50CFC" w:rsidTr="0089658B">
        <w:trPr>
          <w:jc w:val="center"/>
        </w:trPr>
        <w:tc>
          <w:tcPr>
            <w:tcW w:w="508" w:type="dxa"/>
          </w:tcPr>
          <w:p w:rsidR="00332BB8" w:rsidRPr="00B50CFC" w:rsidRDefault="00332BB8" w:rsidP="00AA6009">
            <w:pPr>
              <w:keepNext/>
              <w:jc w:val="center"/>
              <w:rPr>
                <w:b/>
                <w:i/>
                <w:color w:val="000000"/>
                <w:szCs w:val="22"/>
              </w:rPr>
            </w:pPr>
            <w:r>
              <w:rPr>
                <w:color w:val="000000"/>
                <w:szCs w:val="22"/>
              </w:rPr>
              <w:t>9</w:t>
            </w:r>
          </w:p>
        </w:tc>
        <w:tc>
          <w:tcPr>
            <w:tcW w:w="3740" w:type="dxa"/>
          </w:tcPr>
          <w:p w:rsidR="00332BB8" w:rsidRPr="00B50CFC" w:rsidRDefault="00332BB8" w:rsidP="00AA6009">
            <w:pPr>
              <w:jc w:val="left"/>
              <w:rPr>
                <w:color w:val="000000"/>
                <w:szCs w:val="22"/>
              </w:rPr>
            </w:pPr>
            <w:r w:rsidRPr="00B50CFC">
              <w:rPr>
                <w:color w:val="000000"/>
                <w:szCs w:val="22"/>
              </w:rPr>
              <w:t>Canada</w:t>
            </w:r>
          </w:p>
        </w:tc>
        <w:tc>
          <w:tcPr>
            <w:tcW w:w="5245" w:type="dxa"/>
          </w:tcPr>
          <w:p w:rsidR="00332BB8" w:rsidRPr="00B50CFC" w:rsidRDefault="00332BB8" w:rsidP="00332BB8">
            <w:pPr>
              <w:jc w:val="left"/>
              <w:rPr>
                <w:color w:val="000000"/>
                <w:szCs w:val="22"/>
              </w:rPr>
            </w:pPr>
            <w:r w:rsidRPr="00B50CFC">
              <w:rPr>
                <w:color w:val="000000"/>
                <w:szCs w:val="22"/>
              </w:rPr>
              <w:t>M</w:t>
            </w:r>
            <w:r>
              <w:rPr>
                <w:color w:val="000000"/>
                <w:szCs w:val="22"/>
              </w:rPr>
              <w:t>s</w:t>
            </w:r>
            <w:r w:rsidRPr="00B50CFC">
              <w:rPr>
                <w:color w:val="000000"/>
                <w:szCs w:val="22"/>
              </w:rPr>
              <w:t xml:space="preserve">. </w:t>
            </w:r>
            <w:r>
              <w:rPr>
                <w:color w:val="000000"/>
                <w:szCs w:val="22"/>
              </w:rPr>
              <w:t>Dana</w:t>
            </w:r>
            <w:r w:rsidRPr="00B50CFC">
              <w:rPr>
                <w:color w:val="000000"/>
                <w:szCs w:val="22"/>
              </w:rPr>
              <w:t xml:space="preserve"> </w:t>
            </w:r>
            <w:proofErr w:type="spellStart"/>
            <w:r>
              <w:rPr>
                <w:color w:val="000000"/>
                <w:szCs w:val="22"/>
              </w:rPr>
              <w:t>Dinardo</w:t>
            </w:r>
            <w:proofErr w:type="spellEnd"/>
          </w:p>
        </w:tc>
      </w:tr>
      <w:tr w:rsidR="00332BB8" w:rsidRPr="00B50CFC" w:rsidTr="0089658B">
        <w:trPr>
          <w:jc w:val="center"/>
        </w:trPr>
        <w:tc>
          <w:tcPr>
            <w:tcW w:w="508" w:type="dxa"/>
          </w:tcPr>
          <w:p w:rsidR="00332BB8" w:rsidRPr="00B50CFC" w:rsidRDefault="00332BB8" w:rsidP="00AA6009">
            <w:pPr>
              <w:keepNext/>
              <w:jc w:val="center"/>
              <w:rPr>
                <w:b/>
                <w:i/>
                <w:color w:val="000000"/>
                <w:szCs w:val="22"/>
              </w:rPr>
            </w:pPr>
            <w:r>
              <w:rPr>
                <w:color w:val="000000"/>
                <w:szCs w:val="22"/>
              </w:rPr>
              <w:t>9</w:t>
            </w:r>
          </w:p>
        </w:tc>
        <w:tc>
          <w:tcPr>
            <w:tcW w:w="3740" w:type="dxa"/>
          </w:tcPr>
          <w:p w:rsidR="00332BB8" w:rsidRPr="00B50CFC" w:rsidRDefault="00332BB8" w:rsidP="00AA6009">
            <w:pPr>
              <w:jc w:val="left"/>
              <w:rPr>
                <w:color w:val="000000"/>
                <w:szCs w:val="22"/>
              </w:rPr>
            </w:pPr>
            <w:r>
              <w:rPr>
                <w:color w:val="000000"/>
                <w:szCs w:val="22"/>
              </w:rPr>
              <w:t>Global Biodiversity Information Forum</w:t>
            </w:r>
          </w:p>
        </w:tc>
        <w:tc>
          <w:tcPr>
            <w:tcW w:w="5245" w:type="dxa"/>
          </w:tcPr>
          <w:p w:rsidR="00332BB8" w:rsidRPr="00B50CFC" w:rsidRDefault="00332BB8" w:rsidP="00332BB8">
            <w:pPr>
              <w:jc w:val="left"/>
              <w:rPr>
                <w:color w:val="000000"/>
                <w:szCs w:val="22"/>
              </w:rPr>
            </w:pPr>
            <w:r w:rsidRPr="00B50CFC">
              <w:rPr>
                <w:color w:val="000000"/>
                <w:szCs w:val="22"/>
              </w:rPr>
              <w:t xml:space="preserve">Mr. </w:t>
            </w:r>
            <w:r>
              <w:rPr>
                <w:color w:val="000000"/>
                <w:szCs w:val="22"/>
              </w:rPr>
              <w:t>Tim Hirsch</w:t>
            </w:r>
          </w:p>
        </w:tc>
      </w:tr>
    </w:tbl>
    <w:p w:rsidR="00060335" w:rsidRPr="0052588E" w:rsidRDefault="00060335" w:rsidP="00060335">
      <w:pPr>
        <w:pStyle w:val="Heading1"/>
        <w:suppressLineNumbers/>
        <w:suppressAutoHyphens/>
        <w:rPr>
          <w:caps w:val="0"/>
          <w:snapToGrid w:val="0"/>
          <w:kern w:val="22"/>
          <w:szCs w:val="22"/>
        </w:rPr>
      </w:pPr>
      <w:r w:rsidRPr="0052588E">
        <w:rPr>
          <w:caps w:val="0"/>
          <w:snapToGrid w:val="0"/>
          <w:kern w:val="22"/>
          <w:szCs w:val="22"/>
        </w:rPr>
        <w:t>ITEM 1.</w:t>
      </w:r>
      <w:r w:rsidRPr="0052588E">
        <w:rPr>
          <w:caps w:val="0"/>
          <w:snapToGrid w:val="0"/>
          <w:kern w:val="22"/>
          <w:szCs w:val="22"/>
        </w:rPr>
        <w:tab/>
        <w:t>OPENING OF THE MEETING</w:t>
      </w:r>
    </w:p>
    <w:p w:rsidR="00E819F1" w:rsidRPr="00414A34" w:rsidRDefault="00E819F1" w:rsidP="00414A34">
      <w:pPr>
        <w:pStyle w:val="Para1"/>
        <w:numPr>
          <w:ilvl w:val="0"/>
          <w:numId w:val="20"/>
        </w:numPr>
        <w:tabs>
          <w:tab w:val="clear" w:pos="360"/>
        </w:tabs>
        <w:rPr>
          <w:kern w:val="22"/>
          <w:szCs w:val="22"/>
        </w:rPr>
      </w:pPr>
      <w:r w:rsidRPr="00BC2446">
        <w:t>The meeting was</w:t>
      </w:r>
      <w:r w:rsidRPr="00E120A1">
        <w:t xml:space="preserve"> opened at </w:t>
      </w:r>
      <w:r>
        <w:t>9</w:t>
      </w:r>
      <w:r w:rsidRPr="00E120A1">
        <w:t>.</w:t>
      </w:r>
      <w:r>
        <w:t>30</w:t>
      </w:r>
      <w:r w:rsidRPr="00E120A1">
        <w:t xml:space="preserve"> a.m. on Monday, </w:t>
      </w:r>
      <w:r>
        <w:t>17</w:t>
      </w:r>
      <w:r w:rsidRPr="00E120A1">
        <w:t> Ju</w:t>
      </w:r>
      <w:r>
        <w:t>ne</w:t>
      </w:r>
      <w:r w:rsidRPr="00E120A1">
        <w:t xml:space="preserve"> 20</w:t>
      </w:r>
      <w:r w:rsidRPr="006D45AF">
        <w:t>1</w:t>
      </w:r>
      <w:r>
        <w:t>9</w:t>
      </w:r>
      <w:r w:rsidRPr="006D45AF">
        <w:t xml:space="preserve">, by Ms. </w:t>
      </w:r>
      <w:r>
        <w:t xml:space="preserve">Jyoti Mathur-Filipp, Director of the </w:t>
      </w:r>
      <w:r w:rsidRPr="00414A34">
        <w:rPr>
          <w:kern w:val="22"/>
          <w:szCs w:val="22"/>
        </w:rPr>
        <w:t xml:space="preserve">Implementation Support Division of the Secretariat. She welcomed everyone on behalf of </w:t>
      </w:r>
      <w:r w:rsidR="00AE1BE7" w:rsidRPr="00414A34">
        <w:rPr>
          <w:kern w:val="22"/>
          <w:szCs w:val="22"/>
        </w:rPr>
        <w:t xml:space="preserve">Ms. Cristiana </w:t>
      </w:r>
      <w:proofErr w:type="spellStart"/>
      <w:r w:rsidR="00AE1BE7" w:rsidRPr="00414A34">
        <w:rPr>
          <w:kern w:val="22"/>
          <w:szCs w:val="22"/>
        </w:rPr>
        <w:t>Paşca</w:t>
      </w:r>
      <w:proofErr w:type="spellEnd"/>
      <w:r w:rsidR="00AE1BE7" w:rsidRPr="00414A34">
        <w:rPr>
          <w:kern w:val="22"/>
          <w:szCs w:val="22"/>
        </w:rPr>
        <w:t xml:space="preserve"> Palmer</w:t>
      </w:r>
      <w:r w:rsidRPr="00414A34">
        <w:rPr>
          <w:kern w:val="22"/>
          <w:szCs w:val="22"/>
        </w:rPr>
        <w:t xml:space="preserve">, Executive Secretary of the Convention on Biological Diversity. She </w:t>
      </w:r>
      <w:r w:rsidR="005455D1">
        <w:rPr>
          <w:kern w:val="22"/>
          <w:szCs w:val="22"/>
        </w:rPr>
        <w:t xml:space="preserve">informed </w:t>
      </w:r>
      <w:r w:rsidR="007A1F3B">
        <w:rPr>
          <w:kern w:val="22"/>
          <w:szCs w:val="22"/>
        </w:rPr>
        <w:t xml:space="preserve">participants </w:t>
      </w:r>
      <w:r w:rsidRPr="00414A34">
        <w:rPr>
          <w:kern w:val="22"/>
          <w:szCs w:val="22"/>
        </w:rPr>
        <w:t xml:space="preserve">that the Secretariat </w:t>
      </w:r>
      <w:r w:rsidR="005455D1">
        <w:rPr>
          <w:kern w:val="22"/>
          <w:szCs w:val="22"/>
        </w:rPr>
        <w:t xml:space="preserve">was </w:t>
      </w:r>
      <w:r w:rsidRPr="00414A34">
        <w:rPr>
          <w:kern w:val="22"/>
          <w:szCs w:val="22"/>
        </w:rPr>
        <w:t>engaged in consultations with multiple stakeholder groups and working tirelessly to prepare the post</w:t>
      </w:r>
      <w:r w:rsidR="005455D1">
        <w:rPr>
          <w:kern w:val="22"/>
          <w:szCs w:val="22"/>
        </w:rPr>
        <w:t>-</w:t>
      </w:r>
      <w:r w:rsidRPr="00414A34">
        <w:rPr>
          <w:kern w:val="22"/>
          <w:szCs w:val="22"/>
        </w:rPr>
        <w:t xml:space="preserve">2020 </w:t>
      </w:r>
      <w:r w:rsidR="00626D25">
        <w:rPr>
          <w:kern w:val="22"/>
          <w:szCs w:val="22"/>
        </w:rPr>
        <w:t>g</w:t>
      </w:r>
      <w:r w:rsidRPr="00414A34">
        <w:rPr>
          <w:kern w:val="22"/>
          <w:szCs w:val="22"/>
        </w:rPr>
        <w:t xml:space="preserve">lobal </w:t>
      </w:r>
      <w:r w:rsidR="00626D25">
        <w:rPr>
          <w:kern w:val="22"/>
          <w:szCs w:val="22"/>
        </w:rPr>
        <w:t>b</w:t>
      </w:r>
      <w:r w:rsidRPr="00414A34">
        <w:rPr>
          <w:kern w:val="22"/>
          <w:szCs w:val="22"/>
        </w:rPr>
        <w:t xml:space="preserve">iodiversity </w:t>
      </w:r>
      <w:r w:rsidR="00626D25">
        <w:rPr>
          <w:kern w:val="22"/>
          <w:szCs w:val="22"/>
        </w:rPr>
        <w:t>f</w:t>
      </w:r>
      <w:r w:rsidRPr="00414A34">
        <w:rPr>
          <w:kern w:val="22"/>
          <w:szCs w:val="22"/>
        </w:rPr>
        <w:t>ramework.</w:t>
      </w:r>
    </w:p>
    <w:p w:rsidR="00E819F1" w:rsidRPr="00414A34" w:rsidRDefault="007A1F3B" w:rsidP="007A1F3B">
      <w:pPr>
        <w:pStyle w:val="Para1"/>
        <w:numPr>
          <w:ilvl w:val="0"/>
          <w:numId w:val="20"/>
        </w:numPr>
        <w:tabs>
          <w:tab w:val="clear" w:pos="360"/>
        </w:tabs>
        <w:rPr>
          <w:kern w:val="22"/>
          <w:szCs w:val="22"/>
        </w:rPr>
      </w:pPr>
      <w:r w:rsidRPr="006D45AF">
        <w:t xml:space="preserve">Ms. </w:t>
      </w:r>
      <w:r>
        <w:t>Mathur-Filipp</w:t>
      </w:r>
      <w:r w:rsidR="00E819F1" w:rsidRPr="007A1F3B">
        <w:rPr>
          <w:kern w:val="22"/>
          <w:szCs w:val="22"/>
        </w:rPr>
        <w:t xml:space="preserve"> </w:t>
      </w:r>
      <w:r w:rsidRPr="007A1F3B">
        <w:rPr>
          <w:kern w:val="22"/>
          <w:szCs w:val="22"/>
        </w:rPr>
        <w:t xml:space="preserve">noted </w:t>
      </w:r>
      <w:r w:rsidR="00E819F1" w:rsidRPr="007A1F3B">
        <w:rPr>
          <w:kern w:val="22"/>
          <w:szCs w:val="22"/>
        </w:rPr>
        <w:t>that th</w:t>
      </w:r>
      <w:r w:rsidRPr="007A1F3B">
        <w:rPr>
          <w:kern w:val="22"/>
          <w:szCs w:val="22"/>
        </w:rPr>
        <w:t xml:space="preserve">e </w:t>
      </w:r>
      <w:r w:rsidR="00E819F1" w:rsidRPr="007A1F3B">
        <w:rPr>
          <w:kern w:val="22"/>
          <w:szCs w:val="22"/>
        </w:rPr>
        <w:t>meeting was being held at a critical time in the history of the Convention and its Protocols as we w</w:t>
      </w:r>
      <w:r w:rsidRPr="007A1F3B">
        <w:rPr>
          <w:kern w:val="22"/>
          <w:szCs w:val="22"/>
        </w:rPr>
        <w:t>ou</w:t>
      </w:r>
      <w:r w:rsidR="00E819F1" w:rsidRPr="007A1F3B">
        <w:rPr>
          <w:kern w:val="22"/>
          <w:szCs w:val="22"/>
        </w:rPr>
        <w:t>nd down the implementation of the Strategic Plan for Biodiversity</w:t>
      </w:r>
      <w:r>
        <w:rPr>
          <w:kern w:val="22"/>
          <w:szCs w:val="22"/>
        </w:rPr>
        <w:t xml:space="preserve"> 2011-2020</w:t>
      </w:r>
      <w:r w:rsidR="00E819F1" w:rsidRPr="007A1F3B">
        <w:rPr>
          <w:kern w:val="22"/>
          <w:szCs w:val="22"/>
        </w:rPr>
        <w:t xml:space="preserve"> and embark</w:t>
      </w:r>
      <w:r w:rsidRPr="007A1F3B">
        <w:rPr>
          <w:kern w:val="22"/>
          <w:szCs w:val="22"/>
        </w:rPr>
        <w:t>ed</w:t>
      </w:r>
      <w:r w:rsidR="00E819F1" w:rsidRPr="007A1F3B">
        <w:rPr>
          <w:kern w:val="22"/>
          <w:szCs w:val="22"/>
        </w:rPr>
        <w:t xml:space="preserve"> on preparations for the post-2020 </w:t>
      </w:r>
      <w:r w:rsidR="00626D25">
        <w:rPr>
          <w:kern w:val="22"/>
          <w:szCs w:val="22"/>
        </w:rPr>
        <w:t>g</w:t>
      </w:r>
      <w:r w:rsidR="00E819F1" w:rsidRPr="007A1F3B">
        <w:rPr>
          <w:kern w:val="22"/>
          <w:szCs w:val="22"/>
        </w:rPr>
        <w:t xml:space="preserve">lobal </w:t>
      </w:r>
      <w:r w:rsidR="00626D25">
        <w:rPr>
          <w:kern w:val="22"/>
          <w:szCs w:val="22"/>
        </w:rPr>
        <w:t>b</w:t>
      </w:r>
      <w:r w:rsidR="00E819F1" w:rsidRPr="007A1F3B">
        <w:rPr>
          <w:kern w:val="22"/>
          <w:szCs w:val="22"/>
        </w:rPr>
        <w:t xml:space="preserve">iodiversity </w:t>
      </w:r>
      <w:r w:rsidR="00626D25">
        <w:rPr>
          <w:kern w:val="22"/>
          <w:szCs w:val="22"/>
        </w:rPr>
        <w:t>f</w:t>
      </w:r>
      <w:r w:rsidR="00E819F1" w:rsidRPr="007A1F3B">
        <w:rPr>
          <w:kern w:val="22"/>
          <w:szCs w:val="22"/>
        </w:rPr>
        <w:t xml:space="preserve">ramework.  She recalled that at its last meeting, the Conference of the Parties made several requests to this committee to provide further advice to the Executive Secretary in support of efforts to, not only accelerate implementation of the Strategic Plan for Biodiversity 2011-2020 and the achievement of the Aichi Biodiversity Targets, but also to prepare the post-2020 </w:t>
      </w:r>
      <w:r w:rsidR="00626D25">
        <w:rPr>
          <w:kern w:val="22"/>
          <w:szCs w:val="22"/>
        </w:rPr>
        <w:t>g</w:t>
      </w:r>
      <w:r w:rsidR="00E819F1" w:rsidRPr="007A1F3B">
        <w:rPr>
          <w:kern w:val="22"/>
          <w:szCs w:val="22"/>
        </w:rPr>
        <w:t xml:space="preserve">lobal </w:t>
      </w:r>
      <w:r w:rsidR="00626D25">
        <w:rPr>
          <w:kern w:val="22"/>
          <w:szCs w:val="22"/>
        </w:rPr>
        <w:t>b</w:t>
      </w:r>
      <w:r w:rsidR="00E819F1" w:rsidRPr="007A1F3B">
        <w:rPr>
          <w:kern w:val="22"/>
          <w:szCs w:val="22"/>
        </w:rPr>
        <w:t xml:space="preserve">iodiversity </w:t>
      </w:r>
      <w:r w:rsidR="00626D25">
        <w:rPr>
          <w:kern w:val="22"/>
          <w:szCs w:val="22"/>
        </w:rPr>
        <w:t>f</w:t>
      </w:r>
      <w:r w:rsidR="00E819F1" w:rsidRPr="007A1F3B">
        <w:rPr>
          <w:kern w:val="22"/>
          <w:szCs w:val="22"/>
        </w:rPr>
        <w:t>ramework.</w:t>
      </w:r>
    </w:p>
    <w:p w:rsidR="00E819F1" w:rsidRDefault="00E819F1" w:rsidP="00414A34">
      <w:pPr>
        <w:pStyle w:val="Para1"/>
        <w:numPr>
          <w:ilvl w:val="0"/>
          <w:numId w:val="20"/>
        </w:numPr>
        <w:tabs>
          <w:tab w:val="clear" w:pos="360"/>
        </w:tabs>
      </w:pPr>
      <w:r w:rsidRPr="007A1F3B">
        <w:rPr>
          <w:kern w:val="22"/>
          <w:szCs w:val="22"/>
        </w:rPr>
        <w:t xml:space="preserve">Therefore, the Executive Secretary was </w:t>
      </w:r>
      <w:r w:rsidR="00AE1BE7" w:rsidRPr="007A1F3B">
        <w:rPr>
          <w:kern w:val="22"/>
          <w:szCs w:val="22"/>
        </w:rPr>
        <w:t>anticipating</w:t>
      </w:r>
      <w:r w:rsidRPr="007A1F3B">
        <w:rPr>
          <w:kern w:val="22"/>
          <w:szCs w:val="22"/>
        </w:rPr>
        <w:t xml:space="preserve"> advice on the implementation of the clearing</w:t>
      </w:r>
      <w:r w:rsidR="00626D25">
        <w:rPr>
          <w:kern w:val="22"/>
          <w:szCs w:val="22"/>
        </w:rPr>
        <w:noBreakHyphen/>
      </w:r>
      <w:r w:rsidRPr="007A1F3B">
        <w:rPr>
          <w:kern w:val="22"/>
          <w:szCs w:val="22"/>
        </w:rPr>
        <w:t>house mechanism work programme and</w:t>
      </w:r>
      <w:proofErr w:type="gramStart"/>
      <w:r w:rsidR="003C3695">
        <w:rPr>
          <w:kern w:val="22"/>
          <w:szCs w:val="22"/>
        </w:rPr>
        <w:t>,</w:t>
      </w:r>
      <w:r w:rsidRPr="007A1F3B">
        <w:rPr>
          <w:kern w:val="22"/>
          <w:szCs w:val="22"/>
        </w:rPr>
        <w:t xml:space="preserve"> in particular</w:t>
      </w:r>
      <w:r w:rsidR="003C3695">
        <w:rPr>
          <w:kern w:val="22"/>
          <w:szCs w:val="22"/>
        </w:rPr>
        <w:t>,</w:t>
      </w:r>
      <w:r w:rsidRPr="007A1F3B">
        <w:rPr>
          <w:kern w:val="22"/>
          <w:szCs w:val="22"/>
        </w:rPr>
        <w:t xml:space="preserve"> guidance</w:t>
      </w:r>
      <w:proofErr w:type="gramEnd"/>
      <w:r w:rsidRPr="007A1F3B">
        <w:rPr>
          <w:kern w:val="22"/>
          <w:szCs w:val="22"/>
        </w:rPr>
        <w:t xml:space="preserve"> on the ongoing development, deployment and use by Parties of the </w:t>
      </w:r>
      <w:proofErr w:type="spellStart"/>
      <w:r w:rsidRPr="007A1F3B">
        <w:rPr>
          <w:kern w:val="22"/>
          <w:szCs w:val="22"/>
        </w:rPr>
        <w:t>Bioland</w:t>
      </w:r>
      <w:proofErr w:type="spellEnd"/>
      <w:r w:rsidRPr="007A1F3B">
        <w:rPr>
          <w:kern w:val="22"/>
          <w:szCs w:val="22"/>
        </w:rPr>
        <w:t xml:space="preserve"> Tool</w:t>
      </w:r>
      <w:r w:rsidR="006E61E4" w:rsidRPr="00C75FF4">
        <w:rPr>
          <w:kern w:val="22"/>
          <w:szCs w:val="22"/>
        </w:rPr>
        <w:t xml:space="preserve"> and</w:t>
      </w:r>
      <w:r w:rsidRPr="00C75FF4">
        <w:rPr>
          <w:kern w:val="22"/>
          <w:szCs w:val="22"/>
        </w:rPr>
        <w:t xml:space="preserve"> on </w:t>
      </w:r>
      <w:r w:rsidRPr="00C75FF4" w:rsidDel="006C272E">
        <w:rPr>
          <w:kern w:val="22"/>
          <w:szCs w:val="22"/>
        </w:rPr>
        <w:t xml:space="preserve">the preparation of the final round of awards for national </w:t>
      </w:r>
      <w:r w:rsidRPr="00B520CD">
        <w:rPr>
          <w:kern w:val="22"/>
          <w:szCs w:val="22"/>
        </w:rPr>
        <w:t>clearing-house mechanisms</w:t>
      </w:r>
      <w:r w:rsidRPr="00B520CD" w:rsidDel="006C272E">
        <w:rPr>
          <w:kern w:val="22"/>
          <w:szCs w:val="22"/>
        </w:rPr>
        <w:t xml:space="preserve">. In this regard, </w:t>
      </w:r>
      <w:r w:rsidRPr="00B520CD">
        <w:rPr>
          <w:kern w:val="22"/>
          <w:szCs w:val="22"/>
        </w:rPr>
        <w:t>she</w:t>
      </w:r>
      <w:r w:rsidRPr="00B520CD" w:rsidDel="006C272E">
        <w:rPr>
          <w:kern w:val="22"/>
          <w:szCs w:val="22"/>
        </w:rPr>
        <w:t xml:space="preserve"> extend</w:t>
      </w:r>
      <w:r w:rsidRPr="00B520CD">
        <w:rPr>
          <w:kern w:val="22"/>
          <w:szCs w:val="22"/>
        </w:rPr>
        <w:t>ed</w:t>
      </w:r>
      <w:r w:rsidRPr="00B520CD" w:rsidDel="006C272E">
        <w:rPr>
          <w:kern w:val="22"/>
          <w:szCs w:val="22"/>
        </w:rPr>
        <w:t xml:space="preserve"> gratitude to the Awards Jury for the </w:t>
      </w:r>
      <w:r w:rsidRPr="00B520CD" w:rsidDel="006C272E">
        <w:rPr>
          <w:kern w:val="22"/>
          <w:szCs w:val="22"/>
        </w:rPr>
        <w:lastRenderedPageBreak/>
        <w:t xml:space="preserve">successful </w:t>
      </w:r>
      <w:r w:rsidRPr="00B520CD">
        <w:rPr>
          <w:kern w:val="22"/>
          <w:szCs w:val="22"/>
        </w:rPr>
        <w:t xml:space="preserve">second </w:t>
      </w:r>
      <w:r w:rsidRPr="00B520CD" w:rsidDel="006C272E">
        <w:rPr>
          <w:kern w:val="22"/>
          <w:szCs w:val="22"/>
        </w:rPr>
        <w:t xml:space="preserve">round of Awards that were presented last year at </w:t>
      </w:r>
      <w:r w:rsidR="00B81886">
        <w:rPr>
          <w:kern w:val="22"/>
          <w:szCs w:val="22"/>
        </w:rPr>
        <w:t>the fourteenth meeting of the Conference of the Parties</w:t>
      </w:r>
      <w:r w:rsidRPr="00B520CD" w:rsidDel="006C272E">
        <w:rPr>
          <w:kern w:val="22"/>
          <w:szCs w:val="22"/>
        </w:rPr>
        <w:t xml:space="preserve">. </w:t>
      </w:r>
      <w:r w:rsidRPr="00B520CD">
        <w:rPr>
          <w:kern w:val="22"/>
          <w:szCs w:val="22"/>
        </w:rPr>
        <w:t xml:space="preserve">Also, members would be providing advice on matters relating to technical and scientific cooperation, including </w:t>
      </w:r>
      <w:r w:rsidR="00BB43FC" w:rsidRPr="00B520CD">
        <w:rPr>
          <w:kern w:val="22"/>
          <w:szCs w:val="22"/>
        </w:rPr>
        <w:t xml:space="preserve">draft terms of reference for an informal advisory committee on technical and scientific cooperation as well as </w:t>
      </w:r>
      <w:r w:rsidRPr="00B520CD">
        <w:rPr>
          <w:kern w:val="22"/>
          <w:szCs w:val="22"/>
        </w:rPr>
        <w:t>views and suggestions on the proposed draft strategy to strengthen technical and scientific cooperation in support of the post-</w:t>
      </w:r>
      <w:r w:rsidRPr="00187BD9">
        <w:rPr>
          <w:kern w:val="22"/>
          <w:szCs w:val="22"/>
        </w:rPr>
        <w:t xml:space="preserve">2020 </w:t>
      </w:r>
      <w:r w:rsidR="003004CA" w:rsidRPr="00187BD9">
        <w:rPr>
          <w:kern w:val="22"/>
          <w:szCs w:val="22"/>
        </w:rPr>
        <w:t>global</w:t>
      </w:r>
      <w:r w:rsidR="003004CA">
        <w:rPr>
          <w:kern w:val="22"/>
          <w:szCs w:val="22"/>
        </w:rPr>
        <w:t xml:space="preserve"> biodiversity framework</w:t>
      </w:r>
      <w:r w:rsidRPr="00BB43FC">
        <w:rPr>
          <w:kern w:val="22"/>
          <w:szCs w:val="22"/>
        </w:rPr>
        <w:t xml:space="preserve">. </w:t>
      </w:r>
      <w:r w:rsidRPr="00414A34">
        <w:rPr>
          <w:kern w:val="22"/>
          <w:szCs w:val="22"/>
        </w:rPr>
        <w:t xml:space="preserve">Finally, in line with </w:t>
      </w:r>
      <w:r w:rsidR="00B81886">
        <w:rPr>
          <w:kern w:val="22"/>
          <w:szCs w:val="22"/>
        </w:rPr>
        <w:t>d</w:t>
      </w:r>
      <w:r w:rsidRPr="00414A34">
        <w:rPr>
          <w:kern w:val="22"/>
          <w:szCs w:val="22"/>
        </w:rPr>
        <w:t>ecision 14/25</w:t>
      </w:r>
      <w:r w:rsidR="00BB43FC">
        <w:rPr>
          <w:kern w:val="22"/>
          <w:szCs w:val="22"/>
        </w:rPr>
        <w:t>,</w:t>
      </w:r>
      <w:r w:rsidRPr="00414A34">
        <w:rPr>
          <w:kern w:val="22"/>
          <w:szCs w:val="22"/>
        </w:rPr>
        <w:t xml:space="preserve"> </w:t>
      </w:r>
      <w:r w:rsidR="00BB43FC">
        <w:rPr>
          <w:kern w:val="22"/>
          <w:szCs w:val="22"/>
        </w:rPr>
        <w:t xml:space="preserve">the </w:t>
      </w:r>
      <w:r w:rsidRPr="00414A34">
        <w:rPr>
          <w:kern w:val="22"/>
          <w:szCs w:val="22"/>
        </w:rPr>
        <w:t>committee</w:t>
      </w:r>
      <w:r w:rsidR="00BB43FC">
        <w:rPr>
          <w:kern w:val="22"/>
          <w:szCs w:val="22"/>
        </w:rPr>
        <w:t xml:space="preserve"> </w:t>
      </w:r>
      <w:r w:rsidR="00BB43FC">
        <w:t xml:space="preserve">was </w:t>
      </w:r>
      <w:r w:rsidR="00C75FF4">
        <w:t>invited</w:t>
      </w:r>
      <w:r w:rsidR="00BB43FC">
        <w:t xml:space="preserve"> to provide advice on the development of </w:t>
      </w:r>
      <w:r w:rsidRPr="00C641B0">
        <w:t>a knowledge management component as a part of the preparatory process for the post-2020 global biodiversity framework.</w:t>
      </w:r>
    </w:p>
    <w:p w:rsidR="00853B85" w:rsidRPr="0052588E" w:rsidRDefault="00853B85" w:rsidP="00B21738">
      <w:pPr>
        <w:pStyle w:val="Heading1"/>
        <w:suppressLineNumbers/>
        <w:tabs>
          <w:tab w:val="clear" w:pos="720"/>
          <w:tab w:val="left" w:pos="993"/>
        </w:tabs>
        <w:suppressAutoHyphens/>
        <w:rPr>
          <w:caps w:val="0"/>
          <w:snapToGrid w:val="0"/>
          <w:kern w:val="22"/>
          <w:szCs w:val="22"/>
        </w:rPr>
      </w:pPr>
      <w:r w:rsidRPr="0052588E">
        <w:rPr>
          <w:caps w:val="0"/>
          <w:snapToGrid w:val="0"/>
          <w:kern w:val="22"/>
          <w:szCs w:val="22"/>
        </w:rPr>
        <w:t>ITEM 2.</w:t>
      </w:r>
      <w:r w:rsidRPr="0052588E">
        <w:rPr>
          <w:caps w:val="0"/>
          <w:snapToGrid w:val="0"/>
          <w:kern w:val="22"/>
          <w:szCs w:val="22"/>
        </w:rPr>
        <w:tab/>
        <w:t>ORGANIZATIONAL MATTERS</w:t>
      </w:r>
    </w:p>
    <w:p w:rsidR="00853B85" w:rsidRPr="00BC2446" w:rsidRDefault="00853B85" w:rsidP="00853B85">
      <w:pPr>
        <w:keepNext/>
        <w:suppressLineNumbers/>
        <w:tabs>
          <w:tab w:val="left" w:pos="720"/>
        </w:tabs>
        <w:suppressAutoHyphens/>
        <w:spacing w:before="120" w:after="120"/>
        <w:jc w:val="center"/>
        <w:outlineLvl w:val="1"/>
        <w:rPr>
          <w:b/>
          <w:bCs/>
          <w:iCs/>
          <w:snapToGrid w:val="0"/>
          <w:kern w:val="22"/>
          <w:szCs w:val="22"/>
        </w:rPr>
      </w:pPr>
      <w:r w:rsidRPr="00BC2446">
        <w:rPr>
          <w:b/>
          <w:bCs/>
          <w:iCs/>
          <w:snapToGrid w:val="0"/>
          <w:kern w:val="22"/>
          <w:szCs w:val="22"/>
        </w:rPr>
        <w:t>Adoption of the agenda and organization of work</w:t>
      </w:r>
    </w:p>
    <w:p w:rsidR="00853B85" w:rsidRPr="006D45AF" w:rsidRDefault="00853B85" w:rsidP="00853B85">
      <w:pPr>
        <w:numPr>
          <w:ilvl w:val="0"/>
          <w:numId w:val="2"/>
        </w:numPr>
        <w:suppressLineNumbers/>
        <w:tabs>
          <w:tab w:val="clear" w:pos="360"/>
        </w:tabs>
        <w:suppressAutoHyphens/>
        <w:spacing w:before="120" w:after="120"/>
        <w:rPr>
          <w:b/>
          <w:bCs/>
          <w:kern w:val="22"/>
          <w:szCs w:val="22"/>
        </w:rPr>
      </w:pPr>
      <w:r w:rsidRPr="00E120A1">
        <w:rPr>
          <w:kern w:val="22"/>
          <w:szCs w:val="22"/>
        </w:rPr>
        <w:t xml:space="preserve">At the 1st session of the meeting, on </w:t>
      </w:r>
      <w:r>
        <w:rPr>
          <w:kern w:val="22"/>
          <w:szCs w:val="22"/>
        </w:rPr>
        <w:t>17</w:t>
      </w:r>
      <w:r w:rsidRPr="00E120A1">
        <w:rPr>
          <w:kern w:val="22"/>
          <w:szCs w:val="22"/>
        </w:rPr>
        <w:t xml:space="preserve"> Ju</w:t>
      </w:r>
      <w:r>
        <w:rPr>
          <w:kern w:val="22"/>
          <w:szCs w:val="22"/>
        </w:rPr>
        <w:t>ne</w:t>
      </w:r>
      <w:r w:rsidRPr="00E120A1">
        <w:rPr>
          <w:kern w:val="22"/>
          <w:szCs w:val="22"/>
        </w:rPr>
        <w:t xml:space="preserve"> 201</w:t>
      </w:r>
      <w:r>
        <w:rPr>
          <w:kern w:val="22"/>
          <w:szCs w:val="22"/>
        </w:rPr>
        <w:t>9</w:t>
      </w:r>
      <w:r w:rsidRPr="00E120A1">
        <w:rPr>
          <w:kern w:val="22"/>
          <w:szCs w:val="22"/>
        </w:rPr>
        <w:t>, chaired by M</w:t>
      </w:r>
      <w:r>
        <w:rPr>
          <w:kern w:val="22"/>
          <w:szCs w:val="22"/>
        </w:rPr>
        <w:t>r</w:t>
      </w:r>
      <w:r w:rsidRPr="00E120A1">
        <w:rPr>
          <w:kern w:val="22"/>
          <w:szCs w:val="22"/>
        </w:rPr>
        <w:t xml:space="preserve">. </w:t>
      </w:r>
      <w:r>
        <w:rPr>
          <w:kern w:val="22"/>
          <w:szCs w:val="22"/>
        </w:rPr>
        <w:t xml:space="preserve">Han de </w:t>
      </w:r>
      <w:proofErr w:type="spellStart"/>
      <w:r>
        <w:rPr>
          <w:kern w:val="22"/>
          <w:szCs w:val="22"/>
        </w:rPr>
        <w:t>Koeijer</w:t>
      </w:r>
      <w:proofErr w:type="spellEnd"/>
      <w:r w:rsidRPr="00E120A1">
        <w:rPr>
          <w:kern w:val="22"/>
          <w:szCs w:val="22"/>
        </w:rPr>
        <w:t xml:space="preserve"> (</w:t>
      </w:r>
      <w:r>
        <w:rPr>
          <w:kern w:val="22"/>
          <w:szCs w:val="22"/>
        </w:rPr>
        <w:t>Belgium</w:t>
      </w:r>
      <w:r w:rsidRPr="00E120A1">
        <w:rPr>
          <w:kern w:val="22"/>
          <w:szCs w:val="22"/>
        </w:rPr>
        <w:t xml:space="preserve">), </w:t>
      </w:r>
      <w:r w:rsidRPr="006D45AF">
        <w:rPr>
          <w:kern w:val="22"/>
          <w:szCs w:val="22"/>
        </w:rPr>
        <w:t xml:space="preserve">the </w:t>
      </w:r>
      <w:r w:rsidRPr="00E819F1">
        <w:rPr>
          <w:kern w:val="22"/>
          <w:szCs w:val="22"/>
        </w:rPr>
        <w:t>Informal Advisory Committee</w:t>
      </w:r>
      <w:r w:rsidR="00B520CD">
        <w:rPr>
          <w:kern w:val="22"/>
          <w:szCs w:val="22"/>
        </w:rPr>
        <w:t xml:space="preserve"> to the Clearing-House Mechanism</w:t>
      </w:r>
      <w:r w:rsidRPr="00E819F1">
        <w:rPr>
          <w:kern w:val="22"/>
          <w:szCs w:val="22"/>
        </w:rPr>
        <w:t xml:space="preserve"> </w:t>
      </w:r>
      <w:r w:rsidRPr="006D45AF">
        <w:rPr>
          <w:kern w:val="22"/>
          <w:szCs w:val="22"/>
        </w:rPr>
        <w:t>took up consideration of the agenda of the meeting.</w:t>
      </w:r>
    </w:p>
    <w:p w:rsidR="00853B85" w:rsidRPr="00BC2446" w:rsidRDefault="00853B85" w:rsidP="00853B85">
      <w:pPr>
        <w:numPr>
          <w:ilvl w:val="0"/>
          <w:numId w:val="2"/>
        </w:numPr>
        <w:suppressLineNumbers/>
        <w:tabs>
          <w:tab w:val="clear" w:pos="360"/>
        </w:tabs>
        <w:suppressAutoHyphens/>
        <w:spacing w:before="120" w:after="120"/>
        <w:rPr>
          <w:b/>
          <w:bCs/>
          <w:kern w:val="22"/>
          <w:szCs w:val="22"/>
        </w:rPr>
      </w:pPr>
      <w:r w:rsidRPr="00BC2446">
        <w:rPr>
          <w:kern w:val="22"/>
          <w:szCs w:val="22"/>
        </w:rPr>
        <w:t xml:space="preserve">The </w:t>
      </w:r>
      <w:r w:rsidRPr="00E819F1">
        <w:rPr>
          <w:kern w:val="22"/>
          <w:szCs w:val="22"/>
        </w:rPr>
        <w:t xml:space="preserve">Committee </w:t>
      </w:r>
      <w:r w:rsidRPr="00BC2446">
        <w:rPr>
          <w:kern w:val="22"/>
          <w:szCs w:val="22"/>
        </w:rPr>
        <w:t xml:space="preserve">adopted the following agenda </w:t>
      </w:r>
      <w:proofErr w:type="gramStart"/>
      <w:r w:rsidRPr="00BC2446">
        <w:rPr>
          <w:kern w:val="22"/>
          <w:szCs w:val="22"/>
        </w:rPr>
        <w:t>on the basis of</w:t>
      </w:r>
      <w:proofErr w:type="gramEnd"/>
      <w:r w:rsidRPr="00BC2446">
        <w:rPr>
          <w:kern w:val="22"/>
          <w:szCs w:val="22"/>
        </w:rPr>
        <w:t xml:space="preserve"> the provisional agenda prepared by the Executive Secretary (CBD/</w:t>
      </w:r>
      <w:r>
        <w:rPr>
          <w:kern w:val="22"/>
          <w:szCs w:val="22"/>
        </w:rPr>
        <w:t>CHM</w:t>
      </w:r>
      <w:r w:rsidRPr="00BC2446">
        <w:rPr>
          <w:kern w:val="22"/>
          <w:szCs w:val="22"/>
        </w:rPr>
        <w:t>/</w:t>
      </w:r>
      <w:r>
        <w:rPr>
          <w:kern w:val="22"/>
          <w:szCs w:val="22"/>
        </w:rPr>
        <w:t>2019</w:t>
      </w:r>
      <w:r w:rsidRPr="00BC2446">
        <w:rPr>
          <w:kern w:val="22"/>
          <w:szCs w:val="22"/>
        </w:rPr>
        <w:t>/1</w:t>
      </w:r>
      <w:r>
        <w:rPr>
          <w:kern w:val="22"/>
          <w:szCs w:val="22"/>
        </w:rPr>
        <w:t>/1</w:t>
      </w:r>
      <w:r w:rsidRPr="00BC2446">
        <w:rPr>
          <w:kern w:val="22"/>
          <w:szCs w:val="22"/>
        </w:rPr>
        <w:t>):</w:t>
      </w:r>
    </w:p>
    <w:p w:rsidR="00853B85" w:rsidRPr="00BC2446" w:rsidRDefault="00853B85" w:rsidP="00853B85">
      <w:pPr>
        <w:suppressLineNumbers/>
        <w:suppressAutoHyphens/>
        <w:spacing w:after="60"/>
        <w:ind w:left="1440" w:hanging="720"/>
        <w:rPr>
          <w:bCs/>
          <w:kern w:val="22"/>
          <w:szCs w:val="22"/>
        </w:rPr>
      </w:pPr>
      <w:r w:rsidRPr="00BC2446">
        <w:rPr>
          <w:bCs/>
          <w:kern w:val="22"/>
          <w:szCs w:val="22"/>
        </w:rPr>
        <w:t>1.</w:t>
      </w:r>
      <w:r w:rsidRPr="00BC2446">
        <w:rPr>
          <w:bCs/>
          <w:kern w:val="22"/>
          <w:szCs w:val="22"/>
        </w:rPr>
        <w:tab/>
        <w:t>Opening of the meeting.</w:t>
      </w:r>
    </w:p>
    <w:p w:rsidR="00853B85" w:rsidRDefault="00853B85" w:rsidP="00853B85">
      <w:pPr>
        <w:pStyle w:val="CBD-Para"/>
        <w:numPr>
          <w:ilvl w:val="0"/>
          <w:numId w:val="0"/>
        </w:numPr>
        <w:ind w:firstLine="709"/>
        <w:rPr>
          <w:lang w:val="en-GB"/>
        </w:rPr>
      </w:pPr>
      <w:r w:rsidRPr="00BC2446">
        <w:rPr>
          <w:bCs/>
          <w:kern w:val="22"/>
        </w:rPr>
        <w:t>2.</w:t>
      </w:r>
      <w:r w:rsidRPr="00BC2446">
        <w:rPr>
          <w:bCs/>
          <w:kern w:val="22"/>
        </w:rPr>
        <w:tab/>
      </w:r>
      <w:r w:rsidRPr="00ED7471">
        <w:rPr>
          <w:lang w:val="en-GB"/>
        </w:rPr>
        <w:t xml:space="preserve">Organizational </w:t>
      </w:r>
      <w:r w:rsidRPr="00ED7471">
        <w:rPr>
          <w:snapToGrid w:val="0"/>
          <w:lang w:val="en-GB"/>
        </w:rPr>
        <w:t>matters</w:t>
      </w:r>
      <w:r>
        <w:rPr>
          <w:lang w:val="en-GB"/>
        </w:rPr>
        <w:t>:</w:t>
      </w:r>
    </w:p>
    <w:p w:rsidR="00853B85" w:rsidRDefault="00814C15" w:rsidP="00C75FF4">
      <w:pPr>
        <w:pStyle w:val="CBD-Para-a"/>
        <w:numPr>
          <w:ilvl w:val="0"/>
          <w:numId w:val="0"/>
        </w:numPr>
        <w:ind w:left="720" w:firstLine="698"/>
        <w:rPr>
          <w:lang w:val="en-GB"/>
        </w:rPr>
      </w:pPr>
      <w:r>
        <w:rPr>
          <w:lang w:val="en-GB"/>
        </w:rPr>
        <w:t>2.1.</w:t>
      </w:r>
      <w:r>
        <w:rPr>
          <w:lang w:val="en-GB"/>
        </w:rPr>
        <w:tab/>
      </w:r>
      <w:r w:rsidR="00853B85">
        <w:rPr>
          <w:lang w:val="en-GB"/>
        </w:rPr>
        <w:t>Adoption of the agenda;</w:t>
      </w:r>
    </w:p>
    <w:p w:rsidR="00853B85" w:rsidRDefault="00853B85" w:rsidP="00C75FF4">
      <w:pPr>
        <w:pStyle w:val="CBD-Para-a"/>
        <w:numPr>
          <w:ilvl w:val="0"/>
          <w:numId w:val="0"/>
        </w:numPr>
        <w:ind w:left="720" w:firstLine="698"/>
        <w:rPr>
          <w:lang w:val="en-GB"/>
        </w:rPr>
      </w:pPr>
      <w:r>
        <w:rPr>
          <w:lang w:val="en-GB"/>
        </w:rPr>
        <w:t>2.2.</w:t>
      </w:r>
      <w:r>
        <w:rPr>
          <w:lang w:val="en-GB"/>
        </w:rPr>
        <w:tab/>
        <w:t>Organization of work.</w:t>
      </w:r>
    </w:p>
    <w:p w:rsidR="00853B85" w:rsidRPr="00853B85" w:rsidRDefault="00853B85" w:rsidP="00853B85">
      <w:pPr>
        <w:suppressLineNumbers/>
        <w:suppressAutoHyphens/>
        <w:spacing w:after="60"/>
        <w:ind w:left="1440" w:hanging="720"/>
        <w:rPr>
          <w:bCs/>
          <w:kern w:val="22"/>
          <w:szCs w:val="22"/>
        </w:rPr>
      </w:pPr>
      <w:r>
        <w:rPr>
          <w:bCs/>
          <w:kern w:val="22"/>
          <w:szCs w:val="22"/>
        </w:rPr>
        <w:t>3.</w:t>
      </w:r>
      <w:r>
        <w:rPr>
          <w:bCs/>
          <w:kern w:val="22"/>
          <w:szCs w:val="22"/>
        </w:rPr>
        <w:tab/>
      </w:r>
      <w:r w:rsidRPr="00853B85">
        <w:rPr>
          <w:bCs/>
          <w:kern w:val="22"/>
          <w:szCs w:val="22"/>
        </w:rPr>
        <w:t>Updates on standing items:</w:t>
      </w:r>
    </w:p>
    <w:p w:rsidR="00853B85" w:rsidRPr="00B355FC" w:rsidRDefault="00853B85" w:rsidP="00C75FF4">
      <w:pPr>
        <w:pStyle w:val="CBD-Para-a"/>
        <w:numPr>
          <w:ilvl w:val="0"/>
          <w:numId w:val="0"/>
        </w:numPr>
        <w:ind w:left="720" w:firstLine="698"/>
        <w:rPr>
          <w:lang w:val="en-GB"/>
        </w:rPr>
      </w:pPr>
      <w:r w:rsidRPr="00B355FC">
        <w:rPr>
          <w:lang w:val="en-GB"/>
        </w:rPr>
        <w:t>3.1</w:t>
      </w:r>
      <w:r w:rsidRPr="00E924BE">
        <w:rPr>
          <w:lang w:val="en-GB"/>
        </w:rPr>
        <w:t>.</w:t>
      </w:r>
      <w:r w:rsidRPr="00E924BE">
        <w:rPr>
          <w:lang w:val="en-GB"/>
        </w:rPr>
        <w:tab/>
      </w:r>
      <w:r w:rsidRPr="00B355FC">
        <w:rPr>
          <w:lang w:val="en-GB"/>
        </w:rPr>
        <w:t>Award for national clearing-house mechanisms;</w:t>
      </w:r>
    </w:p>
    <w:p w:rsidR="00853B85" w:rsidRPr="00B355FC" w:rsidRDefault="00853B85" w:rsidP="00C75FF4">
      <w:pPr>
        <w:pStyle w:val="CBD-Para-a"/>
        <w:numPr>
          <w:ilvl w:val="0"/>
          <w:numId w:val="0"/>
        </w:numPr>
        <w:ind w:left="720" w:firstLine="698"/>
        <w:rPr>
          <w:lang w:val="en-GB"/>
        </w:rPr>
      </w:pPr>
      <w:r w:rsidRPr="00B355FC">
        <w:rPr>
          <w:lang w:val="en-GB"/>
        </w:rPr>
        <w:t>3.2.</w:t>
      </w:r>
      <w:r w:rsidRPr="00B355FC">
        <w:rPr>
          <w:lang w:val="en-GB"/>
        </w:rPr>
        <w:tab/>
        <w:t>Web strategy for the Convention and its Protocols;</w:t>
      </w:r>
    </w:p>
    <w:p w:rsidR="00853B85" w:rsidRPr="00B355FC" w:rsidRDefault="00853B85" w:rsidP="00C75FF4">
      <w:pPr>
        <w:pStyle w:val="CBD-Para-a"/>
        <w:numPr>
          <w:ilvl w:val="0"/>
          <w:numId w:val="0"/>
        </w:numPr>
        <w:ind w:left="720" w:firstLine="698"/>
        <w:rPr>
          <w:lang w:val="en-GB"/>
        </w:rPr>
      </w:pPr>
      <w:r w:rsidRPr="00B355FC">
        <w:rPr>
          <w:lang w:val="en-GB"/>
        </w:rPr>
        <w:t>3.3.</w:t>
      </w:r>
      <w:r w:rsidRPr="00B355FC">
        <w:rPr>
          <w:lang w:val="en-GB"/>
        </w:rPr>
        <w:tab/>
        <w:t>Online reporting tool;</w:t>
      </w:r>
    </w:p>
    <w:p w:rsidR="00853B85" w:rsidRPr="00B355FC" w:rsidRDefault="00853B85" w:rsidP="00C75FF4">
      <w:pPr>
        <w:pStyle w:val="CBD-Para-a"/>
        <w:numPr>
          <w:ilvl w:val="0"/>
          <w:numId w:val="0"/>
        </w:numPr>
        <w:ind w:left="720" w:firstLine="698"/>
        <w:rPr>
          <w:lang w:val="en-GB"/>
        </w:rPr>
      </w:pPr>
      <w:r w:rsidRPr="00B355FC">
        <w:rPr>
          <w:lang w:val="en-GB"/>
        </w:rPr>
        <w:t>3.4.</w:t>
      </w:r>
      <w:r w:rsidRPr="00B355FC">
        <w:rPr>
          <w:lang w:val="en-GB"/>
        </w:rPr>
        <w:tab/>
        <w:t>Interoperability;</w:t>
      </w:r>
    </w:p>
    <w:p w:rsidR="00853B85" w:rsidRPr="00B355FC" w:rsidRDefault="00853B85" w:rsidP="00C75FF4">
      <w:pPr>
        <w:pStyle w:val="CBD-Para-a"/>
        <w:numPr>
          <w:ilvl w:val="0"/>
          <w:numId w:val="0"/>
        </w:numPr>
        <w:ind w:left="720" w:firstLine="698"/>
        <w:rPr>
          <w:lang w:val="en-GB"/>
        </w:rPr>
      </w:pPr>
      <w:r w:rsidRPr="00B355FC">
        <w:rPr>
          <w:lang w:val="en-GB"/>
        </w:rPr>
        <w:t>3.5.</w:t>
      </w:r>
      <w:r w:rsidRPr="00B355FC">
        <w:rPr>
          <w:lang w:val="en-GB"/>
        </w:rPr>
        <w:tab/>
        <w:t>Support to national clearing-house mechanisms;</w:t>
      </w:r>
    </w:p>
    <w:p w:rsidR="00853B85" w:rsidRPr="00B355FC" w:rsidRDefault="00853B85" w:rsidP="00C75FF4">
      <w:pPr>
        <w:pStyle w:val="CBD-Para-a"/>
        <w:numPr>
          <w:ilvl w:val="0"/>
          <w:numId w:val="0"/>
        </w:numPr>
        <w:ind w:left="720" w:firstLine="698"/>
        <w:rPr>
          <w:lang w:val="en-GB"/>
        </w:rPr>
      </w:pPr>
      <w:r w:rsidRPr="00B355FC">
        <w:rPr>
          <w:lang w:val="en-GB"/>
        </w:rPr>
        <w:t>3.6.</w:t>
      </w:r>
      <w:r w:rsidRPr="00B355FC">
        <w:rPr>
          <w:lang w:val="en-GB"/>
        </w:rPr>
        <w:tab/>
        <w:t>Partners’ contributions to the clearing-house mechanism.</w:t>
      </w:r>
    </w:p>
    <w:p w:rsidR="00853B85" w:rsidRPr="00853B85" w:rsidRDefault="00853B85" w:rsidP="00853B85">
      <w:pPr>
        <w:suppressLineNumbers/>
        <w:suppressAutoHyphens/>
        <w:spacing w:after="60"/>
        <w:ind w:left="1440" w:hanging="720"/>
        <w:rPr>
          <w:bCs/>
          <w:kern w:val="22"/>
          <w:szCs w:val="22"/>
        </w:rPr>
      </w:pPr>
      <w:r>
        <w:rPr>
          <w:bCs/>
          <w:kern w:val="22"/>
          <w:szCs w:val="22"/>
        </w:rPr>
        <w:t>4.</w:t>
      </w:r>
      <w:r>
        <w:rPr>
          <w:bCs/>
          <w:kern w:val="22"/>
          <w:szCs w:val="22"/>
        </w:rPr>
        <w:tab/>
      </w:r>
      <w:r w:rsidRPr="00853B85">
        <w:rPr>
          <w:bCs/>
          <w:kern w:val="22"/>
          <w:szCs w:val="22"/>
        </w:rPr>
        <w:t>Issues for in-depth consideration:</w:t>
      </w:r>
    </w:p>
    <w:p w:rsidR="00853B85" w:rsidRPr="00B355FC" w:rsidRDefault="00853B85" w:rsidP="00C75FF4">
      <w:pPr>
        <w:pStyle w:val="CBD-Para-a"/>
        <w:numPr>
          <w:ilvl w:val="0"/>
          <w:numId w:val="0"/>
        </w:numPr>
        <w:ind w:firstLine="1418"/>
        <w:rPr>
          <w:lang w:val="en-GB"/>
        </w:rPr>
      </w:pPr>
      <w:r w:rsidRPr="00B355FC">
        <w:rPr>
          <w:lang w:val="en-GB"/>
        </w:rPr>
        <w:t>4.1</w:t>
      </w:r>
      <w:r w:rsidRPr="00E924BE">
        <w:rPr>
          <w:lang w:val="en-GB"/>
        </w:rPr>
        <w:t>.</w:t>
      </w:r>
      <w:r w:rsidRPr="00E924BE">
        <w:rPr>
          <w:lang w:val="en-GB"/>
        </w:rPr>
        <w:tab/>
      </w:r>
      <w:r>
        <w:rPr>
          <w:lang w:val="en-GB"/>
        </w:rPr>
        <w:t>Technical and scientific</w:t>
      </w:r>
      <w:r w:rsidRPr="00B355FC">
        <w:rPr>
          <w:lang w:val="en-GB"/>
        </w:rPr>
        <w:t xml:space="preserve"> cooperation (decision 14/24);</w:t>
      </w:r>
    </w:p>
    <w:p w:rsidR="00C75FF4" w:rsidRDefault="00853B85" w:rsidP="00C75FF4">
      <w:pPr>
        <w:pStyle w:val="CBD-Para-a"/>
        <w:numPr>
          <w:ilvl w:val="0"/>
          <w:numId w:val="0"/>
        </w:numPr>
        <w:ind w:firstLine="1418"/>
        <w:rPr>
          <w:lang w:val="en-GB"/>
        </w:rPr>
      </w:pPr>
      <w:r w:rsidRPr="00B355FC">
        <w:rPr>
          <w:lang w:val="en-GB"/>
        </w:rPr>
        <w:t>4.2.</w:t>
      </w:r>
      <w:r w:rsidRPr="00B355FC">
        <w:rPr>
          <w:lang w:val="en-GB"/>
        </w:rPr>
        <w:tab/>
        <w:t>Knowledge management under the Convention and its Protocols (decision 14/25);</w:t>
      </w:r>
    </w:p>
    <w:p w:rsidR="00853B85" w:rsidRPr="00B355FC" w:rsidRDefault="00853B85" w:rsidP="00C75FF4">
      <w:pPr>
        <w:pStyle w:val="CBD-Para-a"/>
        <w:numPr>
          <w:ilvl w:val="0"/>
          <w:numId w:val="0"/>
        </w:numPr>
        <w:ind w:firstLine="1418"/>
        <w:rPr>
          <w:lang w:val="en-GB"/>
        </w:rPr>
      </w:pPr>
      <w:r w:rsidRPr="00B355FC">
        <w:rPr>
          <w:lang w:val="en-GB"/>
        </w:rPr>
        <w:t>4.3.</w:t>
      </w:r>
      <w:r w:rsidRPr="00B355FC">
        <w:rPr>
          <w:lang w:val="en-GB"/>
        </w:rPr>
        <w:tab/>
        <w:t>Additional issues.</w:t>
      </w:r>
    </w:p>
    <w:p w:rsidR="00853B85" w:rsidRPr="00853B85" w:rsidRDefault="00853B85" w:rsidP="00853B85">
      <w:pPr>
        <w:pStyle w:val="CBD-Para"/>
        <w:numPr>
          <w:ilvl w:val="0"/>
          <w:numId w:val="0"/>
        </w:numPr>
        <w:ind w:firstLine="720"/>
      </w:pPr>
      <w:r>
        <w:t>5.</w:t>
      </w:r>
      <w:r>
        <w:tab/>
        <w:t>Others matters.</w:t>
      </w:r>
    </w:p>
    <w:p w:rsidR="00853B85" w:rsidRPr="00853B85" w:rsidRDefault="00853B85" w:rsidP="00853B85">
      <w:pPr>
        <w:pStyle w:val="CBD-Para"/>
        <w:numPr>
          <w:ilvl w:val="0"/>
          <w:numId w:val="0"/>
        </w:numPr>
        <w:ind w:firstLine="720"/>
      </w:pPr>
      <w:r>
        <w:t>6.</w:t>
      </w:r>
      <w:r>
        <w:tab/>
        <w:t>Conclusions and recommendations.</w:t>
      </w:r>
    </w:p>
    <w:p w:rsidR="00853B85" w:rsidRPr="00853B85" w:rsidRDefault="00853B85" w:rsidP="00853B85">
      <w:pPr>
        <w:pStyle w:val="CBD-Para"/>
        <w:numPr>
          <w:ilvl w:val="0"/>
          <w:numId w:val="0"/>
        </w:numPr>
        <w:ind w:firstLine="720"/>
      </w:pPr>
      <w:r>
        <w:t>7.</w:t>
      </w:r>
      <w:r>
        <w:tab/>
        <w:t>Conclusions and recommendations.</w:t>
      </w:r>
    </w:p>
    <w:p w:rsidR="00853B85" w:rsidRDefault="00814C15" w:rsidP="00B520CD">
      <w:pPr>
        <w:pStyle w:val="Para1"/>
        <w:numPr>
          <w:ilvl w:val="0"/>
          <w:numId w:val="2"/>
        </w:numPr>
        <w:tabs>
          <w:tab w:val="clear" w:pos="360"/>
        </w:tabs>
      </w:pPr>
      <w:r>
        <w:t xml:space="preserve">The </w:t>
      </w:r>
      <w:r w:rsidRPr="00B520CD">
        <w:rPr>
          <w:szCs w:val="22"/>
        </w:rPr>
        <w:t>Secretariat</w:t>
      </w:r>
      <w:r>
        <w:t xml:space="preserve"> suggested that</w:t>
      </w:r>
      <w:r w:rsidR="00E649F0">
        <w:t xml:space="preserve"> deliberations on </w:t>
      </w:r>
      <w:r>
        <w:t>it</w:t>
      </w:r>
      <w:r w:rsidR="00E649F0">
        <w:t>em 3.2</w:t>
      </w:r>
      <w:r w:rsidR="00252F4C">
        <w:t xml:space="preserve"> on the</w:t>
      </w:r>
      <w:r w:rsidR="00E649F0">
        <w:t xml:space="preserve"> </w:t>
      </w:r>
      <w:r>
        <w:t>Web strategy for the Convention and its Protocols</w:t>
      </w:r>
      <w:r w:rsidR="00E649F0">
        <w:t>,</w:t>
      </w:r>
      <w:r>
        <w:t xml:space="preserve"> be deferred for discussion until later in the proceedings pending the return from mission of the substantive staff member responsible for this item.  </w:t>
      </w:r>
    </w:p>
    <w:p w:rsidR="00E649F0" w:rsidRDefault="00E649F0" w:rsidP="00B21738">
      <w:pPr>
        <w:pStyle w:val="Heading1"/>
        <w:suppressLineNumbers/>
        <w:tabs>
          <w:tab w:val="clear" w:pos="720"/>
          <w:tab w:val="left" w:pos="993"/>
        </w:tabs>
        <w:suppressAutoHyphens/>
        <w:rPr>
          <w:caps w:val="0"/>
          <w:snapToGrid w:val="0"/>
          <w:kern w:val="22"/>
          <w:szCs w:val="22"/>
        </w:rPr>
      </w:pPr>
      <w:r w:rsidRPr="0052588E">
        <w:rPr>
          <w:caps w:val="0"/>
          <w:snapToGrid w:val="0"/>
          <w:kern w:val="22"/>
          <w:szCs w:val="22"/>
        </w:rPr>
        <w:t>ITEM 3.</w:t>
      </w:r>
      <w:r w:rsidRPr="0052588E">
        <w:rPr>
          <w:caps w:val="0"/>
          <w:snapToGrid w:val="0"/>
          <w:kern w:val="22"/>
          <w:szCs w:val="22"/>
        </w:rPr>
        <w:tab/>
      </w:r>
      <w:r>
        <w:rPr>
          <w:caps w:val="0"/>
          <w:snapToGrid w:val="0"/>
          <w:kern w:val="22"/>
          <w:szCs w:val="22"/>
        </w:rPr>
        <w:t>UPDATES ON STANDING ITEMS</w:t>
      </w:r>
    </w:p>
    <w:p w:rsidR="00E649F0" w:rsidRPr="00427D21" w:rsidRDefault="00E649F0" w:rsidP="00E649F0">
      <w:pPr>
        <w:pStyle w:val="Heading2"/>
        <w:numPr>
          <w:ilvl w:val="1"/>
          <w:numId w:val="27"/>
        </w:numPr>
      </w:pPr>
      <w:r>
        <w:t>Award for national clearing-house mechanisms</w:t>
      </w:r>
    </w:p>
    <w:p w:rsidR="00060335" w:rsidRDefault="00E649F0" w:rsidP="00060335">
      <w:pPr>
        <w:pStyle w:val="Para1"/>
        <w:numPr>
          <w:ilvl w:val="0"/>
          <w:numId w:val="2"/>
        </w:numPr>
        <w:tabs>
          <w:tab w:val="clear" w:pos="360"/>
        </w:tabs>
        <w:rPr>
          <w:szCs w:val="22"/>
        </w:rPr>
      </w:pPr>
      <w:r w:rsidRPr="00BC2446">
        <w:rPr>
          <w:szCs w:val="22"/>
        </w:rPr>
        <w:t xml:space="preserve">At the </w:t>
      </w:r>
      <w:r w:rsidR="00B81886">
        <w:rPr>
          <w:szCs w:val="22"/>
        </w:rPr>
        <w:t>1st</w:t>
      </w:r>
      <w:r w:rsidR="00B81886" w:rsidRPr="00E120A1">
        <w:rPr>
          <w:szCs w:val="22"/>
        </w:rPr>
        <w:t xml:space="preserve"> </w:t>
      </w:r>
      <w:r w:rsidRPr="00E120A1">
        <w:rPr>
          <w:szCs w:val="22"/>
        </w:rPr>
        <w:t xml:space="preserve">session of the meeting, on </w:t>
      </w:r>
      <w:r>
        <w:rPr>
          <w:szCs w:val="22"/>
        </w:rPr>
        <w:t xml:space="preserve">17 </w:t>
      </w:r>
      <w:r w:rsidRPr="00E120A1">
        <w:rPr>
          <w:szCs w:val="22"/>
        </w:rPr>
        <w:t>Ju</w:t>
      </w:r>
      <w:r>
        <w:rPr>
          <w:szCs w:val="22"/>
        </w:rPr>
        <w:t>ne</w:t>
      </w:r>
      <w:r w:rsidRPr="00E120A1">
        <w:rPr>
          <w:szCs w:val="22"/>
        </w:rPr>
        <w:t xml:space="preserve"> 201</w:t>
      </w:r>
      <w:r>
        <w:rPr>
          <w:szCs w:val="22"/>
        </w:rPr>
        <w:t>9</w:t>
      </w:r>
      <w:r w:rsidRPr="00E120A1">
        <w:rPr>
          <w:szCs w:val="22"/>
        </w:rPr>
        <w:t xml:space="preserve">, </w:t>
      </w:r>
      <w:r w:rsidRPr="006D45AF">
        <w:rPr>
          <w:szCs w:val="22"/>
        </w:rPr>
        <w:t xml:space="preserve">the </w:t>
      </w:r>
      <w:r w:rsidRPr="00E819F1">
        <w:rPr>
          <w:kern w:val="22"/>
          <w:szCs w:val="22"/>
        </w:rPr>
        <w:t xml:space="preserve">Informal Advisory Committee </w:t>
      </w:r>
      <w:r w:rsidRPr="006D45AF">
        <w:rPr>
          <w:szCs w:val="22"/>
        </w:rPr>
        <w:t>took up agenda item 3.</w:t>
      </w:r>
      <w:r>
        <w:rPr>
          <w:szCs w:val="22"/>
        </w:rPr>
        <w:t>1</w:t>
      </w:r>
      <w:r w:rsidR="00B363F0">
        <w:rPr>
          <w:szCs w:val="22"/>
        </w:rPr>
        <w:t xml:space="preserve"> on award for national clearing-house mechanisms</w:t>
      </w:r>
      <w:r>
        <w:rPr>
          <w:szCs w:val="22"/>
        </w:rPr>
        <w:t>.</w:t>
      </w:r>
      <w:r w:rsidRPr="006D45AF">
        <w:rPr>
          <w:szCs w:val="22"/>
        </w:rPr>
        <w:t xml:space="preserve"> In considering the item,</w:t>
      </w:r>
      <w:r w:rsidRPr="001117BF">
        <w:rPr>
          <w:szCs w:val="22"/>
        </w:rPr>
        <w:t xml:space="preserve"> the </w:t>
      </w:r>
      <w:r>
        <w:rPr>
          <w:szCs w:val="22"/>
        </w:rPr>
        <w:t>Committee</w:t>
      </w:r>
      <w:r w:rsidRPr="00765EA6">
        <w:rPr>
          <w:szCs w:val="22"/>
        </w:rPr>
        <w:t xml:space="preserve"> had before it </w:t>
      </w:r>
      <w:r w:rsidRPr="00765EA6">
        <w:rPr>
          <w:rFonts w:eastAsia="MS Mincho"/>
          <w:szCs w:val="22"/>
        </w:rPr>
        <w:t xml:space="preserve">a note by the Executive Secretary </w:t>
      </w:r>
      <w:r w:rsidR="00E26A35">
        <w:rPr>
          <w:rFonts w:eastAsia="MS Mincho"/>
          <w:szCs w:val="22"/>
        </w:rPr>
        <w:t>providing a p</w:t>
      </w:r>
      <w:r w:rsidR="00E26A35" w:rsidRPr="00E26A35">
        <w:rPr>
          <w:rFonts w:eastAsia="MS Mincho"/>
          <w:szCs w:val="22"/>
        </w:rPr>
        <w:t xml:space="preserve">rogress report and updates on the clearing-house mechanism </w:t>
      </w:r>
      <w:r w:rsidRPr="00765EA6">
        <w:rPr>
          <w:rFonts w:eastAsia="MS Mincho"/>
          <w:szCs w:val="22"/>
        </w:rPr>
        <w:t>(CBD/</w:t>
      </w:r>
      <w:r>
        <w:rPr>
          <w:rFonts w:eastAsia="MS Mincho"/>
          <w:szCs w:val="22"/>
        </w:rPr>
        <w:t>CHM</w:t>
      </w:r>
      <w:r w:rsidRPr="00765EA6">
        <w:rPr>
          <w:rFonts w:eastAsia="MS Mincho"/>
          <w:szCs w:val="22"/>
        </w:rPr>
        <w:t>/</w:t>
      </w:r>
      <w:r>
        <w:rPr>
          <w:rFonts w:eastAsia="MS Mincho"/>
          <w:szCs w:val="22"/>
        </w:rPr>
        <w:t>2019</w:t>
      </w:r>
      <w:r w:rsidRPr="00765EA6">
        <w:rPr>
          <w:rFonts w:eastAsia="MS Mincho"/>
          <w:szCs w:val="22"/>
        </w:rPr>
        <w:t>/</w:t>
      </w:r>
      <w:r>
        <w:rPr>
          <w:rFonts w:eastAsia="MS Mincho"/>
          <w:szCs w:val="22"/>
        </w:rPr>
        <w:t>1/</w:t>
      </w:r>
      <w:r w:rsidRPr="00765EA6">
        <w:rPr>
          <w:rFonts w:eastAsia="MS Mincho"/>
          <w:szCs w:val="22"/>
        </w:rPr>
        <w:t xml:space="preserve">2) with an annex containing the </w:t>
      </w:r>
      <w:r w:rsidR="001A3E4F">
        <w:rPr>
          <w:szCs w:val="22"/>
        </w:rPr>
        <w:t xml:space="preserve">feedback provided by the Awards Jury </w:t>
      </w:r>
      <w:r w:rsidR="001A3E4F">
        <w:rPr>
          <w:szCs w:val="22"/>
        </w:rPr>
        <w:lastRenderedPageBreak/>
        <w:t>based on their deliberations during the second round of Awards that concluded at the fourteenth meeting of the Conference of the Parties</w:t>
      </w:r>
      <w:r w:rsidR="00060335" w:rsidRPr="00396D11">
        <w:rPr>
          <w:szCs w:val="22"/>
        </w:rPr>
        <w:t>.</w:t>
      </w:r>
      <w:r w:rsidR="001A3E4F">
        <w:rPr>
          <w:szCs w:val="22"/>
        </w:rPr>
        <w:t xml:space="preserve"> The </w:t>
      </w:r>
      <w:r w:rsidR="00B363F0">
        <w:rPr>
          <w:szCs w:val="22"/>
        </w:rPr>
        <w:t xml:space="preserve">Committee </w:t>
      </w:r>
      <w:r w:rsidR="001A3E4F">
        <w:rPr>
          <w:szCs w:val="22"/>
        </w:rPr>
        <w:t>members discussed the process for the third round of clearing</w:t>
      </w:r>
      <w:r w:rsidR="00B81886">
        <w:rPr>
          <w:szCs w:val="22"/>
        </w:rPr>
        <w:noBreakHyphen/>
      </w:r>
      <w:r w:rsidR="001A3E4F">
        <w:rPr>
          <w:szCs w:val="22"/>
        </w:rPr>
        <w:t>house mechanism awards that would take place at the fifteenth meeting of the Conference of the Parties.  The Chair thanked the U</w:t>
      </w:r>
      <w:r w:rsidR="00B81886">
        <w:rPr>
          <w:szCs w:val="22"/>
        </w:rPr>
        <w:t xml:space="preserve">nited </w:t>
      </w:r>
      <w:r w:rsidR="001A3E4F">
        <w:rPr>
          <w:szCs w:val="22"/>
        </w:rPr>
        <w:t>N</w:t>
      </w:r>
      <w:r w:rsidR="00B81886">
        <w:rPr>
          <w:szCs w:val="22"/>
        </w:rPr>
        <w:t>ations</w:t>
      </w:r>
      <w:r w:rsidR="001A3E4F">
        <w:rPr>
          <w:szCs w:val="22"/>
        </w:rPr>
        <w:t xml:space="preserve"> Environment </w:t>
      </w:r>
      <w:r w:rsidR="00B81886">
        <w:rPr>
          <w:szCs w:val="22"/>
        </w:rPr>
        <w:t xml:space="preserve">Programme’s </w:t>
      </w:r>
      <w:r w:rsidR="001A3E4F">
        <w:rPr>
          <w:szCs w:val="22"/>
        </w:rPr>
        <w:t xml:space="preserve">World Conservation Monitoring Centre for hosting the Jury during </w:t>
      </w:r>
      <w:r w:rsidR="00B363F0">
        <w:rPr>
          <w:szCs w:val="22"/>
        </w:rPr>
        <w:t xml:space="preserve">its </w:t>
      </w:r>
      <w:r w:rsidR="001A3E4F">
        <w:rPr>
          <w:szCs w:val="22"/>
        </w:rPr>
        <w:t xml:space="preserve">deliberations for </w:t>
      </w:r>
      <w:r w:rsidR="00B363F0">
        <w:rPr>
          <w:szCs w:val="22"/>
        </w:rPr>
        <w:t xml:space="preserve">selecting winners for </w:t>
      </w:r>
      <w:r w:rsidR="001A3E4F">
        <w:rPr>
          <w:szCs w:val="22"/>
        </w:rPr>
        <w:t>the second round of the Award. Mr. Jerry Harrison of the UN</w:t>
      </w:r>
      <w:r w:rsidR="00B81886">
        <w:rPr>
          <w:szCs w:val="22"/>
        </w:rPr>
        <w:t>EP-</w:t>
      </w:r>
      <w:proofErr w:type="spellStart"/>
      <w:r w:rsidR="00B81886">
        <w:rPr>
          <w:szCs w:val="22"/>
        </w:rPr>
        <w:t>WCMC</w:t>
      </w:r>
      <w:proofErr w:type="spellEnd"/>
      <w:r w:rsidR="001A3E4F">
        <w:rPr>
          <w:szCs w:val="22"/>
        </w:rPr>
        <w:t xml:space="preserve"> extended an invitation to host the </w:t>
      </w:r>
      <w:r w:rsidR="00B363F0">
        <w:rPr>
          <w:szCs w:val="22"/>
        </w:rPr>
        <w:t xml:space="preserve">jury </w:t>
      </w:r>
      <w:r w:rsidR="001A3E4F">
        <w:rPr>
          <w:szCs w:val="22"/>
        </w:rPr>
        <w:t>deliberations for the third round.</w:t>
      </w:r>
    </w:p>
    <w:p w:rsidR="00F41F8C" w:rsidRDefault="00AE1BE7" w:rsidP="00060335">
      <w:pPr>
        <w:pStyle w:val="Para1"/>
        <w:numPr>
          <w:ilvl w:val="0"/>
          <w:numId w:val="2"/>
        </w:numPr>
        <w:tabs>
          <w:tab w:val="clear" w:pos="360"/>
        </w:tabs>
        <w:rPr>
          <w:szCs w:val="22"/>
        </w:rPr>
      </w:pPr>
      <w:r>
        <w:rPr>
          <w:szCs w:val="22"/>
        </w:rPr>
        <w:t xml:space="preserve">The Secretariat reminded the Committee that the </w:t>
      </w:r>
      <w:r w:rsidR="00B81886">
        <w:rPr>
          <w:szCs w:val="22"/>
        </w:rPr>
        <w:t>n</w:t>
      </w:r>
      <w:r>
        <w:rPr>
          <w:szCs w:val="22"/>
        </w:rPr>
        <w:t xml:space="preserve">otification to announce the third round of national clearing-house mechanism awards </w:t>
      </w:r>
      <w:r w:rsidR="00B363F0">
        <w:rPr>
          <w:szCs w:val="22"/>
        </w:rPr>
        <w:t>w</w:t>
      </w:r>
      <w:r>
        <w:rPr>
          <w:szCs w:val="22"/>
        </w:rPr>
        <w:t xml:space="preserve">ould </w:t>
      </w:r>
      <w:r w:rsidR="00B363F0">
        <w:rPr>
          <w:szCs w:val="22"/>
        </w:rPr>
        <w:t xml:space="preserve">have to </w:t>
      </w:r>
      <w:r>
        <w:rPr>
          <w:szCs w:val="22"/>
        </w:rPr>
        <w:t xml:space="preserve">be issued by 31 July 2019 to allow Parties </w:t>
      </w:r>
      <w:proofErr w:type="gramStart"/>
      <w:r>
        <w:rPr>
          <w:szCs w:val="22"/>
        </w:rPr>
        <w:t>sufficient</w:t>
      </w:r>
      <w:proofErr w:type="gramEnd"/>
      <w:r>
        <w:rPr>
          <w:szCs w:val="22"/>
        </w:rPr>
        <w:t xml:space="preserve"> time to apply for the awards. </w:t>
      </w:r>
      <w:r w:rsidR="00F41F8C">
        <w:rPr>
          <w:szCs w:val="22"/>
        </w:rPr>
        <w:t xml:space="preserve">The Chair invited </w:t>
      </w:r>
      <w:r w:rsidR="00B363F0">
        <w:rPr>
          <w:szCs w:val="22"/>
        </w:rPr>
        <w:t xml:space="preserve">Committee members to send </w:t>
      </w:r>
      <w:r w:rsidR="00F41F8C">
        <w:rPr>
          <w:szCs w:val="22"/>
        </w:rPr>
        <w:t xml:space="preserve">comments on the criteria </w:t>
      </w:r>
      <w:r w:rsidR="00B363F0">
        <w:rPr>
          <w:szCs w:val="22"/>
        </w:rPr>
        <w:t xml:space="preserve">for </w:t>
      </w:r>
      <w:r w:rsidR="00F41F8C">
        <w:rPr>
          <w:szCs w:val="22"/>
        </w:rPr>
        <w:t>assess</w:t>
      </w:r>
      <w:r w:rsidR="00B363F0">
        <w:rPr>
          <w:szCs w:val="22"/>
        </w:rPr>
        <w:t>ing the Award applications</w:t>
      </w:r>
      <w:r w:rsidR="00F41F8C">
        <w:rPr>
          <w:szCs w:val="22"/>
        </w:rPr>
        <w:t xml:space="preserve"> to the Secretariat before the end of the meeting.</w:t>
      </w:r>
    </w:p>
    <w:p w:rsidR="001A3E4F" w:rsidRDefault="001A3E4F" w:rsidP="00060335">
      <w:pPr>
        <w:pStyle w:val="Para1"/>
        <w:numPr>
          <w:ilvl w:val="0"/>
          <w:numId w:val="2"/>
        </w:numPr>
        <w:tabs>
          <w:tab w:val="clear" w:pos="360"/>
        </w:tabs>
        <w:rPr>
          <w:szCs w:val="22"/>
        </w:rPr>
      </w:pPr>
      <w:r>
        <w:rPr>
          <w:szCs w:val="22"/>
        </w:rPr>
        <w:t xml:space="preserve">The Committee then considered the overall success of the award process. </w:t>
      </w:r>
      <w:r w:rsidR="00B363F0">
        <w:rPr>
          <w:szCs w:val="22"/>
        </w:rPr>
        <w:t xml:space="preserve">The Chair invited </w:t>
      </w:r>
      <w:r>
        <w:rPr>
          <w:szCs w:val="22"/>
        </w:rPr>
        <w:t>award winners present</w:t>
      </w:r>
      <w:r w:rsidR="00B363F0">
        <w:rPr>
          <w:szCs w:val="22"/>
        </w:rPr>
        <w:t xml:space="preserve"> to provide </w:t>
      </w:r>
      <w:r>
        <w:rPr>
          <w:szCs w:val="22"/>
        </w:rPr>
        <w:t>feedback</w:t>
      </w:r>
      <w:r w:rsidR="00B363F0">
        <w:rPr>
          <w:szCs w:val="22"/>
        </w:rPr>
        <w:t>, including</w:t>
      </w:r>
      <w:r>
        <w:rPr>
          <w:szCs w:val="22"/>
        </w:rPr>
        <w:t xml:space="preserve"> the impact the award process </w:t>
      </w:r>
      <w:r w:rsidR="00B363F0">
        <w:rPr>
          <w:szCs w:val="22"/>
        </w:rPr>
        <w:t xml:space="preserve">had </w:t>
      </w:r>
      <w:r>
        <w:rPr>
          <w:szCs w:val="22"/>
        </w:rPr>
        <w:t>on the development and maintenance of their respective national clearing</w:t>
      </w:r>
      <w:r w:rsidR="00C442A5">
        <w:rPr>
          <w:szCs w:val="22"/>
        </w:rPr>
        <w:t>-</w:t>
      </w:r>
      <w:r>
        <w:rPr>
          <w:szCs w:val="22"/>
        </w:rPr>
        <w:t xml:space="preserve">houses. Overall, it was </w:t>
      </w:r>
      <w:r w:rsidR="00B363F0">
        <w:rPr>
          <w:szCs w:val="22"/>
        </w:rPr>
        <w:t xml:space="preserve">reported </w:t>
      </w:r>
      <w:r>
        <w:rPr>
          <w:szCs w:val="22"/>
        </w:rPr>
        <w:t>that the process had a positive effect</w:t>
      </w:r>
      <w:r w:rsidR="00B363F0">
        <w:rPr>
          <w:szCs w:val="22"/>
        </w:rPr>
        <w:t xml:space="preserve">, including increased </w:t>
      </w:r>
      <w:r w:rsidR="00F41F8C">
        <w:rPr>
          <w:szCs w:val="22"/>
        </w:rPr>
        <w:t xml:space="preserve">awareness and visibility of their national clearing-houses.  </w:t>
      </w:r>
      <w:r w:rsidR="00B363F0">
        <w:rPr>
          <w:szCs w:val="22"/>
        </w:rPr>
        <w:t>It was noted that</w:t>
      </w:r>
      <w:r w:rsidR="00F41F8C">
        <w:rPr>
          <w:szCs w:val="22"/>
        </w:rPr>
        <w:t xml:space="preserve"> </w:t>
      </w:r>
      <w:r w:rsidR="00B363F0">
        <w:rPr>
          <w:szCs w:val="22"/>
        </w:rPr>
        <w:t>such</w:t>
      </w:r>
      <w:r w:rsidR="00F41F8C">
        <w:rPr>
          <w:szCs w:val="22"/>
        </w:rPr>
        <w:t xml:space="preserve"> </w:t>
      </w:r>
      <w:r w:rsidR="00B363F0">
        <w:rPr>
          <w:szCs w:val="22"/>
        </w:rPr>
        <w:t xml:space="preserve">increased </w:t>
      </w:r>
      <w:r w:rsidR="00F41F8C">
        <w:rPr>
          <w:szCs w:val="22"/>
        </w:rPr>
        <w:t xml:space="preserve">awareness and visibility was crucial to </w:t>
      </w:r>
      <w:r w:rsidR="00B363F0">
        <w:rPr>
          <w:szCs w:val="22"/>
        </w:rPr>
        <w:t xml:space="preserve">securing </w:t>
      </w:r>
      <w:r w:rsidR="00F41F8C">
        <w:rPr>
          <w:szCs w:val="22"/>
        </w:rPr>
        <w:t xml:space="preserve">the ongoing allocation of resources to maintain their national clearing-houses. However, one member </w:t>
      </w:r>
      <w:r w:rsidR="00B363F0">
        <w:rPr>
          <w:szCs w:val="22"/>
        </w:rPr>
        <w:t xml:space="preserve">observed </w:t>
      </w:r>
      <w:r w:rsidR="00F41F8C">
        <w:rPr>
          <w:szCs w:val="22"/>
        </w:rPr>
        <w:t xml:space="preserve">that the slow </w:t>
      </w:r>
      <w:r w:rsidR="00B363F0">
        <w:rPr>
          <w:szCs w:val="22"/>
        </w:rPr>
        <w:t xml:space="preserve">progress with the </w:t>
      </w:r>
      <w:r w:rsidR="00F41F8C">
        <w:rPr>
          <w:szCs w:val="22"/>
        </w:rPr>
        <w:t>development</w:t>
      </w:r>
      <w:r w:rsidR="00B363F0">
        <w:rPr>
          <w:szCs w:val="22"/>
        </w:rPr>
        <w:t xml:space="preserve"> and roll-out</w:t>
      </w:r>
      <w:r w:rsidR="00F41F8C">
        <w:rPr>
          <w:szCs w:val="22"/>
        </w:rPr>
        <w:t xml:space="preserve"> of the </w:t>
      </w:r>
      <w:proofErr w:type="spellStart"/>
      <w:r w:rsidR="00F41F8C">
        <w:rPr>
          <w:szCs w:val="22"/>
        </w:rPr>
        <w:t>Bioland</w:t>
      </w:r>
      <w:proofErr w:type="spellEnd"/>
      <w:r w:rsidR="00F41F8C">
        <w:rPr>
          <w:szCs w:val="22"/>
        </w:rPr>
        <w:t xml:space="preserve"> tool to develop or migrate existing clearing-houses to the tool ha</w:t>
      </w:r>
      <w:r w:rsidR="00B363F0">
        <w:rPr>
          <w:szCs w:val="22"/>
        </w:rPr>
        <w:t>d</w:t>
      </w:r>
      <w:r w:rsidR="00F41F8C">
        <w:rPr>
          <w:szCs w:val="22"/>
        </w:rPr>
        <w:t xml:space="preserve"> had a negative impact as </w:t>
      </w:r>
      <w:r w:rsidR="00B363F0">
        <w:rPr>
          <w:szCs w:val="22"/>
        </w:rPr>
        <w:t xml:space="preserve">countries </w:t>
      </w:r>
      <w:r w:rsidR="00F41F8C">
        <w:rPr>
          <w:szCs w:val="22"/>
        </w:rPr>
        <w:t xml:space="preserve">await the availability of the tool to </w:t>
      </w:r>
      <w:r w:rsidR="00B363F0">
        <w:rPr>
          <w:szCs w:val="22"/>
        </w:rPr>
        <w:t xml:space="preserve">develop or migrate existing clearing-houses to the tool and/or </w:t>
      </w:r>
      <w:r w:rsidR="00F41F8C">
        <w:rPr>
          <w:szCs w:val="22"/>
        </w:rPr>
        <w:t>update content and information.</w:t>
      </w:r>
    </w:p>
    <w:p w:rsidR="00BD63E2" w:rsidRPr="00B21738" w:rsidRDefault="00F41F8C" w:rsidP="00BD63E2">
      <w:pPr>
        <w:pStyle w:val="Para1"/>
        <w:numPr>
          <w:ilvl w:val="0"/>
          <w:numId w:val="2"/>
        </w:numPr>
        <w:tabs>
          <w:tab w:val="clear" w:pos="360"/>
        </w:tabs>
        <w:rPr>
          <w:spacing w:val="-4"/>
          <w:kern w:val="22"/>
        </w:rPr>
      </w:pPr>
      <w:r w:rsidRPr="00B21738">
        <w:rPr>
          <w:spacing w:val="-4"/>
          <w:kern w:val="22"/>
          <w:szCs w:val="22"/>
        </w:rPr>
        <w:t xml:space="preserve">A draft recommendation was prepared for review by the Committee at its </w:t>
      </w:r>
      <w:r w:rsidR="002502FE" w:rsidRPr="00B21738">
        <w:rPr>
          <w:spacing w:val="-4"/>
          <w:kern w:val="22"/>
          <w:szCs w:val="22"/>
        </w:rPr>
        <w:t>fifth</w:t>
      </w:r>
      <w:r w:rsidR="002502FE" w:rsidRPr="00B21738">
        <w:rPr>
          <w:spacing w:val="-4"/>
          <w:kern w:val="22"/>
          <w:szCs w:val="22"/>
        </w:rPr>
        <w:t xml:space="preserve"> </w:t>
      </w:r>
      <w:r w:rsidRPr="00B21738">
        <w:rPr>
          <w:spacing w:val="-4"/>
          <w:kern w:val="22"/>
          <w:szCs w:val="22"/>
        </w:rPr>
        <w:t>session</w:t>
      </w:r>
      <w:r w:rsidR="002502FE" w:rsidRPr="00B21738">
        <w:rPr>
          <w:spacing w:val="-4"/>
          <w:kern w:val="22"/>
          <w:szCs w:val="22"/>
        </w:rPr>
        <w:t>,</w:t>
      </w:r>
      <w:r w:rsidRPr="00B21738">
        <w:rPr>
          <w:spacing w:val="-4"/>
          <w:kern w:val="22"/>
          <w:szCs w:val="22"/>
        </w:rPr>
        <w:t xml:space="preserve"> on 19 June 2019.</w:t>
      </w:r>
    </w:p>
    <w:p w:rsidR="00BD63E2" w:rsidRDefault="00BD63E2" w:rsidP="00B21738">
      <w:pPr>
        <w:pStyle w:val="Heading2"/>
        <w:numPr>
          <w:ilvl w:val="1"/>
          <w:numId w:val="27"/>
        </w:numPr>
        <w:ind w:left="714" w:hanging="357"/>
      </w:pPr>
      <w:r>
        <w:t>Web strategy for the Convention and its Protocols</w:t>
      </w:r>
    </w:p>
    <w:p w:rsidR="00BD63E2" w:rsidRDefault="00BD63E2" w:rsidP="00BD63E2">
      <w:pPr>
        <w:pStyle w:val="Para1"/>
        <w:numPr>
          <w:ilvl w:val="0"/>
          <w:numId w:val="2"/>
        </w:numPr>
        <w:tabs>
          <w:tab w:val="clear" w:pos="360"/>
        </w:tabs>
        <w:rPr>
          <w:szCs w:val="22"/>
        </w:rPr>
      </w:pPr>
      <w:r>
        <w:t xml:space="preserve">The Committee considered agenda item 3.2 on the web strategy for Convention and its Protocols during its second and fourth sessions.  </w:t>
      </w:r>
      <w:r w:rsidRPr="00B520CD">
        <w:rPr>
          <w:szCs w:val="22"/>
        </w:rPr>
        <w:t>Ms. Jyoti Mathur-Filipp of the Secretariat provided an update on the new Convention website.</w:t>
      </w:r>
      <w:r w:rsidR="008F1A27">
        <w:rPr>
          <w:szCs w:val="22"/>
        </w:rPr>
        <w:t xml:space="preserve"> She reported that </w:t>
      </w:r>
      <w:r w:rsidR="00C442A5">
        <w:rPr>
          <w:szCs w:val="22"/>
        </w:rPr>
        <w:t>i</w:t>
      </w:r>
      <w:r>
        <w:t xml:space="preserve">t </w:t>
      </w:r>
      <w:r w:rsidR="00C442A5">
        <w:t>wa</w:t>
      </w:r>
      <w:r>
        <w:t xml:space="preserve">s hoped that the new home page would be launched prior to the opening of the first </w:t>
      </w:r>
      <w:r w:rsidR="00C442A5">
        <w:t>meeting of the O</w:t>
      </w:r>
      <w:r>
        <w:t xml:space="preserve">pen-ended </w:t>
      </w:r>
      <w:r w:rsidR="00C442A5">
        <w:t>W</w:t>
      </w:r>
      <w:r>
        <w:t xml:space="preserve">orking </w:t>
      </w:r>
      <w:r w:rsidR="00C442A5">
        <w:t>G</w:t>
      </w:r>
      <w:r>
        <w:t xml:space="preserve">roup on the </w:t>
      </w:r>
      <w:r w:rsidR="00C442A5">
        <w:t>P</w:t>
      </w:r>
      <w:r>
        <w:t>ost</w:t>
      </w:r>
      <w:r w:rsidR="00C442A5">
        <w:t>-</w:t>
      </w:r>
      <w:r>
        <w:t xml:space="preserve">2020 </w:t>
      </w:r>
      <w:r w:rsidR="00C442A5">
        <w:t>G</w:t>
      </w:r>
      <w:r>
        <w:t xml:space="preserve">lobal </w:t>
      </w:r>
      <w:r w:rsidR="00C442A5">
        <w:t>B</w:t>
      </w:r>
      <w:r>
        <w:t xml:space="preserve">iodiversity </w:t>
      </w:r>
      <w:r w:rsidR="00C442A5">
        <w:t>F</w:t>
      </w:r>
      <w:r>
        <w:t xml:space="preserve">ramework </w:t>
      </w:r>
      <w:r w:rsidR="00C442A5">
        <w:t xml:space="preserve">to be held </w:t>
      </w:r>
      <w:r>
        <w:t>in August 2019.  She outlined the steps the Secretariat ha</w:t>
      </w:r>
      <w:r w:rsidR="00C442A5">
        <w:t>d</w:t>
      </w:r>
      <w:r>
        <w:t xml:space="preserve"> taken to make this happen including the recruitment of an individual contractor specifically to assist with the migration of content and she provided other human resource related recruitment updates.</w:t>
      </w:r>
    </w:p>
    <w:p w:rsidR="008F1A27" w:rsidRDefault="00BD63E2" w:rsidP="00BD63E2">
      <w:pPr>
        <w:pStyle w:val="Para1"/>
        <w:numPr>
          <w:ilvl w:val="0"/>
          <w:numId w:val="2"/>
        </w:numPr>
        <w:tabs>
          <w:tab w:val="clear" w:pos="360"/>
        </w:tabs>
        <w:rPr>
          <w:szCs w:val="22"/>
        </w:rPr>
      </w:pPr>
      <w:r>
        <w:t xml:space="preserve">Mr. </w:t>
      </w:r>
      <w:r w:rsidR="001F1338" w:rsidRPr="001F1338">
        <w:t>Frédéric Vogel</w:t>
      </w:r>
      <w:r w:rsidR="00C76E61">
        <w:t xml:space="preserve"> </w:t>
      </w:r>
      <w:r>
        <w:t>of the Secretariat</w:t>
      </w:r>
      <w:r w:rsidR="00C442A5">
        <w:t xml:space="preserve"> of the Convention on Biological Diversity</w:t>
      </w:r>
      <w:r w:rsidR="002502FE">
        <w:t>,</w:t>
      </w:r>
      <w:r>
        <w:t xml:space="preserve"> who </w:t>
      </w:r>
      <w:r w:rsidR="002502FE">
        <w:t xml:space="preserve">had </w:t>
      </w:r>
      <w:r>
        <w:t xml:space="preserve">attended the </w:t>
      </w:r>
      <w:proofErr w:type="spellStart"/>
      <w:r>
        <w:t>InforMEA</w:t>
      </w:r>
      <w:proofErr w:type="spellEnd"/>
      <w:r>
        <w:t xml:space="preserve"> Steering Committee meeting the previous week in Switzerland</w:t>
      </w:r>
      <w:r w:rsidR="002502FE">
        <w:t>,</w:t>
      </w:r>
      <w:r>
        <w:t xml:space="preserve"> updated members on the meeting outcomes</w:t>
      </w:r>
      <w:r w:rsidR="00C76E61">
        <w:t xml:space="preserve">, including updates on the </w:t>
      </w:r>
      <w:proofErr w:type="spellStart"/>
      <w:r w:rsidR="00C76E61">
        <w:t>InforMEA</w:t>
      </w:r>
      <w:proofErr w:type="spellEnd"/>
      <w:r w:rsidR="00C76E61">
        <w:t xml:space="preserve"> activities, the </w:t>
      </w:r>
      <w:r w:rsidR="00C76E61" w:rsidRPr="00C76E61">
        <w:t>Data and Reporting Tool (DART)</w:t>
      </w:r>
      <w:r w:rsidR="006D4B9F">
        <w:t xml:space="preserve"> project</w:t>
      </w:r>
      <w:r w:rsidR="00C76E61" w:rsidRPr="00C76E61">
        <w:t xml:space="preserve"> </w:t>
      </w:r>
      <w:r w:rsidR="00C76E61">
        <w:t xml:space="preserve">and </w:t>
      </w:r>
      <w:r w:rsidR="006D4B9F" w:rsidRPr="006D4B9F">
        <w:t>use of the Akoma-</w:t>
      </w:r>
      <w:proofErr w:type="spellStart"/>
      <w:r w:rsidR="006D4B9F" w:rsidRPr="006D4B9F">
        <w:t>Ntoso</w:t>
      </w:r>
      <w:proofErr w:type="spellEnd"/>
      <w:r w:rsidR="006D4B9F">
        <w:rPr>
          <w:rStyle w:val="FootnoteReference"/>
        </w:rPr>
        <w:footnoteReference w:id="6"/>
      </w:r>
      <w:r w:rsidR="006D4B9F" w:rsidRPr="006D4B9F">
        <w:t xml:space="preserve"> format adopted for United Nations documents</w:t>
      </w:r>
      <w:r w:rsidR="00C76E61">
        <w:t xml:space="preserve">. </w:t>
      </w:r>
      <w:r w:rsidR="008F1A27">
        <w:rPr>
          <w:szCs w:val="22"/>
        </w:rPr>
        <w:t>He noted that t</w:t>
      </w:r>
      <w:r w:rsidR="00C76E61">
        <w:rPr>
          <w:szCs w:val="22"/>
        </w:rPr>
        <w:t>he meeting</w:t>
      </w:r>
      <w:r w:rsidRPr="00B520CD">
        <w:rPr>
          <w:szCs w:val="22"/>
        </w:rPr>
        <w:t xml:space="preserve"> coincided with its tenth anniversary and the launching of the second phase of the </w:t>
      </w:r>
      <w:proofErr w:type="spellStart"/>
      <w:r w:rsidRPr="00B520CD">
        <w:rPr>
          <w:szCs w:val="22"/>
        </w:rPr>
        <w:t>InforMEA</w:t>
      </w:r>
      <w:proofErr w:type="spellEnd"/>
      <w:r w:rsidRPr="00B520CD">
        <w:rPr>
          <w:szCs w:val="22"/>
        </w:rPr>
        <w:t xml:space="preserve"> project.</w:t>
      </w:r>
    </w:p>
    <w:p w:rsidR="00BD63E2" w:rsidRPr="00B520CD" w:rsidRDefault="008F1A27" w:rsidP="00BD63E2">
      <w:pPr>
        <w:pStyle w:val="Para1"/>
        <w:numPr>
          <w:ilvl w:val="0"/>
          <w:numId w:val="2"/>
        </w:numPr>
        <w:tabs>
          <w:tab w:val="clear" w:pos="360"/>
        </w:tabs>
        <w:rPr>
          <w:szCs w:val="22"/>
        </w:rPr>
      </w:pPr>
      <w:r>
        <w:t>Mr.</w:t>
      </w:r>
      <w:r w:rsidRPr="001F1338">
        <w:t xml:space="preserve"> Vogel</w:t>
      </w:r>
      <w:r>
        <w:t xml:space="preserve"> </w:t>
      </w:r>
      <w:r>
        <w:rPr>
          <w:szCs w:val="22"/>
        </w:rPr>
        <w:t xml:space="preserve">also made a presentation of </w:t>
      </w:r>
      <w:r w:rsidR="00BD63E2" w:rsidRPr="00B520CD">
        <w:rPr>
          <w:szCs w:val="22"/>
        </w:rPr>
        <w:t xml:space="preserve">the new </w:t>
      </w:r>
      <w:r>
        <w:rPr>
          <w:szCs w:val="22"/>
        </w:rPr>
        <w:t xml:space="preserve">CBD </w:t>
      </w:r>
      <w:r w:rsidR="00BD63E2" w:rsidRPr="00B520CD">
        <w:rPr>
          <w:szCs w:val="22"/>
        </w:rPr>
        <w:t xml:space="preserve">website and </w:t>
      </w:r>
      <w:r>
        <w:rPr>
          <w:szCs w:val="22"/>
        </w:rPr>
        <w:t xml:space="preserve">outlined </w:t>
      </w:r>
      <w:r w:rsidR="00BD63E2" w:rsidRPr="00B520CD">
        <w:rPr>
          <w:szCs w:val="22"/>
        </w:rPr>
        <w:t>the plan to migrate content to the new platform.</w:t>
      </w:r>
    </w:p>
    <w:p w:rsidR="00AE1BE7" w:rsidRPr="00427D21" w:rsidRDefault="00AE1BE7" w:rsidP="00B21738">
      <w:pPr>
        <w:pStyle w:val="Heading2"/>
        <w:numPr>
          <w:ilvl w:val="1"/>
          <w:numId w:val="29"/>
        </w:numPr>
        <w:ind w:left="714" w:hanging="357"/>
      </w:pPr>
      <w:r>
        <w:t>Online reporting tool</w:t>
      </w:r>
    </w:p>
    <w:p w:rsidR="00182CE6" w:rsidRPr="00182CE6" w:rsidRDefault="00B363F0" w:rsidP="00060335">
      <w:pPr>
        <w:pStyle w:val="Para1"/>
        <w:numPr>
          <w:ilvl w:val="0"/>
          <w:numId w:val="2"/>
        </w:numPr>
        <w:tabs>
          <w:tab w:val="clear" w:pos="360"/>
        </w:tabs>
        <w:rPr>
          <w:szCs w:val="22"/>
        </w:rPr>
      </w:pPr>
      <w:r>
        <w:rPr>
          <w:szCs w:val="22"/>
        </w:rPr>
        <w:t xml:space="preserve">During </w:t>
      </w:r>
      <w:r w:rsidR="00E17976" w:rsidRPr="00BC2446">
        <w:rPr>
          <w:szCs w:val="22"/>
        </w:rPr>
        <w:t xml:space="preserve">the </w:t>
      </w:r>
      <w:r w:rsidR="00B95EE8">
        <w:rPr>
          <w:szCs w:val="22"/>
        </w:rPr>
        <w:t>first</w:t>
      </w:r>
      <w:r w:rsidR="00B95EE8" w:rsidRPr="00E120A1">
        <w:rPr>
          <w:szCs w:val="22"/>
        </w:rPr>
        <w:t xml:space="preserve"> </w:t>
      </w:r>
      <w:r w:rsidR="00E17976" w:rsidRPr="00E120A1">
        <w:rPr>
          <w:szCs w:val="22"/>
        </w:rPr>
        <w:t xml:space="preserve">session of the meeting, </w:t>
      </w:r>
      <w:r w:rsidR="00E17976" w:rsidRPr="006D45AF">
        <w:rPr>
          <w:szCs w:val="22"/>
        </w:rPr>
        <w:t xml:space="preserve">the </w:t>
      </w:r>
      <w:r w:rsidR="00E17976" w:rsidRPr="00E819F1">
        <w:rPr>
          <w:kern w:val="22"/>
          <w:szCs w:val="22"/>
        </w:rPr>
        <w:t xml:space="preserve">Committee </w:t>
      </w:r>
      <w:r>
        <w:rPr>
          <w:kern w:val="22"/>
          <w:szCs w:val="22"/>
        </w:rPr>
        <w:t xml:space="preserve">also </w:t>
      </w:r>
      <w:r w:rsidR="00E17976" w:rsidRPr="006D45AF">
        <w:rPr>
          <w:szCs w:val="22"/>
        </w:rPr>
        <w:t>took up agenda item 3.</w:t>
      </w:r>
      <w:r w:rsidR="00E17976">
        <w:rPr>
          <w:szCs w:val="22"/>
        </w:rPr>
        <w:t>3.</w:t>
      </w:r>
      <w:r w:rsidR="00E17976" w:rsidRPr="006D45AF">
        <w:rPr>
          <w:szCs w:val="22"/>
        </w:rPr>
        <w:t xml:space="preserve"> In considering the item,</w:t>
      </w:r>
      <w:r w:rsidR="00E17976" w:rsidRPr="001117BF">
        <w:rPr>
          <w:szCs w:val="22"/>
        </w:rPr>
        <w:t xml:space="preserve"> the </w:t>
      </w:r>
      <w:r w:rsidR="00E17976">
        <w:rPr>
          <w:szCs w:val="22"/>
        </w:rPr>
        <w:t>Committee</w:t>
      </w:r>
      <w:r w:rsidR="00E17976" w:rsidRPr="00765EA6">
        <w:rPr>
          <w:szCs w:val="22"/>
        </w:rPr>
        <w:t xml:space="preserve"> had before it </w:t>
      </w:r>
      <w:r w:rsidR="00E17976" w:rsidRPr="00765EA6">
        <w:rPr>
          <w:rFonts w:eastAsia="MS Mincho"/>
          <w:szCs w:val="22"/>
        </w:rPr>
        <w:t>a note by the Executive Secretary (CBD/</w:t>
      </w:r>
      <w:r w:rsidR="00E17976">
        <w:rPr>
          <w:rFonts w:eastAsia="MS Mincho"/>
          <w:szCs w:val="22"/>
        </w:rPr>
        <w:t>CHM</w:t>
      </w:r>
      <w:r w:rsidR="00E17976" w:rsidRPr="00765EA6">
        <w:rPr>
          <w:rFonts w:eastAsia="MS Mincho"/>
          <w:szCs w:val="22"/>
        </w:rPr>
        <w:t>/</w:t>
      </w:r>
      <w:r w:rsidR="00E17976">
        <w:rPr>
          <w:rFonts w:eastAsia="MS Mincho"/>
          <w:szCs w:val="22"/>
        </w:rPr>
        <w:t>2019</w:t>
      </w:r>
      <w:r w:rsidR="00E17976" w:rsidRPr="00765EA6">
        <w:rPr>
          <w:rFonts w:eastAsia="MS Mincho"/>
          <w:szCs w:val="22"/>
        </w:rPr>
        <w:t>/</w:t>
      </w:r>
      <w:r w:rsidR="00E17976">
        <w:rPr>
          <w:rFonts w:eastAsia="MS Mincho"/>
          <w:szCs w:val="22"/>
        </w:rPr>
        <w:t>1/</w:t>
      </w:r>
      <w:r w:rsidR="00E17976" w:rsidRPr="00765EA6">
        <w:rPr>
          <w:rFonts w:eastAsia="MS Mincho"/>
          <w:szCs w:val="22"/>
        </w:rPr>
        <w:t>2)</w:t>
      </w:r>
      <w:r w:rsidR="00707E6D">
        <w:rPr>
          <w:rFonts w:eastAsia="MS Mincho"/>
          <w:szCs w:val="22"/>
        </w:rPr>
        <w:t xml:space="preserve">. As well, the Secretariat provided a verbal update of the enhancements made to the tool in support of the online submission of the sixth </w:t>
      </w:r>
      <w:r w:rsidR="00C442A5">
        <w:rPr>
          <w:rFonts w:eastAsia="MS Mincho"/>
          <w:szCs w:val="22"/>
        </w:rPr>
        <w:t>n</w:t>
      </w:r>
      <w:r w:rsidR="00707E6D">
        <w:rPr>
          <w:rFonts w:eastAsia="MS Mincho"/>
          <w:szCs w:val="22"/>
        </w:rPr>
        <w:t xml:space="preserve">ational </w:t>
      </w:r>
      <w:r w:rsidR="00C442A5">
        <w:rPr>
          <w:rFonts w:eastAsia="MS Mincho"/>
          <w:szCs w:val="22"/>
        </w:rPr>
        <w:t>r</w:t>
      </w:r>
      <w:r w:rsidR="00707E6D">
        <w:rPr>
          <w:rFonts w:eastAsia="MS Mincho"/>
          <w:szCs w:val="22"/>
        </w:rPr>
        <w:t xml:space="preserve">eports.  </w:t>
      </w:r>
      <w:r w:rsidR="00182CE6">
        <w:rPr>
          <w:rFonts w:eastAsia="MS Mincho"/>
          <w:szCs w:val="22"/>
        </w:rPr>
        <w:t xml:space="preserve">Some of the enhancements included enabling Parties to share draft versions of their report with anonymous users which allowed for multiple updates. Another feature was to allow a Party </w:t>
      </w:r>
      <w:r w:rsidR="00182CE6">
        <w:rPr>
          <w:rFonts w:eastAsia="MS Mincho"/>
          <w:szCs w:val="22"/>
        </w:rPr>
        <w:lastRenderedPageBreak/>
        <w:t xml:space="preserve">to publish this as one document instead of a series of documents. </w:t>
      </w:r>
      <w:r>
        <w:rPr>
          <w:rFonts w:eastAsia="MS Mincho"/>
          <w:szCs w:val="22"/>
        </w:rPr>
        <w:t>The Secretariat reported that it had by then received 60 reports online and 20 offline</w:t>
      </w:r>
      <w:r w:rsidRPr="00396D11">
        <w:rPr>
          <w:szCs w:val="22"/>
        </w:rPr>
        <w:t>.</w:t>
      </w:r>
    </w:p>
    <w:p w:rsidR="00AE1BE7" w:rsidRDefault="00182CE6" w:rsidP="00060335">
      <w:pPr>
        <w:pStyle w:val="Para1"/>
        <w:numPr>
          <w:ilvl w:val="0"/>
          <w:numId w:val="2"/>
        </w:numPr>
        <w:tabs>
          <w:tab w:val="clear" w:pos="360"/>
        </w:tabs>
        <w:rPr>
          <w:szCs w:val="22"/>
        </w:rPr>
      </w:pPr>
      <w:r>
        <w:rPr>
          <w:rFonts w:eastAsia="MS Mincho"/>
          <w:szCs w:val="22"/>
        </w:rPr>
        <w:t xml:space="preserve">Committee members shared their </w:t>
      </w:r>
      <w:r w:rsidR="00B363F0">
        <w:rPr>
          <w:rFonts w:eastAsia="MS Mincho"/>
          <w:szCs w:val="22"/>
        </w:rPr>
        <w:t>experience</w:t>
      </w:r>
      <w:r>
        <w:rPr>
          <w:rFonts w:eastAsia="MS Mincho"/>
          <w:szCs w:val="22"/>
        </w:rPr>
        <w:t xml:space="preserve"> </w:t>
      </w:r>
      <w:r w:rsidR="005F1411">
        <w:rPr>
          <w:rFonts w:eastAsia="MS Mincho"/>
          <w:szCs w:val="22"/>
        </w:rPr>
        <w:t xml:space="preserve">in using the tool to submit their sixth </w:t>
      </w:r>
      <w:r w:rsidR="00C442A5">
        <w:rPr>
          <w:rFonts w:eastAsia="MS Mincho"/>
          <w:szCs w:val="22"/>
        </w:rPr>
        <w:t>n</w:t>
      </w:r>
      <w:r w:rsidR="005F1411">
        <w:rPr>
          <w:rFonts w:eastAsia="MS Mincho"/>
          <w:szCs w:val="22"/>
        </w:rPr>
        <w:t xml:space="preserve">ational </w:t>
      </w:r>
      <w:r w:rsidR="00C442A5">
        <w:rPr>
          <w:rFonts w:eastAsia="MS Mincho"/>
          <w:szCs w:val="22"/>
        </w:rPr>
        <w:t>r</w:t>
      </w:r>
      <w:r w:rsidR="005F1411">
        <w:rPr>
          <w:rFonts w:eastAsia="MS Mincho"/>
          <w:szCs w:val="22"/>
        </w:rPr>
        <w:t>eports</w:t>
      </w:r>
      <w:r w:rsidR="00B363F0">
        <w:rPr>
          <w:rFonts w:eastAsia="MS Mincho"/>
          <w:szCs w:val="22"/>
        </w:rPr>
        <w:t>, including the technical difficulties encountered</w:t>
      </w:r>
      <w:r w:rsidR="005F1411">
        <w:rPr>
          <w:rFonts w:eastAsia="MS Mincho"/>
          <w:szCs w:val="22"/>
        </w:rPr>
        <w:t>. This feedback provided the basis of the recommendation to the Executive Secretary on this agenda sub-item.</w:t>
      </w:r>
    </w:p>
    <w:p w:rsidR="005F1411" w:rsidRPr="00427D21" w:rsidRDefault="005F1411" w:rsidP="005F1411">
      <w:pPr>
        <w:pStyle w:val="Heading2"/>
        <w:numPr>
          <w:ilvl w:val="1"/>
          <w:numId w:val="29"/>
        </w:numPr>
      </w:pPr>
      <w:r>
        <w:t>Interoperability</w:t>
      </w:r>
    </w:p>
    <w:p w:rsidR="005F1411" w:rsidRDefault="00F85142" w:rsidP="00060335">
      <w:pPr>
        <w:pStyle w:val="Para1"/>
        <w:numPr>
          <w:ilvl w:val="0"/>
          <w:numId w:val="2"/>
        </w:numPr>
        <w:tabs>
          <w:tab w:val="clear" w:pos="360"/>
        </w:tabs>
        <w:rPr>
          <w:szCs w:val="22"/>
        </w:rPr>
      </w:pPr>
      <w:r>
        <w:rPr>
          <w:szCs w:val="22"/>
        </w:rPr>
        <w:t>T</w:t>
      </w:r>
      <w:r w:rsidR="005F1411">
        <w:rPr>
          <w:szCs w:val="22"/>
        </w:rPr>
        <w:t>he Secretariat</w:t>
      </w:r>
      <w:r w:rsidR="00B825CB">
        <w:rPr>
          <w:szCs w:val="22"/>
        </w:rPr>
        <w:t>, referring to</w:t>
      </w:r>
      <w:r>
        <w:rPr>
          <w:szCs w:val="22"/>
        </w:rPr>
        <w:t xml:space="preserve"> the information provided in</w:t>
      </w:r>
      <w:r w:rsidR="00B825CB">
        <w:rPr>
          <w:szCs w:val="22"/>
        </w:rPr>
        <w:t xml:space="preserve"> </w:t>
      </w:r>
      <w:r>
        <w:rPr>
          <w:rFonts w:eastAsia="MS Mincho"/>
          <w:szCs w:val="22"/>
        </w:rPr>
        <w:t xml:space="preserve">document </w:t>
      </w:r>
      <w:r w:rsidR="00B825CB" w:rsidRPr="00765EA6">
        <w:rPr>
          <w:rFonts w:eastAsia="MS Mincho"/>
          <w:szCs w:val="22"/>
        </w:rPr>
        <w:t>CBD/</w:t>
      </w:r>
      <w:r w:rsidR="00B825CB">
        <w:rPr>
          <w:rFonts w:eastAsia="MS Mincho"/>
          <w:szCs w:val="22"/>
        </w:rPr>
        <w:t>CHM</w:t>
      </w:r>
      <w:r w:rsidR="00B825CB" w:rsidRPr="00765EA6">
        <w:rPr>
          <w:rFonts w:eastAsia="MS Mincho"/>
          <w:szCs w:val="22"/>
        </w:rPr>
        <w:t>/</w:t>
      </w:r>
      <w:r w:rsidR="00B825CB">
        <w:rPr>
          <w:rFonts w:eastAsia="MS Mincho"/>
          <w:szCs w:val="22"/>
        </w:rPr>
        <w:t>2019</w:t>
      </w:r>
      <w:r w:rsidR="00B825CB" w:rsidRPr="00765EA6">
        <w:rPr>
          <w:rFonts w:eastAsia="MS Mincho"/>
          <w:szCs w:val="22"/>
        </w:rPr>
        <w:t>/</w:t>
      </w:r>
      <w:r w:rsidR="00B825CB">
        <w:rPr>
          <w:rFonts w:eastAsia="MS Mincho"/>
          <w:szCs w:val="22"/>
        </w:rPr>
        <w:t>1/</w:t>
      </w:r>
      <w:r w:rsidR="00B825CB" w:rsidRPr="00765EA6">
        <w:rPr>
          <w:rFonts w:eastAsia="MS Mincho"/>
          <w:szCs w:val="22"/>
        </w:rPr>
        <w:t>2</w:t>
      </w:r>
      <w:r w:rsidR="00B825CB">
        <w:rPr>
          <w:rFonts w:eastAsia="MS Mincho"/>
          <w:szCs w:val="22"/>
        </w:rPr>
        <w:t>,</w:t>
      </w:r>
      <w:r w:rsidR="005F1411">
        <w:rPr>
          <w:szCs w:val="22"/>
        </w:rPr>
        <w:t xml:space="preserve"> noted </w:t>
      </w:r>
      <w:r w:rsidR="00B41CA7">
        <w:rPr>
          <w:szCs w:val="22"/>
        </w:rPr>
        <w:t>t</w:t>
      </w:r>
      <w:r w:rsidR="005F1411">
        <w:rPr>
          <w:szCs w:val="22"/>
        </w:rPr>
        <w:t xml:space="preserve">he progress in the </w:t>
      </w:r>
      <w:r>
        <w:rPr>
          <w:szCs w:val="22"/>
        </w:rPr>
        <w:t xml:space="preserve">development and </w:t>
      </w:r>
      <w:r w:rsidR="00B41CA7">
        <w:rPr>
          <w:szCs w:val="22"/>
        </w:rPr>
        <w:t xml:space="preserve">use of </w:t>
      </w:r>
      <w:r>
        <w:rPr>
          <w:szCs w:val="22"/>
        </w:rPr>
        <w:t xml:space="preserve">the </w:t>
      </w:r>
      <w:r w:rsidR="00B41CA7" w:rsidRPr="00B41CA7">
        <w:rPr>
          <w:szCs w:val="22"/>
        </w:rPr>
        <w:t>Application Programming Interface (API)</w:t>
      </w:r>
      <w:r>
        <w:rPr>
          <w:szCs w:val="22"/>
        </w:rPr>
        <w:t>. It</w:t>
      </w:r>
      <w:r w:rsidR="00B41CA7" w:rsidRPr="00B41CA7">
        <w:rPr>
          <w:szCs w:val="22"/>
        </w:rPr>
        <w:t> </w:t>
      </w:r>
      <w:r w:rsidR="00B41CA7">
        <w:rPr>
          <w:szCs w:val="22"/>
        </w:rPr>
        <w:t xml:space="preserve">was </w:t>
      </w:r>
      <w:r>
        <w:rPr>
          <w:szCs w:val="22"/>
        </w:rPr>
        <w:t xml:space="preserve">reported that </w:t>
      </w:r>
      <w:r w:rsidR="00B41CA7">
        <w:rPr>
          <w:szCs w:val="22"/>
        </w:rPr>
        <w:t xml:space="preserve">several Parties </w:t>
      </w:r>
      <w:r>
        <w:rPr>
          <w:szCs w:val="22"/>
        </w:rPr>
        <w:t xml:space="preserve">were using the API developed by the Secretariat </w:t>
      </w:r>
      <w:r w:rsidR="00B41CA7">
        <w:rPr>
          <w:szCs w:val="22"/>
        </w:rPr>
        <w:t>on their Access and Benefit</w:t>
      </w:r>
      <w:r w:rsidR="00C442A5">
        <w:rPr>
          <w:szCs w:val="22"/>
        </w:rPr>
        <w:t>-</w:t>
      </w:r>
      <w:r w:rsidR="00B41CA7">
        <w:rPr>
          <w:szCs w:val="22"/>
        </w:rPr>
        <w:t xml:space="preserve">Sharing Clearing-house. In </w:t>
      </w:r>
      <w:r w:rsidR="00400096">
        <w:rPr>
          <w:szCs w:val="22"/>
        </w:rPr>
        <w:t xml:space="preserve">the </w:t>
      </w:r>
      <w:r w:rsidR="00B41CA7">
        <w:rPr>
          <w:szCs w:val="22"/>
        </w:rPr>
        <w:t>subsequent discussion</w:t>
      </w:r>
      <w:r w:rsidR="00C442A5">
        <w:rPr>
          <w:szCs w:val="22"/>
        </w:rPr>
        <w:t>,</w:t>
      </w:r>
      <w:r w:rsidR="00B41CA7">
        <w:rPr>
          <w:szCs w:val="22"/>
        </w:rPr>
        <w:t xml:space="preserve"> Committee</w:t>
      </w:r>
      <w:r w:rsidR="00400096">
        <w:rPr>
          <w:szCs w:val="22"/>
        </w:rPr>
        <w:t xml:space="preserve"> members</w:t>
      </w:r>
      <w:r w:rsidR="00B41CA7">
        <w:rPr>
          <w:szCs w:val="22"/>
        </w:rPr>
        <w:t xml:space="preserve"> noted that the API available through </w:t>
      </w:r>
      <w:proofErr w:type="spellStart"/>
      <w:r w:rsidR="00B41CA7">
        <w:rPr>
          <w:szCs w:val="22"/>
        </w:rPr>
        <w:t>InforMEA</w:t>
      </w:r>
      <w:proofErr w:type="spellEnd"/>
      <w:r w:rsidR="00B41CA7">
        <w:rPr>
          <w:szCs w:val="22"/>
        </w:rPr>
        <w:t xml:space="preserve"> and </w:t>
      </w:r>
      <w:proofErr w:type="spellStart"/>
      <w:r w:rsidR="00B41CA7">
        <w:rPr>
          <w:szCs w:val="22"/>
        </w:rPr>
        <w:t>Bioland</w:t>
      </w:r>
      <w:proofErr w:type="spellEnd"/>
      <w:r w:rsidR="00B41CA7">
        <w:rPr>
          <w:szCs w:val="22"/>
        </w:rPr>
        <w:t xml:space="preserve"> still need</w:t>
      </w:r>
      <w:r w:rsidR="00C442A5">
        <w:rPr>
          <w:szCs w:val="22"/>
        </w:rPr>
        <w:t>ed</w:t>
      </w:r>
      <w:r w:rsidR="00B41CA7">
        <w:rPr>
          <w:szCs w:val="22"/>
        </w:rPr>
        <w:t xml:space="preserve"> further work.</w:t>
      </w:r>
    </w:p>
    <w:p w:rsidR="00B41CA7" w:rsidRDefault="00B41CA7" w:rsidP="00B41CA7">
      <w:pPr>
        <w:pStyle w:val="Heading2"/>
        <w:numPr>
          <w:ilvl w:val="1"/>
          <w:numId w:val="29"/>
        </w:numPr>
      </w:pPr>
      <w:r>
        <w:t>Support to national clearing-house mechanisms</w:t>
      </w:r>
    </w:p>
    <w:p w:rsidR="00A9024C" w:rsidRDefault="00400096" w:rsidP="00060335">
      <w:pPr>
        <w:pStyle w:val="Para1"/>
        <w:numPr>
          <w:ilvl w:val="0"/>
          <w:numId w:val="2"/>
        </w:numPr>
        <w:tabs>
          <w:tab w:val="clear" w:pos="360"/>
        </w:tabs>
        <w:rPr>
          <w:szCs w:val="22"/>
        </w:rPr>
      </w:pPr>
      <w:r>
        <w:rPr>
          <w:rFonts w:eastAsia="MS Mincho"/>
          <w:szCs w:val="22"/>
        </w:rPr>
        <w:t>T</w:t>
      </w:r>
      <w:r w:rsidR="00B41CA7" w:rsidRPr="00A9024C">
        <w:rPr>
          <w:szCs w:val="22"/>
        </w:rPr>
        <w:t xml:space="preserve">he Secretariat introduced this item with a presentation on the current status of the ongoing development of the </w:t>
      </w:r>
      <w:proofErr w:type="spellStart"/>
      <w:r w:rsidR="00B41CA7" w:rsidRPr="00A9024C">
        <w:rPr>
          <w:szCs w:val="22"/>
        </w:rPr>
        <w:t>Bioland</w:t>
      </w:r>
      <w:proofErr w:type="spellEnd"/>
      <w:r w:rsidR="00B41CA7" w:rsidRPr="00A9024C">
        <w:rPr>
          <w:szCs w:val="22"/>
        </w:rPr>
        <w:t xml:space="preserve"> tool</w:t>
      </w:r>
      <w:r>
        <w:rPr>
          <w:szCs w:val="22"/>
        </w:rPr>
        <w:t xml:space="preserve">, supplementing </w:t>
      </w:r>
      <w:r w:rsidRPr="00A9024C">
        <w:rPr>
          <w:szCs w:val="22"/>
        </w:rPr>
        <w:t xml:space="preserve">the information provided in </w:t>
      </w:r>
      <w:r>
        <w:rPr>
          <w:szCs w:val="22"/>
        </w:rPr>
        <w:t xml:space="preserve">document </w:t>
      </w:r>
      <w:r w:rsidRPr="00A9024C">
        <w:rPr>
          <w:rFonts w:eastAsia="MS Mincho"/>
          <w:szCs w:val="22"/>
        </w:rPr>
        <w:t>CBD/CHM/2019/1/2</w:t>
      </w:r>
      <w:r w:rsidR="00B41CA7" w:rsidRPr="00A9024C">
        <w:rPr>
          <w:szCs w:val="22"/>
        </w:rPr>
        <w:t xml:space="preserve">. </w:t>
      </w:r>
      <w:r>
        <w:rPr>
          <w:szCs w:val="22"/>
        </w:rPr>
        <w:t xml:space="preserve">It was reported that the </w:t>
      </w:r>
      <w:proofErr w:type="spellStart"/>
      <w:r w:rsidR="00B41CA7" w:rsidRPr="00A9024C">
        <w:rPr>
          <w:szCs w:val="22"/>
        </w:rPr>
        <w:t>subregion</w:t>
      </w:r>
      <w:r>
        <w:rPr>
          <w:szCs w:val="22"/>
        </w:rPr>
        <w:t>al</w:t>
      </w:r>
      <w:proofErr w:type="spellEnd"/>
      <w:r w:rsidR="00B41CA7" w:rsidRPr="00A9024C">
        <w:rPr>
          <w:szCs w:val="22"/>
        </w:rPr>
        <w:t xml:space="preserve"> work</w:t>
      </w:r>
      <w:r>
        <w:rPr>
          <w:szCs w:val="22"/>
        </w:rPr>
        <w:t xml:space="preserve">shop </w:t>
      </w:r>
      <w:r w:rsidRPr="00400096">
        <w:rPr>
          <w:szCs w:val="22"/>
        </w:rPr>
        <w:t>on National Clearing-House Mechanisms for Member States of the Gulf Cooperation Council</w:t>
      </w:r>
      <w:r w:rsidRPr="00400096" w:rsidDel="00400096">
        <w:rPr>
          <w:szCs w:val="22"/>
        </w:rPr>
        <w:t xml:space="preserve"> </w:t>
      </w:r>
      <w:r>
        <w:rPr>
          <w:szCs w:val="22"/>
        </w:rPr>
        <w:t>held</w:t>
      </w:r>
      <w:r w:rsidR="00B41CA7" w:rsidRPr="00A9024C">
        <w:rPr>
          <w:szCs w:val="22"/>
        </w:rPr>
        <w:t xml:space="preserve"> in Saudi Arabia in April 2019 provided useful feedback for version</w:t>
      </w:r>
      <w:r>
        <w:rPr>
          <w:szCs w:val="22"/>
        </w:rPr>
        <w:t xml:space="preserve"> 3</w:t>
      </w:r>
      <w:r w:rsidRPr="00400096">
        <w:t xml:space="preserve"> </w:t>
      </w:r>
      <w:r w:rsidRPr="00400096">
        <w:rPr>
          <w:szCs w:val="22"/>
        </w:rPr>
        <w:t xml:space="preserve">of the </w:t>
      </w:r>
      <w:proofErr w:type="spellStart"/>
      <w:r w:rsidRPr="00400096">
        <w:rPr>
          <w:szCs w:val="22"/>
        </w:rPr>
        <w:t>Bioland</w:t>
      </w:r>
      <w:proofErr w:type="spellEnd"/>
      <w:r w:rsidRPr="00400096">
        <w:rPr>
          <w:szCs w:val="22"/>
        </w:rPr>
        <w:t xml:space="preserve"> tool</w:t>
      </w:r>
      <w:r w:rsidR="000524C7">
        <w:rPr>
          <w:szCs w:val="22"/>
        </w:rPr>
        <w:t xml:space="preserve">, including on the new </w:t>
      </w:r>
      <w:r w:rsidR="00440622">
        <w:rPr>
          <w:szCs w:val="22"/>
        </w:rPr>
        <w:t>“</w:t>
      </w:r>
      <w:r w:rsidR="00B41CA7" w:rsidRPr="00A9024C">
        <w:rPr>
          <w:szCs w:val="22"/>
        </w:rPr>
        <w:t>contributor role</w:t>
      </w:r>
      <w:r w:rsidR="00440622">
        <w:rPr>
          <w:szCs w:val="22"/>
        </w:rPr>
        <w:t>”</w:t>
      </w:r>
      <w:r w:rsidR="000524C7">
        <w:rPr>
          <w:szCs w:val="22"/>
        </w:rPr>
        <w:t xml:space="preserve"> feature</w:t>
      </w:r>
      <w:r w:rsidR="00165278">
        <w:rPr>
          <w:rStyle w:val="FootnoteReference"/>
          <w:szCs w:val="22"/>
        </w:rPr>
        <w:footnoteReference w:id="7"/>
      </w:r>
      <w:r w:rsidR="001E08C4">
        <w:rPr>
          <w:szCs w:val="22"/>
        </w:rPr>
        <w:t xml:space="preserve"> and on the </w:t>
      </w:r>
      <w:r w:rsidR="00404D26">
        <w:rPr>
          <w:szCs w:val="22"/>
        </w:rPr>
        <w:t>translation features.</w:t>
      </w:r>
    </w:p>
    <w:p w:rsidR="00A9024C" w:rsidRDefault="00A9024C" w:rsidP="00060335">
      <w:pPr>
        <w:pStyle w:val="Para1"/>
        <w:numPr>
          <w:ilvl w:val="0"/>
          <w:numId w:val="2"/>
        </w:numPr>
        <w:tabs>
          <w:tab w:val="clear" w:pos="360"/>
        </w:tabs>
        <w:rPr>
          <w:szCs w:val="22"/>
        </w:rPr>
      </w:pPr>
      <w:r>
        <w:rPr>
          <w:szCs w:val="22"/>
        </w:rPr>
        <w:t xml:space="preserve">Another recent development </w:t>
      </w:r>
      <w:r w:rsidR="00440622">
        <w:rPr>
          <w:szCs w:val="22"/>
        </w:rPr>
        <w:t xml:space="preserve">reported </w:t>
      </w:r>
      <w:r>
        <w:rPr>
          <w:szCs w:val="22"/>
        </w:rPr>
        <w:t xml:space="preserve">was the approval </w:t>
      </w:r>
      <w:r w:rsidR="00C91E1D">
        <w:rPr>
          <w:szCs w:val="22"/>
        </w:rPr>
        <w:t xml:space="preserve">by </w:t>
      </w:r>
      <w:r w:rsidR="000524C7" w:rsidRPr="00165278">
        <w:rPr>
          <w:szCs w:val="22"/>
        </w:rPr>
        <w:t>the</w:t>
      </w:r>
      <w:r w:rsidR="00043B42" w:rsidRPr="00165278">
        <w:rPr>
          <w:szCs w:val="22"/>
        </w:rPr>
        <w:t xml:space="preserve"> </w:t>
      </w:r>
      <w:r w:rsidRPr="00165278">
        <w:rPr>
          <w:szCs w:val="22"/>
        </w:rPr>
        <w:t>Global Biodiversity Information Facility</w:t>
      </w:r>
      <w:r w:rsidR="00440622" w:rsidRPr="00165278">
        <w:rPr>
          <w:szCs w:val="22"/>
        </w:rPr>
        <w:t xml:space="preserve"> (</w:t>
      </w:r>
      <w:proofErr w:type="spellStart"/>
      <w:r w:rsidR="00440622" w:rsidRPr="00165278">
        <w:rPr>
          <w:szCs w:val="22"/>
        </w:rPr>
        <w:t>GBIF</w:t>
      </w:r>
      <w:proofErr w:type="spellEnd"/>
      <w:r w:rsidR="00440622" w:rsidRPr="00165278">
        <w:rPr>
          <w:szCs w:val="22"/>
        </w:rPr>
        <w:t>)</w:t>
      </w:r>
      <w:r w:rsidRPr="00165278">
        <w:rPr>
          <w:szCs w:val="22"/>
        </w:rPr>
        <w:t xml:space="preserve"> </w:t>
      </w:r>
      <w:r w:rsidR="000524C7" w:rsidRPr="00165278">
        <w:rPr>
          <w:szCs w:val="22"/>
        </w:rPr>
        <w:t>of the project</w:t>
      </w:r>
      <w:r w:rsidR="00165278">
        <w:rPr>
          <w:szCs w:val="22"/>
        </w:rPr>
        <w:t>:</w:t>
      </w:r>
      <w:r w:rsidR="00043B42">
        <w:rPr>
          <w:szCs w:val="22"/>
        </w:rPr>
        <w:t xml:space="preserve"> “U</w:t>
      </w:r>
      <w:r>
        <w:rPr>
          <w:szCs w:val="22"/>
        </w:rPr>
        <w:t xml:space="preserve">se </w:t>
      </w:r>
      <w:r w:rsidR="00C91E1D">
        <w:rPr>
          <w:szCs w:val="22"/>
        </w:rPr>
        <w:t xml:space="preserve">of </w:t>
      </w:r>
      <w:r>
        <w:rPr>
          <w:szCs w:val="22"/>
        </w:rPr>
        <w:t>the clearing-house mechanism infrastructure and network to strengthen biodiversity data acquisition and data sharing</w:t>
      </w:r>
      <w:r w:rsidR="00043B42">
        <w:rPr>
          <w:szCs w:val="22"/>
        </w:rPr>
        <w:t>”</w:t>
      </w:r>
      <w:r>
        <w:rPr>
          <w:szCs w:val="22"/>
        </w:rPr>
        <w:t xml:space="preserve">. </w:t>
      </w:r>
      <w:r w:rsidR="007F5C79">
        <w:rPr>
          <w:szCs w:val="22"/>
        </w:rPr>
        <w:t xml:space="preserve">The project </w:t>
      </w:r>
      <w:r w:rsidR="005455A5">
        <w:rPr>
          <w:szCs w:val="22"/>
        </w:rPr>
        <w:t>would</w:t>
      </w:r>
      <w:r w:rsidR="005455A5">
        <w:rPr>
          <w:szCs w:val="22"/>
        </w:rPr>
        <w:t xml:space="preserve"> </w:t>
      </w:r>
      <w:r w:rsidR="007F5C79">
        <w:rPr>
          <w:szCs w:val="22"/>
        </w:rPr>
        <w:t xml:space="preserve">be implemented </w:t>
      </w:r>
      <w:r w:rsidR="000524C7">
        <w:rPr>
          <w:szCs w:val="22"/>
        </w:rPr>
        <w:t xml:space="preserve">by </w:t>
      </w:r>
      <w:r w:rsidR="00043B42" w:rsidRPr="00043B42">
        <w:rPr>
          <w:szCs w:val="22"/>
        </w:rPr>
        <w:t>France (</w:t>
      </w:r>
      <w:proofErr w:type="spellStart"/>
      <w:r w:rsidR="00043B42" w:rsidRPr="00043B42">
        <w:rPr>
          <w:szCs w:val="22"/>
        </w:rPr>
        <w:t>Muséum</w:t>
      </w:r>
      <w:proofErr w:type="spellEnd"/>
      <w:r w:rsidR="00043B42" w:rsidRPr="00043B42">
        <w:rPr>
          <w:szCs w:val="22"/>
        </w:rPr>
        <w:t xml:space="preserve"> National </w:t>
      </w:r>
      <w:proofErr w:type="spellStart"/>
      <w:r w:rsidR="00043B42" w:rsidRPr="00043B42">
        <w:rPr>
          <w:szCs w:val="22"/>
        </w:rPr>
        <w:t>d’Histoire</w:t>
      </w:r>
      <w:proofErr w:type="spellEnd"/>
      <w:r w:rsidR="00043B42" w:rsidRPr="00043B42">
        <w:rPr>
          <w:szCs w:val="22"/>
        </w:rPr>
        <w:t xml:space="preserve"> Naturelle) </w:t>
      </w:r>
      <w:r w:rsidR="000524C7">
        <w:rPr>
          <w:szCs w:val="22"/>
        </w:rPr>
        <w:t xml:space="preserve">and </w:t>
      </w:r>
      <w:r w:rsidR="00043B42" w:rsidRPr="00043B42">
        <w:rPr>
          <w:szCs w:val="22"/>
        </w:rPr>
        <w:t xml:space="preserve">Belgium (Royal Institute of Natural Sciences) </w:t>
      </w:r>
      <w:r w:rsidR="000524C7">
        <w:rPr>
          <w:szCs w:val="22"/>
        </w:rPr>
        <w:t xml:space="preserve">with support </w:t>
      </w:r>
      <w:r w:rsidR="005455A5">
        <w:rPr>
          <w:szCs w:val="22"/>
        </w:rPr>
        <w:t>from</w:t>
      </w:r>
      <w:r w:rsidR="005455A5">
        <w:rPr>
          <w:szCs w:val="22"/>
        </w:rPr>
        <w:t xml:space="preserve"> </w:t>
      </w:r>
      <w:r w:rsidR="00043B42" w:rsidRPr="00043B42">
        <w:rPr>
          <w:szCs w:val="22"/>
        </w:rPr>
        <w:t>the CBD Secretariat</w:t>
      </w:r>
      <w:r w:rsidR="00043B42">
        <w:rPr>
          <w:szCs w:val="22"/>
        </w:rPr>
        <w:t>.</w:t>
      </w:r>
      <w:r w:rsidR="00AC4C38">
        <w:rPr>
          <w:szCs w:val="22"/>
        </w:rPr>
        <w:t xml:space="preserve"> </w:t>
      </w:r>
      <w:r w:rsidR="007F5C79">
        <w:rPr>
          <w:szCs w:val="22"/>
        </w:rPr>
        <w:t>Th</w:t>
      </w:r>
      <w:r w:rsidR="00043B42">
        <w:rPr>
          <w:szCs w:val="22"/>
        </w:rPr>
        <w:t>rough the p</w:t>
      </w:r>
      <w:r w:rsidR="007F5C79">
        <w:rPr>
          <w:szCs w:val="22"/>
        </w:rPr>
        <w:t>roject</w:t>
      </w:r>
      <w:r w:rsidR="00987A4E">
        <w:rPr>
          <w:szCs w:val="22"/>
        </w:rPr>
        <w:t>,</w:t>
      </w:r>
      <w:r>
        <w:rPr>
          <w:szCs w:val="22"/>
        </w:rPr>
        <w:t xml:space="preserve"> 10 Parties</w:t>
      </w:r>
      <w:r w:rsidR="00043B42">
        <w:rPr>
          <w:rStyle w:val="FootnoteReference"/>
          <w:szCs w:val="22"/>
        </w:rPr>
        <w:footnoteReference w:id="8"/>
      </w:r>
      <w:r>
        <w:rPr>
          <w:szCs w:val="22"/>
        </w:rPr>
        <w:t xml:space="preserve"> </w:t>
      </w:r>
      <w:r w:rsidR="005455A5">
        <w:rPr>
          <w:szCs w:val="22"/>
        </w:rPr>
        <w:t>would</w:t>
      </w:r>
      <w:r w:rsidR="005455A5">
        <w:rPr>
          <w:szCs w:val="22"/>
        </w:rPr>
        <w:t xml:space="preserve"> </w:t>
      </w:r>
      <w:r>
        <w:rPr>
          <w:szCs w:val="22"/>
        </w:rPr>
        <w:t>migrate their existing national clearing-house mechanism</w:t>
      </w:r>
      <w:r w:rsidR="00790A90">
        <w:rPr>
          <w:szCs w:val="22"/>
        </w:rPr>
        <w:t xml:space="preserve"> website</w:t>
      </w:r>
      <w:r>
        <w:rPr>
          <w:szCs w:val="22"/>
        </w:rPr>
        <w:t xml:space="preserve">s to the </w:t>
      </w:r>
      <w:proofErr w:type="spellStart"/>
      <w:r>
        <w:rPr>
          <w:szCs w:val="22"/>
        </w:rPr>
        <w:t>Bioland</w:t>
      </w:r>
      <w:proofErr w:type="spellEnd"/>
      <w:r>
        <w:rPr>
          <w:szCs w:val="22"/>
        </w:rPr>
        <w:t xml:space="preserve"> tool</w:t>
      </w:r>
      <w:r w:rsidR="006F0ED4">
        <w:rPr>
          <w:szCs w:val="22"/>
        </w:rPr>
        <w:t>.</w:t>
      </w:r>
      <w:r w:rsidR="000524C7">
        <w:rPr>
          <w:szCs w:val="22"/>
        </w:rPr>
        <w:t xml:space="preserve"> </w:t>
      </w:r>
      <w:r w:rsidR="006F0ED4">
        <w:rPr>
          <w:szCs w:val="22"/>
        </w:rPr>
        <w:t>A</w:t>
      </w:r>
      <w:r w:rsidR="000524C7">
        <w:rPr>
          <w:szCs w:val="22"/>
        </w:rPr>
        <w:t>dditional</w:t>
      </w:r>
      <w:r>
        <w:rPr>
          <w:szCs w:val="22"/>
        </w:rPr>
        <w:t xml:space="preserve"> interoperability feature</w:t>
      </w:r>
      <w:r w:rsidR="000524C7">
        <w:rPr>
          <w:szCs w:val="22"/>
        </w:rPr>
        <w:t xml:space="preserve">s </w:t>
      </w:r>
      <w:r w:rsidR="005455A5">
        <w:rPr>
          <w:szCs w:val="22"/>
        </w:rPr>
        <w:t>would</w:t>
      </w:r>
      <w:r w:rsidR="005455A5">
        <w:rPr>
          <w:szCs w:val="22"/>
        </w:rPr>
        <w:t xml:space="preserve"> </w:t>
      </w:r>
      <w:r w:rsidR="000524C7">
        <w:rPr>
          <w:szCs w:val="22"/>
        </w:rPr>
        <w:t xml:space="preserve">be developed in </w:t>
      </w:r>
      <w:r w:rsidR="00165278">
        <w:rPr>
          <w:szCs w:val="22"/>
        </w:rPr>
        <w:t xml:space="preserve">the </w:t>
      </w:r>
      <w:proofErr w:type="spellStart"/>
      <w:r w:rsidR="000524C7">
        <w:rPr>
          <w:szCs w:val="22"/>
        </w:rPr>
        <w:t>Bioland</w:t>
      </w:r>
      <w:proofErr w:type="spellEnd"/>
      <w:r w:rsidR="00165278">
        <w:rPr>
          <w:szCs w:val="22"/>
        </w:rPr>
        <w:t xml:space="preserve"> tool</w:t>
      </w:r>
      <w:r>
        <w:rPr>
          <w:szCs w:val="22"/>
        </w:rPr>
        <w:t xml:space="preserve"> that </w:t>
      </w:r>
      <w:r w:rsidR="005455A5">
        <w:rPr>
          <w:szCs w:val="22"/>
        </w:rPr>
        <w:t>would</w:t>
      </w:r>
      <w:r w:rsidR="005455A5">
        <w:rPr>
          <w:szCs w:val="22"/>
        </w:rPr>
        <w:t xml:space="preserve"> </w:t>
      </w:r>
      <w:r>
        <w:rPr>
          <w:szCs w:val="22"/>
        </w:rPr>
        <w:t xml:space="preserve">allow for individual </w:t>
      </w:r>
      <w:r w:rsidR="00165278">
        <w:rPr>
          <w:szCs w:val="22"/>
        </w:rPr>
        <w:t>countries</w:t>
      </w:r>
      <w:r w:rsidR="00C16283">
        <w:rPr>
          <w:szCs w:val="22"/>
        </w:rPr>
        <w:t xml:space="preserve">’ </w:t>
      </w:r>
      <w:r>
        <w:rPr>
          <w:szCs w:val="22"/>
        </w:rPr>
        <w:t xml:space="preserve">biodiversity information from </w:t>
      </w:r>
      <w:proofErr w:type="spellStart"/>
      <w:r w:rsidR="00C91E1D">
        <w:rPr>
          <w:szCs w:val="22"/>
        </w:rPr>
        <w:t>GBIF</w:t>
      </w:r>
      <w:proofErr w:type="spellEnd"/>
      <w:r w:rsidR="00C91E1D">
        <w:rPr>
          <w:szCs w:val="22"/>
        </w:rPr>
        <w:t xml:space="preserve"> </w:t>
      </w:r>
      <w:r>
        <w:rPr>
          <w:szCs w:val="22"/>
        </w:rPr>
        <w:t xml:space="preserve">to display on their national </w:t>
      </w:r>
      <w:r w:rsidR="000524C7">
        <w:rPr>
          <w:szCs w:val="22"/>
        </w:rPr>
        <w:t>CHM website</w:t>
      </w:r>
      <w:r>
        <w:rPr>
          <w:szCs w:val="22"/>
        </w:rPr>
        <w:t>.</w:t>
      </w:r>
    </w:p>
    <w:p w:rsidR="00A9024C" w:rsidRDefault="00987A4E" w:rsidP="00060335">
      <w:pPr>
        <w:pStyle w:val="Para1"/>
        <w:numPr>
          <w:ilvl w:val="0"/>
          <w:numId w:val="2"/>
        </w:numPr>
        <w:tabs>
          <w:tab w:val="clear" w:pos="360"/>
        </w:tabs>
        <w:rPr>
          <w:szCs w:val="22"/>
        </w:rPr>
      </w:pPr>
      <w:r>
        <w:rPr>
          <w:szCs w:val="22"/>
        </w:rPr>
        <w:t xml:space="preserve">During the discussion, Committee </w:t>
      </w:r>
      <w:r w:rsidR="00A9024C">
        <w:rPr>
          <w:szCs w:val="22"/>
        </w:rPr>
        <w:t xml:space="preserve">members </w:t>
      </w:r>
      <w:r w:rsidR="001E554F">
        <w:rPr>
          <w:szCs w:val="22"/>
        </w:rPr>
        <w:t xml:space="preserve">expressed </w:t>
      </w:r>
      <w:r w:rsidR="00A9024C">
        <w:rPr>
          <w:szCs w:val="22"/>
        </w:rPr>
        <w:t xml:space="preserve">their disappointment that the </w:t>
      </w:r>
      <w:proofErr w:type="spellStart"/>
      <w:r w:rsidR="00A9024C">
        <w:rPr>
          <w:szCs w:val="22"/>
        </w:rPr>
        <w:t>Bioland</w:t>
      </w:r>
      <w:proofErr w:type="spellEnd"/>
      <w:r w:rsidR="00A9024C">
        <w:rPr>
          <w:szCs w:val="22"/>
        </w:rPr>
        <w:t xml:space="preserve"> sub-committee was not fully utilized in the development and testing of newer features</w:t>
      </w:r>
      <w:r>
        <w:rPr>
          <w:szCs w:val="22"/>
        </w:rPr>
        <w:t xml:space="preserve"> of the </w:t>
      </w:r>
      <w:proofErr w:type="spellStart"/>
      <w:r>
        <w:rPr>
          <w:szCs w:val="22"/>
        </w:rPr>
        <w:t>Bioland</w:t>
      </w:r>
      <w:proofErr w:type="spellEnd"/>
      <w:r>
        <w:rPr>
          <w:szCs w:val="22"/>
        </w:rPr>
        <w:t xml:space="preserve"> tool</w:t>
      </w:r>
      <w:r w:rsidR="00281C62">
        <w:rPr>
          <w:szCs w:val="22"/>
        </w:rPr>
        <w:t xml:space="preserve">. </w:t>
      </w:r>
      <w:r w:rsidR="00A9024C">
        <w:rPr>
          <w:szCs w:val="22"/>
        </w:rPr>
        <w:t xml:space="preserve">It was agreed that the sub-committee would further review and test the new features so that version 3 of the </w:t>
      </w:r>
      <w:proofErr w:type="spellStart"/>
      <w:r w:rsidR="00A9024C">
        <w:rPr>
          <w:szCs w:val="22"/>
        </w:rPr>
        <w:t>Bioland</w:t>
      </w:r>
      <w:proofErr w:type="spellEnd"/>
      <w:r w:rsidR="00A9024C">
        <w:rPr>
          <w:szCs w:val="22"/>
        </w:rPr>
        <w:t xml:space="preserve"> tool would be available as soon as possible.</w:t>
      </w:r>
      <w:r w:rsidR="000B3E21">
        <w:rPr>
          <w:szCs w:val="22"/>
        </w:rPr>
        <w:t xml:space="preserve">  A recommendation related to support to national clearing-house mechanisms </w:t>
      </w:r>
      <w:r w:rsidR="006F0F92">
        <w:rPr>
          <w:szCs w:val="22"/>
        </w:rPr>
        <w:t>is provided above.</w:t>
      </w:r>
    </w:p>
    <w:p w:rsidR="000B3E21" w:rsidRDefault="000B3E21" w:rsidP="000B3E21">
      <w:pPr>
        <w:pStyle w:val="Heading2"/>
        <w:numPr>
          <w:ilvl w:val="1"/>
          <w:numId w:val="29"/>
        </w:numPr>
      </w:pPr>
      <w:r>
        <w:t>Partners’ contributions to the clearing-house mechanism</w:t>
      </w:r>
    </w:p>
    <w:p w:rsidR="000B3E21" w:rsidRDefault="007727FE" w:rsidP="006F0F92">
      <w:pPr>
        <w:pStyle w:val="Para1"/>
        <w:numPr>
          <w:ilvl w:val="0"/>
          <w:numId w:val="2"/>
        </w:numPr>
        <w:tabs>
          <w:tab w:val="clear" w:pos="360"/>
        </w:tabs>
        <w:rPr>
          <w:szCs w:val="22"/>
        </w:rPr>
      </w:pPr>
      <w:r>
        <w:rPr>
          <w:szCs w:val="22"/>
        </w:rPr>
        <w:t>During the afternoon session</w:t>
      </w:r>
      <w:r w:rsidR="005455A5">
        <w:rPr>
          <w:szCs w:val="22"/>
        </w:rPr>
        <w:t>,</w:t>
      </w:r>
      <w:r>
        <w:rPr>
          <w:szCs w:val="22"/>
        </w:rPr>
        <w:t xml:space="preserve"> the </w:t>
      </w:r>
      <w:r w:rsidR="00AC4C38">
        <w:rPr>
          <w:szCs w:val="22"/>
        </w:rPr>
        <w:t>C</w:t>
      </w:r>
      <w:r>
        <w:rPr>
          <w:szCs w:val="22"/>
        </w:rPr>
        <w:t xml:space="preserve">ommittee heard reports from the partner members </w:t>
      </w:r>
      <w:r w:rsidR="000571E2">
        <w:rPr>
          <w:szCs w:val="22"/>
        </w:rPr>
        <w:t xml:space="preserve">and observers </w:t>
      </w:r>
      <w:r>
        <w:rPr>
          <w:szCs w:val="22"/>
        </w:rPr>
        <w:t>present</w:t>
      </w:r>
      <w:r w:rsidR="000571E2">
        <w:rPr>
          <w:szCs w:val="22"/>
        </w:rPr>
        <w:t xml:space="preserve"> regarding their recent activities </w:t>
      </w:r>
      <w:r w:rsidR="00D16F50">
        <w:rPr>
          <w:szCs w:val="22"/>
        </w:rPr>
        <w:t>supporting</w:t>
      </w:r>
      <w:r w:rsidR="00D16F50" w:rsidRPr="00D16F50">
        <w:rPr>
          <w:szCs w:val="22"/>
        </w:rPr>
        <w:t xml:space="preserve"> the clearing-house mechanism services </w:t>
      </w:r>
      <w:r w:rsidR="00D16F50">
        <w:rPr>
          <w:szCs w:val="22"/>
        </w:rPr>
        <w:t xml:space="preserve">and the development of </w:t>
      </w:r>
      <w:r w:rsidR="000571E2">
        <w:rPr>
          <w:szCs w:val="22"/>
        </w:rPr>
        <w:t>national clearing-house mechanisms</w:t>
      </w:r>
      <w:r>
        <w:rPr>
          <w:szCs w:val="22"/>
        </w:rPr>
        <w:t>.</w:t>
      </w:r>
    </w:p>
    <w:p w:rsidR="00D12E0B" w:rsidRPr="00B520CD" w:rsidRDefault="00D12E0B" w:rsidP="00B520CD">
      <w:pPr>
        <w:pStyle w:val="Para1"/>
        <w:numPr>
          <w:ilvl w:val="0"/>
          <w:numId w:val="2"/>
        </w:numPr>
        <w:tabs>
          <w:tab w:val="clear" w:pos="360"/>
        </w:tabs>
        <w:rPr>
          <w:szCs w:val="22"/>
        </w:rPr>
      </w:pPr>
      <w:r w:rsidRPr="00B520CD">
        <w:rPr>
          <w:szCs w:val="22"/>
        </w:rPr>
        <w:t xml:space="preserve">Mr. Tim Hirsch, Deputy Director, Head of Participation and Engagement </w:t>
      </w:r>
      <w:r w:rsidR="000571E2">
        <w:rPr>
          <w:szCs w:val="22"/>
        </w:rPr>
        <w:t xml:space="preserve">at </w:t>
      </w:r>
      <w:proofErr w:type="spellStart"/>
      <w:r w:rsidR="000571E2">
        <w:rPr>
          <w:szCs w:val="22"/>
        </w:rPr>
        <w:t>GBIF</w:t>
      </w:r>
      <w:proofErr w:type="spellEnd"/>
      <w:r w:rsidR="000571E2">
        <w:rPr>
          <w:szCs w:val="22"/>
        </w:rPr>
        <w:t xml:space="preserve">, who </w:t>
      </w:r>
      <w:r w:rsidR="00CA4389">
        <w:rPr>
          <w:szCs w:val="22"/>
        </w:rPr>
        <w:t>had been</w:t>
      </w:r>
      <w:r w:rsidR="00CA4389" w:rsidRPr="00B520CD">
        <w:rPr>
          <w:szCs w:val="22"/>
        </w:rPr>
        <w:t xml:space="preserve"> </w:t>
      </w:r>
      <w:r w:rsidR="000571E2" w:rsidRPr="00B520CD">
        <w:rPr>
          <w:szCs w:val="22"/>
        </w:rPr>
        <w:t>invited as an observer to th</w:t>
      </w:r>
      <w:r w:rsidR="00C442A5">
        <w:rPr>
          <w:szCs w:val="22"/>
        </w:rPr>
        <w:t>e</w:t>
      </w:r>
      <w:r w:rsidR="000571E2" w:rsidRPr="00B520CD">
        <w:rPr>
          <w:szCs w:val="22"/>
        </w:rPr>
        <w:t xml:space="preserve"> meeting</w:t>
      </w:r>
      <w:r w:rsidR="000571E2">
        <w:rPr>
          <w:szCs w:val="22"/>
        </w:rPr>
        <w:t>,</w:t>
      </w:r>
      <w:r w:rsidR="000571E2" w:rsidRPr="00B520CD" w:rsidDel="007F5C79">
        <w:rPr>
          <w:szCs w:val="22"/>
        </w:rPr>
        <w:t xml:space="preserve"> </w:t>
      </w:r>
      <w:r w:rsidR="0053097A">
        <w:rPr>
          <w:szCs w:val="22"/>
        </w:rPr>
        <w:t xml:space="preserve">described in more detail </w:t>
      </w:r>
      <w:r w:rsidRPr="00B520CD">
        <w:rPr>
          <w:szCs w:val="22"/>
        </w:rPr>
        <w:t xml:space="preserve">the </w:t>
      </w:r>
      <w:proofErr w:type="spellStart"/>
      <w:r w:rsidR="0053097A">
        <w:rPr>
          <w:szCs w:val="22"/>
        </w:rPr>
        <w:t>GBIF</w:t>
      </w:r>
      <w:proofErr w:type="spellEnd"/>
      <w:r w:rsidR="0053097A">
        <w:rPr>
          <w:szCs w:val="22"/>
        </w:rPr>
        <w:t xml:space="preserve"> </w:t>
      </w:r>
      <w:r w:rsidRPr="00B520CD">
        <w:rPr>
          <w:szCs w:val="22"/>
        </w:rPr>
        <w:t xml:space="preserve">project outlined in </w:t>
      </w:r>
      <w:r w:rsidRPr="008E3E9E">
        <w:rPr>
          <w:szCs w:val="22"/>
        </w:rPr>
        <w:t xml:space="preserve">paragraph </w:t>
      </w:r>
      <w:r w:rsidR="00C16283" w:rsidRPr="008E3E9E">
        <w:rPr>
          <w:szCs w:val="22"/>
        </w:rPr>
        <w:t>20</w:t>
      </w:r>
      <w:r w:rsidRPr="00B520CD">
        <w:rPr>
          <w:szCs w:val="22"/>
        </w:rPr>
        <w:t xml:space="preserve"> above.  </w:t>
      </w:r>
      <w:r w:rsidR="0053097A">
        <w:rPr>
          <w:szCs w:val="22"/>
        </w:rPr>
        <w:t xml:space="preserve">He </w:t>
      </w:r>
      <w:r w:rsidRPr="00B520CD">
        <w:rPr>
          <w:szCs w:val="22"/>
        </w:rPr>
        <w:t xml:space="preserve">noted that </w:t>
      </w:r>
      <w:r w:rsidR="0053097A">
        <w:rPr>
          <w:szCs w:val="22"/>
        </w:rPr>
        <w:t xml:space="preserve">the main </w:t>
      </w:r>
      <w:r w:rsidRPr="00B520CD">
        <w:rPr>
          <w:szCs w:val="22"/>
        </w:rPr>
        <w:t xml:space="preserve">objective of the project </w:t>
      </w:r>
      <w:r w:rsidR="0053097A">
        <w:rPr>
          <w:szCs w:val="22"/>
        </w:rPr>
        <w:t xml:space="preserve">was </w:t>
      </w:r>
      <w:r w:rsidRPr="00B520CD">
        <w:rPr>
          <w:szCs w:val="22"/>
        </w:rPr>
        <w:t xml:space="preserve">to establish closer links between the </w:t>
      </w:r>
      <w:proofErr w:type="spellStart"/>
      <w:r w:rsidR="0053097A">
        <w:rPr>
          <w:szCs w:val="22"/>
        </w:rPr>
        <w:t>GBIF</w:t>
      </w:r>
      <w:proofErr w:type="spellEnd"/>
      <w:r w:rsidR="0053097A">
        <w:rPr>
          <w:szCs w:val="22"/>
        </w:rPr>
        <w:t xml:space="preserve"> </w:t>
      </w:r>
      <w:r w:rsidRPr="00B520CD">
        <w:rPr>
          <w:szCs w:val="22"/>
        </w:rPr>
        <w:t>community and national nodes and the national clearing</w:t>
      </w:r>
      <w:r w:rsidR="00C442A5">
        <w:rPr>
          <w:szCs w:val="22"/>
        </w:rPr>
        <w:t>-</w:t>
      </w:r>
      <w:r w:rsidRPr="00B520CD">
        <w:rPr>
          <w:szCs w:val="22"/>
        </w:rPr>
        <w:t>house</w:t>
      </w:r>
      <w:r w:rsidR="0053097A">
        <w:rPr>
          <w:szCs w:val="22"/>
        </w:rPr>
        <w:t xml:space="preserve"> mechanism</w:t>
      </w:r>
      <w:r w:rsidRPr="00B520CD">
        <w:rPr>
          <w:szCs w:val="22"/>
        </w:rPr>
        <w:t>s</w:t>
      </w:r>
      <w:r w:rsidR="0053097A">
        <w:rPr>
          <w:szCs w:val="22"/>
        </w:rPr>
        <w:t>,</w:t>
      </w:r>
      <w:r w:rsidRPr="00B520CD">
        <w:rPr>
          <w:szCs w:val="22"/>
        </w:rPr>
        <w:t xml:space="preserve"> </w:t>
      </w:r>
      <w:r w:rsidR="0053097A">
        <w:rPr>
          <w:szCs w:val="22"/>
        </w:rPr>
        <w:t xml:space="preserve">particularly in </w:t>
      </w:r>
      <w:r w:rsidRPr="00B520CD">
        <w:rPr>
          <w:szCs w:val="22"/>
        </w:rPr>
        <w:t>relati</w:t>
      </w:r>
      <w:r w:rsidR="0053097A">
        <w:rPr>
          <w:szCs w:val="22"/>
        </w:rPr>
        <w:t xml:space="preserve">on </w:t>
      </w:r>
      <w:r w:rsidRPr="00B520CD">
        <w:rPr>
          <w:szCs w:val="22"/>
        </w:rPr>
        <w:t xml:space="preserve">to mobilization and </w:t>
      </w:r>
      <w:r w:rsidR="0053097A">
        <w:rPr>
          <w:szCs w:val="22"/>
        </w:rPr>
        <w:t xml:space="preserve">facilitation of </w:t>
      </w:r>
      <w:r w:rsidRPr="00B520CD">
        <w:rPr>
          <w:szCs w:val="22"/>
        </w:rPr>
        <w:t xml:space="preserve">access </w:t>
      </w:r>
      <w:r w:rsidR="002F2B6E">
        <w:rPr>
          <w:szCs w:val="22"/>
        </w:rPr>
        <w:t xml:space="preserve">to </w:t>
      </w:r>
      <w:r w:rsidRPr="00B520CD">
        <w:rPr>
          <w:szCs w:val="22"/>
        </w:rPr>
        <w:t>primary species</w:t>
      </w:r>
      <w:r w:rsidR="0053097A">
        <w:rPr>
          <w:szCs w:val="22"/>
        </w:rPr>
        <w:t xml:space="preserve"> data</w:t>
      </w:r>
      <w:r w:rsidRPr="00B520CD">
        <w:rPr>
          <w:szCs w:val="22"/>
        </w:rPr>
        <w:t xml:space="preserve"> which </w:t>
      </w:r>
      <w:proofErr w:type="spellStart"/>
      <w:r w:rsidR="0053097A">
        <w:rPr>
          <w:szCs w:val="22"/>
        </w:rPr>
        <w:t>GBIF</w:t>
      </w:r>
      <w:proofErr w:type="spellEnd"/>
      <w:r w:rsidR="0053097A">
        <w:rPr>
          <w:szCs w:val="22"/>
        </w:rPr>
        <w:t xml:space="preserve"> </w:t>
      </w:r>
      <w:r w:rsidRPr="00B520CD">
        <w:rPr>
          <w:szCs w:val="22"/>
        </w:rPr>
        <w:t>specialize</w:t>
      </w:r>
      <w:r w:rsidR="0053097A">
        <w:rPr>
          <w:szCs w:val="22"/>
        </w:rPr>
        <w:t>s</w:t>
      </w:r>
      <w:r w:rsidRPr="00B520CD">
        <w:rPr>
          <w:szCs w:val="22"/>
        </w:rPr>
        <w:t xml:space="preserve"> in. He </w:t>
      </w:r>
      <w:r w:rsidR="0053097A">
        <w:rPr>
          <w:szCs w:val="22"/>
        </w:rPr>
        <w:t xml:space="preserve">noted </w:t>
      </w:r>
      <w:r w:rsidRPr="00B520CD">
        <w:rPr>
          <w:szCs w:val="22"/>
        </w:rPr>
        <w:t>that creating better links between national clearing</w:t>
      </w:r>
      <w:r w:rsidR="00DB6D9C">
        <w:rPr>
          <w:szCs w:val="22"/>
        </w:rPr>
        <w:t>-</w:t>
      </w:r>
      <w:r w:rsidRPr="00B520CD">
        <w:rPr>
          <w:szCs w:val="22"/>
        </w:rPr>
        <w:t>house mechanism</w:t>
      </w:r>
      <w:r w:rsidR="002F2B6E">
        <w:rPr>
          <w:szCs w:val="22"/>
        </w:rPr>
        <w:t>s</w:t>
      </w:r>
      <w:r w:rsidRPr="00B520CD">
        <w:rPr>
          <w:szCs w:val="22"/>
        </w:rPr>
        <w:t xml:space="preserve"> and </w:t>
      </w:r>
      <w:r w:rsidR="002F2B6E">
        <w:rPr>
          <w:szCs w:val="22"/>
        </w:rPr>
        <w:t xml:space="preserve">the </w:t>
      </w:r>
      <w:r w:rsidRPr="00B520CD">
        <w:rPr>
          <w:szCs w:val="22"/>
        </w:rPr>
        <w:t xml:space="preserve">information already available </w:t>
      </w:r>
      <w:r w:rsidR="00264FB8">
        <w:rPr>
          <w:szCs w:val="22"/>
        </w:rPr>
        <w:t xml:space="preserve">through </w:t>
      </w:r>
      <w:r w:rsidR="007B0803">
        <w:rPr>
          <w:szCs w:val="22"/>
        </w:rPr>
        <w:t xml:space="preserve">the </w:t>
      </w:r>
      <w:proofErr w:type="spellStart"/>
      <w:r w:rsidR="00264FB8">
        <w:rPr>
          <w:szCs w:val="22"/>
        </w:rPr>
        <w:t>GBIF</w:t>
      </w:r>
      <w:proofErr w:type="spellEnd"/>
      <w:r w:rsidR="00264FB8">
        <w:rPr>
          <w:szCs w:val="22"/>
        </w:rPr>
        <w:t xml:space="preserve"> </w:t>
      </w:r>
      <w:r w:rsidR="000571E2" w:rsidRPr="000571E2">
        <w:rPr>
          <w:szCs w:val="22"/>
        </w:rPr>
        <w:t>Integrated Publishing Toolkit (</w:t>
      </w:r>
      <w:proofErr w:type="spellStart"/>
      <w:r w:rsidR="000571E2" w:rsidRPr="000571E2">
        <w:rPr>
          <w:szCs w:val="22"/>
        </w:rPr>
        <w:t>IPT</w:t>
      </w:r>
      <w:proofErr w:type="spellEnd"/>
      <w:r w:rsidR="000571E2" w:rsidRPr="000571E2">
        <w:rPr>
          <w:szCs w:val="22"/>
        </w:rPr>
        <w:t xml:space="preserve">) </w:t>
      </w:r>
      <w:r w:rsidRPr="00B520CD">
        <w:rPr>
          <w:szCs w:val="22"/>
        </w:rPr>
        <w:t>would enhance the global network of biodiversity information.</w:t>
      </w:r>
    </w:p>
    <w:p w:rsidR="00D12E0B" w:rsidRPr="00B520CD" w:rsidRDefault="00D12E0B" w:rsidP="00B520CD">
      <w:pPr>
        <w:pStyle w:val="Para1"/>
        <w:numPr>
          <w:ilvl w:val="0"/>
          <w:numId w:val="2"/>
        </w:numPr>
        <w:tabs>
          <w:tab w:val="clear" w:pos="360"/>
        </w:tabs>
        <w:rPr>
          <w:szCs w:val="22"/>
        </w:rPr>
      </w:pPr>
      <w:r w:rsidRPr="00B520CD">
        <w:rPr>
          <w:szCs w:val="22"/>
        </w:rPr>
        <w:lastRenderedPageBreak/>
        <w:t xml:space="preserve">Mr. Jerry Harrison briefed the meeting on various </w:t>
      </w:r>
      <w:r w:rsidR="002F2B6E" w:rsidRPr="00B520CD">
        <w:rPr>
          <w:szCs w:val="22"/>
        </w:rPr>
        <w:t xml:space="preserve">ongoing </w:t>
      </w:r>
      <w:r w:rsidRPr="00B520CD">
        <w:rPr>
          <w:szCs w:val="22"/>
        </w:rPr>
        <w:t xml:space="preserve">work streams </w:t>
      </w:r>
      <w:r w:rsidR="00AA6009" w:rsidRPr="00B520CD">
        <w:rPr>
          <w:szCs w:val="22"/>
        </w:rPr>
        <w:t xml:space="preserve">at </w:t>
      </w:r>
      <w:r w:rsidR="00373D89">
        <w:rPr>
          <w:szCs w:val="22"/>
        </w:rPr>
        <w:t xml:space="preserve">the </w:t>
      </w:r>
      <w:r w:rsidR="00AA6009" w:rsidRPr="00B520CD">
        <w:rPr>
          <w:szCs w:val="22"/>
        </w:rPr>
        <w:t>U</w:t>
      </w:r>
      <w:r w:rsidR="00373D89">
        <w:rPr>
          <w:szCs w:val="22"/>
        </w:rPr>
        <w:t xml:space="preserve">nited </w:t>
      </w:r>
      <w:r w:rsidR="00AA6009" w:rsidRPr="00B520CD">
        <w:rPr>
          <w:szCs w:val="22"/>
        </w:rPr>
        <w:t>N</w:t>
      </w:r>
      <w:r w:rsidR="00373D89">
        <w:rPr>
          <w:szCs w:val="22"/>
        </w:rPr>
        <w:t>ations</w:t>
      </w:r>
      <w:r w:rsidR="00AA6009" w:rsidRPr="00B520CD">
        <w:rPr>
          <w:szCs w:val="22"/>
        </w:rPr>
        <w:t xml:space="preserve"> Environment </w:t>
      </w:r>
      <w:r w:rsidR="00373D89">
        <w:rPr>
          <w:szCs w:val="22"/>
        </w:rPr>
        <w:t xml:space="preserve">Programme’s </w:t>
      </w:r>
      <w:r w:rsidR="00AA6009" w:rsidRPr="00B520CD">
        <w:rPr>
          <w:szCs w:val="22"/>
        </w:rPr>
        <w:t xml:space="preserve">World Conservation </w:t>
      </w:r>
      <w:r w:rsidR="00373D89">
        <w:rPr>
          <w:szCs w:val="22"/>
        </w:rPr>
        <w:t>M</w:t>
      </w:r>
      <w:r w:rsidR="00AA6009" w:rsidRPr="00B520CD">
        <w:rPr>
          <w:szCs w:val="22"/>
        </w:rPr>
        <w:t>onitoring Centre</w:t>
      </w:r>
      <w:r w:rsidR="002F2B6E">
        <w:rPr>
          <w:szCs w:val="22"/>
        </w:rPr>
        <w:t xml:space="preserve"> (UNEP-</w:t>
      </w:r>
      <w:proofErr w:type="spellStart"/>
      <w:r w:rsidR="002F2B6E">
        <w:rPr>
          <w:szCs w:val="22"/>
        </w:rPr>
        <w:t>WCMC</w:t>
      </w:r>
      <w:proofErr w:type="spellEnd"/>
      <w:r w:rsidR="002F2B6E">
        <w:rPr>
          <w:szCs w:val="22"/>
        </w:rPr>
        <w:t>)</w:t>
      </w:r>
      <w:r w:rsidR="00AA6009" w:rsidRPr="00B520CD">
        <w:rPr>
          <w:szCs w:val="22"/>
        </w:rPr>
        <w:t xml:space="preserve">. In addition to the </w:t>
      </w:r>
      <w:r w:rsidR="00E7469C">
        <w:rPr>
          <w:szCs w:val="22"/>
        </w:rPr>
        <w:t xml:space="preserve">activities described </w:t>
      </w:r>
      <w:r w:rsidR="00AA6009" w:rsidRPr="00B520CD">
        <w:rPr>
          <w:szCs w:val="22"/>
        </w:rPr>
        <w:t>in the previous presentations</w:t>
      </w:r>
      <w:r w:rsidR="00373D89">
        <w:rPr>
          <w:szCs w:val="22"/>
        </w:rPr>
        <w:t>,</w:t>
      </w:r>
      <w:r w:rsidR="00AA6009" w:rsidRPr="00B520CD">
        <w:rPr>
          <w:szCs w:val="22"/>
        </w:rPr>
        <w:t xml:space="preserve"> he referenced </w:t>
      </w:r>
      <w:r w:rsidR="00AD078D">
        <w:rPr>
          <w:szCs w:val="22"/>
        </w:rPr>
        <w:t xml:space="preserve">the ongoing </w:t>
      </w:r>
      <w:r w:rsidR="00AA6009" w:rsidRPr="00B520CD">
        <w:rPr>
          <w:szCs w:val="22"/>
        </w:rPr>
        <w:t xml:space="preserve">work </w:t>
      </w:r>
      <w:r w:rsidR="00E7469C" w:rsidRPr="00B520CD">
        <w:rPr>
          <w:szCs w:val="22"/>
        </w:rPr>
        <w:t xml:space="preserve">related to </w:t>
      </w:r>
      <w:r w:rsidR="00E7469C">
        <w:rPr>
          <w:szCs w:val="22"/>
        </w:rPr>
        <w:t xml:space="preserve">the </w:t>
      </w:r>
      <w:r w:rsidR="007B0803">
        <w:rPr>
          <w:szCs w:val="22"/>
        </w:rPr>
        <w:t>UNEP</w:t>
      </w:r>
      <w:r w:rsidR="00AA6009" w:rsidRPr="00B520CD">
        <w:rPr>
          <w:szCs w:val="22"/>
        </w:rPr>
        <w:t xml:space="preserve"> world situation room.</w:t>
      </w:r>
      <w:r w:rsidR="00AD078D">
        <w:rPr>
          <w:rStyle w:val="FootnoteReference"/>
          <w:szCs w:val="22"/>
        </w:rPr>
        <w:footnoteReference w:id="9"/>
      </w:r>
      <w:r w:rsidR="00AA6009" w:rsidRPr="00B520CD">
        <w:rPr>
          <w:szCs w:val="22"/>
        </w:rPr>
        <w:t xml:space="preserve">  </w:t>
      </w:r>
      <w:r w:rsidR="00AD078D">
        <w:rPr>
          <w:szCs w:val="22"/>
        </w:rPr>
        <w:t xml:space="preserve">He </w:t>
      </w:r>
      <w:r w:rsidR="00E7469C">
        <w:rPr>
          <w:szCs w:val="22"/>
        </w:rPr>
        <w:t xml:space="preserve">also </w:t>
      </w:r>
      <w:r w:rsidR="00AD078D">
        <w:rPr>
          <w:szCs w:val="22"/>
        </w:rPr>
        <w:t>reported that UNEP-</w:t>
      </w:r>
      <w:proofErr w:type="spellStart"/>
      <w:r w:rsidR="00AD078D">
        <w:rPr>
          <w:szCs w:val="22"/>
        </w:rPr>
        <w:t>WCMC</w:t>
      </w:r>
      <w:proofErr w:type="spellEnd"/>
      <w:r w:rsidR="00AD078D">
        <w:rPr>
          <w:szCs w:val="22"/>
        </w:rPr>
        <w:t xml:space="preserve"> was</w:t>
      </w:r>
      <w:r w:rsidR="00AA6009" w:rsidRPr="00B520CD">
        <w:rPr>
          <w:szCs w:val="22"/>
        </w:rPr>
        <w:t xml:space="preserve"> working closely with the Intergovernmental Science-Policy Platform on Biodiversity and Ecosystem Services</w:t>
      </w:r>
      <w:r w:rsidR="00AD078D">
        <w:rPr>
          <w:szCs w:val="22"/>
        </w:rPr>
        <w:t xml:space="preserve"> (</w:t>
      </w:r>
      <w:proofErr w:type="spellStart"/>
      <w:r w:rsidR="00AD078D">
        <w:rPr>
          <w:szCs w:val="22"/>
        </w:rPr>
        <w:t>IPBES</w:t>
      </w:r>
      <w:proofErr w:type="spellEnd"/>
      <w:r w:rsidR="00AD078D">
        <w:rPr>
          <w:szCs w:val="22"/>
        </w:rPr>
        <w:t>)</w:t>
      </w:r>
      <w:r w:rsidR="00AA6009" w:rsidRPr="00B520CD">
        <w:rPr>
          <w:szCs w:val="22"/>
        </w:rPr>
        <w:t xml:space="preserve"> taskforce on support tools noting that this platform </w:t>
      </w:r>
      <w:r w:rsidR="00373D89">
        <w:rPr>
          <w:szCs w:val="22"/>
        </w:rPr>
        <w:t>wa</w:t>
      </w:r>
      <w:r w:rsidR="00AA6009" w:rsidRPr="00B520CD">
        <w:rPr>
          <w:szCs w:val="22"/>
        </w:rPr>
        <w:t xml:space="preserve">s only just coming together. </w:t>
      </w:r>
      <w:r w:rsidR="00E7469C">
        <w:rPr>
          <w:szCs w:val="22"/>
        </w:rPr>
        <w:t xml:space="preserve">He also </w:t>
      </w:r>
      <w:r w:rsidR="00AA6009" w:rsidRPr="00B520CD">
        <w:rPr>
          <w:szCs w:val="22"/>
        </w:rPr>
        <w:t xml:space="preserve">referenced a technical scientific cooperation project with Morocco to build a national biodiversity platform. </w:t>
      </w:r>
      <w:r w:rsidR="00E7469C">
        <w:rPr>
          <w:szCs w:val="22"/>
        </w:rPr>
        <w:t>UNEP-</w:t>
      </w:r>
      <w:proofErr w:type="spellStart"/>
      <w:r w:rsidR="00E7469C">
        <w:rPr>
          <w:szCs w:val="22"/>
        </w:rPr>
        <w:t>WCMC</w:t>
      </w:r>
      <w:proofErr w:type="spellEnd"/>
      <w:r w:rsidR="00E7469C">
        <w:rPr>
          <w:szCs w:val="22"/>
        </w:rPr>
        <w:t xml:space="preserve"> was </w:t>
      </w:r>
      <w:r w:rsidR="00E7469C" w:rsidRPr="00B520CD">
        <w:rPr>
          <w:szCs w:val="22"/>
        </w:rPr>
        <w:t>also working on capacity</w:t>
      </w:r>
      <w:r w:rsidR="00373D89">
        <w:rPr>
          <w:szCs w:val="22"/>
        </w:rPr>
        <w:t>-</w:t>
      </w:r>
      <w:r w:rsidR="00E7469C" w:rsidRPr="00B520CD">
        <w:rPr>
          <w:szCs w:val="22"/>
        </w:rPr>
        <w:t>building projects on ecosystem assessments in 8 countries</w:t>
      </w:r>
      <w:r w:rsidR="00E7469C">
        <w:rPr>
          <w:szCs w:val="22"/>
        </w:rPr>
        <w:t>. Mr. Harrison informed the Committee that h</w:t>
      </w:r>
      <w:r w:rsidR="00AA6009" w:rsidRPr="00B520CD">
        <w:rPr>
          <w:szCs w:val="22"/>
        </w:rPr>
        <w:t xml:space="preserve">e </w:t>
      </w:r>
      <w:r w:rsidR="007B0803">
        <w:rPr>
          <w:szCs w:val="22"/>
        </w:rPr>
        <w:t>had taken</w:t>
      </w:r>
      <w:r w:rsidR="007B0803" w:rsidRPr="00B520CD">
        <w:rPr>
          <w:szCs w:val="22"/>
        </w:rPr>
        <w:t xml:space="preserve"> </w:t>
      </w:r>
      <w:r w:rsidR="00AA6009" w:rsidRPr="00B520CD">
        <w:rPr>
          <w:szCs w:val="22"/>
        </w:rPr>
        <w:t xml:space="preserve">part in the </w:t>
      </w:r>
      <w:r w:rsidR="00CA1C60">
        <w:rPr>
          <w:szCs w:val="22"/>
        </w:rPr>
        <w:t xml:space="preserve">consultation </w:t>
      </w:r>
      <w:r w:rsidR="00AA6009" w:rsidRPr="00AA6009">
        <w:rPr>
          <w:szCs w:val="22"/>
        </w:rPr>
        <w:t>workshop of biodiversity-related conventions on the post-2020 global biodiversity framework</w:t>
      </w:r>
      <w:r w:rsidR="007B0803">
        <w:rPr>
          <w:szCs w:val="22"/>
        </w:rPr>
        <w:t>,</w:t>
      </w:r>
      <w:r w:rsidR="00AA6009" w:rsidRPr="00AA6009">
        <w:rPr>
          <w:szCs w:val="22"/>
        </w:rPr>
        <w:t xml:space="preserve"> </w:t>
      </w:r>
      <w:r w:rsidR="00AA6009">
        <w:rPr>
          <w:szCs w:val="22"/>
        </w:rPr>
        <w:t xml:space="preserve">held in </w:t>
      </w:r>
      <w:r w:rsidR="00AA6009" w:rsidRPr="00AA6009">
        <w:rPr>
          <w:szCs w:val="22"/>
        </w:rPr>
        <w:t xml:space="preserve">Bern, </w:t>
      </w:r>
      <w:r w:rsidR="00AA6009">
        <w:rPr>
          <w:szCs w:val="22"/>
        </w:rPr>
        <w:t xml:space="preserve">from </w:t>
      </w:r>
      <w:r w:rsidR="00AA6009" w:rsidRPr="00AA6009">
        <w:rPr>
          <w:szCs w:val="22"/>
        </w:rPr>
        <w:t>10</w:t>
      </w:r>
      <w:r w:rsidR="00AA6009">
        <w:rPr>
          <w:szCs w:val="22"/>
        </w:rPr>
        <w:t xml:space="preserve"> to </w:t>
      </w:r>
      <w:r w:rsidR="00AA6009" w:rsidRPr="00AA6009">
        <w:rPr>
          <w:szCs w:val="22"/>
        </w:rPr>
        <w:t>12 June 2019</w:t>
      </w:r>
      <w:r w:rsidR="00CA1C60">
        <w:rPr>
          <w:szCs w:val="22"/>
        </w:rPr>
        <w:t>. H</w:t>
      </w:r>
      <w:r w:rsidR="00AA6009">
        <w:rPr>
          <w:szCs w:val="22"/>
        </w:rPr>
        <w:t xml:space="preserve">e noted </w:t>
      </w:r>
      <w:r w:rsidR="00CA1C60">
        <w:rPr>
          <w:szCs w:val="22"/>
        </w:rPr>
        <w:t xml:space="preserve">that participants </w:t>
      </w:r>
      <w:r w:rsidR="007B0803">
        <w:rPr>
          <w:szCs w:val="22"/>
        </w:rPr>
        <w:t xml:space="preserve">had </w:t>
      </w:r>
      <w:r w:rsidR="00CA1C60">
        <w:rPr>
          <w:szCs w:val="22"/>
        </w:rPr>
        <w:t xml:space="preserve">expressed </w:t>
      </w:r>
      <w:r w:rsidR="007B0803">
        <w:rPr>
          <w:szCs w:val="22"/>
        </w:rPr>
        <w:t>much</w:t>
      </w:r>
      <w:r w:rsidR="007B0803">
        <w:rPr>
          <w:szCs w:val="22"/>
        </w:rPr>
        <w:t xml:space="preserve"> </w:t>
      </w:r>
      <w:r w:rsidR="00AA6009">
        <w:rPr>
          <w:szCs w:val="22"/>
        </w:rPr>
        <w:t>interest in working across conventions on enabling issues</w:t>
      </w:r>
      <w:r w:rsidR="007B0803">
        <w:rPr>
          <w:szCs w:val="22"/>
        </w:rPr>
        <w:t>,</w:t>
      </w:r>
      <w:r w:rsidR="00AA6009">
        <w:rPr>
          <w:szCs w:val="22"/>
        </w:rPr>
        <w:t xml:space="preserve"> </w:t>
      </w:r>
      <w:r w:rsidR="00CA1C60">
        <w:rPr>
          <w:szCs w:val="22"/>
        </w:rPr>
        <w:t xml:space="preserve">such as </w:t>
      </w:r>
      <w:r w:rsidR="00AA6009">
        <w:rPr>
          <w:szCs w:val="22"/>
        </w:rPr>
        <w:t>resource mobilization, capacity</w:t>
      </w:r>
      <w:r w:rsidR="007B0803">
        <w:rPr>
          <w:szCs w:val="22"/>
        </w:rPr>
        <w:t>-</w:t>
      </w:r>
      <w:r w:rsidR="00AA6009">
        <w:rPr>
          <w:szCs w:val="22"/>
        </w:rPr>
        <w:t>building</w:t>
      </w:r>
      <w:r w:rsidR="007B0803">
        <w:rPr>
          <w:szCs w:val="22"/>
        </w:rPr>
        <w:t>,</w:t>
      </w:r>
      <w:r w:rsidR="00AA6009">
        <w:rPr>
          <w:szCs w:val="22"/>
        </w:rPr>
        <w:t xml:space="preserve"> technical </w:t>
      </w:r>
      <w:r w:rsidR="007B0803">
        <w:rPr>
          <w:szCs w:val="22"/>
        </w:rPr>
        <w:t xml:space="preserve">and </w:t>
      </w:r>
      <w:r w:rsidR="00AA6009">
        <w:rPr>
          <w:szCs w:val="22"/>
        </w:rPr>
        <w:t>scientific cooperation</w:t>
      </w:r>
      <w:r w:rsidR="007B0803">
        <w:rPr>
          <w:szCs w:val="22"/>
        </w:rPr>
        <w:t>,</w:t>
      </w:r>
      <w:r w:rsidR="00AA6009">
        <w:rPr>
          <w:szCs w:val="22"/>
        </w:rPr>
        <w:t xml:space="preserve"> and communication.</w:t>
      </w:r>
    </w:p>
    <w:p w:rsidR="001E3C88" w:rsidRDefault="001E3C88" w:rsidP="00B520CD">
      <w:pPr>
        <w:pStyle w:val="Para1"/>
        <w:numPr>
          <w:ilvl w:val="0"/>
          <w:numId w:val="2"/>
        </w:numPr>
        <w:tabs>
          <w:tab w:val="clear" w:pos="360"/>
        </w:tabs>
      </w:pPr>
      <w:r w:rsidRPr="00B520CD">
        <w:rPr>
          <w:szCs w:val="22"/>
        </w:rPr>
        <w:t xml:space="preserve">Ms. Sheila Vergara, </w:t>
      </w:r>
      <w:r w:rsidR="000571E2">
        <w:rPr>
          <w:szCs w:val="22"/>
        </w:rPr>
        <w:t>a Committee</w:t>
      </w:r>
      <w:r w:rsidR="000571E2" w:rsidRPr="00B520CD">
        <w:rPr>
          <w:szCs w:val="22"/>
        </w:rPr>
        <w:t xml:space="preserve"> member f</w:t>
      </w:r>
      <w:r w:rsidR="000571E2">
        <w:rPr>
          <w:szCs w:val="22"/>
        </w:rPr>
        <w:t xml:space="preserve">rom the </w:t>
      </w:r>
      <w:r w:rsidR="00CA1C60" w:rsidRPr="00CA1C60">
        <w:rPr>
          <w:szCs w:val="22"/>
        </w:rPr>
        <w:t xml:space="preserve">Association of Southeast Asian Nations </w:t>
      </w:r>
      <w:r w:rsidR="00CA1C60">
        <w:rPr>
          <w:szCs w:val="22"/>
        </w:rPr>
        <w:t>(</w:t>
      </w:r>
      <w:r w:rsidR="000571E2" w:rsidRPr="00B520CD">
        <w:rPr>
          <w:szCs w:val="22"/>
        </w:rPr>
        <w:t>ASEAN</w:t>
      </w:r>
      <w:r w:rsidR="00CA1C60">
        <w:rPr>
          <w:szCs w:val="22"/>
        </w:rPr>
        <w:t>)</w:t>
      </w:r>
      <w:r w:rsidR="000571E2" w:rsidRPr="000571E2">
        <w:rPr>
          <w:szCs w:val="22"/>
        </w:rPr>
        <w:t xml:space="preserve"> </w:t>
      </w:r>
      <w:r w:rsidR="000571E2">
        <w:rPr>
          <w:szCs w:val="22"/>
        </w:rPr>
        <w:t>Biodiversity Centre</w:t>
      </w:r>
      <w:r w:rsidR="000571E2" w:rsidRPr="00B520CD">
        <w:rPr>
          <w:szCs w:val="22"/>
        </w:rPr>
        <w:t xml:space="preserve">, </w:t>
      </w:r>
      <w:r w:rsidRPr="00B520CD">
        <w:rPr>
          <w:szCs w:val="22"/>
        </w:rPr>
        <w:t xml:space="preserve">made a presentation on the overall situation of </w:t>
      </w:r>
      <w:r w:rsidR="00CA1C60">
        <w:rPr>
          <w:szCs w:val="22"/>
        </w:rPr>
        <w:t xml:space="preserve">ASEAN </w:t>
      </w:r>
      <w:r w:rsidRPr="00B520CD">
        <w:rPr>
          <w:szCs w:val="22"/>
        </w:rPr>
        <w:t xml:space="preserve">member </w:t>
      </w:r>
      <w:r w:rsidR="00373D89">
        <w:rPr>
          <w:szCs w:val="22"/>
        </w:rPr>
        <w:t>S</w:t>
      </w:r>
      <w:r w:rsidRPr="00B520CD">
        <w:rPr>
          <w:szCs w:val="22"/>
        </w:rPr>
        <w:t xml:space="preserve">tates </w:t>
      </w:r>
      <w:r w:rsidR="00CA1C60">
        <w:rPr>
          <w:szCs w:val="22"/>
        </w:rPr>
        <w:t xml:space="preserve">regarding the </w:t>
      </w:r>
      <w:r w:rsidRPr="00B520CD">
        <w:rPr>
          <w:szCs w:val="22"/>
        </w:rPr>
        <w:t>develop</w:t>
      </w:r>
      <w:r w:rsidR="00CA1C60">
        <w:rPr>
          <w:szCs w:val="22"/>
        </w:rPr>
        <w:t xml:space="preserve">ment of </w:t>
      </w:r>
      <w:r w:rsidRPr="00B520CD">
        <w:rPr>
          <w:szCs w:val="22"/>
        </w:rPr>
        <w:t xml:space="preserve">national clearing-house mechanisms. She noted that both Malaysia and Indonesia had won </w:t>
      </w:r>
      <w:r w:rsidR="00CA1C60">
        <w:rPr>
          <w:szCs w:val="22"/>
        </w:rPr>
        <w:t xml:space="preserve">an </w:t>
      </w:r>
      <w:r w:rsidR="00373D89">
        <w:rPr>
          <w:szCs w:val="22"/>
        </w:rPr>
        <w:t>a</w:t>
      </w:r>
      <w:r w:rsidRPr="00B520CD">
        <w:rPr>
          <w:szCs w:val="22"/>
        </w:rPr>
        <w:t xml:space="preserve">ward for their national clearing-house mechanisms. There </w:t>
      </w:r>
      <w:r w:rsidR="00373D89">
        <w:rPr>
          <w:szCs w:val="22"/>
        </w:rPr>
        <w:t>wa</w:t>
      </w:r>
      <w:r w:rsidRPr="00B520CD">
        <w:rPr>
          <w:szCs w:val="22"/>
        </w:rPr>
        <w:t xml:space="preserve">s interest from member </w:t>
      </w:r>
      <w:r w:rsidR="00373D89">
        <w:rPr>
          <w:szCs w:val="22"/>
        </w:rPr>
        <w:t>S</w:t>
      </w:r>
      <w:r w:rsidRPr="00B520CD">
        <w:rPr>
          <w:szCs w:val="22"/>
        </w:rPr>
        <w:t>tates in us</w:t>
      </w:r>
      <w:r w:rsidR="00CA1C60">
        <w:rPr>
          <w:szCs w:val="22"/>
        </w:rPr>
        <w:t>ing</w:t>
      </w:r>
      <w:r w:rsidRPr="00B520CD">
        <w:rPr>
          <w:szCs w:val="22"/>
        </w:rPr>
        <w:t xml:space="preserve"> the </w:t>
      </w:r>
      <w:proofErr w:type="spellStart"/>
      <w:r w:rsidRPr="00B520CD">
        <w:rPr>
          <w:szCs w:val="22"/>
        </w:rPr>
        <w:t>Bioland</w:t>
      </w:r>
      <w:proofErr w:type="spellEnd"/>
      <w:r w:rsidRPr="00B520CD">
        <w:rPr>
          <w:szCs w:val="22"/>
        </w:rPr>
        <w:t xml:space="preserve"> tool </w:t>
      </w:r>
      <w:r w:rsidR="00CA1C60">
        <w:rPr>
          <w:szCs w:val="22"/>
        </w:rPr>
        <w:t>to</w:t>
      </w:r>
      <w:r w:rsidRPr="00B520CD">
        <w:rPr>
          <w:szCs w:val="22"/>
        </w:rPr>
        <w:t xml:space="preserve"> migrat</w:t>
      </w:r>
      <w:r w:rsidR="00CA1C60">
        <w:rPr>
          <w:szCs w:val="22"/>
        </w:rPr>
        <w:t>e their</w:t>
      </w:r>
      <w:r w:rsidRPr="00B520CD">
        <w:rPr>
          <w:szCs w:val="22"/>
        </w:rPr>
        <w:t xml:space="preserve"> </w:t>
      </w:r>
      <w:r w:rsidR="00CA1C60">
        <w:rPr>
          <w:szCs w:val="22"/>
        </w:rPr>
        <w:t xml:space="preserve">existing </w:t>
      </w:r>
      <w:r w:rsidRPr="00B520CD">
        <w:rPr>
          <w:szCs w:val="22"/>
        </w:rPr>
        <w:t>national clearing–house mechanisms</w:t>
      </w:r>
      <w:r w:rsidR="00CA1C60">
        <w:rPr>
          <w:szCs w:val="22"/>
        </w:rPr>
        <w:t xml:space="preserve"> or develop new ones</w:t>
      </w:r>
      <w:r w:rsidRPr="00B520CD">
        <w:rPr>
          <w:szCs w:val="22"/>
        </w:rPr>
        <w:t xml:space="preserve">.  In </w:t>
      </w:r>
      <w:r w:rsidR="007B0803">
        <w:rPr>
          <w:szCs w:val="22"/>
        </w:rPr>
        <w:t>that</w:t>
      </w:r>
      <w:r w:rsidR="007B0803" w:rsidRPr="00B520CD">
        <w:rPr>
          <w:szCs w:val="22"/>
        </w:rPr>
        <w:t xml:space="preserve"> </w:t>
      </w:r>
      <w:r w:rsidRPr="00B520CD">
        <w:rPr>
          <w:szCs w:val="22"/>
        </w:rPr>
        <w:t>regard</w:t>
      </w:r>
      <w:r w:rsidR="007B0803">
        <w:rPr>
          <w:szCs w:val="22"/>
        </w:rPr>
        <w:t>,</w:t>
      </w:r>
      <w:r w:rsidRPr="00B520CD">
        <w:rPr>
          <w:szCs w:val="22"/>
        </w:rPr>
        <w:t xml:space="preserve"> she requested the Secretariat </w:t>
      </w:r>
      <w:r w:rsidR="00CA1C60">
        <w:rPr>
          <w:szCs w:val="22"/>
        </w:rPr>
        <w:t xml:space="preserve">to </w:t>
      </w:r>
      <w:r w:rsidR="007B0803">
        <w:rPr>
          <w:szCs w:val="22"/>
        </w:rPr>
        <w:t>provide</w:t>
      </w:r>
      <w:r w:rsidR="007B0803">
        <w:rPr>
          <w:szCs w:val="22"/>
        </w:rPr>
        <w:t xml:space="preserve"> </w:t>
      </w:r>
      <w:r w:rsidRPr="00B520CD">
        <w:rPr>
          <w:szCs w:val="22"/>
        </w:rPr>
        <w:t xml:space="preserve">her technical staff </w:t>
      </w:r>
      <w:r w:rsidR="007B0803">
        <w:rPr>
          <w:szCs w:val="22"/>
        </w:rPr>
        <w:t xml:space="preserve">with </w:t>
      </w:r>
      <w:r w:rsidRPr="00B520CD">
        <w:rPr>
          <w:szCs w:val="22"/>
        </w:rPr>
        <w:t xml:space="preserve">access to the </w:t>
      </w:r>
      <w:proofErr w:type="spellStart"/>
      <w:r w:rsidRPr="00B520CD">
        <w:rPr>
          <w:szCs w:val="22"/>
        </w:rPr>
        <w:t>Bioland</w:t>
      </w:r>
      <w:proofErr w:type="spellEnd"/>
      <w:r w:rsidRPr="00B520CD">
        <w:rPr>
          <w:szCs w:val="22"/>
        </w:rPr>
        <w:t xml:space="preserve"> tool to enable them to provide support </w:t>
      </w:r>
      <w:r w:rsidR="007B0803">
        <w:rPr>
          <w:szCs w:val="22"/>
        </w:rPr>
        <w:t>for</w:t>
      </w:r>
      <w:r w:rsidR="00E913EB">
        <w:rPr>
          <w:szCs w:val="22"/>
        </w:rPr>
        <w:t xml:space="preserve"> countries </w:t>
      </w:r>
      <w:r w:rsidRPr="00B520CD">
        <w:rPr>
          <w:szCs w:val="22"/>
        </w:rPr>
        <w:t xml:space="preserve">in the region. ASEAN </w:t>
      </w:r>
      <w:r w:rsidR="00373D89">
        <w:rPr>
          <w:szCs w:val="22"/>
        </w:rPr>
        <w:t xml:space="preserve">had </w:t>
      </w:r>
      <w:r w:rsidRPr="00B520CD">
        <w:rPr>
          <w:szCs w:val="22"/>
        </w:rPr>
        <w:t xml:space="preserve">established </w:t>
      </w:r>
      <w:r w:rsidR="00E913EB">
        <w:rPr>
          <w:szCs w:val="22"/>
        </w:rPr>
        <w:t xml:space="preserve">a </w:t>
      </w:r>
      <w:r w:rsidRPr="00B520CD">
        <w:rPr>
          <w:szCs w:val="22"/>
        </w:rPr>
        <w:t>regional clearing</w:t>
      </w:r>
      <w:r w:rsidR="00373D89">
        <w:rPr>
          <w:szCs w:val="22"/>
        </w:rPr>
        <w:t>-</w:t>
      </w:r>
      <w:r w:rsidRPr="00B520CD">
        <w:rPr>
          <w:szCs w:val="22"/>
        </w:rPr>
        <w:t xml:space="preserve">house mechanism and </w:t>
      </w:r>
      <w:r w:rsidR="00E913EB">
        <w:rPr>
          <w:szCs w:val="22"/>
        </w:rPr>
        <w:t xml:space="preserve">was </w:t>
      </w:r>
      <w:r w:rsidRPr="00B520CD">
        <w:rPr>
          <w:szCs w:val="22"/>
        </w:rPr>
        <w:t xml:space="preserve">considering </w:t>
      </w:r>
      <w:r w:rsidR="00E913EB">
        <w:rPr>
          <w:szCs w:val="22"/>
        </w:rPr>
        <w:t xml:space="preserve">options </w:t>
      </w:r>
      <w:r w:rsidRPr="00B520CD">
        <w:rPr>
          <w:szCs w:val="22"/>
        </w:rPr>
        <w:t>to better support the development of the ASEAN biodiversity outlook</w:t>
      </w:r>
      <w:r w:rsidR="00B7505A">
        <w:rPr>
          <w:szCs w:val="22"/>
        </w:rPr>
        <w:t>,</w:t>
      </w:r>
      <w:r w:rsidRPr="00B520CD">
        <w:rPr>
          <w:szCs w:val="22"/>
        </w:rPr>
        <w:t xml:space="preserve"> </w:t>
      </w:r>
      <w:r w:rsidR="00B7505A">
        <w:rPr>
          <w:szCs w:val="22"/>
        </w:rPr>
        <w:t>which</w:t>
      </w:r>
      <w:r w:rsidR="00B7505A" w:rsidRPr="00B520CD">
        <w:rPr>
          <w:szCs w:val="22"/>
        </w:rPr>
        <w:t xml:space="preserve"> </w:t>
      </w:r>
      <w:r w:rsidR="00373D89">
        <w:rPr>
          <w:szCs w:val="22"/>
        </w:rPr>
        <w:t>would</w:t>
      </w:r>
      <w:r w:rsidR="00373D89" w:rsidRPr="00B520CD">
        <w:rPr>
          <w:szCs w:val="22"/>
        </w:rPr>
        <w:t xml:space="preserve"> </w:t>
      </w:r>
      <w:r w:rsidRPr="00B520CD">
        <w:rPr>
          <w:szCs w:val="22"/>
        </w:rPr>
        <w:t xml:space="preserve">be published after all members </w:t>
      </w:r>
      <w:r w:rsidR="00B7505A">
        <w:rPr>
          <w:szCs w:val="22"/>
        </w:rPr>
        <w:t>had</w:t>
      </w:r>
      <w:r w:rsidR="00B7505A" w:rsidRPr="00B520CD">
        <w:rPr>
          <w:szCs w:val="22"/>
        </w:rPr>
        <w:t xml:space="preserve"> </w:t>
      </w:r>
      <w:r w:rsidRPr="00B520CD">
        <w:rPr>
          <w:szCs w:val="22"/>
        </w:rPr>
        <w:t xml:space="preserve">submitted their sixth </w:t>
      </w:r>
      <w:r w:rsidR="00373D89">
        <w:rPr>
          <w:szCs w:val="22"/>
        </w:rPr>
        <w:t>n</w:t>
      </w:r>
      <w:r w:rsidRPr="00B520CD">
        <w:rPr>
          <w:szCs w:val="22"/>
        </w:rPr>
        <w:t xml:space="preserve">ational </w:t>
      </w:r>
      <w:r w:rsidR="00373D89">
        <w:rPr>
          <w:szCs w:val="22"/>
        </w:rPr>
        <w:t>r</w:t>
      </w:r>
      <w:r w:rsidRPr="00B520CD">
        <w:rPr>
          <w:szCs w:val="22"/>
        </w:rPr>
        <w:t xml:space="preserve">eports.  She gave a report on the status of submission of the sixth </w:t>
      </w:r>
      <w:r w:rsidR="00373D89">
        <w:rPr>
          <w:szCs w:val="22"/>
        </w:rPr>
        <w:t>n</w:t>
      </w:r>
      <w:r w:rsidRPr="00B520CD">
        <w:rPr>
          <w:szCs w:val="22"/>
        </w:rPr>
        <w:t>atio</w:t>
      </w:r>
      <w:r>
        <w:t xml:space="preserve">nal </w:t>
      </w:r>
      <w:r w:rsidR="00373D89">
        <w:t>r</w:t>
      </w:r>
      <w:r>
        <w:t>eports.</w:t>
      </w:r>
    </w:p>
    <w:p w:rsidR="0073270C" w:rsidRDefault="0073270C" w:rsidP="00B21738">
      <w:pPr>
        <w:pStyle w:val="Heading1"/>
        <w:suppressLineNumbers/>
        <w:tabs>
          <w:tab w:val="clear" w:pos="720"/>
          <w:tab w:val="left" w:pos="993"/>
        </w:tabs>
        <w:suppressAutoHyphens/>
        <w:spacing w:before="120"/>
        <w:rPr>
          <w:caps w:val="0"/>
          <w:snapToGrid w:val="0"/>
          <w:kern w:val="22"/>
          <w:szCs w:val="22"/>
        </w:rPr>
      </w:pPr>
      <w:r w:rsidRPr="0052588E">
        <w:rPr>
          <w:caps w:val="0"/>
          <w:snapToGrid w:val="0"/>
          <w:kern w:val="22"/>
          <w:szCs w:val="22"/>
        </w:rPr>
        <w:t xml:space="preserve">ITEM </w:t>
      </w:r>
      <w:r>
        <w:rPr>
          <w:caps w:val="0"/>
          <w:snapToGrid w:val="0"/>
          <w:kern w:val="22"/>
          <w:szCs w:val="22"/>
        </w:rPr>
        <w:t>4</w:t>
      </w:r>
      <w:r w:rsidRPr="0052588E">
        <w:rPr>
          <w:caps w:val="0"/>
          <w:snapToGrid w:val="0"/>
          <w:kern w:val="22"/>
          <w:szCs w:val="22"/>
        </w:rPr>
        <w:t>.</w:t>
      </w:r>
      <w:r w:rsidRPr="0052588E">
        <w:rPr>
          <w:caps w:val="0"/>
          <w:snapToGrid w:val="0"/>
          <w:kern w:val="22"/>
          <w:szCs w:val="22"/>
        </w:rPr>
        <w:tab/>
      </w:r>
      <w:r>
        <w:rPr>
          <w:caps w:val="0"/>
          <w:snapToGrid w:val="0"/>
          <w:kern w:val="22"/>
          <w:szCs w:val="22"/>
        </w:rPr>
        <w:t>ISSUES FOR IN-DEPTH DISCUSSION</w:t>
      </w:r>
    </w:p>
    <w:p w:rsidR="0002680A" w:rsidRPr="00427D21" w:rsidRDefault="0002680A" w:rsidP="00B21738">
      <w:pPr>
        <w:pStyle w:val="Heading2"/>
        <w:numPr>
          <w:ilvl w:val="1"/>
          <w:numId w:val="31"/>
        </w:numPr>
        <w:suppressLineNumbers/>
        <w:suppressAutoHyphens/>
      </w:pPr>
      <w:r>
        <w:t xml:space="preserve">Technical and </w:t>
      </w:r>
      <w:r w:rsidR="00373D89">
        <w:t>s</w:t>
      </w:r>
      <w:r>
        <w:t xml:space="preserve">cientific </w:t>
      </w:r>
      <w:r w:rsidR="00373D89">
        <w:t>c</w:t>
      </w:r>
      <w:r w:rsidR="00C87BB4">
        <w:t>ooperation</w:t>
      </w:r>
      <w:r>
        <w:t xml:space="preserve"> </w:t>
      </w:r>
    </w:p>
    <w:p w:rsidR="0073270C" w:rsidRPr="00B520CD" w:rsidRDefault="00C636BF" w:rsidP="00B520CD">
      <w:pPr>
        <w:pStyle w:val="Para1"/>
        <w:numPr>
          <w:ilvl w:val="0"/>
          <w:numId w:val="2"/>
        </w:numPr>
        <w:tabs>
          <w:tab w:val="clear" w:pos="360"/>
        </w:tabs>
        <w:rPr>
          <w:szCs w:val="22"/>
        </w:rPr>
      </w:pPr>
      <w:r>
        <w:rPr>
          <w:szCs w:val="22"/>
        </w:rPr>
        <w:t>T</w:t>
      </w:r>
      <w:r w:rsidRPr="006D45AF">
        <w:rPr>
          <w:szCs w:val="22"/>
        </w:rPr>
        <w:t xml:space="preserve">he </w:t>
      </w:r>
      <w:r w:rsidRPr="00E819F1">
        <w:rPr>
          <w:kern w:val="22"/>
          <w:szCs w:val="22"/>
        </w:rPr>
        <w:t xml:space="preserve">Committee </w:t>
      </w:r>
      <w:r w:rsidRPr="006D45AF">
        <w:rPr>
          <w:szCs w:val="22"/>
        </w:rPr>
        <w:t xml:space="preserve">took up agenda item </w:t>
      </w:r>
      <w:r w:rsidR="0073270C">
        <w:t xml:space="preserve">4.1 on </w:t>
      </w:r>
      <w:r w:rsidR="00F53BB7">
        <w:t>t</w:t>
      </w:r>
      <w:r w:rsidR="0073270C">
        <w:t xml:space="preserve">echnical </w:t>
      </w:r>
      <w:r w:rsidR="00F53BB7">
        <w:t>and scientific c</w:t>
      </w:r>
      <w:r w:rsidR="0073270C">
        <w:t>ooperation</w:t>
      </w:r>
      <w:r>
        <w:t xml:space="preserve"> d</w:t>
      </w:r>
      <w:r>
        <w:rPr>
          <w:szCs w:val="22"/>
        </w:rPr>
        <w:t xml:space="preserve">uring </w:t>
      </w:r>
      <w:r w:rsidRPr="00BC2446">
        <w:rPr>
          <w:szCs w:val="22"/>
        </w:rPr>
        <w:t xml:space="preserve">the </w:t>
      </w:r>
      <w:r w:rsidR="00BE0F08">
        <w:rPr>
          <w:szCs w:val="22"/>
        </w:rPr>
        <w:t xml:space="preserve">fourth </w:t>
      </w:r>
      <w:r w:rsidR="008E65CF">
        <w:rPr>
          <w:szCs w:val="22"/>
        </w:rPr>
        <w:t xml:space="preserve">and fifth </w:t>
      </w:r>
      <w:r w:rsidRPr="00E120A1">
        <w:rPr>
          <w:szCs w:val="22"/>
        </w:rPr>
        <w:t>session</w:t>
      </w:r>
      <w:r w:rsidR="008E65CF">
        <w:rPr>
          <w:szCs w:val="22"/>
        </w:rPr>
        <w:t>s</w:t>
      </w:r>
      <w:r w:rsidRPr="00E120A1">
        <w:rPr>
          <w:szCs w:val="22"/>
        </w:rPr>
        <w:t xml:space="preserve"> of the meeting</w:t>
      </w:r>
      <w:r>
        <w:rPr>
          <w:szCs w:val="22"/>
        </w:rPr>
        <w:t xml:space="preserve">. </w:t>
      </w:r>
      <w:r w:rsidR="00BE0F08">
        <w:rPr>
          <w:szCs w:val="22"/>
        </w:rPr>
        <w:t>Prior to the deliberations on th</w:t>
      </w:r>
      <w:r w:rsidR="00B7505A">
        <w:rPr>
          <w:szCs w:val="22"/>
        </w:rPr>
        <w:t>e</w:t>
      </w:r>
      <w:r w:rsidR="00BE0F08">
        <w:rPr>
          <w:szCs w:val="22"/>
        </w:rPr>
        <w:t xml:space="preserve"> item, </w:t>
      </w:r>
      <w:r w:rsidR="00071D4A">
        <w:rPr>
          <w:szCs w:val="22"/>
        </w:rPr>
        <w:t xml:space="preserve">a representative of </w:t>
      </w:r>
      <w:r w:rsidR="00BE0F08">
        <w:rPr>
          <w:szCs w:val="22"/>
        </w:rPr>
        <w:t>t</w:t>
      </w:r>
      <w:r w:rsidR="00BE0F08" w:rsidRPr="00B520CD">
        <w:rPr>
          <w:szCs w:val="22"/>
        </w:rPr>
        <w:t>he Secretariat made a presentation of the</w:t>
      </w:r>
      <w:r w:rsidR="00BE0F08" w:rsidRPr="00BE0F08">
        <w:t xml:space="preserve"> </w:t>
      </w:r>
      <w:r w:rsidR="00BE0F08" w:rsidRPr="00BE0F08">
        <w:rPr>
          <w:szCs w:val="22"/>
        </w:rPr>
        <w:t xml:space="preserve">draft proposed strategy to strengthen technical and scientific cooperation in support of the post-2020 </w:t>
      </w:r>
      <w:r w:rsidR="00FE0A08">
        <w:rPr>
          <w:szCs w:val="22"/>
        </w:rPr>
        <w:t>g</w:t>
      </w:r>
      <w:r w:rsidR="00BE0F08" w:rsidRPr="00BE0F08">
        <w:rPr>
          <w:szCs w:val="22"/>
        </w:rPr>
        <w:t xml:space="preserve">lobal </w:t>
      </w:r>
      <w:r w:rsidR="00FE0A08">
        <w:rPr>
          <w:szCs w:val="22"/>
        </w:rPr>
        <w:t>b</w:t>
      </w:r>
      <w:r w:rsidR="00BE0F08" w:rsidRPr="00BE0F08">
        <w:rPr>
          <w:szCs w:val="22"/>
        </w:rPr>
        <w:t xml:space="preserve">iodiversity </w:t>
      </w:r>
      <w:r w:rsidR="00FE0A08">
        <w:rPr>
          <w:szCs w:val="22"/>
        </w:rPr>
        <w:t>f</w:t>
      </w:r>
      <w:r w:rsidR="00BE0F08" w:rsidRPr="00BE0F08">
        <w:rPr>
          <w:szCs w:val="22"/>
        </w:rPr>
        <w:t>ramework</w:t>
      </w:r>
      <w:r w:rsidR="00BE0F08" w:rsidRPr="00B520CD">
        <w:rPr>
          <w:szCs w:val="22"/>
        </w:rPr>
        <w:t xml:space="preserve"> </w:t>
      </w:r>
      <w:r w:rsidR="008F23ED">
        <w:rPr>
          <w:szCs w:val="22"/>
        </w:rPr>
        <w:t>based on a zero</w:t>
      </w:r>
      <w:r w:rsidR="00AE6C87">
        <w:rPr>
          <w:szCs w:val="22"/>
        </w:rPr>
        <w:t>-</w:t>
      </w:r>
      <w:r w:rsidR="008F23ED">
        <w:rPr>
          <w:szCs w:val="22"/>
        </w:rPr>
        <w:t xml:space="preserve">draft </w:t>
      </w:r>
      <w:r w:rsidR="0073270C">
        <w:t>note</w:t>
      </w:r>
      <w:r w:rsidR="008F23ED">
        <w:t xml:space="preserve"> </w:t>
      </w:r>
      <w:r w:rsidR="00BF11A8">
        <w:t xml:space="preserve">prepared in response to paragraph 9 of </w:t>
      </w:r>
      <w:r w:rsidR="0073270C">
        <w:t>decision 14/24.</w:t>
      </w:r>
      <w:r w:rsidR="00F50FDF">
        <w:rPr>
          <w:rStyle w:val="FootnoteReference"/>
        </w:rPr>
        <w:footnoteReference w:id="10"/>
      </w:r>
      <w:r w:rsidR="0073270C">
        <w:t xml:space="preserve"> The </w:t>
      </w:r>
      <w:r w:rsidR="0073270C" w:rsidRPr="00B520CD">
        <w:rPr>
          <w:szCs w:val="22"/>
        </w:rPr>
        <w:t xml:space="preserve">note </w:t>
      </w:r>
      <w:r w:rsidR="008F23ED">
        <w:rPr>
          <w:szCs w:val="22"/>
        </w:rPr>
        <w:t xml:space="preserve">also </w:t>
      </w:r>
      <w:r w:rsidR="0073270C" w:rsidRPr="00B520CD">
        <w:rPr>
          <w:szCs w:val="22"/>
        </w:rPr>
        <w:t xml:space="preserve">contained draft terms of reference for a new informal advisory committee </w:t>
      </w:r>
      <w:r w:rsidR="00B520CD" w:rsidRPr="00B520CD">
        <w:rPr>
          <w:szCs w:val="22"/>
        </w:rPr>
        <w:t xml:space="preserve">on technical and scientific cooperation </w:t>
      </w:r>
      <w:r w:rsidR="0073270C" w:rsidRPr="00B520CD">
        <w:rPr>
          <w:szCs w:val="22"/>
        </w:rPr>
        <w:t xml:space="preserve">that the Conference of the Parties </w:t>
      </w:r>
      <w:r w:rsidR="00B520CD" w:rsidRPr="00B520CD">
        <w:rPr>
          <w:szCs w:val="22"/>
        </w:rPr>
        <w:t xml:space="preserve">will consider </w:t>
      </w:r>
      <w:r w:rsidR="0073270C" w:rsidRPr="00B520CD">
        <w:rPr>
          <w:szCs w:val="22"/>
        </w:rPr>
        <w:t>establish</w:t>
      </w:r>
      <w:r w:rsidR="00B520CD" w:rsidRPr="00B520CD">
        <w:rPr>
          <w:szCs w:val="22"/>
        </w:rPr>
        <w:t>ing</w:t>
      </w:r>
      <w:r w:rsidR="00BE0F08">
        <w:rPr>
          <w:szCs w:val="22"/>
        </w:rPr>
        <w:t xml:space="preserve"> at its fifteenth meeting</w:t>
      </w:r>
      <w:r w:rsidR="0073270C" w:rsidRPr="00B520CD">
        <w:rPr>
          <w:szCs w:val="22"/>
        </w:rPr>
        <w:t>.</w:t>
      </w:r>
    </w:p>
    <w:p w:rsidR="00FD33C7" w:rsidRDefault="0002680A" w:rsidP="00B520CD">
      <w:pPr>
        <w:pStyle w:val="Para1"/>
        <w:numPr>
          <w:ilvl w:val="0"/>
          <w:numId w:val="2"/>
        </w:numPr>
        <w:tabs>
          <w:tab w:val="clear" w:pos="360"/>
        </w:tabs>
        <w:rPr>
          <w:szCs w:val="22"/>
        </w:rPr>
      </w:pPr>
      <w:r w:rsidRPr="00B520CD">
        <w:rPr>
          <w:szCs w:val="22"/>
        </w:rPr>
        <w:t>Discussion</w:t>
      </w:r>
      <w:r w:rsidR="00244933">
        <w:rPr>
          <w:szCs w:val="22"/>
        </w:rPr>
        <w:t>s</w:t>
      </w:r>
      <w:r w:rsidRPr="00B520CD">
        <w:rPr>
          <w:szCs w:val="22"/>
        </w:rPr>
        <w:t xml:space="preserve"> </w:t>
      </w:r>
      <w:r w:rsidR="00DA6C85" w:rsidRPr="00B520CD">
        <w:rPr>
          <w:szCs w:val="22"/>
        </w:rPr>
        <w:t>started with the consideration of</w:t>
      </w:r>
      <w:r w:rsidRPr="00B520CD">
        <w:rPr>
          <w:szCs w:val="22"/>
        </w:rPr>
        <w:t xml:space="preserve"> the draft strategy for technical and scientific cooperation.</w:t>
      </w:r>
      <w:r w:rsidR="002F57BB" w:rsidRPr="00B520CD">
        <w:rPr>
          <w:szCs w:val="22"/>
        </w:rPr>
        <w:t xml:space="preserve"> </w:t>
      </w:r>
      <w:r w:rsidR="00244933">
        <w:rPr>
          <w:szCs w:val="22"/>
        </w:rPr>
        <w:t>M</w:t>
      </w:r>
      <w:r w:rsidR="00283FFD" w:rsidRPr="00B520CD">
        <w:rPr>
          <w:szCs w:val="22"/>
        </w:rPr>
        <w:t xml:space="preserve">embers of the </w:t>
      </w:r>
      <w:r w:rsidR="00486D08">
        <w:rPr>
          <w:szCs w:val="22"/>
        </w:rPr>
        <w:t>C</w:t>
      </w:r>
      <w:r w:rsidR="00283FFD" w:rsidRPr="00B520CD">
        <w:rPr>
          <w:szCs w:val="22"/>
        </w:rPr>
        <w:t xml:space="preserve">ommittee </w:t>
      </w:r>
      <w:r w:rsidR="00244933">
        <w:rPr>
          <w:szCs w:val="22"/>
        </w:rPr>
        <w:t xml:space="preserve">noted that there might be </w:t>
      </w:r>
      <w:r w:rsidR="00283FFD" w:rsidRPr="00B520CD">
        <w:rPr>
          <w:szCs w:val="22"/>
        </w:rPr>
        <w:t xml:space="preserve">potential overlaps between the proposed </w:t>
      </w:r>
      <w:r w:rsidR="00A31C6E" w:rsidRPr="00B520CD">
        <w:rPr>
          <w:szCs w:val="22"/>
        </w:rPr>
        <w:t xml:space="preserve">technical and scientific cooperation </w:t>
      </w:r>
      <w:r w:rsidR="00283FFD" w:rsidRPr="00B520CD">
        <w:rPr>
          <w:szCs w:val="22"/>
        </w:rPr>
        <w:t xml:space="preserve">strategy and the </w:t>
      </w:r>
      <w:r w:rsidR="002D0ACA" w:rsidRPr="00B520CD">
        <w:rPr>
          <w:szCs w:val="22"/>
        </w:rPr>
        <w:t>long-term strategic framework for capacity-building beyond 2020</w:t>
      </w:r>
      <w:r w:rsidR="00283FFD" w:rsidRPr="00B520CD">
        <w:rPr>
          <w:szCs w:val="22"/>
        </w:rPr>
        <w:t xml:space="preserve"> being developed by the Secretariat</w:t>
      </w:r>
      <w:r w:rsidR="00BF11A8">
        <w:rPr>
          <w:szCs w:val="22"/>
        </w:rPr>
        <w:t xml:space="preserve"> pursuant to </w:t>
      </w:r>
      <w:r w:rsidR="00BF11A8">
        <w:t>decision 14/24</w:t>
      </w:r>
      <w:r w:rsidR="00486D08">
        <w:t>,</w:t>
      </w:r>
      <w:r w:rsidR="00486D08" w:rsidRPr="00486D08">
        <w:rPr>
          <w:szCs w:val="22"/>
        </w:rPr>
        <w:t xml:space="preserve"> </w:t>
      </w:r>
      <w:r w:rsidR="00486D08">
        <w:rPr>
          <w:szCs w:val="22"/>
        </w:rPr>
        <w:t>paragraph 1</w:t>
      </w:r>
      <w:r w:rsidR="00283FFD" w:rsidRPr="00B520CD">
        <w:rPr>
          <w:szCs w:val="22"/>
        </w:rPr>
        <w:t>.</w:t>
      </w:r>
      <w:r w:rsidR="00D2240F" w:rsidRPr="00B520CD">
        <w:rPr>
          <w:szCs w:val="22"/>
        </w:rPr>
        <w:t xml:space="preserve"> </w:t>
      </w:r>
      <w:proofErr w:type="gramStart"/>
      <w:r w:rsidR="00D2240F" w:rsidRPr="00B520CD">
        <w:rPr>
          <w:szCs w:val="22"/>
        </w:rPr>
        <w:t xml:space="preserve">Concerns </w:t>
      </w:r>
      <w:r w:rsidR="00287CB8">
        <w:rPr>
          <w:szCs w:val="22"/>
        </w:rPr>
        <w:t xml:space="preserve"> were</w:t>
      </w:r>
      <w:proofErr w:type="gramEnd"/>
      <w:r w:rsidR="00287CB8">
        <w:rPr>
          <w:szCs w:val="22"/>
        </w:rPr>
        <w:t xml:space="preserve"> raised about </w:t>
      </w:r>
      <w:r w:rsidR="00D2240F" w:rsidRPr="00B520CD">
        <w:rPr>
          <w:szCs w:val="22"/>
        </w:rPr>
        <w:t>potential confusion over issues of responsibility</w:t>
      </w:r>
      <w:r w:rsidR="00287CB8">
        <w:rPr>
          <w:szCs w:val="22"/>
        </w:rPr>
        <w:t xml:space="preserve">, </w:t>
      </w:r>
      <w:r w:rsidR="00D2240F" w:rsidRPr="00B520CD">
        <w:rPr>
          <w:szCs w:val="22"/>
        </w:rPr>
        <w:t xml:space="preserve"> funding</w:t>
      </w:r>
      <w:r w:rsidR="00287CB8" w:rsidRPr="00287CB8">
        <w:rPr>
          <w:szCs w:val="22"/>
        </w:rPr>
        <w:t xml:space="preserve"> </w:t>
      </w:r>
      <w:r w:rsidR="00287CB8">
        <w:rPr>
          <w:szCs w:val="22"/>
        </w:rPr>
        <w:t>and reporting that such overlaps might create</w:t>
      </w:r>
      <w:r w:rsidR="00D2240F" w:rsidRPr="00B520CD">
        <w:rPr>
          <w:szCs w:val="22"/>
        </w:rPr>
        <w:t>.</w:t>
      </w:r>
      <w:r w:rsidR="00D47D16" w:rsidRPr="00B520CD">
        <w:rPr>
          <w:szCs w:val="22"/>
        </w:rPr>
        <w:t xml:space="preserve"> </w:t>
      </w:r>
      <w:r w:rsidR="00287CB8">
        <w:rPr>
          <w:szCs w:val="22"/>
        </w:rPr>
        <w:t>They</w:t>
      </w:r>
      <w:r w:rsidR="004D7D30">
        <w:rPr>
          <w:szCs w:val="22"/>
        </w:rPr>
        <w:t xml:space="preserve"> stressed the need </w:t>
      </w:r>
      <w:r w:rsidR="004D7D30" w:rsidRPr="00B520CD">
        <w:rPr>
          <w:szCs w:val="22"/>
        </w:rPr>
        <w:t xml:space="preserve">for alignment </w:t>
      </w:r>
      <w:r w:rsidR="004D7D30">
        <w:rPr>
          <w:szCs w:val="22"/>
        </w:rPr>
        <w:t xml:space="preserve">of </w:t>
      </w:r>
      <w:r w:rsidR="004D7D30" w:rsidRPr="00B520CD">
        <w:rPr>
          <w:szCs w:val="22"/>
        </w:rPr>
        <w:t xml:space="preserve">the proposed technical and scientific cooperation strategy with </w:t>
      </w:r>
      <w:r w:rsidR="007A0189">
        <w:rPr>
          <w:szCs w:val="22"/>
        </w:rPr>
        <w:t xml:space="preserve">other relevant strategies under the Convention, including </w:t>
      </w:r>
      <w:r w:rsidR="004D7D30" w:rsidRPr="00B520CD">
        <w:rPr>
          <w:szCs w:val="22"/>
        </w:rPr>
        <w:t>the</w:t>
      </w:r>
      <w:r w:rsidR="007A0189" w:rsidRPr="00B520CD">
        <w:rPr>
          <w:szCs w:val="22"/>
        </w:rPr>
        <w:t xml:space="preserve"> long-term strategic framework for capacity-building </w:t>
      </w:r>
      <w:r w:rsidR="007A0189">
        <w:rPr>
          <w:szCs w:val="22"/>
        </w:rPr>
        <w:t>and the</w:t>
      </w:r>
      <w:r w:rsidR="007A0189" w:rsidRPr="00B520CD">
        <w:rPr>
          <w:szCs w:val="22"/>
        </w:rPr>
        <w:t xml:space="preserve"> </w:t>
      </w:r>
      <w:r w:rsidR="00287CB8">
        <w:rPr>
          <w:szCs w:val="22"/>
        </w:rPr>
        <w:t>k</w:t>
      </w:r>
      <w:r w:rsidR="004D7D30" w:rsidRPr="00B520CD">
        <w:rPr>
          <w:szCs w:val="22"/>
        </w:rPr>
        <w:t xml:space="preserve">nowledge </w:t>
      </w:r>
      <w:r w:rsidR="00287CB8">
        <w:rPr>
          <w:szCs w:val="22"/>
        </w:rPr>
        <w:t>m</w:t>
      </w:r>
      <w:r w:rsidR="004D7D30" w:rsidRPr="00B520CD">
        <w:rPr>
          <w:szCs w:val="22"/>
        </w:rPr>
        <w:t>anagement</w:t>
      </w:r>
      <w:r w:rsidR="004D7D30">
        <w:rPr>
          <w:szCs w:val="22"/>
        </w:rPr>
        <w:t xml:space="preserve"> component </w:t>
      </w:r>
      <w:r w:rsidR="007A0189">
        <w:rPr>
          <w:szCs w:val="22"/>
        </w:rPr>
        <w:t xml:space="preserve">of the post-2020 global biodiversity framework </w:t>
      </w:r>
      <w:r w:rsidR="004D7D30">
        <w:rPr>
          <w:szCs w:val="22"/>
        </w:rPr>
        <w:t>(see</w:t>
      </w:r>
      <w:r w:rsidR="005E3305">
        <w:rPr>
          <w:szCs w:val="22"/>
        </w:rPr>
        <w:t xml:space="preserve"> i</w:t>
      </w:r>
      <w:r w:rsidR="004D7D30">
        <w:rPr>
          <w:szCs w:val="22"/>
        </w:rPr>
        <w:t>tem 4.2 below)</w:t>
      </w:r>
      <w:r w:rsidR="004D7D30" w:rsidRPr="00B520CD">
        <w:rPr>
          <w:szCs w:val="22"/>
        </w:rPr>
        <w:t>.</w:t>
      </w:r>
    </w:p>
    <w:p w:rsidR="00B91AB6" w:rsidRPr="00B520CD" w:rsidRDefault="00512DF0" w:rsidP="00B520CD">
      <w:pPr>
        <w:pStyle w:val="Para1"/>
        <w:numPr>
          <w:ilvl w:val="0"/>
          <w:numId w:val="2"/>
        </w:numPr>
        <w:tabs>
          <w:tab w:val="clear" w:pos="360"/>
        </w:tabs>
        <w:rPr>
          <w:szCs w:val="22"/>
        </w:rPr>
      </w:pPr>
      <w:r>
        <w:rPr>
          <w:szCs w:val="22"/>
        </w:rPr>
        <w:t xml:space="preserve">Members also discussed the potential role of </w:t>
      </w:r>
      <w:r w:rsidR="00D47D16" w:rsidRPr="00B520CD">
        <w:rPr>
          <w:szCs w:val="22"/>
        </w:rPr>
        <w:t xml:space="preserve">the Consortium of Scientific Partners </w:t>
      </w:r>
      <w:r w:rsidR="00921689" w:rsidRPr="00B520CD">
        <w:rPr>
          <w:szCs w:val="22"/>
        </w:rPr>
        <w:t xml:space="preserve">on Biodiversity </w:t>
      </w:r>
      <w:r w:rsidR="00D47D16" w:rsidRPr="00B520CD">
        <w:rPr>
          <w:szCs w:val="22"/>
        </w:rPr>
        <w:t>(</w:t>
      </w:r>
      <w:proofErr w:type="spellStart"/>
      <w:r w:rsidR="00D47D16" w:rsidRPr="00B520CD">
        <w:rPr>
          <w:szCs w:val="22"/>
        </w:rPr>
        <w:t>CSP</w:t>
      </w:r>
      <w:proofErr w:type="spellEnd"/>
      <w:r w:rsidR="00D47D16" w:rsidRPr="00B520CD">
        <w:rPr>
          <w:szCs w:val="22"/>
        </w:rPr>
        <w:t xml:space="preserve">) </w:t>
      </w:r>
      <w:r>
        <w:rPr>
          <w:szCs w:val="22"/>
        </w:rPr>
        <w:t xml:space="preserve">in the development and implementation of </w:t>
      </w:r>
      <w:r w:rsidR="00A31C6E" w:rsidRPr="00B520CD">
        <w:rPr>
          <w:szCs w:val="22"/>
        </w:rPr>
        <w:t>the proposed strategy</w:t>
      </w:r>
      <w:r w:rsidR="0074164E" w:rsidRPr="00B520CD">
        <w:rPr>
          <w:szCs w:val="22"/>
        </w:rPr>
        <w:t>, as well as its relationship with other networks</w:t>
      </w:r>
      <w:r w:rsidR="00A31C6E" w:rsidRPr="00B520CD">
        <w:rPr>
          <w:szCs w:val="22"/>
        </w:rPr>
        <w:t>.</w:t>
      </w:r>
      <w:r>
        <w:rPr>
          <w:szCs w:val="22"/>
        </w:rPr>
        <w:t xml:space="preserve"> It was noted that</w:t>
      </w:r>
      <w:r w:rsidR="00AE5A6E" w:rsidRPr="00B520CD">
        <w:rPr>
          <w:szCs w:val="22"/>
        </w:rPr>
        <w:t xml:space="preserve"> many communities of practice </w:t>
      </w:r>
      <w:r>
        <w:rPr>
          <w:szCs w:val="22"/>
        </w:rPr>
        <w:t xml:space="preserve">were </w:t>
      </w:r>
      <w:r w:rsidR="00AE5A6E" w:rsidRPr="00B520CD">
        <w:rPr>
          <w:szCs w:val="22"/>
        </w:rPr>
        <w:t xml:space="preserve">active on different biodiversity-related topics </w:t>
      </w:r>
      <w:r w:rsidR="00AE5A6E" w:rsidRPr="00B520CD">
        <w:rPr>
          <w:szCs w:val="22"/>
        </w:rPr>
        <w:lastRenderedPageBreak/>
        <w:t xml:space="preserve">and attention should be given to </w:t>
      </w:r>
      <w:r>
        <w:rPr>
          <w:szCs w:val="22"/>
        </w:rPr>
        <w:t xml:space="preserve">how they could </w:t>
      </w:r>
      <w:r w:rsidR="00FD33C7">
        <w:rPr>
          <w:szCs w:val="22"/>
        </w:rPr>
        <w:t>be mobili</w:t>
      </w:r>
      <w:r w:rsidR="002C44F5">
        <w:rPr>
          <w:szCs w:val="22"/>
        </w:rPr>
        <w:t>z</w:t>
      </w:r>
      <w:r w:rsidR="00FD33C7">
        <w:rPr>
          <w:szCs w:val="22"/>
        </w:rPr>
        <w:t xml:space="preserve">ed to </w:t>
      </w:r>
      <w:r w:rsidR="00AE5A6E" w:rsidRPr="00B520CD">
        <w:rPr>
          <w:szCs w:val="22"/>
        </w:rPr>
        <w:t>work together</w:t>
      </w:r>
      <w:r>
        <w:rPr>
          <w:szCs w:val="22"/>
        </w:rPr>
        <w:t xml:space="preserve"> in </w:t>
      </w:r>
      <w:r w:rsidR="00FD33C7">
        <w:rPr>
          <w:szCs w:val="22"/>
        </w:rPr>
        <w:t xml:space="preserve">support </w:t>
      </w:r>
      <w:r>
        <w:rPr>
          <w:szCs w:val="22"/>
        </w:rPr>
        <w:t xml:space="preserve">of </w:t>
      </w:r>
      <w:r w:rsidRPr="00B520CD">
        <w:rPr>
          <w:szCs w:val="22"/>
        </w:rPr>
        <w:t>the proposed strategy</w:t>
      </w:r>
      <w:r w:rsidR="00AE5A6E" w:rsidRPr="00B520CD">
        <w:rPr>
          <w:szCs w:val="22"/>
        </w:rPr>
        <w:t>.</w:t>
      </w:r>
      <w:r w:rsidR="00A67A4A" w:rsidRPr="00B520CD">
        <w:rPr>
          <w:szCs w:val="22"/>
        </w:rPr>
        <w:t xml:space="preserve"> </w:t>
      </w:r>
    </w:p>
    <w:p w:rsidR="00A67A4A" w:rsidRPr="00B520CD" w:rsidRDefault="00A67A4A" w:rsidP="00B520CD">
      <w:pPr>
        <w:pStyle w:val="Para1"/>
        <w:numPr>
          <w:ilvl w:val="0"/>
          <w:numId w:val="2"/>
        </w:numPr>
        <w:tabs>
          <w:tab w:val="clear" w:pos="360"/>
        </w:tabs>
        <w:rPr>
          <w:szCs w:val="22"/>
        </w:rPr>
      </w:pPr>
      <w:r w:rsidRPr="00B520CD">
        <w:rPr>
          <w:szCs w:val="22"/>
        </w:rPr>
        <w:t xml:space="preserve">It was noted that </w:t>
      </w:r>
      <w:r w:rsidR="00512DF0">
        <w:rPr>
          <w:szCs w:val="22"/>
        </w:rPr>
        <w:t xml:space="preserve">many </w:t>
      </w:r>
      <w:r w:rsidRPr="00B520CD">
        <w:rPr>
          <w:szCs w:val="22"/>
        </w:rPr>
        <w:t xml:space="preserve">recent technical and scientific cooperation initiatives under the </w:t>
      </w:r>
      <w:r w:rsidR="00512DF0">
        <w:rPr>
          <w:szCs w:val="22"/>
        </w:rPr>
        <w:t xml:space="preserve">Convention (such as the </w:t>
      </w:r>
      <w:r w:rsidR="006963D0">
        <w:rPr>
          <w:szCs w:val="22"/>
        </w:rPr>
        <w:t>Life Web</w:t>
      </w:r>
      <w:r w:rsidR="00512DF0">
        <w:rPr>
          <w:szCs w:val="22"/>
        </w:rPr>
        <w:t xml:space="preserve"> Initiative, </w:t>
      </w:r>
      <w:r w:rsidR="002C44F5">
        <w:rPr>
          <w:szCs w:val="22"/>
        </w:rPr>
        <w:t xml:space="preserve">the </w:t>
      </w:r>
      <w:r w:rsidR="00512DF0">
        <w:rPr>
          <w:szCs w:val="22"/>
        </w:rPr>
        <w:t xml:space="preserve">Bio-Bridge Initiative, and the Forest Ecosystem Restoration Initiative) had </w:t>
      </w:r>
      <w:r w:rsidRPr="00B520CD">
        <w:rPr>
          <w:szCs w:val="22"/>
        </w:rPr>
        <w:t xml:space="preserve">been </w:t>
      </w:r>
      <w:r w:rsidR="00ED6ACA">
        <w:rPr>
          <w:szCs w:val="22"/>
        </w:rPr>
        <w:t xml:space="preserve">established as </w:t>
      </w:r>
      <w:r w:rsidR="00ED6ACA" w:rsidRPr="00B520CD">
        <w:rPr>
          <w:szCs w:val="22"/>
        </w:rPr>
        <w:t>stand</w:t>
      </w:r>
      <w:r w:rsidR="002C44F5">
        <w:rPr>
          <w:szCs w:val="22"/>
        </w:rPr>
        <w:t>-</w:t>
      </w:r>
      <w:r w:rsidR="00ED6ACA" w:rsidRPr="00B520CD">
        <w:rPr>
          <w:szCs w:val="22"/>
        </w:rPr>
        <w:t xml:space="preserve">alone </w:t>
      </w:r>
      <w:r w:rsidRPr="00B520CD">
        <w:rPr>
          <w:szCs w:val="22"/>
        </w:rPr>
        <w:t xml:space="preserve">legacy initiatives </w:t>
      </w:r>
      <w:r w:rsidR="00ED6ACA">
        <w:rPr>
          <w:szCs w:val="22"/>
        </w:rPr>
        <w:t xml:space="preserve">of the respective </w:t>
      </w:r>
      <w:r w:rsidR="00ED6ACA" w:rsidRPr="00B520CD">
        <w:rPr>
          <w:szCs w:val="22"/>
        </w:rPr>
        <w:t xml:space="preserve">COP </w:t>
      </w:r>
      <w:r w:rsidR="00ED6ACA">
        <w:rPr>
          <w:szCs w:val="22"/>
        </w:rPr>
        <w:t xml:space="preserve">presidencies </w:t>
      </w:r>
      <w:r w:rsidRPr="00B520CD">
        <w:rPr>
          <w:szCs w:val="22"/>
        </w:rPr>
        <w:t xml:space="preserve">and </w:t>
      </w:r>
      <w:r w:rsidR="00ED6ACA">
        <w:rPr>
          <w:szCs w:val="22"/>
        </w:rPr>
        <w:t xml:space="preserve">did </w:t>
      </w:r>
      <w:r w:rsidRPr="00B520CD">
        <w:rPr>
          <w:szCs w:val="22"/>
        </w:rPr>
        <w:t xml:space="preserve">not fit into an overarching strategy. </w:t>
      </w:r>
      <w:r w:rsidR="00ED6ACA">
        <w:rPr>
          <w:szCs w:val="22"/>
        </w:rPr>
        <w:t>It was also noted that m</w:t>
      </w:r>
      <w:r w:rsidRPr="00B520CD">
        <w:rPr>
          <w:szCs w:val="22"/>
        </w:rPr>
        <w:t xml:space="preserve">any </w:t>
      </w:r>
      <w:r w:rsidR="00ED6ACA">
        <w:rPr>
          <w:szCs w:val="22"/>
        </w:rPr>
        <w:t xml:space="preserve">activities were </w:t>
      </w:r>
      <w:r w:rsidRPr="00B520CD">
        <w:rPr>
          <w:szCs w:val="22"/>
        </w:rPr>
        <w:t>being developed but not scaled up.</w:t>
      </w:r>
      <w:r w:rsidR="00055ACF" w:rsidRPr="00B520CD">
        <w:rPr>
          <w:szCs w:val="22"/>
        </w:rPr>
        <w:t xml:space="preserve"> Reference was also made to areas of focus</w:t>
      </w:r>
      <w:r w:rsidR="00ED6ACA">
        <w:rPr>
          <w:szCs w:val="22"/>
        </w:rPr>
        <w:t xml:space="preserve"> of the </w:t>
      </w:r>
      <w:r w:rsidR="008E65CF" w:rsidRPr="008E65CF">
        <w:rPr>
          <w:szCs w:val="22"/>
        </w:rPr>
        <w:t>Climate Technology Centre and Network (</w:t>
      </w:r>
      <w:proofErr w:type="spellStart"/>
      <w:r w:rsidR="008E65CF" w:rsidRPr="008E65CF">
        <w:rPr>
          <w:szCs w:val="22"/>
        </w:rPr>
        <w:t>CTCN</w:t>
      </w:r>
      <w:proofErr w:type="spellEnd"/>
      <w:r w:rsidR="008E65CF" w:rsidRPr="008E65CF">
        <w:rPr>
          <w:szCs w:val="22"/>
        </w:rPr>
        <w:t>)</w:t>
      </w:r>
      <w:r w:rsidR="00055ACF" w:rsidRPr="00B520CD">
        <w:rPr>
          <w:szCs w:val="22"/>
        </w:rPr>
        <w:t>, which include</w:t>
      </w:r>
      <w:r w:rsidR="00F44C69">
        <w:rPr>
          <w:szCs w:val="22"/>
        </w:rPr>
        <w:t>d</w:t>
      </w:r>
      <w:r w:rsidR="00055ACF" w:rsidRPr="00B520CD">
        <w:rPr>
          <w:szCs w:val="22"/>
        </w:rPr>
        <w:t xml:space="preserve"> biodiversity and ecosystems. </w:t>
      </w:r>
      <w:r w:rsidR="008E65CF">
        <w:rPr>
          <w:szCs w:val="22"/>
        </w:rPr>
        <w:t>It was recommended that c</w:t>
      </w:r>
      <w:r w:rsidR="00055ACF" w:rsidRPr="00B520CD">
        <w:rPr>
          <w:szCs w:val="22"/>
        </w:rPr>
        <w:t>ooperation</w:t>
      </w:r>
      <w:r w:rsidR="001F03D6" w:rsidRPr="00B520CD">
        <w:rPr>
          <w:szCs w:val="22"/>
        </w:rPr>
        <w:t xml:space="preserve"> with </w:t>
      </w:r>
      <w:proofErr w:type="spellStart"/>
      <w:r w:rsidR="008E65CF">
        <w:rPr>
          <w:szCs w:val="22"/>
        </w:rPr>
        <w:t>CTCN</w:t>
      </w:r>
      <w:proofErr w:type="spellEnd"/>
      <w:r w:rsidR="008E65CF">
        <w:rPr>
          <w:szCs w:val="22"/>
        </w:rPr>
        <w:t xml:space="preserve"> and </w:t>
      </w:r>
      <w:r w:rsidR="001F03D6" w:rsidRPr="00B520CD">
        <w:rPr>
          <w:szCs w:val="22"/>
        </w:rPr>
        <w:t xml:space="preserve">other </w:t>
      </w:r>
      <w:r w:rsidR="008E65CF">
        <w:rPr>
          <w:szCs w:val="22"/>
        </w:rPr>
        <w:t>relevant multilateral environment agreements (</w:t>
      </w:r>
      <w:proofErr w:type="spellStart"/>
      <w:r w:rsidR="001F03D6" w:rsidRPr="00B520CD">
        <w:rPr>
          <w:szCs w:val="22"/>
        </w:rPr>
        <w:t>MEAs</w:t>
      </w:r>
      <w:proofErr w:type="spellEnd"/>
      <w:r w:rsidR="008E65CF">
        <w:rPr>
          <w:szCs w:val="22"/>
        </w:rPr>
        <w:t>) and networks</w:t>
      </w:r>
      <w:r w:rsidR="00055ACF" w:rsidRPr="00B520CD">
        <w:rPr>
          <w:szCs w:val="22"/>
        </w:rPr>
        <w:t xml:space="preserve"> should be explored</w:t>
      </w:r>
      <w:r w:rsidR="000855AF">
        <w:rPr>
          <w:szCs w:val="22"/>
        </w:rPr>
        <w:t xml:space="preserve"> and strengthened, as appropriate</w:t>
      </w:r>
      <w:r w:rsidR="000F5095" w:rsidRPr="00B520CD">
        <w:rPr>
          <w:szCs w:val="22"/>
        </w:rPr>
        <w:t>.</w:t>
      </w:r>
    </w:p>
    <w:p w:rsidR="00B91AB6" w:rsidRPr="00B520CD" w:rsidRDefault="000B19F9" w:rsidP="00B520CD">
      <w:pPr>
        <w:pStyle w:val="Para1"/>
        <w:numPr>
          <w:ilvl w:val="0"/>
          <w:numId w:val="2"/>
        </w:numPr>
        <w:tabs>
          <w:tab w:val="clear" w:pos="360"/>
        </w:tabs>
        <w:rPr>
          <w:szCs w:val="22"/>
        </w:rPr>
      </w:pPr>
      <w:proofErr w:type="gramStart"/>
      <w:r w:rsidRPr="00B520CD">
        <w:rPr>
          <w:szCs w:val="22"/>
        </w:rPr>
        <w:t>A number of</w:t>
      </w:r>
      <w:proofErr w:type="gramEnd"/>
      <w:r w:rsidRPr="00B520CD">
        <w:rPr>
          <w:szCs w:val="22"/>
        </w:rPr>
        <w:t xml:space="preserve"> c</w:t>
      </w:r>
      <w:r w:rsidR="0012096F" w:rsidRPr="00B520CD">
        <w:rPr>
          <w:szCs w:val="22"/>
        </w:rPr>
        <w:t xml:space="preserve">omments were made regarding the </w:t>
      </w:r>
      <w:r w:rsidR="000855AF">
        <w:rPr>
          <w:szCs w:val="22"/>
        </w:rPr>
        <w:t xml:space="preserve">need to </w:t>
      </w:r>
      <w:r w:rsidRPr="00B520CD">
        <w:rPr>
          <w:szCs w:val="22"/>
        </w:rPr>
        <w:t>scal</w:t>
      </w:r>
      <w:r w:rsidR="00183E31">
        <w:rPr>
          <w:szCs w:val="22"/>
        </w:rPr>
        <w:t>e</w:t>
      </w:r>
      <w:r w:rsidRPr="00B520CD">
        <w:rPr>
          <w:szCs w:val="22"/>
        </w:rPr>
        <w:t xml:space="preserve"> up projects</w:t>
      </w:r>
      <w:r w:rsidR="000855AF">
        <w:rPr>
          <w:szCs w:val="22"/>
        </w:rPr>
        <w:t xml:space="preserve"> and </w:t>
      </w:r>
      <w:r w:rsidR="00287CB8">
        <w:rPr>
          <w:szCs w:val="22"/>
        </w:rPr>
        <w:t>action</w:t>
      </w:r>
      <w:r w:rsidR="000855AF">
        <w:rPr>
          <w:szCs w:val="22"/>
        </w:rPr>
        <w:t>s</w:t>
      </w:r>
      <w:r w:rsidRPr="00B520CD">
        <w:rPr>
          <w:szCs w:val="22"/>
        </w:rPr>
        <w:t xml:space="preserve"> that </w:t>
      </w:r>
      <w:r w:rsidR="00105302">
        <w:rPr>
          <w:szCs w:val="22"/>
        </w:rPr>
        <w:t>had</w:t>
      </w:r>
      <w:r w:rsidR="00105302" w:rsidRPr="00B520CD">
        <w:rPr>
          <w:szCs w:val="22"/>
        </w:rPr>
        <w:t xml:space="preserve"> </w:t>
      </w:r>
      <w:r w:rsidRPr="00B520CD">
        <w:rPr>
          <w:szCs w:val="22"/>
        </w:rPr>
        <w:t>proven to work</w:t>
      </w:r>
      <w:r w:rsidR="00055ACF" w:rsidRPr="00B520CD">
        <w:rPr>
          <w:szCs w:val="22"/>
        </w:rPr>
        <w:t xml:space="preserve"> </w:t>
      </w:r>
      <w:r w:rsidR="00A93296">
        <w:rPr>
          <w:szCs w:val="22"/>
        </w:rPr>
        <w:t xml:space="preserve">while identifying </w:t>
      </w:r>
      <w:r w:rsidR="00287CB8">
        <w:rPr>
          <w:szCs w:val="22"/>
        </w:rPr>
        <w:t>new</w:t>
      </w:r>
      <w:r w:rsidR="00244933">
        <w:rPr>
          <w:szCs w:val="22"/>
        </w:rPr>
        <w:t xml:space="preserve"> </w:t>
      </w:r>
      <w:r w:rsidR="00055ACF" w:rsidRPr="00B520CD">
        <w:rPr>
          <w:szCs w:val="22"/>
        </w:rPr>
        <w:t xml:space="preserve">innovative solutions. In </w:t>
      </w:r>
      <w:r w:rsidR="007057F7">
        <w:rPr>
          <w:szCs w:val="22"/>
        </w:rPr>
        <w:t>that</w:t>
      </w:r>
      <w:r w:rsidR="007057F7">
        <w:rPr>
          <w:szCs w:val="22"/>
        </w:rPr>
        <w:t xml:space="preserve"> </w:t>
      </w:r>
      <w:r w:rsidR="00244933">
        <w:rPr>
          <w:szCs w:val="22"/>
        </w:rPr>
        <w:t>regard</w:t>
      </w:r>
      <w:r w:rsidR="00055ACF" w:rsidRPr="00B520CD">
        <w:rPr>
          <w:szCs w:val="22"/>
        </w:rPr>
        <w:t xml:space="preserve">, the importance of </w:t>
      </w:r>
      <w:r w:rsidR="00244933">
        <w:rPr>
          <w:szCs w:val="22"/>
        </w:rPr>
        <w:t xml:space="preserve">promoting </w:t>
      </w:r>
      <w:r w:rsidR="00055ACF" w:rsidRPr="00B520CD">
        <w:rPr>
          <w:szCs w:val="22"/>
        </w:rPr>
        <w:t xml:space="preserve">indigenous technologies was also </w:t>
      </w:r>
      <w:r w:rsidR="00C92659" w:rsidRPr="00B520CD">
        <w:rPr>
          <w:szCs w:val="22"/>
        </w:rPr>
        <w:t>stressed</w:t>
      </w:r>
      <w:r w:rsidR="00055ACF" w:rsidRPr="00B520CD">
        <w:rPr>
          <w:szCs w:val="22"/>
        </w:rPr>
        <w:t>.</w:t>
      </w:r>
    </w:p>
    <w:p w:rsidR="005222BE" w:rsidRPr="00B520CD" w:rsidRDefault="00D4724E" w:rsidP="00B520CD">
      <w:pPr>
        <w:pStyle w:val="Para1"/>
        <w:numPr>
          <w:ilvl w:val="0"/>
          <w:numId w:val="2"/>
        </w:numPr>
        <w:tabs>
          <w:tab w:val="clear" w:pos="360"/>
        </w:tabs>
        <w:rPr>
          <w:szCs w:val="22"/>
        </w:rPr>
      </w:pPr>
      <w:r w:rsidRPr="00B520CD">
        <w:rPr>
          <w:szCs w:val="22"/>
        </w:rPr>
        <w:t>Another importan</w:t>
      </w:r>
      <w:r w:rsidR="009603CC">
        <w:rPr>
          <w:szCs w:val="22"/>
        </w:rPr>
        <w:t>t</w:t>
      </w:r>
      <w:r w:rsidR="009603CC">
        <w:t xml:space="preserve"> issue discussed was</w:t>
      </w:r>
      <w:r>
        <w:t xml:space="preserve"> the question of funding. </w:t>
      </w:r>
      <w:r w:rsidR="009603CC">
        <w:t>Members emphasi</w:t>
      </w:r>
      <w:r w:rsidR="00F44C69">
        <w:t>z</w:t>
      </w:r>
      <w:r w:rsidR="009603CC">
        <w:t xml:space="preserve">ed </w:t>
      </w:r>
      <w:r w:rsidR="00A93296">
        <w:t>the need for</w:t>
      </w:r>
      <w:r w:rsidR="009603CC">
        <w:t xml:space="preserve"> the draft strategy</w:t>
      </w:r>
      <w:r w:rsidR="009603CC" w:rsidRPr="001026EB">
        <w:t xml:space="preserve"> </w:t>
      </w:r>
      <w:r w:rsidR="00A93296">
        <w:t xml:space="preserve">to </w:t>
      </w:r>
      <w:r w:rsidR="009603CC" w:rsidRPr="001026EB">
        <w:t>clearly articulate</w:t>
      </w:r>
      <w:r w:rsidR="009603CC">
        <w:t xml:space="preserve"> </w:t>
      </w:r>
      <w:r w:rsidR="001026EB" w:rsidRPr="001026EB">
        <w:t xml:space="preserve">different streams of </w:t>
      </w:r>
      <w:r w:rsidR="009603CC">
        <w:t xml:space="preserve">work </w:t>
      </w:r>
      <w:r w:rsidR="00A93296">
        <w:t xml:space="preserve">that would </w:t>
      </w:r>
      <w:r w:rsidR="009603CC">
        <w:t>requir</w:t>
      </w:r>
      <w:r w:rsidR="00A93296">
        <w:t>e</w:t>
      </w:r>
      <w:r w:rsidR="009603CC">
        <w:t xml:space="preserve"> </w:t>
      </w:r>
      <w:r w:rsidR="001026EB" w:rsidRPr="001026EB">
        <w:t>funding</w:t>
      </w:r>
      <w:r w:rsidR="001026EB">
        <w:t>. For example,</w:t>
      </w:r>
      <w:r w:rsidR="001026EB" w:rsidRPr="001026EB">
        <w:t xml:space="preserve"> </w:t>
      </w:r>
      <w:r w:rsidR="001026EB">
        <w:t>i</w:t>
      </w:r>
      <w:r>
        <w:t>t was recognized that</w:t>
      </w:r>
      <w:r w:rsidR="00105302">
        <w:t>,</w:t>
      </w:r>
      <w:r>
        <w:t xml:space="preserve"> </w:t>
      </w:r>
      <w:r w:rsidR="00A93296">
        <w:t xml:space="preserve">for </w:t>
      </w:r>
      <w:r>
        <w:t xml:space="preserve">matchmaking between Parties </w:t>
      </w:r>
      <w:r w:rsidR="009603CC">
        <w:t xml:space="preserve">requiring assistance </w:t>
      </w:r>
      <w:r>
        <w:t xml:space="preserve">and providers of </w:t>
      </w:r>
      <w:r w:rsidR="009603CC">
        <w:t>technical assistance</w:t>
      </w:r>
      <w:r w:rsidR="00A93296">
        <w:t xml:space="preserve"> to work</w:t>
      </w:r>
      <w:r w:rsidR="00F44C69">
        <w:t>,</w:t>
      </w:r>
      <w:r w:rsidR="009603CC">
        <w:t xml:space="preserve"> </w:t>
      </w:r>
      <w:r>
        <w:t xml:space="preserve">substantial funding </w:t>
      </w:r>
      <w:r w:rsidR="009603CC">
        <w:t>w</w:t>
      </w:r>
      <w:r w:rsidR="00A93296">
        <w:t xml:space="preserve">ould be required </w:t>
      </w:r>
      <w:r>
        <w:t>to sustain partnerships</w:t>
      </w:r>
      <w:r w:rsidR="009603CC">
        <w:t>,</w:t>
      </w:r>
      <w:r w:rsidR="009603CC" w:rsidRPr="009603CC">
        <w:t xml:space="preserve"> </w:t>
      </w:r>
      <w:r w:rsidR="009603CC">
        <w:t xml:space="preserve">as the experience of the Bio-Bridge Initiative and the </w:t>
      </w:r>
      <w:proofErr w:type="spellStart"/>
      <w:r w:rsidR="009603CC">
        <w:t>IPBES</w:t>
      </w:r>
      <w:proofErr w:type="spellEnd"/>
      <w:r w:rsidR="009603CC">
        <w:t xml:space="preserve"> Matchmaking Facility had demonstrated</w:t>
      </w:r>
      <w:r>
        <w:t>.</w:t>
      </w:r>
      <w:r w:rsidR="00F45241">
        <w:t xml:space="preserve"> </w:t>
      </w:r>
      <w:r w:rsidR="009603CC">
        <w:t xml:space="preserve">The need for adequate </w:t>
      </w:r>
      <w:r w:rsidR="00F45241">
        <w:t>staffing</w:t>
      </w:r>
      <w:r w:rsidR="001026EB">
        <w:t xml:space="preserve"> </w:t>
      </w:r>
      <w:r w:rsidR="009603CC">
        <w:t>to facilitate and support</w:t>
      </w:r>
      <w:r w:rsidR="001026EB">
        <w:t xml:space="preserve"> technical and scientific </w:t>
      </w:r>
      <w:r w:rsidR="001026EB" w:rsidRPr="00B520CD">
        <w:rPr>
          <w:szCs w:val="22"/>
        </w:rPr>
        <w:t xml:space="preserve">cooperation </w:t>
      </w:r>
      <w:r w:rsidR="00F50AE1">
        <w:rPr>
          <w:szCs w:val="22"/>
        </w:rPr>
        <w:t>was</w:t>
      </w:r>
      <w:r w:rsidR="00F50AE1" w:rsidRPr="00B520CD">
        <w:rPr>
          <w:szCs w:val="22"/>
        </w:rPr>
        <w:t xml:space="preserve"> </w:t>
      </w:r>
      <w:r w:rsidR="001026EB" w:rsidRPr="00B520CD">
        <w:rPr>
          <w:szCs w:val="22"/>
        </w:rPr>
        <w:t>also</w:t>
      </w:r>
      <w:r w:rsidR="00F50AE1">
        <w:rPr>
          <w:szCs w:val="22"/>
        </w:rPr>
        <w:t xml:space="preserve"> highlighted</w:t>
      </w:r>
      <w:r w:rsidR="001026EB" w:rsidRPr="00B520CD">
        <w:rPr>
          <w:szCs w:val="22"/>
        </w:rPr>
        <w:t>.</w:t>
      </w:r>
    </w:p>
    <w:p w:rsidR="0002680A" w:rsidRPr="00B520CD" w:rsidRDefault="00F50AE1" w:rsidP="00B520CD">
      <w:pPr>
        <w:pStyle w:val="Para1"/>
        <w:numPr>
          <w:ilvl w:val="0"/>
          <w:numId w:val="2"/>
        </w:numPr>
        <w:tabs>
          <w:tab w:val="clear" w:pos="360"/>
        </w:tabs>
        <w:rPr>
          <w:szCs w:val="22"/>
        </w:rPr>
      </w:pPr>
      <w:r>
        <w:rPr>
          <w:szCs w:val="22"/>
        </w:rPr>
        <w:t xml:space="preserve">Members also discussed in detail </w:t>
      </w:r>
      <w:r w:rsidR="00B17D48" w:rsidRPr="00B520CD">
        <w:rPr>
          <w:szCs w:val="22"/>
        </w:rPr>
        <w:t xml:space="preserve">the proposed </w:t>
      </w:r>
      <w:r>
        <w:rPr>
          <w:szCs w:val="22"/>
        </w:rPr>
        <w:t xml:space="preserve">institutional arrangements for promoting </w:t>
      </w:r>
      <w:r w:rsidRPr="00BE0F08">
        <w:rPr>
          <w:szCs w:val="22"/>
        </w:rPr>
        <w:t xml:space="preserve">technical and scientific cooperation in support of the post-2020 </w:t>
      </w:r>
      <w:r w:rsidR="00F44C69">
        <w:rPr>
          <w:szCs w:val="22"/>
        </w:rPr>
        <w:t>g</w:t>
      </w:r>
      <w:r w:rsidRPr="00BE0F08">
        <w:rPr>
          <w:szCs w:val="22"/>
        </w:rPr>
        <w:t xml:space="preserve">lobal </w:t>
      </w:r>
      <w:r w:rsidR="00F44C69">
        <w:rPr>
          <w:szCs w:val="22"/>
        </w:rPr>
        <w:t>b</w:t>
      </w:r>
      <w:r w:rsidRPr="00BE0F08">
        <w:rPr>
          <w:szCs w:val="22"/>
        </w:rPr>
        <w:t xml:space="preserve">iodiversity </w:t>
      </w:r>
      <w:r w:rsidR="00F44C69">
        <w:rPr>
          <w:szCs w:val="22"/>
        </w:rPr>
        <w:t>f</w:t>
      </w:r>
      <w:r w:rsidRPr="00BE0F08">
        <w:rPr>
          <w:szCs w:val="22"/>
        </w:rPr>
        <w:t>ramework</w:t>
      </w:r>
      <w:r>
        <w:rPr>
          <w:szCs w:val="22"/>
        </w:rPr>
        <w:t xml:space="preserve">, including </w:t>
      </w:r>
      <w:r w:rsidRPr="00B520CD">
        <w:rPr>
          <w:szCs w:val="22"/>
        </w:rPr>
        <w:t xml:space="preserve">the envisaged </w:t>
      </w:r>
      <w:r w:rsidR="00A93296">
        <w:rPr>
          <w:szCs w:val="22"/>
        </w:rPr>
        <w:t xml:space="preserve">establishment </w:t>
      </w:r>
      <w:r>
        <w:rPr>
          <w:szCs w:val="22"/>
        </w:rPr>
        <w:t>of</w:t>
      </w:r>
      <w:r w:rsidRPr="00B520CD">
        <w:rPr>
          <w:szCs w:val="22"/>
        </w:rPr>
        <w:t xml:space="preserve"> </w:t>
      </w:r>
      <w:r w:rsidR="0019194E" w:rsidRPr="00B520CD">
        <w:rPr>
          <w:szCs w:val="22"/>
        </w:rPr>
        <w:t xml:space="preserve">advisory and </w:t>
      </w:r>
      <w:r w:rsidR="00B17D48" w:rsidRPr="00B520CD">
        <w:rPr>
          <w:szCs w:val="22"/>
        </w:rPr>
        <w:t>operational entit</w:t>
      </w:r>
      <w:r w:rsidR="0019194E" w:rsidRPr="00B520CD">
        <w:rPr>
          <w:szCs w:val="22"/>
        </w:rPr>
        <w:t>ies</w:t>
      </w:r>
      <w:r w:rsidR="00B17D48" w:rsidRPr="00B520CD">
        <w:rPr>
          <w:szCs w:val="22"/>
        </w:rPr>
        <w:t xml:space="preserve">. </w:t>
      </w:r>
      <w:r>
        <w:rPr>
          <w:szCs w:val="22"/>
        </w:rPr>
        <w:t xml:space="preserve">Members requested the Secretariat </w:t>
      </w:r>
      <w:r w:rsidR="00B17D48" w:rsidRPr="00B520CD">
        <w:rPr>
          <w:szCs w:val="22"/>
        </w:rPr>
        <w:t>to further clarify</w:t>
      </w:r>
      <w:r w:rsidR="0019194E" w:rsidRPr="00B520CD">
        <w:rPr>
          <w:szCs w:val="22"/>
        </w:rPr>
        <w:t xml:space="preserve"> in the </w:t>
      </w:r>
      <w:r w:rsidR="000755AA">
        <w:rPr>
          <w:szCs w:val="22"/>
        </w:rPr>
        <w:t xml:space="preserve">draft </w:t>
      </w:r>
      <w:r w:rsidR="0019194E" w:rsidRPr="00B520CD">
        <w:rPr>
          <w:szCs w:val="22"/>
        </w:rPr>
        <w:t>strateg</w:t>
      </w:r>
      <w:r w:rsidR="000755AA">
        <w:rPr>
          <w:szCs w:val="22"/>
        </w:rPr>
        <w:t>y</w:t>
      </w:r>
      <w:r w:rsidR="00B17D48" w:rsidRPr="00B520CD">
        <w:rPr>
          <w:szCs w:val="22"/>
        </w:rPr>
        <w:t xml:space="preserve"> </w:t>
      </w:r>
      <w:r w:rsidR="0019194E" w:rsidRPr="00B520CD">
        <w:rPr>
          <w:szCs w:val="22"/>
        </w:rPr>
        <w:t xml:space="preserve">how the </w:t>
      </w:r>
      <w:r>
        <w:rPr>
          <w:szCs w:val="22"/>
        </w:rPr>
        <w:t xml:space="preserve">proposed </w:t>
      </w:r>
      <w:r w:rsidR="0019194E" w:rsidRPr="00B520CD">
        <w:rPr>
          <w:szCs w:val="22"/>
        </w:rPr>
        <w:t xml:space="preserve">entities </w:t>
      </w:r>
      <w:r>
        <w:rPr>
          <w:szCs w:val="22"/>
        </w:rPr>
        <w:t>would</w:t>
      </w:r>
      <w:r w:rsidR="0019194E" w:rsidRPr="00B520CD">
        <w:rPr>
          <w:szCs w:val="22"/>
        </w:rPr>
        <w:t xml:space="preserve"> interact with one another and with the Secretariat</w:t>
      </w:r>
      <w:r w:rsidR="000755AA">
        <w:rPr>
          <w:szCs w:val="22"/>
        </w:rPr>
        <w:t xml:space="preserve">, </w:t>
      </w:r>
      <w:r w:rsidR="00183E31">
        <w:rPr>
          <w:szCs w:val="22"/>
        </w:rPr>
        <w:t xml:space="preserve">including </w:t>
      </w:r>
      <w:r w:rsidR="000755AA">
        <w:rPr>
          <w:szCs w:val="22"/>
        </w:rPr>
        <w:t>the reporting lines</w:t>
      </w:r>
      <w:r w:rsidR="0019194E" w:rsidRPr="00B520CD">
        <w:rPr>
          <w:szCs w:val="22"/>
        </w:rPr>
        <w:t xml:space="preserve">. </w:t>
      </w:r>
      <w:r>
        <w:rPr>
          <w:szCs w:val="22"/>
        </w:rPr>
        <w:t xml:space="preserve">They also </w:t>
      </w:r>
      <w:r w:rsidR="000755AA">
        <w:rPr>
          <w:szCs w:val="22"/>
        </w:rPr>
        <w:t xml:space="preserve">requested </w:t>
      </w:r>
      <w:r w:rsidR="00F44C69">
        <w:rPr>
          <w:szCs w:val="22"/>
        </w:rPr>
        <w:t xml:space="preserve">clarification from </w:t>
      </w:r>
      <w:r w:rsidR="000755AA">
        <w:rPr>
          <w:szCs w:val="22"/>
        </w:rPr>
        <w:t xml:space="preserve">the Secretariat </w:t>
      </w:r>
      <w:r>
        <w:rPr>
          <w:szCs w:val="22"/>
        </w:rPr>
        <w:t>on w</w:t>
      </w:r>
      <w:r w:rsidR="0019194E" w:rsidRPr="00B520CD">
        <w:rPr>
          <w:szCs w:val="22"/>
        </w:rPr>
        <w:t xml:space="preserve">hether the operational entity </w:t>
      </w:r>
      <w:r>
        <w:rPr>
          <w:szCs w:val="22"/>
        </w:rPr>
        <w:t xml:space="preserve">would </w:t>
      </w:r>
      <w:r w:rsidR="0019194E" w:rsidRPr="00B520CD">
        <w:rPr>
          <w:szCs w:val="22"/>
        </w:rPr>
        <w:t xml:space="preserve">be an entirely new and autonomous body or whether </w:t>
      </w:r>
      <w:r w:rsidR="000755AA">
        <w:rPr>
          <w:szCs w:val="22"/>
        </w:rPr>
        <w:t xml:space="preserve">an </w:t>
      </w:r>
      <w:r w:rsidR="0019194E" w:rsidRPr="00B520CD">
        <w:rPr>
          <w:szCs w:val="22"/>
        </w:rPr>
        <w:t>existing partner</w:t>
      </w:r>
      <w:r>
        <w:rPr>
          <w:szCs w:val="22"/>
        </w:rPr>
        <w:t xml:space="preserve"> organization would be designated or contracted </w:t>
      </w:r>
      <w:r w:rsidR="000755AA">
        <w:rPr>
          <w:szCs w:val="22"/>
        </w:rPr>
        <w:t>to serve as the operational entity</w:t>
      </w:r>
      <w:r w:rsidR="008C140B" w:rsidRPr="00B520CD">
        <w:rPr>
          <w:szCs w:val="22"/>
        </w:rPr>
        <w:t>.</w:t>
      </w:r>
    </w:p>
    <w:p w:rsidR="00B26E0B" w:rsidRDefault="00183E31" w:rsidP="006725F3">
      <w:pPr>
        <w:pStyle w:val="Para1"/>
        <w:numPr>
          <w:ilvl w:val="0"/>
          <w:numId w:val="2"/>
        </w:numPr>
        <w:tabs>
          <w:tab w:val="clear" w:pos="360"/>
        </w:tabs>
        <w:rPr>
          <w:szCs w:val="22"/>
        </w:rPr>
      </w:pPr>
      <w:r w:rsidRPr="006963D0">
        <w:rPr>
          <w:szCs w:val="22"/>
        </w:rPr>
        <w:t xml:space="preserve">Members also </w:t>
      </w:r>
      <w:r w:rsidR="00DA6C85" w:rsidRPr="006963D0">
        <w:rPr>
          <w:szCs w:val="22"/>
        </w:rPr>
        <w:t>discuss</w:t>
      </w:r>
      <w:r w:rsidRPr="006963D0">
        <w:rPr>
          <w:szCs w:val="22"/>
        </w:rPr>
        <w:t xml:space="preserve">ed </w:t>
      </w:r>
      <w:r w:rsidR="00DA6C85" w:rsidRPr="006963D0">
        <w:rPr>
          <w:szCs w:val="22"/>
        </w:rPr>
        <w:t xml:space="preserve">the draft terms of reference for </w:t>
      </w:r>
      <w:r w:rsidRPr="006963D0">
        <w:rPr>
          <w:szCs w:val="22"/>
        </w:rPr>
        <w:t xml:space="preserve">the </w:t>
      </w:r>
      <w:r w:rsidR="00DA6C85" w:rsidRPr="006963D0">
        <w:rPr>
          <w:szCs w:val="22"/>
        </w:rPr>
        <w:t>new informal advisory committee</w:t>
      </w:r>
      <w:r w:rsidR="00415EBD" w:rsidRPr="006963D0">
        <w:rPr>
          <w:szCs w:val="22"/>
        </w:rPr>
        <w:t xml:space="preserve"> on technical and scientific cooperation, in line with </w:t>
      </w:r>
      <w:r w:rsidR="00F44C69">
        <w:rPr>
          <w:szCs w:val="22"/>
        </w:rPr>
        <w:t>r</w:t>
      </w:r>
      <w:r w:rsidR="00415EBD" w:rsidRPr="006963D0">
        <w:rPr>
          <w:szCs w:val="22"/>
        </w:rPr>
        <w:t xml:space="preserve">ecommendation </w:t>
      </w:r>
      <w:proofErr w:type="spellStart"/>
      <w:r w:rsidR="00415EBD" w:rsidRPr="006963D0">
        <w:rPr>
          <w:szCs w:val="22"/>
        </w:rPr>
        <w:t>SBI</w:t>
      </w:r>
      <w:proofErr w:type="spellEnd"/>
      <w:r w:rsidR="00415EBD" w:rsidRPr="006963D0">
        <w:rPr>
          <w:szCs w:val="22"/>
        </w:rPr>
        <w:t xml:space="preserve"> 2/8</w:t>
      </w:r>
      <w:r w:rsidR="00296E2E">
        <w:rPr>
          <w:szCs w:val="22"/>
        </w:rPr>
        <w:t>,</w:t>
      </w:r>
      <w:r w:rsidR="00296E2E" w:rsidRPr="00296E2E">
        <w:rPr>
          <w:szCs w:val="22"/>
        </w:rPr>
        <w:t xml:space="preserve"> </w:t>
      </w:r>
      <w:r w:rsidR="00296E2E" w:rsidRPr="006963D0">
        <w:rPr>
          <w:szCs w:val="22"/>
        </w:rPr>
        <w:t>paragraph 3</w:t>
      </w:r>
      <w:r w:rsidR="00415EBD" w:rsidRPr="006963D0">
        <w:rPr>
          <w:szCs w:val="22"/>
        </w:rPr>
        <w:t>.</w:t>
      </w:r>
      <w:r w:rsidR="00DA6C85" w:rsidRPr="006963D0">
        <w:rPr>
          <w:szCs w:val="22"/>
        </w:rPr>
        <w:t xml:space="preserve"> The Secretariat noted that several informal advisory committees </w:t>
      </w:r>
      <w:r w:rsidR="00415EBD" w:rsidRPr="006963D0">
        <w:rPr>
          <w:szCs w:val="22"/>
        </w:rPr>
        <w:t xml:space="preserve">had been </w:t>
      </w:r>
      <w:r w:rsidR="00DA6C85" w:rsidRPr="006963D0">
        <w:rPr>
          <w:szCs w:val="22"/>
        </w:rPr>
        <w:t xml:space="preserve">established on different thematic areas </w:t>
      </w:r>
      <w:r w:rsidR="00415EBD" w:rsidRPr="006963D0">
        <w:rPr>
          <w:szCs w:val="22"/>
        </w:rPr>
        <w:t>over the years</w:t>
      </w:r>
      <w:r w:rsidR="00DF6287" w:rsidRPr="006963D0">
        <w:rPr>
          <w:szCs w:val="22"/>
        </w:rPr>
        <w:t>, thus</w:t>
      </w:r>
      <w:r w:rsidR="00415EBD" w:rsidRPr="006963D0">
        <w:rPr>
          <w:szCs w:val="22"/>
        </w:rPr>
        <w:t xml:space="preserve"> </w:t>
      </w:r>
      <w:r w:rsidR="00DA6C85" w:rsidRPr="006963D0">
        <w:rPr>
          <w:szCs w:val="22"/>
        </w:rPr>
        <w:t xml:space="preserve">stretching the </w:t>
      </w:r>
      <w:r w:rsidR="00DF6287" w:rsidRPr="006963D0">
        <w:rPr>
          <w:szCs w:val="22"/>
        </w:rPr>
        <w:t xml:space="preserve">limited </w:t>
      </w:r>
      <w:r w:rsidR="00DA6C85" w:rsidRPr="006963D0">
        <w:rPr>
          <w:szCs w:val="22"/>
        </w:rPr>
        <w:t>resources of the Secretariat</w:t>
      </w:r>
      <w:r w:rsidR="00DF6287" w:rsidRPr="006963D0">
        <w:rPr>
          <w:szCs w:val="22"/>
        </w:rPr>
        <w:t xml:space="preserve">. It was also noted that the </w:t>
      </w:r>
      <w:r w:rsidR="00DA6C85" w:rsidRPr="006963D0">
        <w:rPr>
          <w:szCs w:val="22"/>
        </w:rPr>
        <w:t>proliferati</w:t>
      </w:r>
      <w:r w:rsidR="00DF6287" w:rsidRPr="006963D0">
        <w:rPr>
          <w:szCs w:val="22"/>
        </w:rPr>
        <w:t xml:space="preserve">on </w:t>
      </w:r>
      <w:r w:rsidR="00DA6C85" w:rsidRPr="006963D0">
        <w:rPr>
          <w:szCs w:val="22"/>
        </w:rPr>
        <w:t xml:space="preserve">of committees </w:t>
      </w:r>
      <w:r w:rsidR="00DF6287" w:rsidRPr="006963D0">
        <w:rPr>
          <w:szCs w:val="22"/>
        </w:rPr>
        <w:t xml:space="preserve">and other bodies increased </w:t>
      </w:r>
      <w:r w:rsidR="00DA6C85" w:rsidRPr="006963D0">
        <w:rPr>
          <w:szCs w:val="22"/>
        </w:rPr>
        <w:t xml:space="preserve">the risk of working in silos and duplicating efforts.  </w:t>
      </w:r>
      <w:r w:rsidR="00DF6287">
        <w:rPr>
          <w:szCs w:val="22"/>
        </w:rPr>
        <w:t xml:space="preserve">Members reviewed the terms of reference section by section and </w:t>
      </w:r>
      <w:r w:rsidR="00B26E0B">
        <w:rPr>
          <w:szCs w:val="22"/>
        </w:rPr>
        <w:t>recommended</w:t>
      </w:r>
      <w:r w:rsidR="00DF6287">
        <w:rPr>
          <w:szCs w:val="22"/>
        </w:rPr>
        <w:t xml:space="preserve"> various </w:t>
      </w:r>
      <w:r w:rsidR="00B26E0B">
        <w:rPr>
          <w:szCs w:val="22"/>
        </w:rPr>
        <w:t>improvements</w:t>
      </w:r>
      <w:r w:rsidR="00DF6287">
        <w:rPr>
          <w:szCs w:val="22"/>
        </w:rPr>
        <w:t xml:space="preserve">. </w:t>
      </w:r>
      <w:r w:rsidR="00B26E0B">
        <w:rPr>
          <w:szCs w:val="22"/>
        </w:rPr>
        <w:t>Among other things, it was suggested that t</w:t>
      </w:r>
      <w:r w:rsidR="00B26E0B">
        <w:rPr>
          <w:kern w:val="22"/>
          <w:szCs w:val="22"/>
          <w:lang w:eastAsia="en-CA"/>
        </w:rPr>
        <w:t xml:space="preserve">he Advisory Committee </w:t>
      </w:r>
      <w:r w:rsidR="003401A2">
        <w:rPr>
          <w:kern w:val="22"/>
          <w:szCs w:val="22"/>
          <w:lang w:eastAsia="en-CA"/>
        </w:rPr>
        <w:t>could</w:t>
      </w:r>
      <w:r w:rsidR="00B26E0B">
        <w:rPr>
          <w:kern w:val="22"/>
          <w:szCs w:val="22"/>
          <w:lang w:eastAsia="en-CA"/>
        </w:rPr>
        <w:t>, as appropriate, establish subcommittees to support it in addressing specific issues or thematic areas</w:t>
      </w:r>
      <w:r w:rsidR="003401A2">
        <w:rPr>
          <w:kern w:val="22"/>
          <w:szCs w:val="22"/>
          <w:lang w:eastAsia="en-CA"/>
        </w:rPr>
        <w:t>,</w:t>
      </w:r>
      <w:r w:rsidR="00B26E0B">
        <w:rPr>
          <w:kern w:val="22"/>
          <w:szCs w:val="22"/>
          <w:lang w:eastAsia="en-CA"/>
        </w:rPr>
        <w:t xml:space="preserve"> such as </w:t>
      </w:r>
      <w:r w:rsidR="00B26E0B" w:rsidRPr="005D6F3C">
        <w:t xml:space="preserve">technical </w:t>
      </w:r>
      <w:r w:rsidR="00B26E0B" w:rsidRPr="00491547">
        <w:rPr>
          <w:szCs w:val="22"/>
        </w:rPr>
        <w:t>and scientific cooperation, capacity-building, the clearing-house mechanism, and knowledge management</w:t>
      </w:r>
      <w:r w:rsidR="003401A2">
        <w:rPr>
          <w:szCs w:val="22"/>
        </w:rPr>
        <w:t>,</w:t>
      </w:r>
      <w:r w:rsidR="00B26E0B">
        <w:rPr>
          <w:kern w:val="22"/>
          <w:szCs w:val="22"/>
          <w:lang w:eastAsia="en-CA"/>
        </w:rPr>
        <w:t xml:space="preserve"> and co-opt relevant experts to assist, as needed.</w:t>
      </w:r>
    </w:p>
    <w:p w:rsidR="00B26E0B" w:rsidRPr="006963D0" w:rsidRDefault="00DF6287" w:rsidP="006725F3">
      <w:pPr>
        <w:pStyle w:val="Para1"/>
        <w:numPr>
          <w:ilvl w:val="0"/>
          <w:numId w:val="2"/>
        </w:numPr>
        <w:tabs>
          <w:tab w:val="clear" w:pos="360"/>
        </w:tabs>
        <w:rPr>
          <w:szCs w:val="22"/>
        </w:rPr>
      </w:pPr>
      <w:r>
        <w:rPr>
          <w:szCs w:val="22"/>
        </w:rPr>
        <w:t>T</w:t>
      </w:r>
      <w:r w:rsidR="00DA6C85" w:rsidRPr="006963D0">
        <w:rPr>
          <w:szCs w:val="22"/>
        </w:rPr>
        <w:t>he</w:t>
      </w:r>
      <w:r w:rsidR="00DA6C85" w:rsidRPr="008D489B">
        <w:t xml:space="preserve"> chair </w:t>
      </w:r>
      <w:r>
        <w:t>requested</w:t>
      </w:r>
      <w:r w:rsidRPr="008D489B">
        <w:t xml:space="preserve"> </w:t>
      </w:r>
      <w:r w:rsidR="00DA6C85" w:rsidRPr="008D489B">
        <w:t xml:space="preserve">the Secretariat </w:t>
      </w:r>
      <w:r>
        <w:t xml:space="preserve">to </w:t>
      </w:r>
      <w:r w:rsidR="00DA6C85" w:rsidRPr="008D489B">
        <w:t xml:space="preserve">update draft terms of reference based on the initial </w:t>
      </w:r>
      <w:r w:rsidR="00DA6C85" w:rsidRPr="005D6F3C">
        <w:t>round of feedback</w:t>
      </w:r>
      <w:r w:rsidRPr="00DF6287">
        <w:t xml:space="preserve"> </w:t>
      </w:r>
      <w:r>
        <w:t xml:space="preserve">and circulate </w:t>
      </w:r>
      <w:r w:rsidRPr="008D489B">
        <w:t xml:space="preserve">the </w:t>
      </w:r>
      <w:r>
        <w:t xml:space="preserve">revised version to all members for their final comments before making them available for consideration by the </w:t>
      </w:r>
      <w:r w:rsidR="00B26E0B" w:rsidRPr="0031161C">
        <w:rPr>
          <w:szCs w:val="22"/>
        </w:rPr>
        <w:t>Subsidiary Body on Implementation</w:t>
      </w:r>
      <w:r w:rsidR="00B26E0B">
        <w:rPr>
          <w:szCs w:val="22"/>
        </w:rPr>
        <w:t xml:space="preserve"> at its third meeting</w:t>
      </w:r>
      <w:r w:rsidR="0097303D" w:rsidRPr="005D6F3C">
        <w:t xml:space="preserve">. </w:t>
      </w:r>
      <w:r w:rsidR="00B26E0B">
        <w:t>The revised terms of reference are presented in section I above.</w:t>
      </w:r>
    </w:p>
    <w:p w:rsidR="00DA6C85" w:rsidRPr="00264C1E" w:rsidRDefault="0097303D" w:rsidP="00B520CD">
      <w:pPr>
        <w:pStyle w:val="Para1"/>
        <w:numPr>
          <w:ilvl w:val="0"/>
          <w:numId w:val="2"/>
        </w:numPr>
        <w:tabs>
          <w:tab w:val="clear" w:pos="360"/>
        </w:tabs>
      </w:pPr>
      <w:r w:rsidRPr="00B520CD">
        <w:rPr>
          <w:szCs w:val="22"/>
        </w:rPr>
        <w:t xml:space="preserve">The members of the </w:t>
      </w:r>
      <w:r w:rsidR="00FE502D">
        <w:rPr>
          <w:szCs w:val="22"/>
        </w:rPr>
        <w:t>C</w:t>
      </w:r>
      <w:r w:rsidRPr="00B520CD">
        <w:rPr>
          <w:szCs w:val="22"/>
        </w:rPr>
        <w:t xml:space="preserve">ommittee </w:t>
      </w:r>
      <w:r w:rsidR="00B26E0B">
        <w:rPr>
          <w:szCs w:val="22"/>
        </w:rPr>
        <w:t xml:space="preserve">recommended </w:t>
      </w:r>
      <w:r w:rsidRPr="00B520CD">
        <w:rPr>
          <w:szCs w:val="22"/>
        </w:rPr>
        <w:t xml:space="preserve">that </w:t>
      </w:r>
      <w:r w:rsidR="00B26E0B" w:rsidRPr="00B520CD">
        <w:rPr>
          <w:szCs w:val="22"/>
        </w:rPr>
        <w:t xml:space="preserve">membership </w:t>
      </w:r>
      <w:r w:rsidR="00B26E0B">
        <w:rPr>
          <w:szCs w:val="22"/>
        </w:rPr>
        <w:t xml:space="preserve">of </w:t>
      </w:r>
      <w:r w:rsidRPr="00B520CD">
        <w:rPr>
          <w:szCs w:val="22"/>
        </w:rPr>
        <w:t xml:space="preserve">the </w:t>
      </w:r>
      <w:r w:rsidR="00FE502D">
        <w:rPr>
          <w:szCs w:val="22"/>
        </w:rPr>
        <w:t>C</w:t>
      </w:r>
      <w:r w:rsidRPr="00B520CD">
        <w:rPr>
          <w:szCs w:val="22"/>
        </w:rPr>
        <w:t xml:space="preserve">ommittee </w:t>
      </w:r>
      <w:r w:rsidR="00B26E0B">
        <w:rPr>
          <w:szCs w:val="22"/>
        </w:rPr>
        <w:t xml:space="preserve">be </w:t>
      </w:r>
      <w:r w:rsidRPr="00B520CD">
        <w:rPr>
          <w:szCs w:val="22"/>
        </w:rPr>
        <w:t>expand</w:t>
      </w:r>
      <w:r w:rsidR="00B26E0B">
        <w:rPr>
          <w:szCs w:val="22"/>
        </w:rPr>
        <w:t>ed</w:t>
      </w:r>
      <w:r w:rsidRPr="00B520CD">
        <w:rPr>
          <w:szCs w:val="22"/>
        </w:rPr>
        <w:t xml:space="preserve"> beyond 15 to cover such a broad range of issues. This would </w:t>
      </w:r>
      <w:r w:rsidR="00076026">
        <w:rPr>
          <w:szCs w:val="22"/>
        </w:rPr>
        <w:t xml:space="preserve">help foster </w:t>
      </w:r>
      <w:r w:rsidRPr="00B520CD">
        <w:rPr>
          <w:szCs w:val="22"/>
        </w:rPr>
        <w:t xml:space="preserve">synergies </w:t>
      </w:r>
      <w:r w:rsidR="00076026" w:rsidRPr="00B520CD">
        <w:rPr>
          <w:szCs w:val="22"/>
        </w:rPr>
        <w:t xml:space="preserve">and coherence </w:t>
      </w:r>
      <w:r w:rsidRPr="00B520CD">
        <w:rPr>
          <w:szCs w:val="22"/>
        </w:rPr>
        <w:t xml:space="preserve">among different work streams while reducing </w:t>
      </w:r>
      <w:r w:rsidR="00076026">
        <w:rPr>
          <w:szCs w:val="22"/>
        </w:rPr>
        <w:t xml:space="preserve">the </w:t>
      </w:r>
      <w:r w:rsidRPr="00B520CD">
        <w:rPr>
          <w:szCs w:val="22"/>
        </w:rPr>
        <w:t>number of informal advisory committees to improve efficiency</w:t>
      </w:r>
      <w:r w:rsidR="005D6F3C" w:rsidRPr="00B520CD">
        <w:rPr>
          <w:szCs w:val="22"/>
        </w:rPr>
        <w:t>.</w:t>
      </w:r>
    </w:p>
    <w:p w:rsidR="009B38F5" w:rsidRPr="00427D21" w:rsidRDefault="009B38F5" w:rsidP="00B21738">
      <w:pPr>
        <w:pStyle w:val="Heading2"/>
        <w:numPr>
          <w:ilvl w:val="1"/>
          <w:numId w:val="30"/>
        </w:numPr>
        <w:tabs>
          <w:tab w:val="clear" w:pos="720"/>
        </w:tabs>
        <w:ind w:left="714" w:hanging="357"/>
      </w:pPr>
      <w:r>
        <w:t xml:space="preserve">Knowledge </w:t>
      </w:r>
      <w:r w:rsidR="00F44C69">
        <w:t>m</w:t>
      </w:r>
      <w:r>
        <w:t>anagement</w:t>
      </w:r>
    </w:p>
    <w:p w:rsidR="00E23A54" w:rsidRDefault="002A5B5E" w:rsidP="002A5B5E">
      <w:pPr>
        <w:pStyle w:val="Para1"/>
        <w:numPr>
          <w:ilvl w:val="0"/>
          <w:numId w:val="2"/>
        </w:numPr>
        <w:tabs>
          <w:tab w:val="clear" w:pos="360"/>
        </w:tabs>
        <w:rPr>
          <w:szCs w:val="22"/>
        </w:rPr>
      </w:pPr>
      <w:r w:rsidRPr="00F318A8">
        <w:rPr>
          <w:szCs w:val="22"/>
        </w:rPr>
        <w:t xml:space="preserve">The Committee took up agenda item 4.2 on knowledge management under the Convention during the fourth session of the meeting. Prior to the deliberations on this item, </w:t>
      </w:r>
      <w:r w:rsidR="003872EC">
        <w:rPr>
          <w:szCs w:val="22"/>
        </w:rPr>
        <w:t xml:space="preserve">a representative of </w:t>
      </w:r>
      <w:r w:rsidRPr="00F318A8">
        <w:rPr>
          <w:szCs w:val="22"/>
        </w:rPr>
        <w:t xml:space="preserve">the Secretariat made a presentation </w:t>
      </w:r>
      <w:r w:rsidR="00BB6AD3">
        <w:rPr>
          <w:szCs w:val="22"/>
        </w:rPr>
        <w:t xml:space="preserve">on draft elements </w:t>
      </w:r>
      <w:r w:rsidRPr="00F318A8">
        <w:rPr>
          <w:szCs w:val="22"/>
        </w:rPr>
        <w:t>of the proposed knowledge management component</w:t>
      </w:r>
      <w:r w:rsidR="009C3A66">
        <w:rPr>
          <w:szCs w:val="22"/>
        </w:rPr>
        <w:t xml:space="preserve"> </w:t>
      </w:r>
      <w:r w:rsidRPr="00F318A8">
        <w:rPr>
          <w:szCs w:val="22"/>
        </w:rPr>
        <w:t xml:space="preserve">of the post-2020 </w:t>
      </w:r>
      <w:r w:rsidR="00F44C69">
        <w:rPr>
          <w:szCs w:val="22"/>
        </w:rPr>
        <w:lastRenderedPageBreak/>
        <w:t>g</w:t>
      </w:r>
      <w:r w:rsidRPr="00F318A8">
        <w:rPr>
          <w:szCs w:val="22"/>
        </w:rPr>
        <w:t xml:space="preserve">lobal </w:t>
      </w:r>
      <w:r w:rsidR="00F44C69">
        <w:rPr>
          <w:szCs w:val="22"/>
        </w:rPr>
        <w:t>b</w:t>
      </w:r>
      <w:r w:rsidRPr="00F318A8">
        <w:rPr>
          <w:szCs w:val="22"/>
        </w:rPr>
        <w:t xml:space="preserve">iodiversity </w:t>
      </w:r>
      <w:r w:rsidR="00F44C69">
        <w:rPr>
          <w:szCs w:val="22"/>
        </w:rPr>
        <w:t>f</w:t>
      </w:r>
      <w:r w:rsidRPr="00F318A8">
        <w:rPr>
          <w:szCs w:val="22"/>
        </w:rPr>
        <w:t xml:space="preserve">ramework based on a </w:t>
      </w:r>
      <w:r w:rsidR="008E3E9E" w:rsidRPr="00F318A8">
        <w:rPr>
          <w:szCs w:val="22"/>
        </w:rPr>
        <w:t>zero-draft</w:t>
      </w:r>
      <w:r w:rsidRPr="00F318A8">
        <w:rPr>
          <w:szCs w:val="22"/>
        </w:rPr>
        <w:t xml:space="preserve"> note prepared in response to</w:t>
      </w:r>
      <w:r w:rsidR="0092240E">
        <w:rPr>
          <w:szCs w:val="22"/>
        </w:rPr>
        <w:t xml:space="preserve"> paragraph</w:t>
      </w:r>
      <w:r w:rsidR="00E55850">
        <w:rPr>
          <w:szCs w:val="22"/>
        </w:rPr>
        <w:t>s 4(h)</w:t>
      </w:r>
      <w:r w:rsidR="00F84494">
        <w:rPr>
          <w:szCs w:val="22"/>
        </w:rPr>
        <w:t>, 4(g) and 4(h) of</w:t>
      </w:r>
      <w:r w:rsidR="0092240E">
        <w:rPr>
          <w:szCs w:val="22"/>
        </w:rPr>
        <w:t xml:space="preserve"> </w:t>
      </w:r>
      <w:r w:rsidRPr="00F318A8">
        <w:rPr>
          <w:szCs w:val="22"/>
        </w:rPr>
        <w:t>decision 14/25.</w:t>
      </w:r>
      <w:r w:rsidR="00DA4F94">
        <w:rPr>
          <w:rStyle w:val="FootnoteReference"/>
          <w:szCs w:val="22"/>
        </w:rPr>
        <w:footnoteReference w:id="11"/>
      </w:r>
      <w:r w:rsidRPr="00F318A8">
        <w:rPr>
          <w:szCs w:val="22"/>
        </w:rPr>
        <w:t xml:space="preserve"> </w:t>
      </w:r>
      <w:r w:rsidR="00B008E0">
        <w:rPr>
          <w:szCs w:val="22"/>
        </w:rPr>
        <w:t xml:space="preserve">It was </w:t>
      </w:r>
      <w:r w:rsidR="00430385" w:rsidRPr="00F318A8">
        <w:rPr>
          <w:szCs w:val="22"/>
        </w:rPr>
        <w:t xml:space="preserve">noted that the </w:t>
      </w:r>
      <w:r w:rsidRPr="00F318A8">
        <w:rPr>
          <w:szCs w:val="22"/>
        </w:rPr>
        <w:t xml:space="preserve">draft component was intended to be global in scope and </w:t>
      </w:r>
      <w:r w:rsidR="008312E7" w:rsidRPr="00F318A8">
        <w:rPr>
          <w:szCs w:val="22"/>
        </w:rPr>
        <w:t xml:space="preserve">would </w:t>
      </w:r>
      <w:r w:rsidRPr="00F318A8">
        <w:rPr>
          <w:szCs w:val="22"/>
        </w:rPr>
        <w:t xml:space="preserve">potentially </w:t>
      </w:r>
      <w:r w:rsidR="00485D90">
        <w:rPr>
          <w:szCs w:val="22"/>
        </w:rPr>
        <w:t xml:space="preserve">provide </w:t>
      </w:r>
      <w:r w:rsidR="0083653F">
        <w:rPr>
          <w:szCs w:val="22"/>
        </w:rPr>
        <w:t xml:space="preserve">strategic direction for knowledge management </w:t>
      </w:r>
      <w:r w:rsidRPr="00F318A8">
        <w:rPr>
          <w:szCs w:val="22"/>
        </w:rPr>
        <w:t xml:space="preserve">until 2050. </w:t>
      </w:r>
      <w:r w:rsidR="00FC14DF" w:rsidRPr="00F318A8">
        <w:rPr>
          <w:szCs w:val="22"/>
        </w:rPr>
        <w:t xml:space="preserve">The Secretariat </w:t>
      </w:r>
      <w:r w:rsidR="00BB0F85">
        <w:rPr>
          <w:szCs w:val="22"/>
        </w:rPr>
        <w:t xml:space="preserve">described </w:t>
      </w:r>
      <w:r w:rsidR="00504DE6" w:rsidRPr="00F318A8">
        <w:rPr>
          <w:szCs w:val="22"/>
        </w:rPr>
        <w:t xml:space="preserve">the rationale for </w:t>
      </w:r>
      <w:r w:rsidR="00BB0F85">
        <w:rPr>
          <w:szCs w:val="22"/>
        </w:rPr>
        <w:t xml:space="preserve">developing </w:t>
      </w:r>
      <w:r w:rsidR="00F07DD4" w:rsidRPr="00F318A8">
        <w:rPr>
          <w:szCs w:val="22"/>
        </w:rPr>
        <w:t>a long-term knowledge management strategy</w:t>
      </w:r>
      <w:r w:rsidR="008E08D6">
        <w:rPr>
          <w:szCs w:val="22"/>
        </w:rPr>
        <w:t xml:space="preserve">, </w:t>
      </w:r>
      <w:r w:rsidRPr="00F318A8">
        <w:rPr>
          <w:szCs w:val="22"/>
        </w:rPr>
        <w:t xml:space="preserve">identified </w:t>
      </w:r>
      <w:r w:rsidR="00196700">
        <w:rPr>
          <w:szCs w:val="22"/>
        </w:rPr>
        <w:t xml:space="preserve">potential </w:t>
      </w:r>
      <w:r w:rsidRPr="00F318A8">
        <w:rPr>
          <w:szCs w:val="22"/>
        </w:rPr>
        <w:t xml:space="preserve">challenges for </w:t>
      </w:r>
      <w:r w:rsidR="00F07DD4" w:rsidRPr="00F318A8">
        <w:rPr>
          <w:szCs w:val="22"/>
        </w:rPr>
        <w:t xml:space="preserve">its </w:t>
      </w:r>
      <w:r w:rsidRPr="00F318A8">
        <w:rPr>
          <w:szCs w:val="22"/>
        </w:rPr>
        <w:t>implementation</w:t>
      </w:r>
      <w:r w:rsidR="008E08D6">
        <w:rPr>
          <w:szCs w:val="22"/>
        </w:rPr>
        <w:t xml:space="preserve"> </w:t>
      </w:r>
      <w:r w:rsidR="004023FF">
        <w:rPr>
          <w:szCs w:val="22"/>
        </w:rPr>
        <w:t xml:space="preserve">and outlined possible draft elements </w:t>
      </w:r>
      <w:r w:rsidR="00D12903">
        <w:rPr>
          <w:szCs w:val="22"/>
        </w:rPr>
        <w:t>of the knowledge management com</w:t>
      </w:r>
      <w:r w:rsidR="00C0176D">
        <w:rPr>
          <w:szCs w:val="22"/>
        </w:rPr>
        <w:t>ponent</w:t>
      </w:r>
      <w:r w:rsidRPr="00F318A8">
        <w:rPr>
          <w:szCs w:val="22"/>
        </w:rPr>
        <w:t>.</w:t>
      </w:r>
      <w:r w:rsidR="00C0176D">
        <w:rPr>
          <w:szCs w:val="22"/>
        </w:rPr>
        <w:t xml:space="preserve"> At the end of the presentation, </w:t>
      </w:r>
      <w:r w:rsidR="003872EC">
        <w:rPr>
          <w:szCs w:val="22"/>
        </w:rPr>
        <w:t>the Secretariat</w:t>
      </w:r>
      <w:r w:rsidRPr="00F318A8">
        <w:rPr>
          <w:szCs w:val="22"/>
        </w:rPr>
        <w:t xml:space="preserve"> </w:t>
      </w:r>
      <w:r w:rsidR="00B008E0">
        <w:rPr>
          <w:szCs w:val="22"/>
        </w:rPr>
        <w:t xml:space="preserve">invited </w:t>
      </w:r>
      <w:r w:rsidR="00F44C69">
        <w:rPr>
          <w:szCs w:val="22"/>
        </w:rPr>
        <w:t>m</w:t>
      </w:r>
      <w:r w:rsidR="00B008E0">
        <w:rPr>
          <w:szCs w:val="22"/>
        </w:rPr>
        <w:t xml:space="preserve">embers </w:t>
      </w:r>
      <w:r w:rsidR="00F44C69">
        <w:rPr>
          <w:szCs w:val="22"/>
        </w:rPr>
        <w:t xml:space="preserve">of the Committee </w:t>
      </w:r>
      <w:r w:rsidR="00B008E0">
        <w:rPr>
          <w:szCs w:val="22"/>
        </w:rPr>
        <w:t>to</w:t>
      </w:r>
      <w:r w:rsidR="00DD4858" w:rsidRPr="00DD4858">
        <w:rPr>
          <w:szCs w:val="22"/>
        </w:rPr>
        <w:t xml:space="preserve"> provide advice on the </w:t>
      </w:r>
      <w:r w:rsidR="00B116DD">
        <w:rPr>
          <w:szCs w:val="22"/>
        </w:rPr>
        <w:t xml:space="preserve">following </w:t>
      </w:r>
      <w:r w:rsidR="00E23A54">
        <w:rPr>
          <w:szCs w:val="22"/>
        </w:rPr>
        <w:t>questions</w:t>
      </w:r>
      <w:r w:rsidR="00B116DD">
        <w:rPr>
          <w:szCs w:val="22"/>
        </w:rPr>
        <w:t xml:space="preserve">, among </w:t>
      </w:r>
      <w:r w:rsidR="00E23A54">
        <w:rPr>
          <w:szCs w:val="22"/>
        </w:rPr>
        <w:t>other issues:</w:t>
      </w:r>
    </w:p>
    <w:p w:rsidR="0089205F" w:rsidRPr="0089205F" w:rsidRDefault="0089205F" w:rsidP="0089205F">
      <w:pPr>
        <w:pStyle w:val="Para1"/>
        <w:numPr>
          <w:ilvl w:val="1"/>
          <w:numId w:val="2"/>
        </w:numPr>
        <w:rPr>
          <w:szCs w:val="22"/>
        </w:rPr>
      </w:pPr>
      <w:r w:rsidRPr="0089205F">
        <w:rPr>
          <w:szCs w:val="22"/>
        </w:rPr>
        <w:t>Should the knowledge management component be in form of a strategy with concrete actions and deliverables or a framework document to guide knowledge management in the post-2020 period?</w:t>
      </w:r>
    </w:p>
    <w:p w:rsidR="0089205F" w:rsidRPr="0089205F" w:rsidRDefault="0089205F" w:rsidP="0089205F">
      <w:pPr>
        <w:pStyle w:val="Para1"/>
        <w:numPr>
          <w:ilvl w:val="1"/>
          <w:numId w:val="2"/>
        </w:numPr>
        <w:rPr>
          <w:szCs w:val="22"/>
        </w:rPr>
      </w:pPr>
      <w:r w:rsidRPr="0089205F">
        <w:rPr>
          <w:szCs w:val="22"/>
        </w:rPr>
        <w:t>What elements of the proposed draft knowledge management component are missing? What gaps still need not addressed?</w:t>
      </w:r>
    </w:p>
    <w:p w:rsidR="0089205F" w:rsidRPr="0089205F" w:rsidRDefault="0089205F" w:rsidP="0089205F">
      <w:pPr>
        <w:pStyle w:val="Para1"/>
        <w:numPr>
          <w:ilvl w:val="1"/>
          <w:numId w:val="2"/>
        </w:numPr>
        <w:rPr>
          <w:szCs w:val="22"/>
        </w:rPr>
      </w:pPr>
      <w:r w:rsidRPr="0089205F">
        <w:rPr>
          <w:szCs w:val="22"/>
        </w:rPr>
        <w:t xml:space="preserve">What tasks should be carried out by the Secretariat and which ones should be carried out by Parties and partner organizations? </w:t>
      </w:r>
    </w:p>
    <w:p w:rsidR="0089205F" w:rsidRPr="0089205F" w:rsidRDefault="0089205F" w:rsidP="0089205F">
      <w:pPr>
        <w:pStyle w:val="Para1"/>
        <w:numPr>
          <w:ilvl w:val="1"/>
          <w:numId w:val="2"/>
        </w:numPr>
        <w:rPr>
          <w:szCs w:val="22"/>
        </w:rPr>
      </w:pPr>
      <w:r w:rsidRPr="0089205F">
        <w:rPr>
          <w:szCs w:val="22"/>
        </w:rPr>
        <w:t>What should the role of the CHM-IAC or its successor with respect to knowledge management in the post-2020 period?</w:t>
      </w:r>
    </w:p>
    <w:p w:rsidR="0089205F" w:rsidRPr="0089205F" w:rsidRDefault="0089205F" w:rsidP="0089205F">
      <w:pPr>
        <w:pStyle w:val="Para1"/>
        <w:numPr>
          <w:ilvl w:val="1"/>
          <w:numId w:val="2"/>
        </w:numPr>
        <w:rPr>
          <w:szCs w:val="22"/>
        </w:rPr>
      </w:pPr>
      <w:r w:rsidRPr="0089205F">
        <w:rPr>
          <w:szCs w:val="22"/>
        </w:rPr>
        <w:t xml:space="preserve">How should other </w:t>
      </w:r>
      <w:r w:rsidR="00DD65C2">
        <w:rPr>
          <w:szCs w:val="22"/>
        </w:rPr>
        <w:t xml:space="preserve">key </w:t>
      </w:r>
      <w:r w:rsidRPr="0089205F">
        <w:rPr>
          <w:szCs w:val="22"/>
        </w:rPr>
        <w:t>stakeholders</w:t>
      </w:r>
      <w:r w:rsidR="00CA4389">
        <w:rPr>
          <w:szCs w:val="22"/>
        </w:rPr>
        <w:t>,</w:t>
      </w:r>
      <w:r w:rsidRPr="0089205F">
        <w:rPr>
          <w:szCs w:val="22"/>
        </w:rPr>
        <w:t xml:space="preserve"> </w:t>
      </w:r>
      <w:r w:rsidR="009737A3">
        <w:rPr>
          <w:szCs w:val="22"/>
        </w:rPr>
        <w:t>such as</w:t>
      </w:r>
      <w:r w:rsidR="00CC2FB8">
        <w:rPr>
          <w:szCs w:val="22"/>
        </w:rPr>
        <w:t xml:space="preserve"> </w:t>
      </w:r>
      <w:r w:rsidR="002F07D3">
        <w:rPr>
          <w:szCs w:val="22"/>
        </w:rPr>
        <w:t xml:space="preserve">the </w:t>
      </w:r>
      <w:r w:rsidR="009B04BD" w:rsidRPr="009B04BD">
        <w:rPr>
          <w:szCs w:val="22"/>
        </w:rPr>
        <w:t>Global Biodiversity Information Facility</w:t>
      </w:r>
      <w:r w:rsidRPr="0089205F">
        <w:rPr>
          <w:szCs w:val="22"/>
        </w:rPr>
        <w:t xml:space="preserve">, </w:t>
      </w:r>
      <w:r w:rsidR="00CA4389">
        <w:rPr>
          <w:szCs w:val="22"/>
        </w:rPr>
        <w:t xml:space="preserve">the </w:t>
      </w:r>
      <w:r w:rsidR="009737A3" w:rsidRPr="009737A3">
        <w:rPr>
          <w:szCs w:val="22"/>
        </w:rPr>
        <w:t>Digital Observatory for Protected Areas (DOPA)</w:t>
      </w:r>
      <w:r w:rsidR="009737A3" w:rsidRPr="0089205F">
        <w:rPr>
          <w:szCs w:val="22"/>
        </w:rPr>
        <w:t xml:space="preserve">, </w:t>
      </w:r>
      <w:r w:rsidRPr="0089205F">
        <w:rPr>
          <w:szCs w:val="22"/>
        </w:rPr>
        <w:t>UN</w:t>
      </w:r>
      <w:r w:rsidR="00F44C69">
        <w:rPr>
          <w:szCs w:val="22"/>
        </w:rPr>
        <w:t>EP</w:t>
      </w:r>
      <w:r w:rsidRPr="0089205F">
        <w:rPr>
          <w:szCs w:val="22"/>
        </w:rPr>
        <w:t>, UNEP-</w:t>
      </w:r>
      <w:proofErr w:type="spellStart"/>
      <w:r w:rsidRPr="0089205F">
        <w:rPr>
          <w:szCs w:val="22"/>
        </w:rPr>
        <w:t>WCMC</w:t>
      </w:r>
      <w:proofErr w:type="spellEnd"/>
      <w:r w:rsidRPr="0089205F">
        <w:rPr>
          <w:szCs w:val="22"/>
        </w:rPr>
        <w:t xml:space="preserve">, </w:t>
      </w:r>
      <w:r w:rsidR="00E13212" w:rsidRPr="00E13212">
        <w:rPr>
          <w:szCs w:val="22"/>
        </w:rPr>
        <w:t>Intergovernmental Science-Policy Platform on Biodiversity and Ecosystem Services (</w:t>
      </w:r>
      <w:r w:rsidRPr="0089205F">
        <w:rPr>
          <w:szCs w:val="22"/>
        </w:rPr>
        <w:t>IPBES</w:t>
      </w:r>
      <w:r w:rsidR="00E13212">
        <w:rPr>
          <w:szCs w:val="22"/>
        </w:rPr>
        <w:t>)</w:t>
      </w:r>
      <w:r w:rsidR="000F15E8">
        <w:rPr>
          <w:szCs w:val="22"/>
        </w:rPr>
        <w:t xml:space="preserve">, </w:t>
      </w:r>
      <w:r w:rsidRPr="0089205F">
        <w:rPr>
          <w:szCs w:val="22"/>
        </w:rPr>
        <w:t xml:space="preserve">academic institutions, </w:t>
      </w:r>
      <w:r w:rsidR="000F15E8">
        <w:rPr>
          <w:szCs w:val="22"/>
        </w:rPr>
        <w:t>and others</w:t>
      </w:r>
      <w:r w:rsidR="00CC2FB8" w:rsidRPr="00CC2FB8">
        <w:rPr>
          <w:szCs w:val="22"/>
        </w:rPr>
        <w:t xml:space="preserve"> </w:t>
      </w:r>
      <w:r w:rsidR="00CC2FB8" w:rsidRPr="0089205F">
        <w:rPr>
          <w:szCs w:val="22"/>
        </w:rPr>
        <w:t>be engaged for advice and input</w:t>
      </w:r>
      <w:r w:rsidR="000F15E8">
        <w:rPr>
          <w:szCs w:val="22"/>
        </w:rPr>
        <w:t>?</w:t>
      </w:r>
    </w:p>
    <w:p w:rsidR="0001798F" w:rsidRDefault="002A5B5E" w:rsidP="0083372D">
      <w:pPr>
        <w:pStyle w:val="Para1"/>
        <w:numPr>
          <w:ilvl w:val="0"/>
          <w:numId w:val="2"/>
        </w:numPr>
        <w:tabs>
          <w:tab w:val="clear" w:pos="360"/>
        </w:tabs>
      </w:pPr>
      <w:r w:rsidRPr="00945646">
        <w:rPr>
          <w:szCs w:val="22"/>
        </w:rPr>
        <w:t>Following th</w:t>
      </w:r>
      <w:r w:rsidR="00BF395C" w:rsidRPr="00945646">
        <w:rPr>
          <w:szCs w:val="22"/>
        </w:rPr>
        <w:t>e prese</w:t>
      </w:r>
      <w:r w:rsidR="00BF395C" w:rsidRPr="0083372D">
        <w:rPr>
          <w:szCs w:val="22"/>
        </w:rPr>
        <w:t>ntation</w:t>
      </w:r>
      <w:r w:rsidRPr="00B81A6D">
        <w:rPr>
          <w:szCs w:val="22"/>
        </w:rPr>
        <w:t>, Committee</w:t>
      </w:r>
      <w:r w:rsidR="00BF395C" w:rsidRPr="00B81A6D">
        <w:rPr>
          <w:szCs w:val="22"/>
        </w:rPr>
        <w:t xml:space="preserve"> </w:t>
      </w:r>
      <w:r w:rsidR="00F44C69">
        <w:rPr>
          <w:szCs w:val="22"/>
        </w:rPr>
        <w:t>m</w:t>
      </w:r>
      <w:r w:rsidR="00BF395C" w:rsidRPr="00B81A6D">
        <w:rPr>
          <w:szCs w:val="22"/>
        </w:rPr>
        <w:t>embers</w:t>
      </w:r>
      <w:r w:rsidRPr="00B81A6D">
        <w:rPr>
          <w:szCs w:val="22"/>
        </w:rPr>
        <w:t xml:space="preserve"> raised </w:t>
      </w:r>
      <w:proofErr w:type="gramStart"/>
      <w:r w:rsidRPr="00B81A6D">
        <w:rPr>
          <w:szCs w:val="22"/>
        </w:rPr>
        <w:t>a number of</w:t>
      </w:r>
      <w:proofErr w:type="gramEnd"/>
      <w:r w:rsidRPr="00B81A6D">
        <w:rPr>
          <w:szCs w:val="22"/>
        </w:rPr>
        <w:t xml:space="preserve"> points for further consideration by the Secretariat. </w:t>
      </w:r>
      <w:r w:rsidR="00074EC1">
        <w:t>They</w:t>
      </w:r>
      <w:r w:rsidRPr="00F318A8">
        <w:t xml:space="preserve"> agreed that the knowledge management component should be global in scope and </w:t>
      </w:r>
      <w:r w:rsidR="00425A56">
        <w:t xml:space="preserve">should </w:t>
      </w:r>
      <w:r w:rsidRPr="00F318A8">
        <w:t xml:space="preserve">incorporate </w:t>
      </w:r>
      <w:r w:rsidR="00425A56">
        <w:t xml:space="preserve">or </w:t>
      </w:r>
      <w:r w:rsidR="008F7429">
        <w:t xml:space="preserve">cross-reference </w:t>
      </w:r>
      <w:r w:rsidR="00AB15F9">
        <w:t xml:space="preserve">the </w:t>
      </w:r>
      <w:r w:rsidR="00160326">
        <w:t xml:space="preserve">knowledge management </w:t>
      </w:r>
      <w:r w:rsidRPr="00F318A8">
        <w:t xml:space="preserve">work done by other biodiversity-related Conventions and </w:t>
      </w:r>
      <w:r w:rsidR="00160326">
        <w:t xml:space="preserve">relevant </w:t>
      </w:r>
      <w:r w:rsidRPr="00F318A8">
        <w:t>organizations</w:t>
      </w:r>
      <w:r w:rsidR="004D3913">
        <w:t xml:space="preserve">. This would </w:t>
      </w:r>
      <w:r w:rsidR="00AE4D86">
        <w:t>make</w:t>
      </w:r>
      <w:r w:rsidR="00160326">
        <w:t xml:space="preserve"> the compo</w:t>
      </w:r>
      <w:r w:rsidR="003B1C29">
        <w:t>nent</w:t>
      </w:r>
      <w:r w:rsidRPr="00F318A8">
        <w:t xml:space="preserve"> </w:t>
      </w:r>
      <w:r w:rsidR="003B1C29" w:rsidRPr="00F318A8">
        <w:t>inclusive</w:t>
      </w:r>
      <w:r w:rsidRPr="00F318A8">
        <w:t xml:space="preserve"> and aligned with international priorities.</w:t>
      </w:r>
      <w:r w:rsidR="00AF7542">
        <w:t xml:space="preserve"> </w:t>
      </w:r>
      <w:r w:rsidR="00AA6990">
        <w:t xml:space="preserve">It was </w:t>
      </w:r>
      <w:r w:rsidR="008656AF">
        <w:t xml:space="preserve">also </w:t>
      </w:r>
      <w:r w:rsidR="00232920">
        <w:t>recogni</w:t>
      </w:r>
      <w:r w:rsidR="00F44C69">
        <w:t>z</w:t>
      </w:r>
      <w:r w:rsidR="00232920">
        <w:t xml:space="preserve">ed </w:t>
      </w:r>
      <w:r w:rsidR="00224E04">
        <w:t xml:space="preserve">that </w:t>
      </w:r>
      <w:r w:rsidR="005F2CF0">
        <w:t xml:space="preserve">implementation of the </w:t>
      </w:r>
      <w:r w:rsidR="00232920">
        <w:t xml:space="preserve">component would be a responsibility of </w:t>
      </w:r>
      <w:r w:rsidR="0097279C">
        <w:t>not only the Secre</w:t>
      </w:r>
      <w:r w:rsidR="00E3156A">
        <w:t xml:space="preserve">tariat but also </w:t>
      </w:r>
      <w:r w:rsidR="00F44C69">
        <w:t>G</w:t>
      </w:r>
      <w:r w:rsidR="00626C35">
        <w:t>overnments</w:t>
      </w:r>
      <w:r w:rsidR="00E3156A">
        <w:t xml:space="preserve">, </w:t>
      </w:r>
      <w:r w:rsidR="000D3097">
        <w:t xml:space="preserve">relevant organizations and stakeholders </w:t>
      </w:r>
      <w:r w:rsidR="00BF33EE">
        <w:t>dealing with</w:t>
      </w:r>
      <w:r w:rsidR="000D3097">
        <w:t xml:space="preserve"> </w:t>
      </w:r>
      <w:r w:rsidR="00626C35">
        <w:t>biodiversity</w:t>
      </w:r>
      <w:r w:rsidR="000D3097">
        <w:t>.</w:t>
      </w:r>
      <w:r w:rsidR="006152BE">
        <w:t xml:space="preserve"> In </w:t>
      </w:r>
      <w:r w:rsidR="0021498F">
        <w:t>that</w:t>
      </w:r>
      <w:r w:rsidR="0021498F">
        <w:t xml:space="preserve"> </w:t>
      </w:r>
      <w:r w:rsidR="006152BE">
        <w:t xml:space="preserve">regard, it was </w:t>
      </w:r>
      <w:r w:rsidR="00E70AEB">
        <w:t xml:space="preserve">recommended that the responsibilities of </w:t>
      </w:r>
      <w:r w:rsidR="00224E04">
        <w:t xml:space="preserve">the </w:t>
      </w:r>
      <w:r w:rsidR="00E70AEB">
        <w:t xml:space="preserve">various </w:t>
      </w:r>
      <w:r w:rsidR="00CD6806">
        <w:t xml:space="preserve">actors </w:t>
      </w:r>
      <w:r w:rsidR="001C60CA">
        <w:t>should be identified in the document.</w:t>
      </w:r>
    </w:p>
    <w:p w:rsidR="002A5B5E" w:rsidRPr="00F318A8" w:rsidRDefault="00B631E6" w:rsidP="002A5B5E">
      <w:pPr>
        <w:pStyle w:val="Para1"/>
        <w:numPr>
          <w:ilvl w:val="0"/>
          <w:numId w:val="2"/>
        </w:numPr>
        <w:tabs>
          <w:tab w:val="clear" w:pos="360"/>
        </w:tabs>
      </w:pPr>
      <w:r>
        <w:t xml:space="preserve">Members </w:t>
      </w:r>
      <w:r w:rsidR="00AE4D86">
        <w:t xml:space="preserve">advised </w:t>
      </w:r>
      <w:r w:rsidR="002A5B5E" w:rsidRPr="00F318A8">
        <w:t xml:space="preserve">the Secretariat to review </w:t>
      </w:r>
      <w:r w:rsidR="00C46E4A">
        <w:t xml:space="preserve">relevant </w:t>
      </w:r>
      <w:r w:rsidR="002A5B5E" w:rsidRPr="00F318A8">
        <w:t xml:space="preserve">reports on knowledge management and information sharing submitted </w:t>
      </w:r>
      <w:r w:rsidR="007B40F7">
        <w:t xml:space="preserve">by </w:t>
      </w:r>
      <w:r w:rsidR="000D2373">
        <w:t>relevant organization</w:t>
      </w:r>
      <w:r w:rsidR="00A66AB3">
        <w:t>s</w:t>
      </w:r>
      <w:r w:rsidR="007B40F7">
        <w:t xml:space="preserve"> </w:t>
      </w:r>
      <w:r w:rsidR="002A5B5E" w:rsidRPr="00F318A8">
        <w:t xml:space="preserve">to </w:t>
      </w:r>
      <w:r w:rsidR="000D2373">
        <w:t xml:space="preserve">the Conference of the Parties </w:t>
      </w:r>
      <w:r w:rsidR="002A5B5E" w:rsidRPr="00F318A8">
        <w:t xml:space="preserve">and its subsidiaries for </w:t>
      </w:r>
      <w:r w:rsidR="003E7D9A">
        <w:t xml:space="preserve">reference and </w:t>
      </w:r>
      <w:r w:rsidR="002A5B5E" w:rsidRPr="00F318A8">
        <w:t>incorporation</w:t>
      </w:r>
      <w:r w:rsidR="003E7D9A">
        <w:t xml:space="preserve">, as appropriate </w:t>
      </w:r>
      <w:r w:rsidR="002A5B5E" w:rsidRPr="00F318A8">
        <w:t xml:space="preserve">into the new component. </w:t>
      </w:r>
      <w:r w:rsidR="00A66AB3">
        <w:t xml:space="preserve">For example, </w:t>
      </w:r>
      <w:r w:rsidR="00B35103">
        <w:t xml:space="preserve">it was noted that </w:t>
      </w:r>
      <w:r w:rsidR="00B021FD">
        <w:t xml:space="preserve">UNEP-WCMC </w:t>
      </w:r>
      <w:r w:rsidR="00FA1C57">
        <w:t xml:space="preserve">had </w:t>
      </w:r>
      <w:r w:rsidR="002809F6">
        <w:t xml:space="preserve">produced </w:t>
      </w:r>
      <w:r w:rsidR="00D23B38" w:rsidRPr="00D23B38">
        <w:t>a compendium of guidance for capturing, managing and using biodiversity data and information and a compendium of guidance on key global databases related to biodiversity-related conventions</w:t>
      </w:r>
      <w:r w:rsidR="0019365B">
        <w:t>. T</w:t>
      </w:r>
      <w:r w:rsidR="002A5B5E" w:rsidRPr="00F318A8">
        <w:t>he IPBES task force on knowledge and data was</w:t>
      </w:r>
      <w:r w:rsidR="00B021FD">
        <w:t xml:space="preserve"> also</w:t>
      </w:r>
      <w:r w:rsidR="002A5B5E" w:rsidRPr="00F318A8">
        <w:t xml:space="preserve"> highlighted as </w:t>
      </w:r>
      <w:r w:rsidR="00B35103">
        <w:t xml:space="preserve">a </w:t>
      </w:r>
      <w:r w:rsidR="002A5B5E" w:rsidRPr="00F318A8">
        <w:t>relevant and potential collaborator, especially regarding the knowledge</w:t>
      </w:r>
      <w:r w:rsidR="0066418A">
        <w:t>-</w:t>
      </w:r>
      <w:r w:rsidR="002A5B5E" w:rsidRPr="00F318A8">
        <w:t xml:space="preserve">sharing aspect. On </w:t>
      </w:r>
      <w:r w:rsidR="00493822">
        <w:t>that</w:t>
      </w:r>
      <w:r w:rsidR="00493822" w:rsidRPr="00F318A8">
        <w:t xml:space="preserve"> </w:t>
      </w:r>
      <w:r w:rsidR="002A5B5E" w:rsidRPr="00F318A8">
        <w:t xml:space="preserve">point, members emphasized </w:t>
      </w:r>
      <w:r w:rsidR="0060270B">
        <w:t xml:space="preserve">that </w:t>
      </w:r>
      <w:r w:rsidR="002A5B5E" w:rsidRPr="00F318A8">
        <w:t xml:space="preserve">findability of information and effective discovery mechanisms </w:t>
      </w:r>
      <w:r w:rsidR="0060270B">
        <w:t>were</w:t>
      </w:r>
      <w:r w:rsidR="0060270B" w:rsidRPr="00F318A8">
        <w:t xml:space="preserve"> </w:t>
      </w:r>
      <w:r w:rsidR="00A91D7B">
        <w:t>crucial elements</w:t>
      </w:r>
      <w:r w:rsidR="002A5B5E" w:rsidRPr="00F318A8">
        <w:t xml:space="preserve"> of the proposed </w:t>
      </w:r>
      <w:r w:rsidR="00473EDA" w:rsidRPr="00F318A8">
        <w:t>knowledge management component</w:t>
      </w:r>
      <w:r w:rsidR="002A5B5E" w:rsidRPr="00F318A8">
        <w:t>.</w:t>
      </w:r>
    </w:p>
    <w:p w:rsidR="002A5B5E" w:rsidRPr="00F318A8" w:rsidRDefault="0099222E" w:rsidP="002A5B5E">
      <w:pPr>
        <w:pStyle w:val="Para1"/>
        <w:numPr>
          <w:ilvl w:val="0"/>
          <w:numId w:val="2"/>
        </w:numPr>
        <w:tabs>
          <w:tab w:val="clear" w:pos="360"/>
        </w:tabs>
      </w:pPr>
      <w:r>
        <w:rPr>
          <w:snapToGrid/>
          <w:szCs w:val="22"/>
        </w:rPr>
        <w:t xml:space="preserve">Furthermore, </w:t>
      </w:r>
      <w:r w:rsidR="002A5B5E" w:rsidRPr="00F318A8">
        <w:rPr>
          <w:snapToGrid/>
          <w:szCs w:val="22"/>
        </w:rPr>
        <w:t xml:space="preserve">members encouraged the Secretariat to consider the </w:t>
      </w:r>
      <w:r w:rsidR="00E17323">
        <w:rPr>
          <w:snapToGrid/>
          <w:szCs w:val="22"/>
        </w:rPr>
        <w:t>inter</w:t>
      </w:r>
      <w:r w:rsidR="002A5B5E" w:rsidRPr="00F318A8">
        <w:rPr>
          <w:snapToGrid/>
          <w:szCs w:val="22"/>
        </w:rPr>
        <w:t>connection between knowledge management, technical and scientific cooperation, and capacity</w:t>
      </w:r>
      <w:r w:rsidR="00F44C69">
        <w:rPr>
          <w:snapToGrid/>
          <w:szCs w:val="22"/>
        </w:rPr>
        <w:t>-</w:t>
      </w:r>
      <w:r w:rsidR="002A5B5E" w:rsidRPr="00F318A8">
        <w:rPr>
          <w:snapToGrid/>
          <w:szCs w:val="22"/>
        </w:rPr>
        <w:t xml:space="preserve">building </w:t>
      </w:r>
      <w:r w:rsidR="00583D12">
        <w:rPr>
          <w:snapToGrid/>
          <w:szCs w:val="22"/>
        </w:rPr>
        <w:t xml:space="preserve">strategies </w:t>
      </w:r>
      <w:r w:rsidR="002A5B5E" w:rsidRPr="00F318A8">
        <w:rPr>
          <w:snapToGrid/>
          <w:szCs w:val="22"/>
        </w:rPr>
        <w:t>under the Convention. It was noted that th</w:t>
      </w:r>
      <w:r w:rsidR="00165415">
        <w:rPr>
          <w:snapToGrid/>
          <w:szCs w:val="22"/>
        </w:rPr>
        <w:t>o</w:t>
      </w:r>
      <w:r w:rsidR="002A5B5E" w:rsidRPr="00F318A8">
        <w:rPr>
          <w:snapToGrid/>
          <w:szCs w:val="22"/>
        </w:rPr>
        <w:t xml:space="preserve">se elements </w:t>
      </w:r>
      <w:r w:rsidR="00B008B3">
        <w:rPr>
          <w:snapToGrid/>
          <w:szCs w:val="22"/>
        </w:rPr>
        <w:t>were</w:t>
      </w:r>
      <w:r w:rsidR="00B008B3" w:rsidRPr="00F318A8">
        <w:rPr>
          <w:snapToGrid/>
          <w:szCs w:val="22"/>
        </w:rPr>
        <w:t xml:space="preserve"> </w:t>
      </w:r>
      <w:r w:rsidR="002A5B5E" w:rsidRPr="00F318A8">
        <w:rPr>
          <w:snapToGrid/>
          <w:szCs w:val="22"/>
        </w:rPr>
        <w:t>frequently grouped</w:t>
      </w:r>
      <w:r w:rsidR="002A5B5E" w:rsidRPr="00F318A8">
        <w:t xml:space="preserve"> together in documents </w:t>
      </w:r>
      <w:r w:rsidR="00F44C69">
        <w:t xml:space="preserve">prepared for the meetings of the Conference of the Parties </w:t>
      </w:r>
      <w:r w:rsidR="002A5B5E" w:rsidRPr="00F318A8">
        <w:t xml:space="preserve">and </w:t>
      </w:r>
      <w:r w:rsidR="000A1806">
        <w:t xml:space="preserve">advised that </w:t>
      </w:r>
      <w:r w:rsidR="002A5B5E" w:rsidRPr="00F318A8">
        <w:t xml:space="preserve">internal alignment between strategies </w:t>
      </w:r>
      <w:r w:rsidR="000A1806" w:rsidRPr="00F318A8">
        <w:t>w</w:t>
      </w:r>
      <w:r w:rsidR="000A1806">
        <w:t>ould</w:t>
      </w:r>
      <w:r w:rsidR="000A1806" w:rsidRPr="00F318A8">
        <w:t xml:space="preserve"> </w:t>
      </w:r>
      <w:r w:rsidR="002A5B5E" w:rsidRPr="00F318A8">
        <w:t>bolster cohesion. The Committee also discussed the future relationship between the draft knowledge management component</w:t>
      </w:r>
      <w:r w:rsidR="00583D12">
        <w:t xml:space="preserve"> and the clearing-house mechanism</w:t>
      </w:r>
      <w:r w:rsidR="002A5B5E" w:rsidRPr="00F318A8">
        <w:t>.</w:t>
      </w:r>
    </w:p>
    <w:p w:rsidR="00C542DC" w:rsidRPr="00C542DC" w:rsidRDefault="002A5B5E" w:rsidP="00945646">
      <w:pPr>
        <w:pStyle w:val="Para1"/>
        <w:numPr>
          <w:ilvl w:val="0"/>
          <w:numId w:val="2"/>
        </w:numPr>
        <w:tabs>
          <w:tab w:val="clear" w:pos="360"/>
        </w:tabs>
      </w:pPr>
      <w:r w:rsidRPr="00F318A8">
        <w:rPr>
          <w:szCs w:val="22"/>
        </w:rPr>
        <w:t xml:space="preserve">Committee </w:t>
      </w:r>
      <w:r w:rsidR="006A312E">
        <w:rPr>
          <w:szCs w:val="22"/>
        </w:rPr>
        <w:t xml:space="preserve">members </w:t>
      </w:r>
      <w:r w:rsidR="004D52A8">
        <w:rPr>
          <w:szCs w:val="22"/>
        </w:rPr>
        <w:t xml:space="preserve">also </w:t>
      </w:r>
      <w:r w:rsidR="006012D6">
        <w:rPr>
          <w:szCs w:val="22"/>
        </w:rPr>
        <w:t xml:space="preserve">highlighted </w:t>
      </w:r>
      <w:r w:rsidRPr="00F318A8">
        <w:rPr>
          <w:szCs w:val="22"/>
        </w:rPr>
        <w:t xml:space="preserve">the need for sensitivity in </w:t>
      </w:r>
      <w:r w:rsidR="006012D6">
        <w:rPr>
          <w:szCs w:val="22"/>
        </w:rPr>
        <w:t xml:space="preserve">the use of </w:t>
      </w:r>
      <w:r w:rsidR="00086DD4">
        <w:rPr>
          <w:szCs w:val="22"/>
        </w:rPr>
        <w:t>term</w:t>
      </w:r>
      <w:r w:rsidR="00006668">
        <w:rPr>
          <w:szCs w:val="22"/>
        </w:rPr>
        <w:t>inology</w:t>
      </w:r>
      <w:r w:rsidR="00165415">
        <w:rPr>
          <w:szCs w:val="22"/>
        </w:rPr>
        <w:t>,</w:t>
      </w:r>
      <w:r w:rsidR="00006668">
        <w:rPr>
          <w:szCs w:val="22"/>
        </w:rPr>
        <w:t xml:space="preserve"> </w:t>
      </w:r>
      <w:r w:rsidR="00086DD4">
        <w:rPr>
          <w:szCs w:val="22"/>
        </w:rPr>
        <w:t xml:space="preserve">especially in relation </w:t>
      </w:r>
      <w:r w:rsidRPr="00F318A8">
        <w:rPr>
          <w:szCs w:val="22"/>
        </w:rPr>
        <w:t xml:space="preserve">to indigenous and local knowledge. </w:t>
      </w:r>
      <w:r w:rsidR="00D16D01">
        <w:rPr>
          <w:szCs w:val="22"/>
        </w:rPr>
        <w:t xml:space="preserve">For example, it </w:t>
      </w:r>
      <w:r w:rsidRPr="00F318A8">
        <w:rPr>
          <w:szCs w:val="22"/>
        </w:rPr>
        <w:t xml:space="preserve">was </w:t>
      </w:r>
      <w:r w:rsidR="00884387">
        <w:rPr>
          <w:szCs w:val="22"/>
        </w:rPr>
        <w:t xml:space="preserve">noted </w:t>
      </w:r>
      <w:r w:rsidRPr="00F318A8">
        <w:rPr>
          <w:szCs w:val="22"/>
        </w:rPr>
        <w:t xml:space="preserve">that </w:t>
      </w:r>
      <w:r w:rsidR="00165415">
        <w:rPr>
          <w:szCs w:val="22"/>
        </w:rPr>
        <w:t xml:space="preserve">such </w:t>
      </w:r>
      <w:r w:rsidRPr="00F318A8">
        <w:rPr>
          <w:szCs w:val="22"/>
        </w:rPr>
        <w:t xml:space="preserve">terms </w:t>
      </w:r>
      <w:r w:rsidR="00D16D01">
        <w:rPr>
          <w:szCs w:val="22"/>
        </w:rPr>
        <w:t>as</w:t>
      </w:r>
      <w:r w:rsidR="00D16D01" w:rsidRPr="00F318A8">
        <w:rPr>
          <w:szCs w:val="22"/>
        </w:rPr>
        <w:t xml:space="preserve"> </w:t>
      </w:r>
      <w:r w:rsidRPr="00F318A8">
        <w:rPr>
          <w:szCs w:val="22"/>
        </w:rPr>
        <w:t>“gathering” and “captur</w:t>
      </w:r>
      <w:r w:rsidR="00C365FC">
        <w:rPr>
          <w:szCs w:val="22"/>
        </w:rPr>
        <w:t>ing</w:t>
      </w:r>
      <w:r w:rsidRPr="00F318A8">
        <w:rPr>
          <w:szCs w:val="22"/>
        </w:rPr>
        <w:t xml:space="preserve">” knowledge could be </w:t>
      </w:r>
      <w:r w:rsidR="00A1554F">
        <w:rPr>
          <w:szCs w:val="22"/>
        </w:rPr>
        <w:t xml:space="preserve">inappropriate </w:t>
      </w:r>
      <w:r w:rsidR="00953F01">
        <w:rPr>
          <w:szCs w:val="22"/>
        </w:rPr>
        <w:t xml:space="preserve">and </w:t>
      </w:r>
      <w:r w:rsidRPr="00F318A8">
        <w:rPr>
          <w:szCs w:val="22"/>
        </w:rPr>
        <w:t xml:space="preserve">unproductive </w:t>
      </w:r>
      <w:r w:rsidR="00953F01">
        <w:rPr>
          <w:szCs w:val="22"/>
        </w:rPr>
        <w:t xml:space="preserve">when referring to </w:t>
      </w:r>
      <w:r w:rsidR="00953F01" w:rsidRPr="00F318A8">
        <w:rPr>
          <w:szCs w:val="22"/>
        </w:rPr>
        <w:t xml:space="preserve">indigenous and local </w:t>
      </w:r>
      <w:r w:rsidR="00953F01" w:rsidRPr="00F318A8">
        <w:rPr>
          <w:szCs w:val="22"/>
        </w:rPr>
        <w:lastRenderedPageBreak/>
        <w:t>knowledge</w:t>
      </w:r>
      <w:r w:rsidR="001E37D7">
        <w:rPr>
          <w:szCs w:val="22"/>
        </w:rPr>
        <w:t xml:space="preserve">. In </w:t>
      </w:r>
      <w:r w:rsidR="00165415">
        <w:rPr>
          <w:szCs w:val="22"/>
        </w:rPr>
        <w:t>that</w:t>
      </w:r>
      <w:r w:rsidR="00165415">
        <w:rPr>
          <w:szCs w:val="22"/>
        </w:rPr>
        <w:t xml:space="preserve"> </w:t>
      </w:r>
      <w:r w:rsidR="001E37D7">
        <w:rPr>
          <w:szCs w:val="22"/>
        </w:rPr>
        <w:t>regard</w:t>
      </w:r>
      <w:r w:rsidRPr="00F318A8">
        <w:rPr>
          <w:szCs w:val="22"/>
        </w:rPr>
        <w:t xml:space="preserve">, </w:t>
      </w:r>
      <w:r w:rsidR="00165415">
        <w:rPr>
          <w:szCs w:val="22"/>
        </w:rPr>
        <w:t xml:space="preserve">such </w:t>
      </w:r>
      <w:r w:rsidR="001E37D7">
        <w:rPr>
          <w:szCs w:val="22"/>
        </w:rPr>
        <w:t>termin</w:t>
      </w:r>
      <w:r w:rsidR="00006668">
        <w:rPr>
          <w:szCs w:val="22"/>
        </w:rPr>
        <w:t>ology as</w:t>
      </w:r>
      <w:r w:rsidRPr="00F318A8">
        <w:rPr>
          <w:szCs w:val="22"/>
        </w:rPr>
        <w:t xml:space="preserve"> </w:t>
      </w:r>
      <w:r w:rsidR="00165415">
        <w:rPr>
          <w:szCs w:val="22"/>
        </w:rPr>
        <w:t>“</w:t>
      </w:r>
      <w:r w:rsidRPr="00F318A8">
        <w:rPr>
          <w:szCs w:val="22"/>
        </w:rPr>
        <w:t>knowledge generation</w:t>
      </w:r>
      <w:r w:rsidR="00165415">
        <w:rPr>
          <w:szCs w:val="22"/>
        </w:rPr>
        <w:t>”</w:t>
      </w:r>
      <w:r w:rsidRPr="00F318A8">
        <w:rPr>
          <w:szCs w:val="22"/>
        </w:rPr>
        <w:t xml:space="preserve">, </w:t>
      </w:r>
      <w:r w:rsidR="00165415">
        <w:rPr>
          <w:szCs w:val="22"/>
        </w:rPr>
        <w:t>“</w:t>
      </w:r>
      <w:r w:rsidRPr="00F318A8">
        <w:rPr>
          <w:szCs w:val="22"/>
        </w:rPr>
        <w:t>maintenance</w:t>
      </w:r>
      <w:r w:rsidR="00165415">
        <w:rPr>
          <w:szCs w:val="22"/>
        </w:rPr>
        <w:t>”</w:t>
      </w:r>
      <w:r w:rsidRPr="00F318A8">
        <w:rPr>
          <w:szCs w:val="22"/>
        </w:rPr>
        <w:t xml:space="preserve">, and </w:t>
      </w:r>
      <w:r w:rsidR="00165415">
        <w:rPr>
          <w:szCs w:val="22"/>
        </w:rPr>
        <w:t>“</w:t>
      </w:r>
      <w:r w:rsidRPr="00F318A8">
        <w:rPr>
          <w:szCs w:val="22"/>
        </w:rPr>
        <w:t>support</w:t>
      </w:r>
      <w:r w:rsidR="00165415">
        <w:rPr>
          <w:szCs w:val="22"/>
        </w:rPr>
        <w:t>”</w:t>
      </w:r>
      <w:r w:rsidRPr="00F318A8">
        <w:rPr>
          <w:szCs w:val="22"/>
        </w:rPr>
        <w:t xml:space="preserve"> </w:t>
      </w:r>
      <w:r w:rsidR="00165415">
        <w:rPr>
          <w:szCs w:val="22"/>
        </w:rPr>
        <w:t>was</w:t>
      </w:r>
      <w:r w:rsidR="00165415" w:rsidRPr="00F318A8">
        <w:rPr>
          <w:szCs w:val="22"/>
        </w:rPr>
        <w:t xml:space="preserve"> </w:t>
      </w:r>
      <w:r w:rsidRPr="00F318A8">
        <w:rPr>
          <w:szCs w:val="22"/>
        </w:rPr>
        <w:t>preferable. I</w:t>
      </w:r>
      <w:r w:rsidR="009C7BFC">
        <w:rPr>
          <w:szCs w:val="22"/>
        </w:rPr>
        <w:t>t was noted that i</w:t>
      </w:r>
      <w:r w:rsidRPr="00F318A8">
        <w:rPr>
          <w:szCs w:val="22"/>
        </w:rPr>
        <w:t xml:space="preserve">ndigenous </w:t>
      </w:r>
      <w:r w:rsidR="009C7BFC">
        <w:rPr>
          <w:szCs w:val="22"/>
        </w:rPr>
        <w:t xml:space="preserve">peoples </w:t>
      </w:r>
      <w:r w:rsidRPr="00F318A8">
        <w:rPr>
          <w:szCs w:val="22"/>
        </w:rPr>
        <w:t xml:space="preserve">and local communities were important generators and keepers of knowledge relating to biodiversity and </w:t>
      </w:r>
      <w:r w:rsidR="00626A91">
        <w:rPr>
          <w:szCs w:val="22"/>
        </w:rPr>
        <w:t xml:space="preserve">its </w:t>
      </w:r>
      <w:r w:rsidRPr="00F318A8">
        <w:rPr>
          <w:szCs w:val="22"/>
        </w:rPr>
        <w:t>conservation</w:t>
      </w:r>
      <w:r w:rsidR="00626A91">
        <w:rPr>
          <w:szCs w:val="22"/>
        </w:rPr>
        <w:t xml:space="preserve"> and sustainable use</w:t>
      </w:r>
      <w:r w:rsidRPr="00F318A8">
        <w:rPr>
          <w:szCs w:val="22"/>
        </w:rPr>
        <w:t>.</w:t>
      </w:r>
    </w:p>
    <w:p w:rsidR="00BD63E2" w:rsidRDefault="00C542DC" w:rsidP="00945646">
      <w:pPr>
        <w:pStyle w:val="Para1"/>
        <w:numPr>
          <w:ilvl w:val="0"/>
          <w:numId w:val="2"/>
        </w:numPr>
        <w:tabs>
          <w:tab w:val="clear" w:pos="360"/>
        </w:tabs>
      </w:pPr>
      <w:proofErr w:type="gramStart"/>
      <w:r>
        <w:rPr>
          <w:szCs w:val="22"/>
        </w:rPr>
        <w:t>With regard to</w:t>
      </w:r>
      <w:proofErr w:type="gramEnd"/>
      <w:r>
        <w:rPr>
          <w:szCs w:val="22"/>
        </w:rPr>
        <w:t xml:space="preserve"> the question </w:t>
      </w:r>
      <w:r w:rsidR="00602174">
        <w:rPr>
          <w:szCs w:val="22"/>
        </w:rPr>
        <w:t>whether</w:t>
      </w:r>
      <w:r w:rsidR="00602174" w:rsidRPr="0089205F">
        <w:rPr>
          <w:szCs w:val="22"/>
        </w:rPr>
        <w:t xml:space="preserve"> the knowledge management component </w:t>
      </w:r>
      <w:r w:rsidR="00602174">
        <w:rPr>
          <w:szCs w:val="22"/>
        </w:rPr>
        <w:t xml:space="preserve">should </w:t>
      </w:r>
      <w:r w:rsidR="00602174" w:rsidRPr="0089205F">
        <w:rPr>
          <w:szCs w:val="22"/>
        </w:rPr>
        <w:t xml:space="preserve">be </w:t>
      </w:r>
      <w:r w:rsidR="003C1B18">
        <w:rPr>
          <w:szCs w:val="22"/>
        </w:rPr>
        <w:t xml:space="preserve">referred to as </w:t>
      </w:r>
      <w:r w:rsidR="00602174" w:rsidRPr="0089205F">
        <w:rPr>
          <w:szCs w:val="22"/>
        </w:rPr>
        <w:t xml:space="preserve">a </w:t>
      </w:r>
      <w:r w:rsidR="003C1B18" w:rsidRPr="0089205F">
        <w:rPr>
          <w:szCs w:val="22"/>
        </w:rPr>
        <w:t xml:space="preserve">knowledge management </w:t>
      </w:r>
      <w:r w:rsidR="00602174" w:rsidRPr="0089205F">
        <w:rPr>
          <w:szCs w:val="22"/>
        </w:rPr>
        <w:t>strategy</w:t>
      </w:r>
      <w:r w:rsidR="003C1B18">
        <w:rPr>
          <w:szCs w:val="22"/>
        </w:rPr>
        <w:t>, m</w:t>
      </w:r>
      <w:r w:rsidR="00602174">
        <w:rPr>
          <w:szCs w:val="22"/>
        </w:rPr>
        <w:t>embers agreed to sub</w:t>
      </w:r>
      <w:r w:rsidR="003C1B18">
        <w:rPr>
          <w:szCs w:val="22"/>
        </w:rPr>
        <w:t xml:space="preserve">mit their </w:t>
      </w:r>
      <w:r w:rsidR="002C13E8">
        <w:rPr>
          <w:szCs w:val="22"/>
        </w:rPr>
        <w:t xml:space="preserve">views </w:t>
      </w:r>
      <w:r w:rsidR="00B4294F">
        <w:rPr>
          <w:szCs w:val="22"/>
        </w:rPr>
        <w:t xml:space="preserve">later </w:t>
      </w:r>
      <w:r w:rsidR="00353D4C">
        <w:rPr>
          <w:szCs w:val="22"/>
        </w:rPr>
        <w:t>in writing.</w:t>
      </w:r>
    </w:p>
    <w:p w:rsidR="00D3754F" w:rsidRDefault="00D3754F" w:rsidP="00B21738">
      <w:pPr>
        <w:pStyle w:val="Heading1"/>
        <w:suppressLineNumbers/>
        <w:tabs>
          <w:tab w:val="clear" w:pos="720"/>
          <w:tab w:val="left" w:pos="993"/>
        </w:tabs>
        <w:suppressAutoHyphens/>
        <w:spacing w:before="120"/>
        <w:rPr>
          <w:caps w:val="0"/>
          <w:snapToGrid w:val="0"/>
          <w:kern w:val="22"/>
          <w:szCs w:val="22"/>
        </w:rPr>
      </w:pPr>
      <w:r w:rsidRPr="0052588E">
        <w:rPr>
          <w:caps w:val="0"/>
          <w:snapToGrid w:val="0"/>
          <w:kern w:val="22"/>
          <w:szCs w:val="22"/>
        </w:rPr>
        <w:t xml:space="preserve">ITEM </w:t>
      </w:r>
      <w:r>
        <w:rPr>
          <w:caps w:val="0"/>
          <w:snapToGrid w:val="0"/>
          <w:kern w:val="22"/>
          <w:szCs w:val="22"/>
        </w:rPr>
        <w:t>5</w:t>
      </w:r>
      <w:r w:rsidRPr="0052588E">
        <w:rPr>
          <w:caps w:val="0"/>
          <w:snapToGrid w:val="0"/>
          <w:kern w:val="22"/>
          <w:szCs w:val="22"/>
        </w:rPr>
        <w:t>.</w:t>
      </w:r>
      <w:r w:rsidRPr="0052588E">
        <w:rPr>
          <w:caps w:val="0"/>
          <w:snapToGrid w:val="0"/>
          <w:kern w:val="22"/>
          <w:szCs w:val="22"/>
        </w:rPr>
        <w:tab/>
      </w:r>
      <w:r>
        <w:rPr>
          <w:caps w:val="0"/>
          <w:snapToGrid w:val="0"/>
          <w:kern w:val="22"/>
          <w:szCs w:val="22"/>
        </w:rPr>
        <w:t>OTHER MATTERS</w:t>
      </w:r>
    </w:p>
    <w:p w:rsidR="00076026" w:rsidRDefault="00D3754F" w:rsidP="00B520CD">
      <w:pPr>
        <w:pStyle w:val="Para1"/>
        <w:numPr>
          <w:ilvl w:val="0"/>
          <w:numId w:val="2"/>
        </w:numPr>
        <w:tabs>
          <w:tab w:val="clear" w:pos="360"/>
        </w:tabs>
      </w:pPr>
      <w:r>
        <w:t>Under this agenda item</w:t>
      </w:r>
      <w:r w:rsidR="0043331E">
        <w:t>,</w:t>
      </w:r>
      <w:r>
        <w:t xml:space="preserve"> the c</w:t>
      </w:r>
      <w:r w:rsidR="00FC5853">
        <w:t xml:space="preserve">hair reviewed the deadlines for </w:t>
      </w:r>
      <w:r w:rsidR="00076026">
        <w:t xml:space="preserve">providing further input on </w:t>
      </w:r>
      <w:r w:rsidR="00FC5853">
        <w:t>various agenda items and requested the Secretariat to email the dates to the members so that they would have them immediately at the close of the meeting.</w:t>
      </w:r>
    </w:p>
    <w:p w:rsidR="009B38F5" w:rsidRDefault="00FC5853" w:rsidP="00B520CD">
      <w:pPr>
        <w:pStyle w:val="Para1"/>
        <w:numPr>
          <w:ilvl w:val="0"/>
          <w:numId w:val="2"/>
        </w:numPr>
        <w:tabs>
          <w:tab w:val="clear" w:pos="360"/>
        </w:tabs>
      </w:pPr>
      <w:r>
        <w:t xml:space="preserve">The chair asked </w:t>
      </w:r>
      <w:r w:rsidR="00485823">
        <w:t>which</w:t>
      </w:r>
      <w:r w:rsidR="00076026">
        <w:t xml:space="preserve"> </w:t>
      </w:r>
      <w:r>
        <w:t xml:space="preserve">members would be present at the forthcoming </w:t>
      </w:r>
      <w:r w:rsidR="00F44C69">
        <w:t>twenty-third meeting of the Subsidiary Body on Scientific, Technical and Technological Advice</w:t>
      </w:r>
      <w:r>
        <w:t xml:space="preserve"> and </w:t>
      </w:r>
      <w:r w:rsidR="00F44C69">
        <w:t xml:space="preserve">eleventh meeting of the Ad Hoc Open-ended Working Group on Article </w:t>
      </w:r>
      <w:r>
        <w:t xml:space="preserve">8(j) </w:t>
      </w:r>
      <w:r w:rsidR="00F44C69">
        <w:t>and Related Provisions</w:t>
      </w:r>
      <w:r w:rsidR="00485823">
        <w:t>,</w:t>
      </w:r>
      <w:r w:rsidR="00F44C69">
        <w:t xml:space="preserve"> to be held </w:t>
      </w:r>
      <w:r>
        <w:t>in November</w:t>
      </w:r>
      <w:r w:rsidR="00F44C69">
        <w:t xml:space="preserve"> 2019</w:t>
      </w:r>
      <w:r>
        <w:t xml:space="preserve">. Given that at least </w:t>
      </w:r>
      <w:r w:rsidR="00F44C69">
        <w:t xml:space="preserve">five </w:t>
      </w:r>
      <w:r>
        <w:t xml:space="preserve">members of the </w:t>
      </w:r>
      <w:r w:rsidR="00485823">
        <w:t>C</w:t>
      </w:r>
      <w:r>
        <w:t xml:space="preserve">ommittee </w:t>
      </w:r>
      <w:r w:rsidR="00076026">
        <w:t xml:space="preserve">would be present, it was agreed </w:t>
      </w:r>
      <w:r w:rsidR="00485823">
        <w:t>that</w:t>
      </w:r>
      <w:r w:rsidR="00076026">
        <w:t xml:space="preserve"> a face-to-face meeting of the Committee </w:t>
      </w:r>
      <w:r w:rsidR="00485823">
        <w:t xml:space="preserve">would be held </w:t>
      </w:r>
      <w:r w:rsidR="00076026">
        <w:t xml:space="preserve">in </w:t>
      </w:r>
      <w:r>
        <w:t>the margins of the</w:t>
      </w:r>
      <w:r w:rsidR="00F05DA5">
        <w:t xml:space="preserve"> </w:t>
      </w:r>
      <w:r w:rsidR="00485823">
        <w:t>Subsidiary Body</w:t>
      </w:r>
      <w:r w:rsidR="00076026">
        <w:t xml:space="preserve"> </w:t>
      </w:r>
      <w:r>
        <w:t>meeting</w:t>
      </w:r>
      <w:r w:rsidR="00485823">
        <w:t>,</w:t>
      </w:r>
      <w:r>
        <w:t xml:space="preserve"> </w:t>
      </w:r>
      <w:r w:rsidR="004D5B98">
        <w:t xml:space="preserve">with </w:t>
      </w:r>
      <w:r w:rsidR="00485823">
        <w:t>any</w:t>
      </w:r>
      <w:r w:rsidR="00F05DA5">
        <w:t xml:space="preserve"> </w:t>
      </w:r>
      <w:r>
        <w:t xml:space="preserve">members </w:t>
      </w:r>
      <w:r w:rsidR="00485823">
        <w:t xml:space="preserve">not present being linked </w:t>
      </w:r>
      <w:r>
        <w:t>remotely.</w:t>
      </w:r>
    </w:p>
    <w:p w:rsidR="00D3754F" w:rsidRDefault="00D3754F" w:rsidP="00B21738">
      <w:pPr>
        <w:pStyle w:val="Heading1"/>
        <w:suppressLineNumbers/>
        <w:tabs>
          <w:tab w:val="clear" w:pos="720"/>
          <w:tab w:val="left" w:pos="993"/>
        </w:tabs>
        <w:suppressAutoHyphens/>
        <w:spacing w:before="120"/>
        <w:rPr>
          <w:caps w:val="0"/>
          <w:snapToGrid w:val="0"/>
          <w:kern w:val="22"/>
          <w:szCs w:val="22"/>
        </w:rPr>
      </w:pPr>
      <w:r w:rsidRPr="0052588E">
        <w:rPr>
          <w:caps w:val="0"/>
          <w:snapToGrid w:val="0"/>
          <w:kern w:val="22"/>
          <w:szCs w:val="22"/>
        </w:rPr>
        <w:t xml:space="preserve">ITEM </w:t>
      </w:r>
      <w:r>
        <w:rPr>
          <w:caps w:val="0"/>
          <w:snapToGrid w:val="0"/>
          <w:kern w:val="22"/>
          <w:szCs w:val="22"/>
        </w:rPr>
        <w:t>5</w:t>
      </w:r>
      <w:r w:rsidRPr="0052588E">
        <w:rPr>
          <w:caps w:val="0"/>
          <w:snapToGrid w:val="0"/>
          <w:kern w:val="22"/>
          <w:szCs w:val="22"/>
        </w:rPr>
        <w:t>.</w:t>
      </w:r>
      <w:r w:rsidRPr="0052588E">
        <w:rPr>
          <w:caps w:val="0"/>
          <w:snapToGrid w:val="0"/>
          <w:kern w:val="22"/>
          <w:szCs w:val="22"/>
        </w:rPr>
        <w:tab/>
      </w:r>
      <w:r>
        <w:rPr>
          <w:caps w:val="0"/>
          <w:snapToGrid w:val="0"/>
          <w:kern w:val="22"/>
          <w:szCs w:val="22"/>
        </w:rPr>
        <w:t>CONCLUSIONS AND RECOMMENDATIONS</w:t>
      </w:r>
    </w:p>
    <w:p w:rsidR="00D3754F" w:rsidRDefault="00D3754F" w:rsidP="00B520CD">
      <w:pPr>
        <w:pStyle w:val="Para1"/>
        <w:numPr>
          <w:ilvl w:val="0"/>
          <w:numId w:val="2"/>
        </w:numPr>
        <w:tabs>
          <w:tab w:val="clear" w:pos="360"/>
        </w:tabs>
      </w:pPr>
      <w:r w:rsidRPr="00B520CD">
        <w:rPr>
          <w:szCs w:val="22"/>
        </w:rPr>
        <w:t>Under</w:t>
      </w:r>
      <w:r>
        <w:t xml:space="preserve"> this agenda item</w:t>
      </w:r>
      <w:r w:rsidR="004D5B98">
        <w:t>,</w:t>
      </w:r>
      <w:r>
        <w:t xml:space="preserve"> the </w:t>
      </w:r>
      <w:r w:rsidR="004D5B98">
        <w:t>C</w:t>
      </w:r>
      <w:r>
        <w:t>ommittee</w:t>
      </w:r>
      <w:r w:rsidR="00CC208B">
        <w:t xml:space="preserve"> reviewed the draft recommendations prepared by the Secretariat and </w:t>
      </w:r>
      <w:proofErr w:type="gramStart"/>
      <w:r w:rsidR="00CC208B">
        <w:t>made adjustments</w:t>
      </w:r>
      <w:proofErr w:type="gramEnd"/>
      <w:r w:rsidR="00CC208B">
        <w:t>.</w:t>
      </w:r>
    </w:p>
    <w:p w:rsidR="00D3754F" w:rsidRDefault="00D3754F" w:rsidP="00B21738">
      <w:pPr>
        <w:pStyle w:val="Heading1"/>
        <w:suppressLineNumbers/>
        <w:tabs>
          <w:tab w:val="clear" w:pos="720"/>
          <w:tab w:val="left" w:pos="993"/>
        </w:tabs>
        <w:suppressAutoHyphens/>
        <w:spacing w:before="120"/>
        <w:rPr>
          <w:caps w:val="0"/>
          <w:snapToGrid w:val="0"/>
          <w:kern w:val="22"/>
          <w:szCs w:val="22"/>
        </w:rPr>
      </w:pPr>
      <w:r w:rsidRPr="0052588E">
        <w:rPr>
          <w:caps w:val="0"/>
          <w:snapToGrid w:val="0"/>
          <w:kern w:val="22"/>
          <w:szCs w:val="22"/>
        </w:rPr>
        <w:t xml:space="preserve">ITEM </w:t>
      </w:r>
      <w:r>
        <w:rPr>
          <w:caps w:val="0"/>
          <w:snapToGrid w:val="0"/>
          <w:kern w:val="22"/>
          <w:szCs w:val="22"/>
        </w:rPr>
        <w:t>6. CLOSURE OF THE MEETING</w:t>
      </w:r>
    </w:p>
    <w:p w:rsidR="00D3754F" w:rsidRPr="006F0F92" w:rsidRDefault="00D3754F" w:rsidP="00B520CD">
      <w:pPr>
        <w:pStyle w:val="Para1"/>
        <w:numPr>
          <w:ilvl w:val="0"/>
          <w:numId w:val="2"/>
        </w:numPr>
        <w:tabs>
          <w:tab w:val="clear" w:pos="360"/>
        </w:tabs>
      </w:pPr>
      <w:r>
        <w:t xml:space="preserve">The chair closed the meeting </w:t>
      </w:r>
      <w:r w:rsidR="00076026">
        <w:t xml:space="preserve">on 19 June 2019 </w:t>
      </w:r>
      <w:r>
        <w:t xml:space="preserve">at </w:t>
      </w:r>
      <w:r w:rsidR="00076026">
        <w:t>1 pm.</w:t>
      </w:r>
      <w:bookmarkStart w:id="3" w:name="_GoBack"/>
      <w:bookmarkEnd w:id="3"/>
    </w:p>
    <w:p w:rsidR="00B3369F" w:rsidRPr="00C9161D" w:rsidRDefault="00C9161D" w:rsidP="00B81A6D">
      <w:pPr>
        <w:jc w:val="center"/>
      </w:pPr>
      <w:r w:rsidRPr="00C9161D">
        <w:t>______</w:t>
      </w:r>
      <w:r w:rsidR="004D5B98">
        <w:t>____</w:t>
      </w:r>
    </w:p>
    <w:sectPr w:rsidR="00B3369F" w:rsidRPr="00C9161D" w:rsidSect="00942DC3">
      <w:headerReference w:type="even" r:id="rId15"/>
      <w:headerReference w:type="default" r:id="rId16"/>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1EDF" w:rsidRDefault="00471EDF" w:rsidP="00CF1848">
      <w:r>
        <w:separator/>
      </w:r>
    </w:p>
  </w:endnote>
  <w:endnote w:type="continuationSeparator" w:id="0">
    <w:p w:rsidR="00471EDF" w:rsidRDefault="00471EDF"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1EDF" w:rsidRDefault="00471EDF" w:rsidP="00CF1848">
      <w:r>
        <w:separator/>
      </w:r>
    </w:p>
  </w:footnote>
  <w:footnote w:type="continuationSeparator" w:id="0">
    <w:p w:rsidR="00471EDF" w:rsidRDefault="00471EDF" w:rsidP="00CF1848">
      <w:r>
        <w:continuationSeparator/>
      </w:r>
    </w:p>
  </w:footnote>
  <w:footnote w:id="1">
    <w:p w:rsidR="003A32FD" w:rsidRPr="00B21738" w:rsidRDefault="003A32FD" w:rsidP="00B21738">
      <w:pPr>
        <w:pStyle w:val="FootnoteText"/>
        <w:suppressLineNumbers/>
        <w:suppressAutoHyphens/>
        <w:ind w:firstLine="0"/>
        <w:jc w:val="left"/>
        <w:rPr>
          <w:kern w:val="18"/>
          <w:szCs w:val="18"/>
        </w:rPr>
      </w:pPr>
      <w:r w:rsidRPr="00B21738">
        <w:rPr>
          <w:rStyle w:val="FootnoteReference"/>
          <w:kern w:val="18"/>
          <w:sz w:val="18"/>
          <w:szCs w:val="18"/>
        </w:rPr>
        <w:footnoteRef/>
      </w:r>
      <w:r w:rsidRPr="00B21738">
        <w:rPr>
          <w:kern w:val="18"/>
          <w:szCs w:val="18"/>
        </w:rPr>
        <w:t xml:space="preserve"> The CHM-IAC members agreed to further consider and make a recommendation on whether to call the new document a </w:t>
      </w:r>
      <w:r w:rsidR="00D80741" w:rsidRPr="00B21738">
        <w:rPr>
          <w:kern w:val="18"/>
          <w:szCs w:val="18"/>
        </w:rPr>
        <w:t>k</w:t>
      </w:r>
      <w:r w:rsidRPr="00B21738">
        <w:rPr>
          <w:kern w:val="18"/>
          <w:szCs w:val="18"/>
        </w:rPr>
        <w:t xml:space="preserve">nowledge </w:t>
      </w:r>
      <w:r w:rsidR="00D80741" w:rsidRPr="00B21738">
        <w:rPr>
          <w:kern w:val="18"/>
          <w:szCs w:val="18"/>
        </w:rPr>
        <w:t>m</w:t>
      </w:r>
      <w:r w:rsidRPr="00B21738">
        <w:rPr>
          <w:kern w:val="18"/>
          <w:szCs w:val="18"/>
        </w:rPr>
        <w:t xml:space="preserve">anagement component or </w:t>
      </w:r>
      <w:r w:rsidR="00D80741" w:rsidRPr="00B21738">
        <w:rPr>
          <w:kern w:val="18"/>
          <w:szCs w:val="18"/>
        </w:rPr>
        <w:t>k</w:t>
      </w:r>
      <w:r w:rsidRPr="00B21738">
        <w:rPr>
          <w:kern w:val="18"/>
          <w:szCs w:val="18"/>
        </w:rPr>
        <w:t xml:space="preserve">nowledge </w:t>
      </w:r>
      <w:r w:rsidR="00D80741" w:rsidRPr="00B21738">
        <w:rPr>
          <w:kern w:val="18"/>
          <w:szCs w:val="18"/>
        </w:rPr>
        <w:t>m</w:t>
      </w:r>
      <w:r w:rsidRPr="00B21738">
        <w:rPr>
          <w:kern w:val="18"/>
          <w:szCs w:val="18"/>
        </w:rPr>
        <w:t>anagement strategy.</w:t>
      </w:r>
    </w:p>
  </w:footnote>
  <w:footnote w:id="2">
    <w:p w:rsidR="006725F3" w:rsidRPr="00B21738" w:rsidRDefault="006725F3" w:rsidP="00B21738">
      <w:pPr>
        <w:pStyle w:val="FootnoteText"/>
        <w:suppressLineNumbers/>
        <w:suppressAutoHyphens/>
        <w:ind w:firstLine="0"/>
        <w:jc w:val="left"/>
        <w:rPr>
          <w:kern w:val="18"/>
          <w:szCs w:val="18"/>
        </w:rPr>
      </w:pPr>
      <w:r w:rsidRPr="00B21738">
        <w:rPr>
          <w:rStyle w:val="FootnoteReference"/>
          <w:kern w:val="18"/>
          <w:sz w:val="18"/>
          <w:szCs w:val="18"/>
        </w:rPr>
        <w:footnoteRef/>
      </w:r>
      <w:r w:rsidRPr="00B21738">
        <w:rPr>
          <w:kern w:val="18"/>
          <w:szCs w:val="18"/>
        </w:rPr>
        <w:t xml:space="preserve"> CBD/</w:t>
      </w:r>
      <w:proofErr w:type="spellStart"/>
      <w:r w:rsidRPr="00B21738">
        <w:rPr>
          <w:kern w:val="18"/>
          <w:szCs w:val="18"/>
        </w:rPr>
        <w:t>SBI</w:t>
      </w:r>
      <w:proofErr w:type="spellEnd"/>
      <w:r w:rsidRPr="00B21738">
        <w:rPr>
          <w:kern w:val="18"/>
          <w:szCs w:val="18"/>
        </w:rPr>
        <w:t>/2/INF/33, UNEP/CBD/COP/11/INF/8, for example.</w:t>
      </w:r>
    </w:p>
  </w:footnote>
  <w:footnote w:id="3">
    <w:p w:rsidR="006725F3" w:rsidRPr="00B21738" w:rsidRDefault="006725F3" w:rsidP="00B21738">
      <w:pPr>
        <w:pStyle w:val="FootnoteText"/>
        <w:suppressLineNumbers/>
        <w:suppressAutoHyphens/>
        <w:ind w:firstLine="0"/>
        <w:jc w:val="left"/>
        <w:rPr>
          <w:kern w:val="18"/>
          <w:szCs w:val="18"/>
        </w:rPr>
      </w:pPr>
      <w:r w:rsidRPr="00B21738">
        <w:rPr>
          <w:rStyle w:val="FootnoteReference"/>
          <w:kern w:val="18"/>
          <w:sz w:val="18"/>
          <w:szCs w:val="18"/>
        </w:rPr>
        <w:footnoteRef/>
      </w:r>
      <w:r w:rsidRPr="00B21738">
        <w:rPr>
          <w:kern w:val="18"/>
          <w:szCs w:val="18"/>
        </w:rPr>
        <w:t xml:space="preserve"> </w:t>
      </w:r>
      <w:r w:rsidR="003A32FD" w:rsidRPr="00B21738">
        <w:rPr>
          <w:kern w:val="18"/>
          <w:szCs w:val="18"/>
        </w:rPr>
        <w:t xml:space="preserve">Based on the draft contained in </w:t>
      </w:r>
      <w:r w:rsidR="00626D25" w:rsidRPr="00B21738">
        <w:rPr>
          <w:kern w:val="18"/>
          <w:szCs w:val="18"/>
        </w:rPr>
        <w:t>a</w:t>
      </w:r>
      <w:r w:rsidR="003A32FD" w:rsidRPr="00B21738">
        <w:rPr>
          <w:kern w:val="18"/>
          <w:szCs w:val="18"/>
        </w:rPr>
        <w:t xml:space="preserve">nnex II of </w:t>
      </w:r>
      <w:r w:rsidR="00626D25" w:rsidRPr="00B21738">
        <w:rPr>
          <w:kern w:val="18"/>
          <w:szCs w:val="18"/>
        </w:rPr>
        <w:t>r</w:t>
      </w:r>
      <w:r w:rsidR="003A32FD" w:rsidRPr="00B21738">
        <w:rPr>
          <w:kern w:val="18"/>
          <w:szCs w:val="18"/>
        </w:rPr>
        <w:t xml:space="preserve">ecommendation SBI-2/8: </w:t>
      </w:r>
      <w:hyperlink r:id="rId1" w:history="1">
        <w:r w:rsidR="003A32FD" w:rsidRPr="00B21738">
          <w:rPr>
            <w:rStyle w:val="Hyperlink"/>
            <w:kern w:val="18"/>
            <w:szCs w:val="18"/>
          </w:rPr>
          <w:t>https://www.cbd.int/doc/recommendations/sbi-02/sbi-02-rec-08-en.pdf</w:t>
        </w:r>
      </w:hyperlink>
    </w:p>
  </w:footnote>
  <w:footnote w:id="4">
    <w:p w:rsidR="006725F3" w:rsidRPr="00B21738" w:rsidRDefault="006725F3" w:rsidP="00B21738">
      <w:pPr>
        <w:pStyle w:val="FootnoteText"/>
        <w:suppressLineNumbers/>
        <w:suppressAutoHyphens/>
        <w:ind w:firstLine="0"/>
        <w:jc w:val="left"/>
        <w:rPr>
          <w:kern w:val="18"/>
          <w:szCs w:val="18"/>
        </w:rPr>
      </w:pPr>
      <w:r w:rsidRPr="00B21738">
        <w:rPr>
          <w:rStyle w:val="FootnoteReference"/>
          <w:kern w:val="18"/>
          <w:sz w:val="18"/>
          <w:szCs w:val="18"/>
        </w:rPr>
        <w:footnoteRef/>
      </w:r>
      <w:r w:rsidRPr="00B21738">
        <w:rPr>
          <w:kern w:val="18"/>
          <w:szCs w:val="18"/>
        </w:rPr>
        <w:t xml:space="preserve"> Attended remotely via Skype on 17 and 18 June 2019</w:t>
      </w:r>
      <w:r w:rsidR="003C3695" w:rsidRPr="00B21738">
        <w:rPr>
          <w:kern w:val="18"/>
          <w:szCs w:val="18"/>
        </w:rPr>
        <w:t>.</w:t>
      </w:r>
    </w:p>
  </w:footnote>
  <w:footnote w:id="5">
    <w:p w:rsidR="006725F3" w:rsidRPr="00B21738" w:rsidRDefault="006725F3" w:rsidP="00B21738">
      <w:pPr>
        <w:pStyle w:val="FootnoteText"/>
        <w:suppressLineNumbers/>
        <w:suppressAutoHyphens/>
        <w:ind w:firstLine="0"/>
        <w:jc w:val="left"/>
        <w:rPr>
          <w:kern w:val="18"/>
          <w:szCs w:val="18"/>
        </w:rPr>
      </w:pPr>
      <w:r w:rsidRPr="00B21738">
        <w:rPr>
          <w:rStyle w:val="FootnoteReference"/>
          <w:kern w:val="18"/>
          <w:sz w:val="18"/>
          <w:szCs w:val="18"/>
        </w:rPr>
        <w:footnoteRef/>
      </w:r>
      <w:r w:rsidRPr="00B21738">
        <w:rPr>
          <w:kern w:val="18"/>
          <w:szCs w:val="18"/>
        </w:rPr>
        <w:t xml:space="preserve"> Attended remotely via Skype on 17 and 18 June 2019</w:t>
      </w:r>
      <w:r w:rsidR="003C3695" w:rsidRPr="00B21738">
        <w:rPr>
          <w:kern w:val="18"/>
          <w:szCs w:val="18"/>
        </w:rPr>
        <w:t>.</w:t>
      </w:r>
    </w:p>
  </w:footnote>
  <w:footnote w:id="6">
    <w:p w:rsidR="006725F3" w:rsidRPr="00B21738" w:rsidRDefault="006725F3" w:rsidP="00B21738">
      <w:pPr>
        <w:pStyle w:val="FootnoteText"/>
        <w:suppressLineNumbers/>
        <w:suppressAutoHyphens/>
        <w:ind w:firstLine="0"/>
        <w:jc w:val="left"/>
        <w:rPr>
          <w:kern w:val="18"/>
          <w:szCs w:val="18"/>
        </w:rPr>
      </w:pPr>
      <w:r w:rsidRPr="00B21738">
        <w:rPr>
          <w:rStyle w:val="FootnoteReference"/>
          <w:kern w:val="18"/>
          <w:sz w:val="18"/>
          <w:szCs w:val="18"/>
        </w:rPr>
        <w:footnoteRef/>
      </w:r>
      <w:r w:rsidRPr="00B21738">
        <w:rPr>
          <w:kern w:val="18"/>
          <w:szCs w:val="18"/>
        </w:rPr>
        <w:t xml:space="preserve"> Akoma </w:t>
      </w:r>
      <w:proofErr w:type="spellStart"/>
      <w:r w:rsidRPr="00B21738">
        <w:rPr>
          <w:kern w:val="18"/>
          <w:szCs w:val="18"/>
        </w:rPr>
        <w:t>Ntoso</w:t>
      </w:r>
      <w:proofErr w:type="spellEnd"/>
      <w:r w:rsidRPr="00B21738">
        <w:rPr>
          <w:kern w:val="18"/>
          <w:szCs w:val="18"/>
        </w:rPr>
        <w:t xml:space="preserve"> (Architecture for Knowledge-Oriented Management of African Normative Texts using Open Standards and Ontologies) is an international technical standard for representing executive, legislative and judiciary documents in a structured manner.</w:t>
      </w:r>
    </w:p>
  </w:footnote>
  <w:footnote w:id="7">
    <w:p w:rsidR="00165278" w:rsidRPr="00B21738" w:rsidRDefault="00165278" w:rsidP="00B21738">
      <w:pPr>
        <w:pStyle w:val="FootnoteText"/>
        <w:suppressLineNumbers/>
        <w:suppressAutoHyphens/>
        <w:ind w:firstLine="0"/>
        <w:jc w:val="left"/>
        <w:rPr>
          <w:kern w:val="18"/>
          <w:szCs w:val="18"/>
        </w:rPr>
      </w:pPr>
      <w:r w:rsidRPr="00B21738">
        <w:rPr>
          <w:rStyle w:val="FootnoteReference"/>
          <w:kern w:val="18"/>
          <w:sz w:val="18"/>
          <w:szCs w:val="18"/>
        </w:rPr>
        <w:footnoteRef/>
      </w:r>
      <w:r w:rsidRPr="00B21738">
        <w:rPr>
          <w:kern w:val="18"/>
          <w:szCs w:val="18"/>
        </w:rPr>
        <w:t xml:space="preserve"> This feature allows authori</w:t>
      </w:r>
      <w:r w:rsidR="00D5096E" w:rsidRPr="00B21738">
        <w:rPr>
          <w:kern w:val="18"/>
          <w:szCs w:val="18"/>
        </w:rPr>
        <w:t>z</w:t>
      </w:r>
      <w:r w:rsidRPr="00B21738">
        <w:rPr>
          <w:kern w:val="18"/>
          <w:szCs w:val="18"/>
        </w:rPr>
        <w:t>ed users to populate the national CHM website with draft content for review and approval by the administrator before it is made public/published.</w:t>
      </w:r>
    </w:p>
  </w:footnote>
  <w:footnote w:id="8">
    <w:p w:rsidR="006725F3" w:rsidRPr="00B21738" w:rsidRDefault="006725F3" w:rsidP="00B21738">
      <w:pPr>
        <w:pStyle w:val="FootnoteText"/>
        <w:suppressLineNumbers/>
        <w:suppressAutoHyphens/>
        <w:ind w:firstLine="0"/>
        <w:jc w:val="left"/>
        <w:rPr>
          <w:kern w:val="18"/>
          <w:szCs w:val="18"/>
        </w:rPr>
      </w:pPr>
      <w:r w:rsidRPr="00B21738">
        <w:rPr>
          <w:rStyle w:val="FootnoteReference"/>
          <w:kern w:val="18"/>
          <w:sz w:val="18"/>
          <w:szCs w:val="18"/>
        </w:rPr>
        <w:footnoteRef/>
      </w:r>
      <w:r w:rsidRPr="00B21738">
        <w:rPr>
          <w:kern w:val="18"/>
          <w:szCs w:val="18"/>
        </w:rPr>
        <w:t xml:space="preserve"> The</w:t>
      </w:r>
      <w:r w:rsidR="00790A90" w:rsidRPr="00B21738">
        <w:rPr>
          <w:kern w:val="18"/>
          <w:szCs w:val="18"/>
        </w:rPr>
        <w:t xml:space="preserve"> 10 countries are</w:t>
      </w:r>
      <w:r w:rsidRPr="00B21738">
        <w:rPr>
          <w:kern w:val="18"/>
          <w:szCs w:val="18"/>
        </w:rPr>
        <w:t xml:space="preserve">: Belgium, Benin, Cameroon, </w:t>
      </w:r>
      <w:r w:rsidR="007B0803" w:rsidRPr="00B21738">
        <w:rPr>
          <w:kern w:val="18"/>
          <w:szCs w:val="18"/>
        </w:rPr>
        <w:t>Democratic Republic of the</w:t>
      </w:r>
      <w:r w:rsidR="007B0803" w:rsidRPr="00B21738">
        <w:rPr>
          <w:kern w:val="18"/>
          <w:szCs w:val="18"/>
        </w:rPr>
        <w:t xml:space="preserve"> </w:t>
      </w:r>
      <w:r w:rsidRPr="00B21738">
        <w:rPr>
          <w:kern w:val="18"/>
          <w:szCs w:val="18"/>
        </w:rPr>
        <w:t>Congo, France, Guinea, Madagascar, Mauritania, Niger and Togo.</w:t>
      </w:r>
    </w:p>
  </w:footnote>
  <w:footnote w:id="9">
    <w:p w:rsidR="006725F3" w:rsidRPr="00B21738" w:rsidRDefault="006725F3" w:rsidP="00B21738">
      <w:pPr>
        <w:pStyle w:val="FootnoteText"/>
        <w:suppressLineNumbers/>
        <w:suppressAutoHyphens/>
        <w:ind w:firstLine="0"/>
        <w:jc w:val="left"/>
        <w:rPr>
          <w:kern w:val="18"/>
          <w:szCs w:val="18"/>
        </w:rPr>
      </w:pPr>
      <w:r w:rsidRPr="00B21738">
        <w:rPr>
          <w:rStyle w:val="FootnoteReference"/>
          <w:kern w:val="18"/>
          <w:sz w:val="18"/>
          <w:szCs w:val="18"/>
        </w:rPr>
        <w:footnoteRef/>
      </w:r>
      <w:r w:rsidRPr="00B21738">
        <w:rPr>
          <w:kern w:val="18"/>
          <w:szCs w:val="18"/>
        </w:rPr>
        <w:t xml:space="preserve"> </w:t>
      </w:r>
      <w:hyperlink r:id="rId2" w:history="1">
        <w:r w:rsidRPr="00B21738">
          <w:rPr>
            <w:rStyle w:val="Hyperlink"/>
            <w:kern w:val="18"/>
            <w:szCs w:val="18"/>
          </w:rPr>
          <w:t>https://environmentlive.unep.org/media/html/situation/situation_room.html#</w:t>
        </w:r>
      </w:hyperlink>
    </w:p>
  </w:footnote>
  <w:footnote w:id="10">
    <w:p w:rsidR="00F50FDF" w:rsidRPr="00B21738" w:rsidRDefault="00F50FDF" w:rsidP="00B21738">
      <w:pPr>
        <w:pStyle w:val="FootnoteText"/>
        <w:suppressLineNumbers/>
        <w:suppressAutoHyphens/>
        <w:ind w:firstLine="0"/>
        <w:jc w:val="left"/>
        <w:rPr>
          <w:kern w:val="18"/>
          <w:szCs w:val="18"/>
        </w:rPr>
      </w:pPr>
      <w:r w:rsidRPr="00B21738">
        <w:rPr>
          <w:rStyle w:val="FootnoteReference"/>
          <w:kern w:val="18"/>
          <w:sz w:val="18"/>
          <w:szCs w:val="18"/>
        </w:rPr>
        <w:footnoteRef/>
      </w:r>
      <w:r w:rsidRPr="00B21738">
        <w:rPr>
          <w:kern w:val="18"/>
          <w:szCs w:val="18"/>
        </w:rPr>
        <w:t xml:space="preserve"> The presentation is available at: </w:t>
      </w:r>
      <w:hyperlink r:id="rId3" w:history="1">
        <w:r w:rsidR="0083652A" w:rsidRPr="00B21738">
          <w:rPr>
            <w:rStyle w:val="Hyperlink"/>
            <w:kern w:val="18"/>
            <w:szCs w:val="18"/>
          </w:rPr>
          <w:t>https://www.cbd.int/doc/c/822f/646e/7c4458b10a6193b8143a9ea7/chm-iac-2019-01-tsc-presentation-en.pdf</w:t>
        </w:r>
      </w:hyperlink>
      <w:r w:rsidR="0034690C" w:rsidRPr="00B21738">
        <w:rPr>
          <w:kern w:val="18"/>
          <w:szCs w:val="18"/>
        </w:rPr>
        <w:t>.</w:t>
      </w:r>
    </w:p>
  </w:footnote>
  <w:footnote w:id="11">
    <w:p w:rsidR="00DA4F94" w:rsidRPr="00B21738" w:rsidRDefault="00DA4F94" w:rsidP="00B21738">
      <w:pPr>
        <w:pStyle w:val="FootnoteText"/>
        <w:suppressLineNumbers/>
        <w:suppressAutoHyphens/>
        <w:ind w:firstLine="0"/>
        <w:jc w:val="left"/>
        <w:rPr>
          <w:kern w:val="18"/>
          <w:szCs w:val="18"/>
        </w:rPr>
      </w:pPr>
      <w:r w:rsidRPr="00B21738">
        <w:rPr>
          <w:rStyle w:val="FootnoteReference"/>
          <w:kern w:val="18"/>
          <w:sz w:val="18"/>
          <w:szCs w:val="18"/>
        </w:rPr>
        <w:footnoteRef/>
      </w:r>
      <w:r w:rsidRPr="00B21738">
        <w:rPr>
          <w:kern w:val="18"/>
          <w:szCs w:val="18"/>
        </w:rPr>
        <w:t xml:space="preserve"> The presentation is </w:t>
      </w:r>
      <w:r w:rsidR="001B25B0" w:rsidRPr="00B21738">
        <w:rPr>
          <w:kern w:val="18"/>
          <w:szCs w:val="18"/>
        </w:rPr>
        <w:t xml:space="preserve">available at: </w:t>
      </w:r>
      <w:hyperlink r:id="rId4" w:history="1">
        <w:r w:rsidR="00733F34" w:rsidRPr="00B21738">
          <w:rPr>
            <w:rStyle w:val="Hyperlink"/>
            <w:kern w:val="18"/>
            <w:szCs w:val="18"/>
          </w:rPr>
          <w:t>https://www.cbd.int/doc/c/4668/fed6/de8f425c116468ee98da0e77/chm-iac-2019-01-km-presentation-en.pdf</w:t>
        </w:r>
      </w:hyperlink>
      <w:r w:rsidR="00562A66" w:rsidRPr="00B21738">
        <w:rPr>
          <w:kern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fr-FR"/>
      </w:rPr>
      <w:alias w:val="Subject"/>
      <w:tag w:val=""/>
      <w:id w:val="-1955093829"/>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rsidR="006725F3" w:rsidRPr="00134846" w:rsidRDefault="006725F3" w:rsidP="00534681">
        <w:pPr>
          <w:pStyle w:val="Header"/>
          <w:rPr>
            <w:lang w:val="fr-FR"/>
          </w:rPr>
        </w:pPr>
        <w:r>
          <w:rPr>
            <w:lang w:val="fr-FR"/>
          </w:rPr>
          <w:t>CBD/CHM/IAC/2019/1/3</w:t>
        </w:r>
      </w:p>
    </w:sdtContent>
  </w:sdt>
  <w:p w:rsidR="006725F3" w:rsidRPr="00134846" w:rsidRDefault="006725F3" w:rsidP="00534681">
    <w:pPr>
      <w:pStyle w:val="Header"/>
      <w:rPr>
        <w:lang w:val="fr-FR"/>
      </w:rPr>
    </w:pPr>
    <w:r w:rsidRPr="00134846">
      <w:rPr>
        <w:lang w:val="fr-FR"/>
      </w:rPr>
      <w:t xml:space="preserve">Page </w:t>
    </w:r>
    <w:r>
      <w:fldChar w:fldCharType="begin"/>
    </w:r>
    <w:r w:rsidRPr="00134846">
      <w:rPr>
        <w:lang w:val="fr-FR"/>
      </w:rPr>
      <w:instrText xml:space="preserve"> PAGE   \* MERGEFORMAT </w:instrText>
    </w:r>
    <w:r>
      <w:fldChar w:fldCharType="separate"/>
    </w:r>
    <w:r w:rsidR="002747B4">
      <w:rPr>
        <w:noProof/>
        <w:lang w:val="fr-FR"/>
      </w:rPr>
      <w:t>2</w:t>
    </w:r>
    <w:r>
      <w:rPr>
        <w:noProof/>
      </w:rPr>
      <w:fldChar w:fldCharType="end"/>
    </w:r>
  </w:p>
  <w:p w:rsidR="006725F3" w:rsidRPr="00134846" w:rsidRDefault="006725F3">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fr-FR"/>
      </w:rPr>
      <w:alias w:val="Subject"/>
      <w:tag w:val=""/>
      <w:id w:val="1396244730"/>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rsidR="006725F3" w:rsidRPr="00134846" w:rsidRDefault="006725F3" w:rsidP="009505C9">
        <w:pPr>
          <w:pStyle w:val="Header"/>
          <w:jc w:val="right"/>
          <w:rPr>
            <w:lang w:val="fr-FR"/>
          </w:rPr>
        </w:pPr>
        <w:r>
          <w:rPr>
            <w:lang w:val="fr-FR"/>
          </w:rPr>
          <w:t>CBD/CHM/IAC/2019/1/3</w:t>
        </w:r>
      </w:p>
    </w:sdtContent>
  </w:sdt>
  <w:p w:rsidR="006725F3" w:rsidRPr="00134846" w:rsidRDefault="006725F3" w:rsidP="009505C9">
    <w:pPr>
      <w:pStyle w:val="Header"/>
      <w:jc w:val="right"/>
      <w:rPr>
        <w:lang w:val="fr-FR"/>
      </w:rPr>
    </w:pPr>
    <w:r w:rsidRPr="00134846">
      <w:rPr>
        <w:lang w:val="fr-FR"/>
      </w:rPr>
      <w:t xml:space="preserve">Page </w:t>
    </w:r>
    <w:r>
      <w:fldChar w:fldCharType="begin"/>
    </w:r>
    <w:r w:rsidRPr="00134846">
      <w:rPr>
        <w:lang w:val="fr-FR"/>
      </w:rPr>
      <w:instrText xml:space="preserve"> PAGE   \* MERGEFORMAT </w:instrText>
    </w:r>
    <w:r>
      <w:fldChar w:fldCharType="separate"/>
    </w:r>
    <w:r w:rsidR="002747B4">
      <w:rPr>
        <w:noProof/>
        <w:lang w:val="fr-FR"/>
      </w:rPr>
      <w:t>1</w:t>
    </w:r>
    <w:r>
      <w:rPr>
        <w:noProof/>
      </w:rPr>
      <w:fldChar w:fldCharType="end"/>
    </w:r>
  </w:p>
  <w:p w:rsidR="006725F3" w:rsidRPr="00134846" w:rsidRDefault="006725F3">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FA6D9C"/>
    <w:multiLevelType w:val="hybridMultilevel"/>
    <w:tmpl w:val="A0B48B3A"/>
    <w:lvl w:ilvl="0" w:tplc="C72A3F32">
      <w:start w:val="1"/>
      <w:numFmt w:val="lowerLetter"/>
      <w:lvlText w:val="(%1)"/>
      <w:lvlJc w:val="left"/>
      <w:pPr>
        <w:ind w:left="1440" w:hanging="360"/>
      </w:pPr>
      <w:rPr>
        <w:rFonts w:hint="default"/>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2DA460D"/>
    <w:multiLevelType w:val="hybridMultilevel"/>
    <w:tmpl w:val="3F9241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AF524D9"/>
    <w:multiLevelType w:val="hybridMultilevel"/>
    <w:tmpl w:val="81A62190"/>
    <w:lvl w:ilvl="0" w:tplc="C72A3F32">
      <w:start w:val="1"/>
      <w:numFmt w:val="lowerLetter"/>
      <w:lvlText w:val="(%1)"/>
      <w:lvlJc w:val="left"/>
      <w:pPr>
        <w:ind w:left="1440" w:hanging="360"/>
      </w:pPr>
      <w:rPr>
        <w:rFonts w:hint="default"/>
      </w:rPr>
    </w:lvl>
    <w:lvl w:ilvl="1" w:tplc="C72A3F32">
      <w:start w:val="1"/>
      <w:numFmt w:val="lowerLetter"/>
      <w:lvlText w:val="(%2)"/>
      <w:lvlJc w:val="left"/>
      <w:pPr>
        <w:ind w:left="2160" w:hanging="360"/>
      </w:pPr>
      <w:rPr>
        <w:rFonts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15:restartNumberingAfterBreak="0">
    <w:nsid w:val="2F3F433A"/>
    <w:multiLevelType w:val="multilevel"/>
    <w:tmpl w:val="A304425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FF80517"/>
    <w:multiLevelType w:val="hybridMultilevel"/>
    <w:tmpl w:val="065C40A0"/>
    <w:lvl w:ilvl="0" w:tplc="10090015">
      <w:start w:val="1"/>
      <w:numFmt w:val="upperLetter"/>
      <w:lvlText w:val="%1."/>
      <w:lvlJc w:val="left"/>
      <w:pPr>
        <w:ind w:left="720" w:hanging="360"/>
      </w:pPr>
      <w:rPr>
        <w:rFonts w:hint="default"/>
      </w:rPr>
    </w:lvl>
    <w:lvl w:ilvl="1" w:tplc="A490A1B0">
      <w:start w:val="1"/>
      <w:numFmt w:val="lowerLetter"/>
      <w:lvlText w:val="%2."/>
      <w:lvlJc w:val="left"/>
      <w:pPr>
        <w:ind w:left="1800" w:hanging="720"/>
      </w:pPr>
      <w:rPr>
        <w:rFonts w:cs="Times New Roman"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4362999"/>
    <w:multiLevelType w:val="multilevel"/>
    <w:tmpl w:val="A304425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CA410CD"/>
    <w:multiLevelType w:val="hybridMultilevel"/>
    <w:tmpl w:val="0A887CA4"/>
    <w:lvl w:ilvl="0" w:tplc="A64C2B50">
      <w:start w:val="1"/>
      <w:numFmt w:val="decimal"/>
      <w:pStyle w:val="CBD-Para"/>
      <w:lvlText w:val="%1."/>
      <w:lvlJc w:val="left"/>
      <w:pPr>
        <w:tabs>
          <w:tab w:val="num" w:pos="720"/>
        </w:tabs>
        <w:ind w:left="0" w:firstLine="0"/>
      </w:pPr>
      <w:rPr>
        <w:rFonts w:hint="default"/>
      </w:rPr>
    </w:lvl>
    <w:lvl w:ilvl="1" w:tplc="DF42636C">
      <w:start w:val="1"/>
      <w:numFmt w:val="lowerLetter"/>
      <w:pStyle w:val="CBD-Para-a"/>
      <w:lvlText w:val="(%2)"/>
      <w:lvlJc w:val="left"/>
      <w:pPr>
        <w:tabs>
          <w:tab w:val="num" w:pos="1080"/>
        </w:tabs>
        <w:ind w:left="1080" w:hanging="360"/>
      </w:pPr>
      <w:rPr>
        <w:rFonts w:hint="default"/>
      </w:rPr>
    </w:lvl>
    <w:lvl w:ilvl="2" w:tplc="07B06256">
      <w:start w:val="1"/>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413674D7"/>
    <w:multiLevelType w:val="hybridMultilevel"/>
    <w:tmpl w:val="39721B76"/>
    <w:lvl w:ilvl="0" w:tplc="08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AF27504"/>
    <w:multiLevelType w:val="multilevel"/>
    <w:tmpl w:val="A3044258"/>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E0442B4"/>
    <w:multiLevelType w:val="multilevel"/>
    <w:tmpl w:val="8A9E44B2"/>
    <w:lvl w:ilvl="0">
      <w:start w:val="1"/>
      <w:numFmt w:val="decimal"/>
      <w:lvlText w:val="%1."/>
      <w:lvlJc w:val="left"/>
      <w:pPr>
        <w:tabs>
          <w:tab w:val="num" w:pos="360"/>
        </w:tabs>
        <w:ind w:left="0" w:firstLine="0"/>
      </w:pPr>
      <w:rPr>
        <w:rFonts w:ascii="Times New Roman" w:hAnsi="Times New Roman" w:hint="default"/>
        <w:b w:val="0"/>
        <w:i w:val="0"/>
        <w:sz w:val="22"/>
        <w:vertAlign w:val="baseline"/>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553A50A7"/>
    <w:multiLevelType w:val="hybridMultilevel"/>
    <w:tmpl w:val="ACB6738A"/>
    <w:lvl w:ilvl="0" w:tplc="00AAB7E8">
      <w:start w:val="1"/>
      <w:numFmt w:val="upperRoman"/>
      <w:pStyle w:val="H1report"/>
      <w:lvlText w:val="%1."/>
      <w:lvlJc w:val="left"/>
      <w:pPr>
        <w:ind w:left="1080" w:hanging="72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7"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29608B"/>
    <w:multiLevelType w:val="multilevel"/>
    <w:tmpl w:val="A3044258"/>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251686"/>
    <w:multiLevelType w:val="hybridMultilevel"/>
    <w:tmpl w:val="805E0FBE"/>
    <w:lvl w:ilvl="0" w:tplc="C72A3F32">
      <w:start w:val="1"/>
      <w:numFmt w:val="lowerLetter"/>
      <w:lvlText w:val="(%1)"/>
      <w:lvlJc w:val="left"/>
      <w:pPr>
        <w:ind w:left="1440" w:hanging="360"/>
      </w:pPr>
      <w:rPr>
        <w:rFonts w:hint="default"/>
      </w:rPr>
    </w:lvl>
    <w:lvl w:ilvl="1" w:tplc="C72A3F32">
      <w:start w:val="1"/>
      <w:numFmt w:val="lowerLetter"/>
      <w:lvlText w:val="(%2)"/>
      <w:lvlJc w:val="left"/>
      <w:pPr>
        <w:ind w:left="2160" w:hanging="360"/>
      </w:pPr>
      <w:rPr>
        <w:rFonts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1" w15:restartNumberingAfterBreak="0">
    <w:nsid w:val="612A4076"/>
    <w:multiLevelType w:val="hybridMultilevel"/>
    <w:tmpl w:val="67F6ADD2"/>
    <w:lvl w:ilvl="0" w:tplc="C72A3F32">
      <w:start w:val="1"/>
      <w:numFmt w:val="lowerLetter"/>
      <w:lvlText w:val="(%1)"/>
      <w:lvlJc w:val="left"/>
      <w:pPr>
        <w:ind w:left="1440" w:hanging="360"/>
      </w:pPr>
      <w:rPr>
        <w:rFonts w:hint="default"/>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2"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0125FB"/>
    <w:multiLevelType w:val="multilevel"/>
    <w:tmpl w:val="A304425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5"/>
  </w:num>
  <w:num w:numId="3">
    <w:abstractNumId w:val="12"/>
  </w:num>
  <w:num w:numId="4">
    <w:abstractNumId w:val="15"/>
  </w:num>
  <w:num w:numId="5">
    <w:abstractNumId w:val="13"/>
  </w:num>
  <w:num w:numId="6">
    <w:abstractNumId w:val="0"/>
  </w:num>
  <w:num w:numId="7">
    <w:abstractNumId w:val="3"/>
  </w:num>
  <w:num w:numId="8">
    <w:abstractNumId w:val="12"/>
    <w:lvlOverride w:ilvl="0">
      <w:startOverride w:val="1"/>
    </w:lvlOverride>
  </w:num>
  <w:num w:numId="9">
    <w:abstractNumId w:val="22"/>
  </w:num>
  <w:num w:numId="10">
    <w:abstractNumId w:val="12"/>
    <w:lvlOverride w:ilvl="0">
      <w:startOverride w:val="1"/>
    </w:lvlOverride>
  </w:num>
  <w:num w:numId="11">
    <w:abstractNumId w:val="12"/>
    <w:lvlOverride w:ilvl="0">
      <w:startOverride w:val="1"/>
    </w:lvlOverride>
  </w:num>
  <w:num w:numId="12">
    <w:abstractNumId w:val="12"/>
    <w:lvlOverride w:ilvl="0">
      <w:startOverride w:val="1"/>
    </w:lvlOverride>
  </w:num>
  <w:num w:numId="13">
    <w:abstractNumId w:val="12"/>
    <w:lvlOverride w:ilvl="0">
      <w:startOverride w:val="1"/>
    </w:lvlOverride>
  </w:num>
  <w:num w:numId="14">
    <w:abstractNumId w:val="19"/>
  </w:num>
  <w:num w:numId="15">
    <w:abstractNumId w:val="17"/>
  </w:num>
  <w:num w:numId="16">
    <w:abstractNumId w:val="1"/>
  </w:num>
  <w:num w:numId="17">
    <w:abstractNumId w:val="23"/>
  </w:num>
  <w:num w:numId="18">
    <w:abstractNumId w:val="25"/>
  </w:num>
  <w:num w:numId="19">
    <w:abstractNumId w:val="4"/>
  </w:num>
  <w:num w:numId="20">
    <w:abstractNumId w:val="1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5"/>
    <w:lvlOverride w:ilvl="0">
      <w:startOverride w:val="3"/>
    </w:lvlOverride>
  </w:num>
  <w:num w:numId="24">
    <w:abstractNumId w:val="15"/>
    <w:lvlOverride w:ilvl="0">
      <w:startOverride w:val="4"/>
    </w:lvlOverride>
  </w:num>
  <w:num w:numId="25">
    <w:abstractNumId w:val="10"/>
  </w:num>
  <w:num w:numId="26">
    <w:abstractNumId w:val="10"/>
  </w:num>
  <w:num w:numId="27">
    <w:abstractNumId w:val="7"/>
  </w:num>
  <w:num w:numId="28">
    <w:abstractNumId w:val="24"/>
  </w:num>
  <w:num w:numId="29">
    <w:abstractNumId w:val="18"/>
  </w:num>
  <w:num w:numId="30">
    <w:abstractNumId w:val="14"/>
  </w:num>
  <w:num w:numId="31">
    <w:abstractNumId w:val="9"/>
  </w:num>
  <w:num w:numId="32">
    <w:abstractNumId w:val="8"/>
  </w:num>
  <w:num w:numId="33">
    <w:abstractNumId w:val="21"/>
  </w:num>
  <w:num w:numId="34">
    <w:abstractNumId w:val="5"/>
  </w:num>
  <w:num w:numId="35">
    <w:abstractNumId w:val="2"/>
  </w:num>
  <w:num w:numId="36">
    <w:abstractNumId w:val="20"/>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proofState w:spelling="clean" w:grammar="clean"/>
  <w:revisionView w:markup="0"/>
  <w:defaultTabStop w:val="720"/>
  <w:evenAndOddHeaders/>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D"/>
    <w:rsid w:val="00006668"/>
    <w:rsid w:val="00011058"/>
    <w:rsid w:val="0001427D"/>
    <w:rsid w:val="0001798F"/>
    <w:rsid w:val="0002680A"/>
    <w:rsid w:val="0002734F"/>
    <w:rsid w:val="00043B42"/>
    <w:rsid w:val="000524C7"/>
    <w:rsid w:val="00055ACF"/>
    <w:rsid w:val="000571E2"/>
    <w:rsid w:val="00060335"/>
    <w:rsid w:val="00071D4A"/>
    <w:rsid w:val="000731B6"/>
    <w:rsid w:val="00074EC1"/>
    <w:rsid w:val="000755AA"/>
    <w:rsid w:val="00076026"/>
    <w:rsid w:val="000855AF"/>
    <w:rsid w:val="00086DD4"/>
    <w:rsid w:val="0009521D"/>
    <w:rsid w:val="00097056"/>
    <w:rsid w:val="000A1806"/>
    <w:rsid w:val="000A39CB"/>
    <w:rsid w:val="000B19F9"/>
    <w:rsid w:val="000B3E21"/>
    <w:rsid w:val="000C113F"/>
    <w:rsid w:val="000D2373"/>
    <w:rsid w:val="000D3097"/>
    <w:rsid w:val="000E53EE"/>
    <w:rsid w:val="000E673A"/>
    <w:rsid w:val="000F15E8"/>
    <w:rsid w:val="000F5095"/>
    <w:rsid w:val="000F74F5"/>
    <w:rsid w:val="000F79AB"/>
    <w:rsid w:val="001026EB"/>
    <w:rsid w:val="00105302"/>
    <w:rsid w:val="00105372"/>
    <w:rsid w:val="0012096F"/>
    <w:rsid w:val="0012626F"/>
    <w:rsid w:val="00131E7A"/>
    <w:rsid w:val="0013458B"/>
    <w:rsid w:val="00134846"/>
    <w:rsid w:val="00160326"/>
    <w:rsid w:val="00164437"/>
    <w:rsid w:val="00165278"/>
    <w:rsid w:val="00165415"/>
    <w:rsid w:val="00172AF6"/>
    <w:rsid w:val="00174678"/>
    <w:rsid w:val="001760A0"/>
    <w:rsid w:val="00176CEE"/>
    <w:rsid w:val="00182CE6"/>
    <w:rsid w:val="00183E31"/>
    <w:rsid w:val="00186DD8"/>
    <w:rsid w:val="001872CE"/>
    <w:rsid w:val="00187BD9"/>
    <w:rsid w:val="0019194E"/>
    <w:rsid w:val="0019365B"/>
    <w:rsid w:val="00196700"/>
    <w:rsid w:val="001A3E4F"/>
    <w:rsid w:val="001B25B0"/>
    <w:rsid w:val="001B5B45"/>
    <w:rsid w:val="001B5F0A"/>
    <w:rsid w:val="001C60CA"/>
    <w:rsid w:val="001E08C4"/>
    <w:rsid w:val="001E37D7"/>
    <w:rsid w:val="001E3C88"/>
    <w:rsid w:val="001E3C91"/>
    <w:rsid w:val="001E554F"/>
    <w:rsid w:val="001F03D6"/>
    <w:rsid w:val="001F1338"/>
    <w:rsid w:val="001F540E"/>
    <w:rsid w:val="00207C24"/>
    <w:rsid w:val="00213189"/>
    <w:rsid w:val="0021498F"/>
    <w:rsid w:val="00224E04"/>
    <w:rsid w:val="00232920"/>
    <w:rsid w:val="00244933"/>
    <w:rsid w:val="002502FE"/>
    <w:rsid w:val="00251B68"/>
    <w:rsid w:val="00252F4C"/>
    <w:rsid w:val="002540F3"/>
    <w:rsid w:val="00254DEE"/>
    <w:rsid w:val="00264C1E"/>
    <w:rsid w:val="00264FB8"/>
    <w:rsid w:val="00273ED2"/>
    <w:rsid w:val="002747B4"/>
    <w:rsid w:val="002809F6"/>
    <w:rsid w:val="00281C62"/>
    <w:rsid w:val="00283FFD"/>
    <w:rsid w:val="002850B0"/>
    <w:rsid w:val="00287CB8"/>
    <w:rsid w:val="00296E2E"/>
    <w:rsid w:val="002A5B5E"/>
    <w:rsid w:val="002A6864"/>
    <w:rsid w:val="002C13E8"/>
    <w:rsid w:val="002C44F5"/>
    <w:rsid w:val="002D0ACA"/>
    <w:rsid w:val="002D62DB"/>
    <w:rsid w:val="002F07D3"/>
    <w:rsid w:val="002F2B6E"/>
    <w:rsid w:val="002F57BB"/>
    <w:rsid w:val="003004CA"/>
    <w:rsid w:val="00302CF0"/>
    <w:rsid w:val="00305501"/>
    <w:rsid w:val="00306472"/>
    <w:rsid w:val="00310BED"/>
    <w:rsid w:val="00332BB8"/>
    <w:rsid w:val="003401A2"/>
    <w:rsid w:val="00342AA5"/>
    <w:rsid w:val="0034690C"/>
    <w:rsid w:val="00353D4C"/>
    <w:rsid w:val="003701D4"/>
    <w:rsid w:val="00372F74"/>
    <w:rsid w:val="00373A85"/>
    <w:rsid w:val="00373D89"/>
    <w:rsid w:val="0037584D"/>
    <w:rsid w:val="00381800"/>
    <w:rsid w:val="003872EC"/>
    <w:rsid w:val="00390110"/>
    <w:rsid w:val="003A32FD"/>
    <w:rsid w:val="003B1C29"/>
    <w:rsid w:val="003C1B18"/>
    <w:rsid w:val="003C3695"/>
    <w:rsid w:val="003E7D9A"/>
    <w:rsid w:val="003F7224"/>
    <w:rsid w:val="00400096"/>
    <w:rsid w:val="004023FF"/>
    <w:rsid w:val="00404D26"/>
    <w:rsid w:val="00414A34"/>
    <w:rsid w:val="00415EBD"/>
    <w:rsid w:val="00425A56"/>
    <w:rsid w:val="00427D21"/>
    <w:rsid w:val="00430385"/>
    <w:rsid w:val="0043331E"/>
    <w:rsid w:val="00440622"/>
    <w:rsid w:val="00441346"/>
    <w:rsid w:val="00446201"/>
    <w:rsid w:val="00447E2C"/>
    <w:rsid w:val="00454B20"/>
    <w:rsid w:val="00456980"/>
    <w:rsid w:val="004644C2"/>
    <w:rsid w:val="00466981"/>
    <w:rsid w:val="00467F9C"/>
    <w:rsid w:val="00471EDF"/>
    <w:rsid w:val="00473EDA"/>
    <w:rsid w:val="0048229D"/>
    <w:rsid w:val="00485823"/>
    <w:rsid w:val="00485D90"/>
    <w:rsid w:val="00486D08"/>
    <w:rsid w:val="004932CF"/>
    <w:rsid w:val="00493822"/>
    <w:rsid w:val="004B19AF"/>
    <w:rsid w:val="004B541A"/>
    <w:rsid w:val="004D0179"/>
    <w:rsid w:val="004D3913"/>
    <w:rsid w:val="004D52A8"/>
    <w:rsid w:val="004D5B98"/>
    <w:rsid w:val="004D7D30"/>
    <w:rsid w:val="004F1B38"/>
    <w:rsid w:val="00504DE6"/>
    <w:rsid w:val="00512DF0"/>
    <w:rsid w:val="00512FFD"/>
    <w:rsid w:val="00514F4B"/>
    <w:rsid w:val="005222BE"/>
    <w:rsid w:val="0053097A"/>
    <w:rsid w:val="0053285C"/>
    <w:rsid w:val="00534681"/>
    <w:rsid w:val="005455A5"/>
    <w:rsid w:val="005455D1"/>
    <w:rsid w:val="005616C5"/>
    <w:rsid w:val="00561C0F"/>
    <w:rsid w:val="00562A66"/>
    <w:rsid w:val="0056563D"/>
    <w:rsid w:val="0057152F"/>
    <w:rsid w:val="00576E6D"/>
    <w:rsid w:val="00583D12"/>
    <w:rsid w:val="005A0673"/>
    <w:rsid w:val="005A6573"/>
    <w:rsid w:val="005B7726"/>
    <w:rsid w:val="005C2C6D"/>
    <w:rsid w:val="005D3D8C"/>
    <w:rsid w:val="005D6F3C"/>
    <w:rsid w:val="005D76E8"/>
    <w:rsid w:val="005E3222"/>
    <w:rsid w:val="005E3305"/>
    <w:rsid w:val="005F1411"/>
    <w:rsid w:val="005F2CF0"/>
    <w:rsid w:val="006012D6"/>
    <w:rsid w:val="00602174"/>
    <w:rsid w:val="0060270B"/>
    <w:rsid w:val="006028C9"/>
    <w:rsid w:val="00610B90"/>
    <w:rsid w:val="006122BA"/>
    <w:rsid w:val="006152BE"/>
    <w:rsid w:val="006202F8"/>
    <w:rsid w:val="0062485E"/>
    <w:rsid w:val="00626A91"/>
    <w:rsid w:val="00626C35"/>
    <w:rsid w:val="00626D25"/>
    <w:rsid w:val="006417CB"/>
    <w:rsid w:val="006552EF"/>
    <w:rsid w:val="006557CC"/>
    <w:rsid w:val="0065701E"/>
    <w:rsid w:val="0066418A"/>
    <w:rsid w:val="0066541F"/>
    <w:rsid w:val="006725F3"/>
    <w:rsid w:val="00680B8C"/>
    <w:rsid w:val="006963D0"/>
    <w:rsid w:val="006A2E7C"/>
    <w:rsid w:val="006A312E"/>
    <w:rsid w:val="006A45AC"/>
    <w:rsid w:val="006B2290"/>
    <w:rsid w:val="006B41AD"/>
    <w:rsid w:val="006B52DC"/>
    <w:rsid w:val="006D4B9F"/>
    <w:rsid w:val="006E61E4"/>
    <w:rsid w:val="006F0930"/>
    <w:rsid w:val="006F0ED4"/>
    <w:rsid w:val="006F0F92"/>
    <w:rsid w:val="00701C74"/>
    <w:rsid w:val="007057F7"/>
    <w:rsid w:val="00707E6D"/>
    <w:rsid w:val="00717D88"/>
    <w:rsid w:val="0073270C"/>
    <w:rsid w:val="00733F34"/>
    <w:rsid w:val="0074164E"/>
    <w:rsid w:val="007636E5"/>
    <w:rsid w:val="007727FE"/>
    <w:rsid w:val="00790A90"/>
    <w:rsid w:val="00793781"/>
    <w:rsid w:val="007942D3"/>
    <w:rsid w:val="007A0189"/>
    <w:rsid w:val="007A1F3B"/>
    <w:rsid w:val="007B0803"/>
    <w:rsid w:val="007B40F7"/>
    <w:rsid w:val="007B55AC"/>
    <w:rsid w:val="007B6C09"/>
    <w:rsid w:val="007E09DA"/>
    <w:rsid w:val="007F5C79"/>
    <w:rsid w:val="00802947"/>
    <w:rsid w:val="00814C15"/>
    <w:rsid w:val="008178B6"/>
    <w:rsid w:val="00826880"/>
    <w:rsid w:val="008312E7"/>
    <w:rsid w:val="0083372D"/>
    <w:rsid w:val="0083652A"/>
    <w:rsid w:val="0083653F"/>
    <w:rsid w:val="00837253"/>
    <w:rsid w:val="00846980"/>
    <w:rsid w:val="008503A4"/>
    <w:rsid w:val="00853B85"/>
    <w:rsid w:val="008603B2"/>
    <w:rsid w:val="0086303A"/>
    <w:rsid w:val="008656AF"/>
    <w:rsid w:val="00865B74"/>
    <w:rsid w:val="00873C72"/>
    <w:rsid w:val="008747B3"/>
    <w:rsid w:val="00884387"/>
    <w:rsid w:val="008854D1"/>
    <w:rsid w:val="0089205F"/>
    <w:rsid w:val="008939F9"/>
    <w:rsid w:val="0089658B"/>
    <w:rsid w:val="008A2E4A"/>
    <w:rsid w:val="008C140B"/>
    <w:rsid w:val="008D489B"/>
    <w:rsid w:val="008D7658"/>
    <w:rsid w:val="008D7754"/>
    <w:rsid w:val="008E08D6"/>
    <w:rsid w:val="008E3E9E"/>
    <w:rsid w:val="008E65CF"/>
    <w:rsid w:val="008F1A27"/>
    <w:rsid w:val="008F23ED"/>
    <w:rsid w:val="008F57F8"/>
    <w:rsid w:val="008F7429"/>
    <w:rsid w:val="008F7C8C"/>
    <w:rsid w:val="00904CD9"/>
    <w:rsid w:val="00913E51"/>
    <w:rsid w:val="00921689"/>
    <w:rsid w:val="0092240E"/>
    <w:rsid w:val="00927CB7"/>
    <w:rsid w:val="00930BA1"/>
    <w:rsid w:val="0093169E"/>
    <w:rsid w:val="00942DC3"/>
    <w:rsid w:val="00945646"/>
    <w:rsid w:val="009505C9"/>
    <w:rsid w:val="00953F01"/>
    <w:rsid w:val="009603CC"/>
    <w:rsid w:val="00960B0C"/>
    <w:rsid w:val="0097279C"/>
    <w:rsid w:val="0097303D"/>
    <w:rsid w:val="009737A3"/>
    <w:rsid w:val="00987A4E"/>
    <w:rsid w:val="0099222E"/>
    <w:rsid w:val="009A2826"/>
    <w:rsid w:val="009A5ABE"/>
    <w:rsid w:val="009B04BD"/>
    <w:rsid w:val="009B38F5"/>
    <w:rsid w:val="009B41EB"/>
    <w:rsid w:val="009C3A66"/>
    <w:rsid w:val="009C5D8D"/>
    <w:rsid w:val="009C7BFC"/>
    <w:rsid w:val="009D1FE7"/>
    <w:rsid w:val="00A1554F"/>
    <w:rsid w:val="00A23AC9"/>
    <w:rsid w:val="00A27148"/>
    <w:rsid w:val="00A31C6E"/>
    <w:rsid w:val="00A451CB"/>
    <w:rsid w:val="00A50ECC"/>
    <w:rsid w:val="00A66AB3"/>
    <w:rsid w:val="00A67A4A"/>
    <w:rsid w:val="00A714E5"/>
    <w:rsid w:val="00A87A8F"/>
    <w:rsid w:val="00A9024C"/>
    <w:rsid w:val="00A91D7B"/>
    <w:rsid w:val="00A93296"/>
    <w:rsid w:val="00AA6009"/>
    <w:rsid w:val="00AA6990"/>
    <w:rsid w:val="00AB0E5E"/>
    <w:rsid w:val="00AB15F9"/>
    <w:rsid w:val="00AC4C38"/>
    <w:rsid w:val="00AD078D"/>
    <w:rsid w:val="00AD119A"/>
    <w:rsid w:val="00AD3E4F"/>
    <w:rsid w:val="00AD6138"/>
    <w:rsid w:val="00AE1BE7"/>
    <w:rsid w:val="00AE4D86"/>
    <w:rsid w:val="00AE5A6E"/>
    <w:rsid w:val="00AE65BA"/>
    <w:rsid w:val="00AE6C87"/>
    <w:rsid w:val="00AF42DE"/>
    <w:rsid w:val="00AF7542"/>
    <w:rsid w:val="00B008B3"/>
    <w:rsid w:val="00B008E0"/>
    <w:rsid w:val="00B021FD"/>
    <w:rsid w:val="00B116DD"/>
    <w:rsid w:val="00B17D48"/>
    <w:rsid w:val="00B21738"/>
    <w:rsid w:val="00B21B5A"/>
    <w:rsid w:val="00B26E0B"/>
    <w:rsid w:val="00B3369F"/>
    <w:rsid w:val="00B35103"/>
    <w:rsid w:val="00B363F0"/>
    <w:rsid w:val="00B41CA7"/>
    <w:rsid w:val="00B4294F"/>
    <w:rsid w:val="00B50CFC"/>
    <w:rsid w:val="00B520CD"/>
    <w:rsid w:val="00B5678E"/>
    <w:rsid w:val="00B631E6"/>
    <w:rsid w:val="00B67D8C"/>
    <w:rsid w:val="00B7505A"/>
    <w:rsid w:val="00B81886"/>
    <w:rsid w:val="00B81A6D"/>
    <w:rsid w:val="00B825CB"/>
    <w:rsid w:val="00B91AB6"/>
    <w:rsid w:val="00B9232C"/>
    <w:rsid w:val="00B95EE8"/>
    <w:rsid w:val="00BB0F85"/>
    <w:rsid w:val="00BB43FC"/>
    <w:rsid w:val="00BB4606"/>
    <w:rsid w:val="00BB6AD3"/>
    <w:rsid w:val="00BC1DA9"/>
    <w:rsid w:val="00BC64CA"/>
    <w:rsid w:val="00BD63E2"/>
    <w:rsid w:val="00BE0F08"/>
    <w:rsid w:val="00BE422B"/>
    <w:rsid w:val="00BF11A8"/>
    <w:rsid w:val="00BF33EE"/>
    <w:rsid w:val="00BF395C"/>
    <w:rsid w:val="00BF6681"/>
    <w:rsid w:val="00C0176D"/>
    <w:rsid w:val="00C10B30"/>
    <w:rsid w:val="00C11172"/>
    <w:rsid w:val="00C16283"/>
    <w:rsid w:val="00C177B8"/>
    <w:rsid w:val="00C23D2F"/>
    <w:rsid w:val="00C32A88"/>
    <w:rsid w:val="00C365FC"/>
    <w:rsid w:val="00C442A5"/>
    <w:rsid w:val="00C443BD"/>
    <w:rsid w:val="00C46E4A"/>
    <w:rsid w:val="00C542DC"/>
    <w:rsid w:val="00C55E93"/>
    <w:rsid w:val="00C636BF"/>
    <w:rsid w:val="00C63FD4"/>
    <w:rsid w:val="00C75FF4"/>
    <w:rsid w:val="00C76E61"/>
    <w:rsid w:val="00C846DB"/>
    <w:rsid w:val="00C87BB4"/>
    <w:rsid w:val="00C9161D"/>
    <w:rsid w:val="00C91E1D"/>
    <w:rsid w:val="00C92659"/>
    <w:rsid w:val="00C95CC2"/>
    <w:rsid w:val="00CA1C60"/>
    <w:rsid w:val="00CA4389"/>
    <w:rsid w:val="00CC208B"/>
    <w:rsid w:val="00CC2FB8"/>
    <w:rsid w:val="00CD1633"/>
    <w:rsid w:val="00CD6806"/>
    <w:rsid w:val="00CE1230"/>
    <w:rsid w:val="00CF1848"/>
    <w:rsid w:val="00CF4487"/>
    <w:rsid w:val="00D07EAB"/>
    <w:rsid w:val="00D12044"/>
    <w:rsid w:val="00D12903"/>
    <w:rsid w:val="00D12E0B"/>
    <w:rsid w:val="00D16785"/>
    <w:rsid w:val="00D168E5"/>
    <w:rsid w:val="00D16D01"/>
    <w:rsid w:val="00D16F50"/>
    <w:rsid w:val="00D2240F"/>
    <w:rsid w:val="00D23B38"/>
    <w:rsid w:val="00D3754F"/>
    <w:rsid w:val="00D463E6"/>
    <w:rsid w:val="00D4724E"/>
    <w:rsid w:val="00D47D16"/>
    <w:rsid w:val="00D5096E"/>
    <w:rsid w:val="00D65E5C"/>
    <w:rsid w:val="00D76A18"/>
    <w:rsid w:val="00D80741"/>
    <w:rsid w:val="00DA4F94"/>
    <w:rsid w:val="00DA6C85"/>
    <w:rsid w:val="00DB6D9C"/>
    <w:rsid w:val="00DD118C"/>
    <w:rsid w:val="00DD4858"/>
    <w:rsid w:val="00DD65C2"/>
    <w:rsid w:val="00DE377E"/>
    <w:rsid w:val="00DF6287"/>
    <w:rsid w:val="00E13212"/>
    <w:rsid w:val="00E17323"/>
    <w:rsid w:val="00E17976"/>
    <w:rsid w:val="00E23A54"/>
    <w:rsid w:val="00E25CF2"/>
    <w:rsid w:val="00E26A35"/>
    <w:rsid w:val="00E3156A"/>
    <w:rsid w:val="00E55850"/>
    <w:rsid w:val="00E56268"/>
    <w:rsid w:val="00E626B5"/>
    <w:rsid w:val="00E649F0"/>
    <w:rsid w:val="00E66235"/>
    <w:rsid w:val="00E70AEB"/>
    <w:rsid w:val="00E73692"/>
    <w:rsid w:val="00E7469C"/>
    <w:rsid w:val="00E747E3"/>
    <w:rsid w:val="00E819F1"/>
    <w:rsid w:val="00E83C24"/>
    <w:rsid w:val="00E913EB"/>
    <w:rsid w:val="00E9318D"/>
    <w:rsid w:val="00E9694E"/>
    <w:rsid w:val="00EA17F2"/>
    <w:rsid w:val="00EB075E"/>
    <w:rsid w:val="00EB7FF0"/>
    <w:rsid w:val="00EC550A"/>
    <w:rsid w:val="00ED6ACA"/>
    <w:rsid w:val="00EE2C08"/>
    <w:rsid w:val="00EF5861"/>
    <w:rsid w:val="00F002DF"/>
    <w:rsid w:val="00F05DA5"/>
    <w:rsid w:val="00F07DD4"/>
    <w:rsid w:val="00F20F96"/>
    <w:rsid w:val="00F318A8"/>
    <w:rsid w:val="00F36C50"/>
    <w:rsid w:val="00F41F8C"/>
    <w:rsid w:val="00F4480A"/>
    <w:rsid w:val="00F44C69"/>
    <w:rsid w:val="00F45241"/>
    <w:rsid w:val="00F50AE1"/>
    <w:rsid w:val="00F50FDF"/>
    <w:rsid w:val="00F53193"/>
    <w:rsid w:val="00F53BB7"/>
    <w:rsid w:val="00F614D5"/>
    <w:rsid w:val="00F6561F"/>
    <w:rsid w:val="00F6586C"/>
    <w:rsid w:val="00F829E7"/>
    <w:rsid w:val="00F83C1E"/>
    <w:rsid w:val="00F84494"/>
    <w:rsid w:val="00F85142"/>
    <w:rsid w:val="00F94774"/>
    <w:rsid w:val="00F94FC7"/>
    <w:rsid w:val="00FA1C57"/>
    <w:rsid w:val="00FC14DF"/>
    <w:rsid w:val="00FC53DB"/>
    <w:rsid w:val="00FC5853"/>
    <w:rsid w:val="00FD33C7"/>
    <w:rsid w:val="00FE0A08"/>
    <w:rsid w:val="00FE502D"/>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D878455"/>
  <w15:docId w15:val="{8A48F284-0C8C-4DF7-8A17-7F32B57A7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uiPriority w:val="99"/>
    <w:semiHidden/>
    <w:rsid w:val="007E09DA"/>
    <w:rPr>
      <w:sz w:val="16"/>
    </w:rPr>
  </w:style>
  <w:style w:type="paragraph" w:styleId="CommentText">
    <w:name w:val="annotation text"/>
    <w:basedOn w:val="Normal"/>
    <w:link w:val="CommentTextChar"/>
    <w:uiPriority w:val="99"/>
    <w:semiHidden/>
    <w:rsid w:val="007E09DA"/>
    <w:pPr>
      <w:spacing w:after="120" w:line="240" w:lineRule="exact"/>
    </w:pPr>
  </w:style>
  <w:style w:type="character" w:customStyle="1" w:styleId="CommentTextChar">
    <w:name w:val="Comment Text Char"/>
    <w:basedOn w:val="DefaultParagraphFont"/>
    <w:link w:val="CommentText"/>
    <w:uiPriority w:val="99"/>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spacing w:before="120" w:after="120"/>
    </w:pPr>
    <w:rPr>
      <w:snapToGrid w:val="0"/>
      <w:szCs w:val="18"/>
    </w:rPr>
  </w:style>
  <w:style w:type="paragraph" w:customStyle="1" w:styleId="Para2">
    <w:name w:val="Para2"/>
    <w:basedOn w:val="Para1"/>
    <w:rsid w:val="007E09DA"/>
    <w:p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customStyle="1" w:styleId="CBD-Sub-Item">
    <w:name w:val="CBD-Sub-Item"/>
    <w:basedOn w:val="Normal"/>
    <w:rsid w:val="00BE422B"/>
    <w:pPr>
      <w:keepNext/>
      <w:spacing w:before="240" w:after="120"/>
      <w:jc w:val="center"/>
    </w:pPr>
    <w:rPr>
      <w:b/>
      <w:szCs w:val="22"/>
      <w:lang w:val="en-US"/>
    </w:rPr>
  </w:style>
  <w:style w:type="paragraph" w:customStyle="1" w:styleId="H1report">
    <w:name w:val="H1 report"/>
    <w:basedOn w:val="Heading1"/>
    <w:qFormat/>
    <w:rsid w:val="00B50CFC"/>
    <w:pPr>
      <w:numPr>
        <w:numId w:val="21"/>
      </w:numPr>
      <w:suppressLineNumbers/>
      <w:tabs>
        <w:tab w:val="clear" w:pos="720"/>
      </w:tabs>
      <w:suppressAutoHyphens/>
    </w:pPr>
    <w:rPr>
      <w:bCs/>
      <w:caps w:val="0"/>
      <w:snapToGrid w:val="0"/>
      <w:kern w:val="22"/>
      <w:szCs w:val="22"/>
    </w:rPr>
  </w:style>
  <w:style w:type="table" w:customStyle="1" w:styleId="TableGrid1">
    <w:name w:val="Table Grid1"/>
    <w:basedOn w:val="TableNormal"/>
    <w:next w:val="TableGrid"/>
    <w:rsid w:val="00B50CFC"/>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BD-Para">
    <w:name w:val="CBD-Para"/>
    <w:basedOn w:val="Normal"/>
    <w:link w:val="CBD-ParaCharChar"/>
    <w:rsid w:val="00E819F1"/>
    <w:pPr>
      <w:keepLines/>
      <w:numPr>
        <w:numId w:val="22"/>
      </w:numPr>
      <w:spacing w:before="120" w:after="120"/>
    </w:pPr>
    <w:rPr>
      <w:szCs w:val="22"/>
      <w:lang w:val="en-US"/>
    </w:rPr>
  </w:style>
  <w:style w:type="character" w:customStyle="1" w:styleId="CBD-ParaCharChar">
    <w:name w:val="CBD-Para Char Char"/>
    <w:link w:val="CBD-Para"/>
    <w:rsid w:val="00E819F1"/>
    <w:rPr>
      <w:rFonts w:ascii="Times New Roman" w:eastAsia="Times New Roman" w:hAnsi="Times New Roman" w:cs="Times New Roman"/>
      <w:sz w:val="22"/>
      <w:szCs w:val="22"/>
      <w:lang w:val="en-US"/>
    </w:rPr>
  </w:style>
  <w:style w:type="paragraph" w:customStyle="1" w:styleId="CBD-Para-a">
    <w:name w:val="CBD-Para-a"/>
    <w:basedOn w:val="CBD-Para"/>
    <w:rsid w:val="00E819F1"/>
    <w:pPr>
      <w:numPr>
        <w:ilvl w:val="1"/>
      </w:numPr>
      <w:spacing w:before="60" w:after="60"/>
    </w:p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814C15"/>
    <w:pPr>
      <w:spacing w:after="160" w:line="240" w:lineRule="exact"/>
    </w:pPr>
    <w:rPr>
      <w:rFonts w:asciiTheme="minorHAnsi" w:eastAsiaTheme="minorEastAsia" w:hAnsiTheme="minorHAnsi" w:cstheme="minorBidi"/>
      <w:vertAlign w:val="superscript"/>
      <w:lang w:val="fr-CA"/>
    </w:rPr>
  </w:style>
  <w:style w:type="paragraph" w:styleId="CommentSubject">
    <w:name w:val="annotation subject"/>
    <w:basedOn w:val="CommentText"/>
    <w:next w:val="CommentText"/>
    <w:link w:val="CommentSubjectChar"/>
    <w:uiPriority w:val="99"/>
    <w:semiHidden/>
    <w:unhideWhenUsed/>
    <w:rsid w:val="004932CF"/>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4932CF"/>
    <w:rPr>
      <w:rFonts w:ascii="Times New Roman" w:eastAsia="Times New Roman" w:hAnsi="Times New Roman" w:cs="Times New Roman"/>
      <w:b/>
      <w:bCs/>
      <w:sz w:val="20"/>
      <w:szCs w:val="20"/>
      <w:lang w:val="en-GB"/>
    </w:rPr>
  </w:style>
  <w:style w:type="paragraph" w:styleId="Revision">
    <w:name w:val="Revision"/>
    <w:hidden/>
    <w:uiPriority w:val="99"/>
    <w:semiHidden/>
    <w:rsid w:val="006963D0"/>
    <w:rPr>
      <w:rFonts w:ascii="Times New Roman" w:eastAsia="Times New Roman" w:hAnsi="Times New Roman" w:cs="Times New Roman"/>
      <w:sz w:val="22"/>
      <w:lang w:val="en-GB"/>
    </w:rPr>
  </w:style>
  <w:style w:type="character" w:styleId="UnresolvedMention">
    <w:name w:val="Unresolved Mention"/>
    <w:basedOn w:val="DefaultParagraphFont"/>
    <w:uiPriority w:val="99"/>
    <w:semiHidden/>
    <w:unhideWhenUsed/>
    <w:rsid w:val="003A32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7928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s>
</file>

<file path=word/_rels/footnotes.xml.rels><?xml version="1.0" encoding="UTF-8" standalone="yes"?>
<Relationships xmlns="http://schemas.openxmlformats.org/package/2006/relationships"><Relationship Id="rId3" Type="http://schemas.openxmlformats.org/officeDocument/2006/relationships/hyperlink" Target="https://www.cbd.int/doc/c/822f/646e/7c4458b10a6193b8143a9ea7/chm-iac-2019-01-tsc-presentation-en.pdf" TargetMode="External"/><Relationship Id="rId2" Type="http://schemas.openxmlformats.org/officeDocument/2006/relationships/hyperlink" Target="https://environmentlive.unep.org/media/html/situation/situation_room.html" TargetMode="External"/><Relationship Id="rId1" Type="http://schemas.openxmlformats.org/officeDocument/2006/relationships/hyperlink" Target="https://www.cbd.int/doc/recommendations/sbi-02/sbi-02-rec-08-en.pdf" TargetMode="External"/><Relationship Id="rId4" Type="http://schemas.openxmlformats.org/officeDocument/2006/relationships/hyperlink" Target="https://www.cbd.int/doc/c/4668/fed6/de8f425c116468ee98da0e77/chm-iac-2019-01-km-presentation-e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0E8C501BBE954700A0C458443305DA39"/>
        <w:category>
          <w:name w:val="General"/>
          <w:gallery w:val="placeholder"/>
        </w:category>
        <w:types>
          <w:type w:val="bbPlcHdr"/>
        </w:types>
        <w:behaviors>
          <w:behavior w:val="content"/>
        </w:behaviors>
        <w:guid w:val="{47D1C8A2-CC07-4631-B696-2E4A0B019730}"/>
      </w:docPartPr>
      <w:docPartBody>
        <w:p w:rsidR="008D420E" w:rsidRDefault="00810A55">
          <w:r w:rsidRPr="007E02EB">
            <w:rPr>
              <w:rStyle w:val="PlaceholderText"/>
            </w:rPr>
            <w:t>[Publish Date]</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PlaceholderText"/>
            </w:rPr>
            <w:t>[Status]</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011ED"/>
    <w:rsid w:val="001E0D05"/>
    <w:rsid w:val="001E3716"/>
    <w:rsid w:val="00500A2B"/>
    <w:rsid w:val="005220FA"/>
    <w:rsid w:val="0058288D"/>
    <w:rsid w:val="006801B3"/>
    <w:rsid w:val="00810A55"/>
    <w:rsid w:val="008C6619"/>
    <w:rsid w:val="008D420E"/>
    <w:rsid w:val="0098642F"/>
    <w:rsid w:val="00A86673"/>
    <w:rsid w:val="00C45F1F"/>
    <w:rsid w:val="00C8104B"/>
    <w:rsid w:val="00D73646"/>
    <w:rsid w:val="00D969D0"/>
    <w:rsid w:val="00E44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661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2019-07-16T00:00:00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9BA4B5A9A79314D84DD285B682D2A4D" ma:contentTypeVersion="13" ma:contentTypeDescription="Create a new document." ma:contentTypeScope="" ma:versionID="f63d9a0d3881b47b8f523fbc67fcc93b">
  <xsd:schema xmlns:xsd="http://www.w3.org/2001/XMLSchema" xmlns:xs="http://www.w3.org/2001/XMLSchema" xmlns:p="http://schemas.microsoft.com/office/2006/metadata/properties" xmlns:ns1="http://schemas.microsoft.com/sharepoint/v3" xmlns:ns3="ba02438b-2d6b-46c1-9c25-b55434f1247d" xmlns:ns4="ddd82879-906b-4151-9e0c-aae909b53294" targetNamespace="http://schemas.microsoft.com/office/2006/metadata/properties" ma:root="true" ma:fieldsID="ba8b27db5c2683f4305f7a13daa61735" ns1:_="" ns3:_="" ns4:_="">
    <xsd:import namespace="http://schemas.microsoft.com/sharepoint/v3"/>
    <xsd:import namespace="ba02438b-2d6b-46c1-9c25-b55434f1247d"/>
    <xsd:import namespace="ddd82879-906b-4151-9e0c-aae909b5329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02438b-2d6b-46c1-9c25-b55434f124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d82879-906b-4151-9e0c-aae909b5329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7A57DE5-E2E2-43FE-9A5D-B7ECD1609B93}">
  <ds:schemaRefs>
    <ds:schemaRef ds:uri="http://schemas.microsoft.com/sharepoint/v3/contenttype/forms"/>
  </ds:schemaRefs>
</ds:datastoreItem>
</file>

<file path=customXml/itemProps3.xml><?xml version="1.0" encoding="utf-8"?>
<ds:datastoreItem xmlns:ds="http://schemas.openxmlformats.org/officeDocument/2006/customXml" ds:itemID="{E3767E59-E82D-4C3B-8534-C09E706F8C64}">
  <ds:schemaRefs>
    <ds:schemaRef ds:uri="http://purl.org/dc/dcmitype/"/>
    <ds:schemaRef ds:uri="http://purl.org/dc/terms/"/>
    <ds:schemaRef ds:uri="ba02438b-2d6b-46c1-9c25-b55434f1247d"/>
    <ds:schemaRef ds:uri="http://schemas.microsoft.com/office/2006/documentManagement/types"/>
    <ds:schemaRef ds:uri="http://schemas.microsoft.com/office/2006/metadata/properties"/>
    <ds:schemaRef ds:uri="http://purl.org/dc/elements/1.1/"/>
    <ds:schemaRef ds:uri="http://schemas.microsoft.com/office/infopath/2007/PartnerControls"/>
    <ds:schemaRef ds:uri="ddd82879-906b-4151-9e0c-aae909b53294"/>
    <ds:schemaRef ds:uri="http://schemas.openxmlformats.org/package/2006/metadata/core-properties"/>
    <ds:schemaRef ds:uri="http://schemas.microsoft.com/sharepoint/v3"/>
    <ds:schemaRef ds:uri="http://www.w3.org/XML/1998/namespace"/>
  </ds:schemaRefs>
</ds:datastoreItem>
</file>

<file path=customXml/itemProps4.xml><?xml version="1.0" encoding="utf-8"?>
<ds:datastoreItem xmlns:ds="http://schemas.openxmlformats.org/officeDocument/2006/customXml" ds:itemID="{9162E2B6-E8F6-4083-BE74-B2E8A6AF68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a02438b-2d6b-46c1-9c25-b55434f1247d"/>
    <ds:schemaRef ds:uri="ddd82879-906b-4151-9e0c-aae909b532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367F9CF-4BF4-4A56-9986-F85E8A9F1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5619</Words>
  <Characters>32032</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Report on the meeting of the Informal Advisory Committee to the Clearing-house Mechanism of the Convention on Biological Diversity, 17-19 June 2019</vt:lpstr>
    </vt:vector>
  </TitlesOfParts>
  <Company>SCBD</Company>
  <LinksUpToDate>false</LinksUpToDate>
  <CharactersWithSpaces>37576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the meeting of the Informal Advisory Committee to the Clearing-house Mechanism of the Convention on Biological Diversity, 17-19 June 2019</dc:title>
  <dc:subject>CBD/CHM/IAC/2019/1/3</dc:subject>
  <dc:creator>SCBD</dc:creator>
  <cp:keywords>Informal Advisory Committee to the Clearing-house Mechanism of the Convention on Biological Diversity</cp:keywords>
  <cp:lastModifiedBy>Orestes Plasencia</cp:lastModifiedBy>
  <cp:revision>4</cp:revision>
  <dcterms:created xsi:type="dcterms:W3CDTF">2019-10-25T19:51:00Z</dcterms:created>
  <dcterms:modified xsi:type="dcterms:W3CDTF">2019-10-25T19:52:00Z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0x010100C9BA4B5A9A79314D84DD285B682D2A4D</vt:lpwstr>
  </property>
</Properties>
</file>