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804"/>
      </w:tblGrid>
      <w:tr w:rsidR="002B757B" w:rsidRPr="001D303D" w14:paraId="7CAB295A" w14:textId="77777777" w:rsidTr="00361521">
        <w:tc>
          <w:tcPr>
            <w:tcW w:w="851" w:type="dxa"/>
            <w:tcBorders>
              <w:bottom w:val="single" w:sz="8" w:space="0" w:color="auto"/>
            </w:tcBorders>
            <w:vAlign w:val="bottom"/>
          </w:tcPr>
          <w:p w14:paraId="2D04D9BA" w14:textId="77777777" w:rsidR="002B757B" w:rsidRPr="00060EA2" w:rsidRDefault="002B757B" w:rsidP="00892011">
            <w:pPr>
              <w:spacing w:after="120"/>
              <w:jc w:val="left"/>
            </w:pPr>
            <w:bookmarkStart w:id="0" w:name="_Hlk137651738"/>
            <w:bookmarkStart w:id="1" w:name="_Toc522023191"/>
            <w:r w:rsidRPr="00060EA2">
              <w:rPr>
                <w:noProof/>
              </w:rPr>
              <w:drawing>
                <wp:inline distT="0" distB="0" distL="0" distR="0" wp14:anchorId="54FB724E" wp14:editId="4D5CF17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2E217D41" w14:textId="34EB16A1" w:rsidR="002B757B" w:rsidRPr="00060EA2" w:rsidRDefault="00C63115" w:rsidP="00892011">
            <w:pPr>
              <w:spacing w:after="120"/>
              <w:jc w:val="left"/>
            </w:pPr>
            <w:r w:rsidRPr="00060EA2">
              <w:rPr>
                <w:noProof/>
              </w:rPr>
              <w:drawing>
                <wp:inline distT="0" distB="0" distL="0" distR="0" wp14:anchorId="39CFEDC3" wp14:editId="78E1326B">
                  <wp:extent cx="805815"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 descr="unep-2017-ru-blk-sm2"/>
                          <pic:cNvPicPr>
                            <a:picLocks noChangeAspect="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05815" cy="345440"/>
                          </a:xfrm>
                          <a:prstGeom prst="rect">
                            <a:avLst/>
                          </a:prstGeom>
                          <a:noFill/>
                          <a:ln>
                            <a:noFill/>
                          </a:ln>
                        </pic:spPr>
                      </pic:pic>
                    </a:graphicData>
                  </a:graphic>
                </wp:inline>
              </w:drawing>
            </w:r>
          </w:p>
        </w:tc>
        <w:tc>
          <w:tcPr>
            <w:tcW w:w="6521" w:type="dxa"/>
            <w:gridSpan w:val="2"/>
            <w:tcBorders>
              <w:bottom w:val="single" w:sz="8" w:space="0" w:color="auto"/>
            </w:tcBorders>
            <w:vAlign w:val="bottom"/>
          </w:tcPr>
          <w:p w14:paraId="55CEE16E" w14:textId="41048DC9" w:rsidR="002B757B" w:rsidRPr="001D303D" w:rsidRDefault="002B757B" w:rsidP="00361521">
            <w:pPr>
              <w:tabs>
                <w:tab w:val="clear" w:pos="567"/>
                <w:tab w:val="clear" w:pos="1134"/>
                <w:tab w:val="clear" w:pos="1701"/>
                <w:tab w:val="clear" w:pos="2268"/>
              </w:tabs>
              <w:spacing w:after="120"/>
              <w:ind w:left="36"/>
              <w:jc w:val="right"/>
              <w:rPr>
                <w:szCs w:val="22"/>
                <w:lang w:val="en-CA"/>
              </w:rPr>
            </w:pPr>
            <w:r w:rsidRPr="001D303D">
              <w:rPr>
                <w:sz w:val="40"/>
                <w:lang w:val="en-CA"/>
              </w:rPr>
              <w:t>CBD</w:t>
            </w:r>
            <w:r w:rsidRPr="001D303D">
              <w:rPr>
                <w:sz w:val="20"/>
                <w:lang w:val="en-CA"/>
              </w:rPr>
              <w:t>/COP/16/3-</w:t>
            </w:r>
            <w:r w:rsidRPr="001D303D">
              <w:rPr>
                <w:sz w:val="40"/>
                <w:lang w:val="en-CA"/>
              </w:rPr>
              <w:t>CBD</w:t>
            </w:r>
            <w:r w:rsidRPr="001D303D">
              <w:rPr>
                <w:sz w:val="20"/>
                <w:lang w:val="en-CA"/>
              </w:rPr>
              <w:t>/CP/MOP/11/4-</w:t>
            </w:r>
            <w:r w:rsidRPr="001D303D">
              <w:rPr>
                <w:sz w:val="40"/>
                <w:lang w:val="en-CA"/>
              </w:rPr>
              <w:t>CBD</w:t>
            </w:r>
            <w:r w:rsidRPr="001D303D">
              <w:rPr>
                <w:sz w:val="20"/>
                <w:lang w:val="en-CA"/>
              </w:rPr>
              <w:t>/NP/MOP/5/4</w:t>
            </w:r>
          </w:p>
        </w:tc>
      </w:tr>
      <w:tr w:rsidR="002B757B" w:rsidRPr="000617A2" w14:paraId="241A8FFC" w14:textId="77777777" w:rsidTr="00361521">
        <w:tc>
          <w:tcPr>
            <w:tcW w:w="4545" w:type="dxa"/>
            <w:gridSpan w:val="3"/>
            <w:tcBorders>
              <w:top w:val="single" w:sz="8" w:space="0" w:color="auto"/>
              <w:bottom w:val="single" w:sz="12" w:space="0" w:color="auto"/>
            </w:tcBorders>
          </w:tcPr>
          <w:p w14:paraId="4D5E4D38" w14:textId="0683A106" w:rsidR="00C63115" w:rsidRPr="00060EA2" w:rsidRDefault="00C63115" w:rsidP="00361521">
            <w:pPr>
              <w:pStyle w:val="Cornernotation"/>
              <w:suppressLineNumbers/>
              <w:suppressAutoHyphens/>
              <w:ind w:left="0" w:right="0" w:firstLine="0"/>
            </w:pPr>
            <w:r w:rsidRPr="00060EA2">
              <w:rPr>
                <w:noProof/>
              </w:rPr>
              <w:drawing>
                <wp:inline distT="0" distB="0" distL="0" distR="0" wp14:anchorId="02C50E31" wp14:editId="5CBE2B51">
                  <wp:extent cx="2622550" cy="1079500"/>
                  <wp:effectExtent l="0" t="0" r="6350" b="6350"/>
                  <wp:docPr id="14" name="Picture 14"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BD_logo_ru-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2550" cy="1079500"/>
                          </a:xfrm>
                          <a:prstGeom prst="rect">
                            <a:avLst/>
                          </a:prstGeom>
                          <a:noFill/>
                          <a:ln>
                            <a:noFill/>
                          </a:ln>
                        </pic:spPr>
                      </pic:pic>
                    </a:graphicData>
                  </a:graphic>
                </wp:inline>
              </w:drawing>
            </w:r>
          </w:p>
        </w:tc>
        <w:tc>
          <w:tcPr>
            <w:tcW w:w="5804" w:type="dxa"/>
            <w:tcBorders>
              <w:top w:val="single" w:sz="8" w:space="0" w:color="auto"/>
              <w:bottom w:val="single" w:sz="12" w:space="0" w:color="auto"/>
            </w:tcBorders>
          </w:tcPr>
          <w:p w14:paraId="35C529FF" w14:textId="5EC98142" w:rsidR="002B757B" w:rsidRPr="000617A2" w:rsidRDefault="002B757B" w:rsidP="006814E7">
            <w:pPr>
              <w:ind w:left="2584"/>
              <w:rPr>
                <w:sz w:val="22"/>
                <w:szCs w:val="22"/>
                <w:lang w:val="en-CA"/>
              </w:rPr>
            </w:pPr>
            <w:r w:rsidRPr="000617A2">
              <w:rPr>
                <w:sz w:val="22"/>
                <w:lang w:val="en-CA"/>
              </w:rPr>
              <w:t>Distr.: G</w:t>
            </w:r>
            <w:r w:rsidR="000617A2">
              <w:rPr>
                <w:sz w:val="22"/>
                <w:lang w:val="en-CA"/>
              </w:rPr>
              <w:t>eneral</w:t>
            </w:r>
          </w:p>
          <w:p w14:paraId="67E8EE81" w14:textId="341BA44C" w:rsidR="002B757B" w:rsidRPr="000617A2" w:rsidRDefault="003F2B45" w:rsidP="006814E7">
            <w:pPr>
              <w:ind w:left="2584"/>
              <w:rPr>
                <w:sz w:val="22"/>
                <w:szCs w:val="22"/>
                <w:lang w:val="en-CA"/>
              </w:rPr>
            </w:pPr>
            <w:r w:rsidRPr="000617A2">
              <w:rPr>
                <w:sz w:val="22"/>
                <w:lang w:val="en-CA"/>
              </w:rPr>
              <w:t>2 October 2024</w:t>
            </w:r>
          </w:p>
          <w:p w14:paraId="6CEDF432" w14:textId="671416BC" w:rsidR="003C49F8" w:rsidRDefault="003C49F8" w:rsidP="006814E7">
            <w:pPr>
              <w:ind w:left="2584"/>
              <w:rPr>
                <w:sz w:val="22"/>
                <w:lang w:val="fr-FR"/>
              </w:rPr>
            </w:pPr>
            <w:r w:rsidRPr="000617A2">
              <w:rPr>
                <w:sz w:val="22"/>
                <w:lang w:val="en-CA"/>
              </w:rPr>
              <w:t>Russian</w:t>
            </w:r>
          </w:p>
          <w:p w14:paraId="6169E3D4" w14:textId="2C845CEE" w:rsidR="002B757B" w:rsidRPr="000617A2" w:rsidRDefault="002B757B" w:rsidP="006814E7">
            <w:pPr>
              <w:ind w:left="2584"/>
              <w:rPr>
                <w:sz w:val="22"/>
                <w:szCs w:val="22"/>
                <w:lang w:val="en-CA"/>
              </w:rPr>
            </w:pPr>
            <w:r w:rsidRPr="000617A2">
              <w:rPr>
                <w:sz w:val="22"/>
                <w:lang w:val="en-CA"/>
              </w:rPr>
              <w:t>Original: English</w:t>
            </w:r>
          </w:p>
          <w:p w14:paraId="36563420" w14:textId="77777777" w:rsidR="002B757B" w:rsidRPr="000617A2" w:rsidRDefault="002B757B" w:rsidP="006814E7">
            <w:pPr>
              <w:rPr>
                <w:lang w:val="en-CA"/>
              </w:rPr>
            </w:pPr>
          </w:p>
        </w:tc>
      </w:tr>
    </w:tbl>
    <w:tbl>
      <w:tblPr>
        <w:tblStyle w:val="TableGrid"/>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8"/>
        <w:gridCol w:w="3543"/>
        <w:gridCol w:w="3828"/>
      </w:tblGrid>
      <w:tr w:rsidR="0015126A" w:rsidRPr="00060EA2" w14:paraId="50A21BD0" w14:textId="77777777" w:rsidTr="009C62CD">
        <w:tc>
          <w:tcPr>
            <w:tcW w:w="2978" w:type="dxa"/>
          </w:tcPr>
          <w:p w14:paraId="553402F3" w14:textId="77777777" w:rsidR="00411CB7" w:rsidRPr="00060EA2" w:rsidRDefault="00411CB7" w:rsidP="00892011">
            <w:pPr>
              <w:pStyle w:val="AFCorNot12Bold"/>
              <w:rPr>
                <w:snapToGrid w:val="0"/>
              </w:rPr>
            </w:pPr>
            <w:r w:rsidRPr="00060EA2">
              <w:rPr>
                <w:snapToGrid w:val="0"/>
              </w:rPr>
              <w:t xml:space="preserve">Конференция Сторон </w:t>
            </w:r>
            <w:r w:rsidRPr="00060EA2">
              <w:rPr>
                <w:snapToGrid w:val="0"/>
              </w:rPr>
              <w:br/>
              <w:t>Конвенции о биологическом разнообразии</w:t>
            </w:r>
          </w:p>
          <w:p w14:paraId="4761F8B9" w14:textId="77777777" w:rsidR="00411CB7" w:rsidRPr="00060EA2" w:rsidRDefault="00411CB7" w:rsidP="00892011">
            <w:pPr>
              <w:pStyle w:val="AFCorNotBold"/>
              <w:rPr>
                <w:snapToGrid w:val="0"/>
                <w:sz w:val="22"/>
                <w:szCs w:val="22"/>
              </w:rPr>
            </w:pPr>
            <w:r w:rsidRPr="00060EA2">
              <w:rPr>
                <w:snapToGrid w:val="0"/>
                <w:sz w:val="22"/>
              </w:rPr>
              <w:t xml:space="preserve">Шестнадцатое совещание </w:t>
            </w:r>
          </w:p>
          <w:p w14:paraId="148F9FE2" w14:textId="1D816E5C" w:rsidR="00411CB7" w:rsidRPr="00060EA2" w:rsidRDefault="00411CB7" w:rsidP="00892011">
            <w:pPr>
              <w:suppressLineNumbers/>
              <w:tabs>
                <w:tab w:val="left" w:pos="1814"/>
                <w:tab w:val="left" w:pos="2948"/>
                <w:tab w:val="left" w:pos="3515"/>
                <w:tab w:val="left" w:pos="4014"/>
              </w:tabs>
              <w:suppressAutoHyphens/>
              <w:ind w:right="176" w:firstLine="9"/>
              <w:jc w:val="left"/>
              <w:rPr>
                <w:sz w:val="22"/>
                <w:szCs w:val="22"/>
              </w:rPr>
            </w:pPr>
            <w:r w:rsidRPr="00060EA2">
              <w:rPr>
                <w:sz w:val="22"/>
              </w:rPr>
              <w:t>Кали, Колумбия, 21 октября – 1 ноября 2024 года</w:t>
            </w:r>
          </w:p>
          <w:p w14:paraId="64F5704D" w14:textId="71583578" w:rsidR="0015126A" w:rsidRPr="00060EA2" w:rsidRDefault="00411CB7" w:rsidP="00B510B4">
            <w:pPr>
              <w:pStyle w:val="CBDNormal"/>
              <w:jc w:val="left"/>
              <w:rPr>
                <w:sz w:val="22"/>
                <w:szCs w:val="22"/>
              </w:rPr>
            </w:pPr>
            <w:r w:rsidRPr="00060EA2">
              <w:rPr>
                <w:snapToGrid w:val="0"/>
                <w:sz w:val="22"/>
              </w:rPr>
              <w:t>Пункт 7 предварительной повестки дня</w:t>
            </w:r>
            <w:bookmarkEnd w:id="0"/>
            <w:bookmarkEnd w:id="1"/>
            <w:r w:rsidRPr="00060EA2">
              <w:rPr>
                <w:rStyle w:val="FootnoteReference"/>
                <w:sz w:val="22"/>
                <w:szCs w:val="22"/>
              </w:rPr>
              <w:footnoteReference w:customMarkFollows="1" w:id="2"/>
              <w:t>*</w:t>
            </w:r>
          </w:p>
          <w:p w14:paraId="36E21396" w14:textId="409EB29C" w:rsidR="0015126A" w:rsidRPr="00060EA2" w:rsidRDefault="0015126A" w:rsidP="00B510B4">
            <w:pPr>
              <w:pStyle w:val="CBDNormal"/>
              <w:jc w:val="left"/>
              <w:rPr>
                <w:snapToGrid w:val="0"/>
              </w:rPr>
            </w:pPr>
            <w:r w:rsidRPr="00060EA2">
              <w:rPr>
                <w:sz w:val="22"/>
              </w:rPr>
              <w:t>Административное обеспечение Конвенции и бюджет целевых фондов</w:t>
            </w:r>
          </w:p>
        </w:tc>
        <w:tc>
          <w:tcPr>
            <w:tcW w:w="3543" w:type="dxa"/>
          </w:tcPr>
          <w:p w14:paraId="1A1644A0" w14:textId="77777777" w:rsidR="0015126A" w:rsidRPr="00060EA2" w:rsidRDefault="0015126A" w:rsidP="00892011">
            <w:pPr>
              <w:pStyle w:val="AFCorNot12Bold"/>
              <w:rPr>
                <w:rFonts w:asciiTheme="majorBidi" w:hAnsiTheme="majorBidi" w:cstheme="majorBidi"/>
                <w:b w:val="0"/>
                <w:bCs/>
                <w:snapToGrid w:val="0"/>
                <w:kern w:val="22"/>
              </w:rPr>
            </w:pPr>
            <w:r w:rsidRPr="00060EA2">
              <w:rPr>
                <w:snapToGrid w:val="0"/>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63536D83" w14:textId="77777777" w:rsidR="0015126A" w:rsidRPr="00060EA2" w:rsidRDefault="0015126A" w:rsidP="00892011">
            <w:pPr>
              <w:pStyle w:val="AFCorNotBold"/>
              <w:rPr>
                <w:rFonts w:asciiTheme="majorBidi" w:hAnsiTheme="majorBidi" w:cstheme="majorBidi"/>
                <w:b w:val="0"/>
                <w:bCs/>
                <w:snapToGrid w:val="0"/>
                <w:kern w:val="22"/>
                <w:sz w:val="22"/>
                <w:szCs w:val="22"/>
              </w:rPr>
            </w:pPr>
            <w:r w:rsidRPr="00060EA2">
              <w:rPr>
                <w:snapToGrid w:val="0"/>
                <w:sz w:val="22"/>
              </w:rPr>
              <w:t>Одиннадцатое совещание</w:t>
            </w:r>
          </w:p>
          <w:p w14:paraId="129D2E0F" w14:textId="00E00DEE" w:rsidR="0015126A" w:rsidRPr="00060EA2" w:rsidRDefault="0015126A" w:rsidP="00B510B4">
            <w:pPr>
              <w:pStyle w:val="CBDNormal"/>
              <w:jc w:val="left"/>
              <w:rPr>
                <w:sz w:val="22"/>
                <w:szCs w:val="22"/>
              </w:rPr>
            </w:pPr>
            <w:r w:rsidRPr="00060EA2">
              <w:rPr>
                <w:sz w:val="22"/>
              </w:rPr>
              <w:t>Кали, Колумбия, 21 октября – 1</w:t>
            </w:r>
            <w:r w:rsidR="00D762FF" w:rsidRPr="00060EA2">
              <w:rPr>
                <w:sz w:val="22"/>
              </w:rPr>
              <w:t> </w:t>
            </w:r>
            <w:r w:rsidRPr="00060EA2">
              <w:rPr>
                <w:sz w:val="22"/>
              </w:rPr>
              <w:t>ноября 2024 года</w:t>
            </w:r>
          </w:p>
          <w:p w14:paraId="2F287522" w14:textId="0D2CA8AE" w:rsidR="0015126A" w:rsidRPr="00060EA2" w:rsidRDefault="0015126A" w:rsidP="00B510B4">
            <w:pPr>
              <w:pStyle w:val="CBDNormal"/>
              <w:jc w:val="left"/>
              <w:rPr>
                <w:rFonts w:asciiTheme="majorBidi" w:hAnsiTheme="majorBidi" w:cstheme="majorBidi"/>
                <w:snapToGrid w:val="0"/>
                <w:kern w:val="22"/>
                <w:sz w:val="22"/>
                <w:szCs w:val="22"/>
              </w:rPr>
            </w:pPr>
            <w:r w:rsidRPr="00060EA2">
              <w:rPr>
                <w:sz w:val="22"/>
              </w:rPr>
              <w:t>Пункт 6 предварительной повестки дня</w:t>
            </w:r>
            <w:r w:rsidRPr="00060EA2">
              <w:rPr>
                <w:rStyle w:val="FootnoteReference"/>
                <w:sz w:val="22"/>
                <w:szCs w:val="22"/>
              </w:rPr>
              <w:footnoteReference w:customMarkFollows="1" w:id="3"/>
              <w:t>**</w:t>
            </w:r>
          </w:p>
          <w:p w14:paraId="32FCA568" w14:textId="0A3300C7" w:rsidR="0015126A" w:rsidRPr="00060EA2" w:rsidRDefault="0015126A" w:rsidP="00B510B4">
            <w:pPr>
              <w:pStyle w:val="CBDNormal"/>
              <w:jc w:val="left"/>
              <w:rPr>
                <w:rFonts w:asciiTheme="majorBidi" w:hAnsiTheme="majorBidi" w:cstheme="majorBidi"/>
                <w:b/>
                <w:bCs/>
                <w:snapToGrid w:val="0"/>
                <w:kern w:val="22"/>
              </w:rPr>
            </w:pPr>
            <w:r w:rsidRPr="00060EA2">
              <w:rPr>
                <w:rFonts w:asciiTheme="majorBidi" w:hAnsiTheme="majorBidi"/>
                <w:snapToGrid w:val="0"/>
                <w:sz w:val="22"/>
              </w:rPr>
              <w:t>Административное обеспечение протокола и бюджет целевых фондов</w:t>
            </w:r>
          </w:p>
        </w:tc>
        <w:tc>
          <w:tcPr>
            <w:tcW w:w="3828" w:type="dxa"/>
          </w:tcPr>
          <w:p w14:paraId="216243DA" w14:textId="77777777" w:rsidR="0015126A" w:rsidRPr="00060EA2" w:rsidRDefault="0015126A" w:rsidP="00892011">
            <w:pPr>
              <w:pStyle w:val="AFCorNot12Bold"/>
              <w:rPr>
                <w:rFonts w:asciiTheme="majorBidi" w:hAnsiTheme="majorBidi" w:cstheme="majorBidi"/>
                <w:b w:val="0"/>
                <w:bCs/>
                <w:snapToGrid w:val="0"/>
                <w:kern w:val="22"/>
              </w:rPr>
            </w:pPr>
            <w:r w:rsidRPr="00060EA2">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1D1B718" w14:textId="77777777" w:rsidR="0015126A" w:rsidRPr="00060EA2" w:rsidRDefault="0015126A" w:rsidP="00892011">
            <w:pPr>
              <w:pStyle w:val="AFCorNotBold"/>
              <w:rPr>
                <w:rFonts w:asciiTheme="majorBidi" w:hAnsiTheme="majorBidi" w:cstheme="majorBidi"/>
                <w:snapToGrid w:val="0"/>
                <w:kern w:val="22"/>
                <w:sz w:val="22"/>
                <w:szCs w:val="22"/>
              </w:rPr>
            </w:pPr>
            <w:r w:rsidRPr="00060EA2">
              <w:rPr>
                <w:rFonts w:asciiTheme="majorBidi" w:hAnsiTheme="majorBidi"/>
                <w:snapToGrid w:val="0"/>
                <w:sz w:val="22"/>
              </w:rPr>
              <w:t xml:space="preserve">Пятое совещание </w:t>
            </w:r>
          </w:p>
          <w:p w14:paraId="7569F6B2" w14:textId="054FC77F" w:rsidR="0015126A" w:rsidRPr="00060EA2" w:rsidRDefault="0015126A" w:rsidP="00B510B4">
            <w:pPr>
              <w:pStyle w:val="CBDNormal"/>
              <w:jc w:val="left"/>
              <w:rPr>
                <w:sz w:val="22"/>
                <w:szCs w:val="22"/>
              </w:rPr>
            </w:pPr>
            <w:r w:rsidRPr="00060EA2">
              <w:rPr>
                <w:sz w:val="22"/>
              </w:rPr>
              <w:t>Кали, Колумбия, 21 октября – 1 ноября 2024 года</w:t>
            </w:r>
          </w:p>
          <w:p w14:paraId="57746601" w14:textId="60A51406" w:rsidR="0015126A" w:rsidRPr="00060EA2" w:rsidRDefault="0015126A" w:rsidP="00B510B4">
            <w:pPr>
              <w:pStyle w:val="CBDNormal"/>
              <w:jc w:val="left"/>
              <w:rPr>
                <w:sz w:val="22"/>
                <w:szCs w:val="22"/>
                <w:vertAlign w:val="superscript"/>
              </w:rPr>
            </w:pPr>
            <w:r w:rsidRPr="00060EA2">
              <w:rPr>
                <w:sz w:val="22"/>
              </w:rPr>
              <w:t>Пункт 6 предварительной повестки дня</w:t>
            </w:r>
            <w:r w:rsidRPr="00060EA2">
              <w:rPr>
                <w:rStyle w:val="FootnoteReference"/>
                <w:sz w:val="22"/>
                <w:szCs w:val="22"/>
              </w:rPr>
              <w:footnoteReference w:customMarkFollows="1" w:id="4"/>
              <w:t>***</w:t>
            </w:r>
          </w:p>
          <w:p w14:paraId="7D2A08D7" w14:textId="345D9C3B" w:rsidR="0015126A" w:rsidRPr="00060EA2" w:rsidRDefault="0015126A" w:rsidP="00B510B4">
            <w:pPr>
              <w:pStyle w:val="CBDNormal"/>
              <w:jc w:val="left"/>
              <w:rPr>
                <w:rFonts w:asciiTheme="majorBidi" w:hAnsiTheme="majorBidi" w:cstheme="majorBidi"/>
                <w:b/>
                <w:bCs/>
                <w:snapToGrid w:val="0"/>
                <w:kern w:val="22"/>
              </w:rPr>
            </w:pPr>
            <w:r w:rsidRPr="00060EA2">
              <w:rPr>
                <w:rFonts w:asciiTheme="majorBidi" w:hAnsiTheme="majorBidi"/>
                <w:snapToGrid w:val="0"/>
                <w:sz w:val="22"/>
              </w:rPr>
              <w:t>Административное обеспечение Конвенции и бюджет целевых фондов</w:t>
            </w:r>
          </w:p>
        </w:tc>
      </w:tr>
    </w:tbl>
    <w:p w14:paraId="03687E5E" w14:textId="30606E8B" w:rsidR="0015126A" w:rsidRPr="00060EA2" w:rsidRDefault="0015126A">
      <w:pPr>
        <w:pStyle w:val="CBDTitle"/>
      </w:pPr>
      <w:r w:rsidRPr="00060EA2">
        <w:t>Административное обеспечение Конвенции и протоколов к ней на двухлетний период 2023-2024 годов</w:t>
      </w:r>
    </w:p>
    <w:p w14:paraId="0B2FE69D" w14:textId="30E4EC32" w:rsidR="00324861" w:rsidRPr="00060EA2" w:rsidRDefault="00324861" w:rsidP="00324861">
      <w:pPr>
        <w:pStyle w:val="CBDSubTitle"/>
      </w:pPr>
      <w:r w:rsidRPr="00060EA2">
        <w:t>Записка секретариата</w:t>
      </w:r>
    </w:p>
    <w:p w14:paraId="6C09E3F3" w14:textId="0D324EA7" w:rsidR="0015126A" w:rsidRPr="00060EA2" w:rsidRDefault="0015126A" w:rsidP="00361521">
      <w:pPr>
        <w:pStyle w:val="CBDH1"/>
      </w:pPr>
      <w:r w:rsidRPr="00060EA2">
        <w:t>I.</w:t>
      </w:r>
      <w:r w:rsidRPr="00060EA2">
        <w:tab/>
        <w:t>Введение</w:t>
      </w:r>
    </w:p>
    <w:p w14:paraId="3C68E7A0" w14:textId="11866B0A" w:rsidR="0015126A" w:rsidRPr="00060EA2" w:rsidRDefault="0015126A" w:rsidP="00361521">
      <w:pPr>
        <w:pStyle w:val="CBDNormalNumber"/>
      </w:pPr>
      <w:r w:rsidRPr="00060EA2">
        <w:t xml:space="preserve">В своем решении 15/34 Конференция Сторон Конвенции о биологическом разнообразии поручила Исполнительному секретарю представить Конференции Сторон Конвенции, Конференции Сторон, выступающей в качестве совещания Сторон Картахенского протокола по биобезопасности,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их 16-м, 11-м и 5-м совещаниях соответственно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2023-2024 годов. </w:t>
      </w:r>
    </w:p>
    <w:p w14:paraId="6D94342D" w14:textId="1B914F03" w:rsidR="0015126A" w:rsidRPr="00060EA2" w:rsidRDefault="0015126A" w:rsidP="00361521">
      <w:pPr>
        <w:pStyle w:val="CBDNormalNumber"/>
      </w:pPr>
      <w:r w:rsidRPr="00060EA2">
        <w:t xml:space="preserve">В настоящем документе приводится подробная информация о финансовой и административной деятельности секретариата за двухлетний период 2023-2024 годов по состоянию на 31 июля 2024 года, если не указано иное. С дополнительной информацией о положении дел со взносами в трех общих целевых фондах (Общий целевой фонд Конвенции, Общий целевой фонд для основного бюджета по программе Картахенского протокола и </w:t>
      </w:r>
      <w:r w:rsidRPr="00060EA2">
        <w:lastRenderedPageBreak/>
        <w:t xml:space="preserve">Общий целевой фонд для основного бюджета по программе Нагойского протокола), Специальном добровольном целевом фонде для дополнительных добровольных взносов в поддержку утвержденных мероприятий в рамках Конвенции, Специальном целевом фонде для дополнительных добровольных взносов для содействия участию Сторон в процессах в рамках Конвенции и Специальном добровольном целевом фонде для содействия участию коренных народов и местных общин в процессах в рамках Конвенции по состоянию на 30 сентября 2024 года, а также с финансовой отчетностью за 2023 год можно ознакомиться на веб-сайте </w:t>
      </w:r>
      <w:r w:rsidR="00801BD8">
        <w:t>с</w:t>
      </w:r>
      <w:r w:rsidRPr="00060EA2">
        <w:t>екретариата</w:t>
      </w:r>
      <w:r w:rsidR="00892011" w:rsidRPr="00060EA2">
        <w:rPr>
          <w:rStyle w:val="FootnoteReference"/>
        </w:rPr>
        <w:footnoteReference w:id="5"/>
      </w:r>
      <w:r w:rsidRPr="00060EA2">
        <w:t>.</w:t>
      </w:r>
    </w:p>
    <w:p w14:paraId="58D4C218" w14:textId="43C1FFC2" w:rsidR="0015126A" w:rsidRPr="00060EA2" w:rsidRDefault="0015126A" w:rsidP="00361521">
      <w:pPr>
        <w:pStyle w:val="CBDH1"/>
      </w:pPr>
      <w:r w:rsidRPr="00060EA2">
        <w:t>II.</w:t>
      </w:r>
      <w:r w:rsidRPr="00060EA2">
        <w:tab/>
        <w:t>Поступления и исполнение бюджета на двухлетний период 2023-2024 годов</w:t>
      </w:r>
    </w:p>
    <w:p w14:paraId="75C92C22" w14:textId="0DBAFB3E" w:rsidR="0015126A" w:rsidRPr="00060EA2" w:rsidRDefault="0015126A" w:rsidP="00361521">
      <w:pPr>
        <w:pStyle w:val="CBDH2"/>
        <w:numPr>
          <w:ilvl w:val="0"/>
          <w:numId w:val="0"/>
        </w:numPr>
        <w:ind w:left="567" w:hanging="567"/>
        <w:outlineLvl w:val="1"/>
      </w:pPr>
      <w:r w:rsidRPr="00060EA2">
        <w:t>А.</w:t>
      </w:r>
      <w:r w:rsidRPr="00060EA2">
        <w:tab/>
        <w:t>Состояние начисленных взносов</w:t>
      </w:r>
    </w:p>
    <w:p w14:paraId="45E06CC3" w14:textId="7DEF5C49" w:rsidR="0015126A" w:rsidRPr="00060EA2" w:rsidRDefault="0015126A" w:rsidP="00361521">
      <w:pPr>
        <w:pStyle w:val="CBDNormalNumber"/>
      </w:pPr>
      <w:r w:rsidRPr="00060EA2">
        <w:t>В своем решении 15/34 Конференция Сторон приняла комплексную программу работы и бюджет Конвенции и протоколов к ней. В том же решении она постановила распределять расходы на услуги секретариата среди Конвенции, Картахенского протокола и Нагойского протокола в соотношении 72:15:13 соответственно в двухлетний период 2023-2024 годов. Комплексный бюджет был также принят Конференцией Сторон, выступающей в качестве совещания Сторон Картахенского протокола по биобезопасности, и Конференцией Сторон, выступающей в качестве совещания Сторон Нагойского протокола, в решениях CP-10/14 и NP-4/12 соответственно.</w:t>
      </w:r>
    </w:p>
    <w:p w14:paraId="3BD4F738" w14:textId="4497AC11" w:rsidR="0015126A" w:rsidRPr="00060EA2" w:rsidRDefault="0015126A" w:rsidP="00361521">
      <w:pPr>
        <w:pStyle w:val="CBDNormalNumber"/>
        <w:rPr>
          <w:b/>
          <w:bCs/>
        </w:rPr>
      </w:pPr>
      <w:r w:rsidRPr="00060EA2">
        <w:t xml:space="preserve">Комплексный бюджет в размере 19 931 600 долл. США и 21 714 500 долл. США был утвержден на 2023 и 2024 годы соответственно, </w:t>
      </w:r>
      <w:r w:rsidR="00764F69">
        <w:t>что</w:t>
      </w:r>
      <w:r w:rsidR="00764F69" w:rsidRPr="00060EA2">
        <w:t xml:space="preserve"> </w:t>
      </w:r>
      <w:r w:rsidRPr="00060EA2">
        <w:t xml:space="preserve">в общей сложности </w:t>
      </w:r>
      <w:r w:rsidR="00764F69">
        <w:t>состав</w:t>
      </w:r>
      <w:r w:rsidR="005526F4">
        <w:t xml:space="preserve">ляет </w:t>
      </w:r>
      <w:r w:rsidRPr="00060EA2">
        <w:t>41 646 100 долл. США на двухлетний период, включая расходы на поддержку программ в размере 13</w:t>
      </w:r>
      <w:r w:rsidR="00AD5C1C">
        <w:t>%</w:t>
      </w:r>
      <w:r w:rsidRPr="00060EA2">
        <w:t>. Отдельные бюджеты Конвенции и протоколов, утвержденные соответствующими руководящими органами, представлены в таблице 1.</w:t>
      </w:r>
    </w:p>
    <w:p w14:paraId="6646C215" w14:textId="4478570B" w:rsidR="0015126A" w:rsidRPr="00060EA2" w:rsidRDefault="0015126A" w:rsidP="000E301F">
      <w:pPr>
        <w:pStyle w:val="CBDTableTitle"/>
      </w:pPr>
      <w:r w:rsidRPr="00060EA2">
        <w:rPr>
          <w:b w:val="0"/>
        </w:rPr>
        <w:t>Таблица 1</w:t>
      </w:r>
      <w:r w:rsidRPr="00060EA2">
        <w:t xml:space="preserve"> </w:t>
      </w:r>
      <w:r w:rsidRPr="00060EA2">
        <w:br/>
        <w:t>Сводная информация о</w:t>
      </w:r>
      <w:r w:rsidR="009E5A5C">
        <w:t>б</w:t>
      </w:r>
      <w:r w:rsidRPr="00060EA2">
        <w:t xml:space="preserve"> </w:t>
      </w:r>
      <w:r w:rsidR="009E5A5C" w:rsidRPr="00060EA2">
        <w:t xml:space="preserve">утвержденных </w:t>
      </w:r>
      <w:r w:rsidRPr="00060EA2">
        <w:t>ресурсах</w:t>
      </w:r>
      <w:r w:rsidR="00502914">
        <w:t xml:space="preserve"> на </w:t>
      </w:r>
      <w:r w:rsidR="00502914" w:rsidRPr="00060EA2">
        <w:t>2023-2024 годы</w:t>
      </w:r>
      <w:r w:rsidRPr="00060EA2">
        <w:t xml:space="preserve"> </w:t>
      </w:r>
      <w:r w:rsidR="002B788D">
        <w:t xml:space="preserve">в разбивке </w:t>
      </w:r>
      <w:r w:rsidR="008D6F74">
        <w:t xml:space="preserve">по </w:t>
      </w:r>
      <w:r w:rsidRPr="00060EA2">
        <w:t>целевым фонд</w:t>
      </w:r>
      <w:r w:rsidR="00754665">
        <w:t>ам</w:t>
      </w:r>
      <w:r w:rsidRPr="00060EA2">
        <w:t xml:space="preserve"> </w:t>
      </w:r>
    </w:p>
    <w:p w14:paraId="66E92596" w14:textId="53335C86" w:rsidR="0015126A" w:rsidRPr="00060EA2" w:rsidRDefault="0015126A" w:rsidP="00361521">
      <w:pPr>
        <w:pStyle w:val="CBDTableTitle"/>
        <w:spacing w:before="0"/>
        <w:rPr>
          <w:b w:val="0"/>
          <w:bCs/>
          <w:sz w:val="20"/>
          <w:szCs w:val="20"/>
        </w:rPr>
      </w:pPr>
      <w:r w:rsidRPr="00060EA2">
        <w:rPr>
          <w:b w:val="0"/>
          <w:color w:val="000000" w:themeColor="text1"/>
          <w:sz w:val="18"/>
        </w:rPr>
        <w:t>(долл. США)</w:t>
      </w:r>
    </w:p>
    <w:tbl>
      <w:tblPr>
        <w:tblW w:w="8647" w:type="dxa"/>
        <w:jc w:val="center"/>
        <w:tblLook w:val="04A0" w:firstRow="1" w:lastRow="0" w:firstColumn="1" w:lastColumn="0" w:noHBand="0" w:noVBand="1"/>
      </w:tblPr>
      <w:tblGrid>
        <w:gridCol w:w="3854"/>
        <w:gridCol w:w="1527"/>
        <w:gridCol w:w="1527"/>
        <w:gridCol w:w="1739"/>
      </w:tblGrid>
      <w:tr w:rsidR="0015126A" w:rsidRPr="00060EA2" w14:paraId="64F73087" w14:textId="77777777" w:rsidTr="00361521">
        <w:trPr>
          <w:trHeight w:val="433"/>
          <w:jc w:val="center"/>
        </w:trPr>
        <w:tc>
          <w:tcPr>
            <w:tcW w:w="3854" w:type="dxa"/>
            <w:vMerge w:val="restart"/>
            <w:tcBorders>
              <w:top w:val="single" w:sz="4" w:space="0" w:color="auto"/>
              <w:left w:val="nil"/>
              <w:bottom w:val="single" w:sz="4" w:space="0" w:color="auto"/>
              <w:right w:val="nil"/>
            </w:tcBorders>
            <w:shd w:val="clear" w:color="auto" w:fill="auto"/>
            <w:noWrap/>
            <w:vAlign w:val="bottom"/>
            <w:hideMark/>
          </w:tcPr>
          <w:p w14:paraId="65C39135" w14:textId="4ADFE5EA" w:rsidR="0015126A" w:rsidRPr="00060EA2" w:rsidRDefault="0015126A" w:rsidP="00361521">
            <w:pPr>
              <w:keepNext/>
              <w:keepLines/>
              <w:ind w:left="32"/>
              <w:jc w:val="left"/>
              <w:rPr>
                <w:i/>
                <w:iCs/>
                <w:color w:val="000000"/>
                <w:sz w:val="18"/>
                <w:szCs w:val="18"/>
              </w:rPr>
            </w:pPr>
            <w:r w:rsidRPr="00060EA2">
              <w:rPr>
                <w:i/>
                <w:color w:val="000000" w:themeColor="text1"/>
                <w:sz w:val="18"/>
              </w:rPr>
              <w:t>Целевой фонд</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1AA69A43" w14:textId="0A840F1D" w:rsidR="0015126A" w:rsidRPr="00060EA2" w:rsidRDefault="0015126A" w:rsidP="00361521">
            <w:pPr>
              <w:keepNext/>
              <w:keepLines/>
              <w:ind w:left="32"/>
              <w:jc w:val="right"/>
              <w:rPr>
                <w:i/>
                <w:iCs/>
                <w:color w:val="000000"/>
                <w:sz w:val="18"/>
                <w:szCs w:val="18"/>
              </w:rPr>
            </w:pPr>
            <w:r w:rsidRPr="00060EA2">
              <w:rPr>
                <w:i/>
                <w:color w:val="000000" w:themeColor="text1"/>
                <w:sz w:val="18"/>
              </w:rPr>
              <w:t>Утвержденный бюджет на 2023 г.</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0478C76C" w14:textId="07447B7E" w:rsidR="0015126A" w:rsidRPr="00060EA2" w:rsidRDefault="0015126A" w:rsidP="00361521">
            <w:pPr>
              <w:keepNext/>
              <w:keepLines/>
              <w:ind w:left="32"/>
              <w:jc w:val="right"/>
              <w:rPr>
                <w:i/>
                <w:iCs/>
                <w:color w:val="000000"/>
                <w:sz w:val="18"/>
                <w:szCs w:val="18"/>
              </w:rPr>
            </w:pPr>
            <w:r w:rsidRPr="00060EA2">
              <w:rPr>
                <w:i/>
                <w:color w:val="000000" w:themeColor="text1"/>
                <w:sz w:val="18"/>
              </w:rPr>
              <w:t>Утвержденный бюджет на 2024 г.</w:t>
            </w:r>
          </w:p>
        </w:tc>
        <w:tc>
          <w:tcPr>
            <w:tcW w:w="1739" w:type="dxa"/>
            <w:vMerge w:val="restart"/>
            <w:tcBorders>
              <w:top w:val="single" w:sz="4" w:space="0" w:color="auto"/>
              <w:left w:val="nil"/>
              <w:bottom w:val="single" w:sz="4" w:space="0" w:color="auto"/>
              <w:right w:val="nil"/>
            </w:tcBorders>
            <w:shd w:val="clear" w:color="auto" w:fill="auto"/>
            <w:vAlign w:val="bottom"/>
            <w:hideMark/>
          </w:tcPr>
          <w:p w14:paraId="28872DDD" w14:textId="36345521" w:rsidR="0015126A" w:rsidRPr="00060EA2" w:rsidRDefault="0015126A" w:rsidP="00361521">
            <w:pPr>
              <w:keepNext/>
              <w:keepLines/>
              <w:ind w:left="32"/>
              <w:jc w:val="right"/>
              <w:rPr>
                <w:i/>
                <w:iCs/>
                <w:color w:val="000000"/>
                <w:sz w:val="18"/>
                <w:szCs w:val="18"/>
              </w:rPr>
            </w:pPr>
            <w:r w:rsidRPr="00060EA2">
              <w:rPr>
                <w:i/>
                <w:color w:val="000000" w:themeColor="text1"/>
                <w:sz w:val="18"/>
              </w:rPr>
              <w:t>Общий утвержденный бюджет на двухлетний период 2023-2024 гг.</w:t>
            </w:r>
          </w:p>
        </w:tc>
      </w:tr>
      <w:tr w:rsidR="0015126A" w:rsidRPr="00060EA2" w14:paraId="107192FC" w14:textId="77777777" w:rsidTr="00361521">
        <w:trPr>
          <w:trHeight w:val="433"/>
          <w:jc w:val="center"/>
        </w:trPr>
        <w:tc>
          <w:tcPr>
            <w:tcW w:w="3854" w:type="dxa"/>
            <w:vMerge/>
            <w:tcBorders>
              <w:bottom w:val="single" w:sz="4" w:space="0" w:color="auto"/>
            </w:tcBorders>
            <w:vAlign w:val="center"/>
            <w:hideMark/>
          </w:tcPr>
          <w:p w14:paraId="7A0DA28D" w14:textId="77777777" w:rsidR="0015126A" w:rsidRPr="00060EA2" w:rsidRDefault="0015126A" w:rsidP="00361521">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7821F08F" w14:textId="77777777" w:rsidR="0015126A" w:rsidRPr="00060EA2" w:rsidRDefault="0015126A" w:rsidP="00361521">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4916892C" w14:textId="77777777" w:rsidR="0015126A" w:rsidRPr="00060EA2" w:rsidRDefault="0015126A" w:rsidP="00361521">
            <w:pPr>
              <w:keepNext/>
              <w:keepLines/>
              <w:ind w:left="32"/>
              <w:jc w:val="left"/>
              <w:rPr>
                <w:b/>
                <w:bCs/>
                <w:color w:val="000000"/>
                <w:sz w:val="18"/>
                <w:szCs w:val="18"/>
                <w:lang w:eastAsia="zh-CN"/>
              </w:rPr>
            </w:pPr>
          </w:p>
        </w:tc>
        <w:tc>
          <w:tcPr>
            <w:tcW w:w="1739" w:type="dxa"/>
            <w:vMerge/>
            <w:tcBorders>
              <w:bottom w:val="single" w:sz="4" w:space="0" w:color="auto"/>
            </w:tcBorders>
            <w:vAlign w:val="center"/>
            <w:hideMark/>
          </w:tcPr>
          <w:p w14:paraId="00993421" w14:textId="77777777" w:rsidR="0015126A" w:rsidRPr="00060EA2" w:rsidRDefault="0015126A" w:rsidP="00361521">
            <w:pPr>
              <w:keepNext/>
              <w:keepLines/>
              <w:ind w:left="32"/>
              <w:jc w:val="left"/>
              <w:rPr>
                <w:b/>
                <w:bCs/>
                <w:color w:val="000000"/>
                <w:sz w:val="18"/>
                <w:szCs w:val="18"/>
                <w:lang w:eastAsia="zh-CN"/>
              </w:rPr>
            </w:pPr>
          </w:p>
        </w:tc>
      </w:tr>
      <w:tr w:rsidR="0015126A" w:rsidRPr="00060EA2" w14:paraId="796E195B" w14:textId="77777777" w:rsidTr="00361521">
        <w:trPr>
          <w:trHeight w:val="275"/>
          <w:jc w:val="center"/>
        </w:trPr>
        <w:tc>
          <w:tcPr>
            <w:tcW w:w="3854" w:type="dxa"/>
            <w:tcBorders>
              <w:top w:val="single" w:sz="4" w:space="0" w:color="auto"/>
              <w:left w:val="nil"/>
              <w:bottom w:val="nil"/>
              <w:right w:val="nil"/>
            </w:tcBorders>
            <w:shd w:val="clear" w:color="auto" w:fill="auto"/>
            <w:noWrap/>
            <w:vAlign w:val="bottom"/>
            <w:hideMark/>
          </w:tcPr>
          <w:p w14:paraId="70207B7A" w14:textId="38A5E4C7" w:rsidR="0015126A" w:rsidRPr="00060EA2" w:rsidRDefault="0015126A" w:rsidP="00361521">
            <w:pPr>
              <w:keepNext/>
              <w:keepLines/>
              <w:ind w:left="32"/>
              <w:jc w:val="left"/>
              <w:rPr>
                <w:color w:val="000000"/>
                <w:sz w:val="18"/>
                <w:szCs w:val="18"/>
              </w:rPr>
            </w:pPr>
            <w:r w:rsidRPr="00060EA2">
              <w:rPr>
                <w:color w:val="000000" w:themeColor="text1"/>
                <w:sz w:val="18"/>
              </w:rPr>
              <w:t>Общий целевой фонд Конвенции</w:t>
            </w:r>
          </w:p>
        </w:tc>
        <w:tc>
          <w:tcPr>
            <w:tcW w:w="1527" w:type="dxa"/>
            <w:tcBorders>
              <w:top w:val="single" w:sz="4" w:space="0" w:color="auto"/>
              <w:left w:val="nil"/>
              <w:bottom w:val="nil"/>
              <w:right w:val="nil"/>
            </w:tcBorders>
            <w:shd w:val="clear" w:color="auto" w:fill="auto"/>
            <w:noWrap/>
            <w:vAlign w:val="bottom"/>
            <w:hideMark/>
          </w:tcPr>
          <w:p w14:paraId="292DE9ED" w14:textId="60241936" w:rsidR="0015126A" w:rsidRPr="00060EA2" w:rsidRDefault="0015126A" w:rsidP="00361521">
            <w:pPr>
              <w:keepNext/>
              <w:keepLines/>
              <w:ind w:left="32"/>
              <w:jc w:val="right"/>
              <w:rPr>
                <w:color w:val="000000"/>
                <w:sz w:val="18"/>
                <w:szCs w:val="18"/>
              </w:rPr>
            </w:pPr>
            <w:r w:rsidRPr="00060EA2">
              <w:rPr>
                <w:color w:val="000000" w:themeColor="text1"/>
                <w:sz w:val="18"/>
              </w:rPr>
              <w:t>14 350 800</w:t>
            </w:r>
          </w:p>
        </w:tc>
        <w:tc>
          <w:tcPr>
            <w:tcW w:w="1527" w:type="dxa"/>
            <w:tcBorders>
              <w:top w:val="single" w:sz="4" w:space="0" w:color="auto"/>
              <w:left w:val="nil"/>
              <w:bottom w:val="nil"/>
              <w:right w:val="nil"/>
            </w:tcBorders>
            <w:shd w:val="clear" w:color="auto" w:fill="auto"/>
            <w:noWrap/>
            <w:vAlign w:val="bottom"/>
            <w:hideMark/>
          </w:tcPr>
          <w:p w14:paraId="6173E8DC" w14:textId="576F069F" w:rsidR="0015126A" w:rsidRPr="00060EA2" w:rsidRDefault="0015126A" w:rsidP="00361521">
            <w:pPr>
              <w:keepNext/>
              <w:keepLines/>
              <w:ind w:left="32"/>
              <w:jc w:val="right"/>
              <w:rPr>
                <w:color w:val="000000"/>
                <w:sz w:val="18"/>
                <w:szCs w:val="18"/>
              </w:rPr>
            </w:pPr>
            <w:r w:rsidRPr="00060EA2">
              <w:rPr>
                <w:color w:val="000000" w:themeColor="text1"/>
                <w:sz w:val="18"/>
              </w:rPr>
              <w:t>15 634 400</w:t>
            </w:r>
          </w:p>
        </w:tc>
        <w:tc>
          <w:tcPr>
            <w:tcW w:w="1739" w:type="dxa"/>
            <w:tcBorders>
              <w:top w:val="single" w:sz="4" w:space="0" w:color="auto"/>
              <w:left w:val="nil"/>
              <w:bottom w:val="nil"/>
              <w:right w:val="nil"/>
            </w:tcBorders>
            <w:shd w:val="clear" w:color="auto" w:fill="auto"/>
            <w:noWrap/>
            <w:vAlign w:val="bottom"/>
            <w:hideMark/>
          </w:tcPr>
          <w:p w14:paraId="36B92FDE" w14:textId="04C38653" w:rsidR="0015126A" w:rsidRPr="00060EA2" w:rsidRDefault="0015126A" w:rsidP="00361521">
            <w:pPr>
              <w:keepNext/>
              <w:keepLines/>
              <w:ind w:left="32"/>
              <w:jc w:val="right"/>
              <w:rPr>
                <w:color w:val="000000"/>
                <w:sz w:val="18"/>
                <w:szCs w:val="18"/>
              </w:rPr>
            </w:pPr>
            <w:r w:rsidRPr="00060EA2">
              <w:rPr>
                <w:color w:val="000000" w:themeColor="text1"/>
                <w:sz w:val="18"/>
              </w:rPr>
              <w:t>29 985 200</w:t>
            </w:r>
          </w:p>
        </w:tc>
      </w:tr>
      <w:tr w:rsidR="0015126A" w:rsidRPr="00060EA2" w14:paraId="040D69DB" w14:textId="77777777" w:rsidTr="00361521">
        <w:trPr>
          <w:trHeight w:val="275"/>
          <w:jc w:val="center"/>
        </w:trPr>
        <w:tc>
          <w:tcPr>
            <w:tcW w:w="3854" w:type="dxa"/>
            <w:tcBorders>
              <w:top w:val="nil"/>
              <w:left w:val="nil"/>
              <w:bottom w:val="nil"/>
              <w:right w:val="nil"/>
            </w:tcBorders>
            <w:shd w:val="clear" w:color="auto" w:fill="auto"/>
            <w:noWrap/>
            <w:vAlign w:val="bottom"/>
            <w:hideMark/>
          </w:tcPr>
          <w:p w14:paraId="0FCFC3BA" w14:textId="14538983" w:rsidR="0015126A" w:rsidRPr="00060EA2" w:rsidRDefault="0015126A" w:rsidP="00361521">
            <w:pPr>
              <w:keepNext/>
              <w:keepLines/>
              <w:ind w:left="32"/>
              <w:jc w:val="left"/>
              <w:rPr>
                <w:color w:val="000000"/>
                <w:sz w:val="18"/>
                <w:szCs w:val="18"/>
              </w:rPr>
            </w:pPr>
            <w:r w:rsidRPr="00060EA2">
              <w:rPr>
                <w:color w:val="000000" w:themeColor="text1"/>
                <w:sz w:val="18"/>
              </w:rPr>
              <w:t>Общий целевой фонд для основного бюджета по программе Картахенского протокола</w:t>
            </w:r>
          </w:p>
        </w:tc>
        <w:tc>
          <w:tcPr>
            <w:tcW w:w="1527" w:type="dxa"/>
            <w:tcBorders>
              <w:top w:val="nil"/>
              <w:left w:val="nil"/>
              <w:bottom w:val="nil"/>
              <w:right w:val="nil"/>
            </w:tcBorders>
            <w:shd w:val="clear" w:color="auto" w:fill="auto"/>
            <w:noWrap/>
            <w:vAlign w:val="bottom"/>
            <w:hideMark/>
          </w:tcPr>
          <w:p w14:paraId="3094803A" w14:textId="1DD3F112" w:rsidR="0015126A" w:rsidRPr="00060EA2" w:rsidRDefault="0015126A" w:rsidP="00361521">
            <w:pPr>
              <w:keepNext/>
              <w:keepLines/>
              <w:ind w:left="32"/>
              <w:jc w:val="right"/>
              <w:rPr>
                <w:color w:val="000000"/>
                <w:sz w:val="18"/>
                <w:szCs w:val="18"/>
              </w:rPr>
            </w:pPr>
            <w:r w:rsidRPr="00060EA2">
              <w:rPr>
                <w:color w:val="000000"/>
                <w:sz w:val="18"/>
              </w:rPr>
              <w:t>2 989 700</w:t>
            </w:r>
          </w:p>
        </w:tc>
        <w:tc>
          <w:tcPr>
            <w:tcW w:w="1527" w:type="dxa"/>
            <w:tcBorders>
              <w:top w:val="nil"/>
              <w:left w:val="nil"/>
              <w:bottom w:val="nil"/>
              <w:right w:val="nil"/>
            </w:tcBorders>
            <w:shd w:val="clear" w:color="auto" w:fill="auto"/>
            <w:noWrap/>
            <w:vAlign w:val="bottom"/>
            <w:hideMark/>
          </w:tcPr>
          <w:p w14:paraId="4C07F9C0" w14:textId="6E8B9630" w:rsidR="0015126A" w:rsidRPr="00060EA2" w:rsidRDefault="0015126A" w:rsidP="00361521">
            <w:pPr>
              <w:keepNext/>
              <w:keepLines/>
              <w:ind w:left="32"/>
              <w:jc w:val="right"/>
              <w:rPr>
                <w:color w:val="000000"/>
                <w:sz w:val="18"/>
                <w:szCs w:val="18"/>
              </w:rPr>
            </w:pPr>
            <w:r w:rsidRPr="00060EA2">
              <w:rPr>
                <w:color w:val="000000" w:themeColor="text1"/>
                <w:sz w:val="18"/>
              </w:rPr>
              <w:t>3 257 200</w:t>
            </w:r>
          </w:p>
        </w:tc>
        <w:tc>
          <w:tcPr>
            <w:tcW w:w="1739" w:type="dxa"/>
            <w:tcBorders>
              <w:top w:val="nil"/>
              <w:left w:val="nil"/>
              <w:bottom w:val="nil"/>
              <w:right w:val="nil"/>
            </w:tcBorders>
            <w:shd w:val="clear" w:color="auto" w:fill="auto"/>
            <w:noWrap/>
            <w:vAlign w:val="bottom"/>
            <w:hideMark/>
          </w:tcPr>
          <w:p w14:paraId="69051BEE" w14:textId="32DBC68D" w:rsidR="0015126A" w:rsidRPr="00060EA2" w:rsidRDefault="0015126A" w:rsidP="00361521">
            <w:pPr>
              <w:keepNext/>
              <w:keepLines/>
              <w:ind w:left="32"/>
              <w:jc w:val="right"/>
              <w:rPr>
                <w:color w:val="000000"/>
                <w:sz w:val="18"/>
                <w:szCs w:val="18"/>
              </w:rPr>
            </w:pPr>
            <w:r w:rsidRPr="00060EA2">
              <w:rPr>
                <w:color w:val="000000" w:themeColor="text1"/>
                <w:sz w:val="18"/>
              </w:rPr>
              <w:t>6 246 900</w:t>
            </w:r>
          </w:p>
        </w:tc>
      </w:tr>
      <w:tr w:rsidR="0015126A" w:rsidRPr="00060EA2" w14:paraId="32714A21" w14:textId="77777777" w:rsidTr="00361521">
        <w:trPr>
          <w:trHeight w:val="275"/>
          <w:jc w:val="center"/>
        </w:trPr>
        <w:tc>
          <w:tcPr>
            <w:tcW w:w="3854" w:type="dxa"/>
            <w:tcBorders>
              <w:top w:val="nil"/>
              <w:left w:val="nil"/>
              <w:bottom w:val="nil"/>
              <w:right w:val="nil"/>
            </w:tcBorders>
            <w:shd w:val="clear" w:color="auto" w:fill="auto"/>
            <w:noWrap/>
            <w:vAlign w:val="bottom"/>
            <w:hideMark/>
          </w:tcPr>
          <w:p w14:paraId="11A2BBB8" w14:textId="6D7B96CA" w:rsidR="0015126A" w:rsidRPr="00060EA2" w:rsidRDefault="0015126A" w:rsidP="00361521">
            <w:pPr>
              <w:ind w:left="32"/>
              <w:jc w:val="left"/>
              <w:rPr>
                <w:color w:val="000000"/>
                <w:sz w:val="18"/>
                <w:szCs w:val="18"/>
              </w:rPr>
            </w:pPr>
            <w:r w:rsidRPr="00060EA2">
              <w:rPr>
                <w:color w:val="000000" w:themeColor="text1"/>
                <w:sz w:val="18"/>
              </w:rPr>
              <w:t>Общий целевой фонд для основного бюджета по программе Нагойского протокола</w:t>
            </w:r>
          </w:p>
        </w:tc>
        <w:tc>
          <w:tcPr>
            <w:tcW w:w="1527" w:type="dxa"/>
            <w:tcBorders>
              <w:top w:val="nil"/>
              <w:left w:val="nil"/>
              <w:bottom w:val="nil"/>
              <w:right w:val="nil"/>
            </w:tcBorders>
            <w:shd w:val="clear" w:color="auto" w:fill="auto"/>
            <w:noWrap/>
            <w:vAlign w:val="bottom"/>
            <w:hideMark/>
          </w:tcPr>
          <w:p w14:paraId="2B084E6C" w14:textId="7FF21080" w:rsidR="0015126A" w:rsidRPr="00060EA2" w:rsidRDefault="0015126A" w:rsidP="00361521">
            <w:pPr>
              <w:ind w:left="32"/>
              <w:jc w:val="right"/>
              <w:rPr>
                <w:color w:val="000000"/>
                <w:sz w:val="18"/>
                <w:szCs w:val="18"/>
              </w:rPr>
            </w:pPr>
            <w:r w:rsidRPr="00060EA2">
              <w:rPr>
                <w:color w:val="000000" w:themeColor="text1"/>
                <w:sz w:val="18"/>
              </w:rPr>
              <w:t>2 591 100</w:t>
            </w:r>
          </w:p>
        </w:tc>
        <w:tc>
          <w:tcPr>
            <w:tcW w:w="1527" w:type="dxa"/>
            <w:tcBorders>
              <w:top w:val="nil"/>
              <w:left w:val="nil"/>
              <w:bottom w:val="nil"/>
              <w:right w:val="nil"/>
            </w:tcBorders>
            <w:shd w:val="clear" w:color="auto" w:fill="auto"/>
            <w:noWrap/>
            <w:vAlign w:val="bottom"/>
            <w:hideMark/>
          </w:tcPr>
          <w:p w14:paraId="78B55122" w14:textId="56350074" w:rsidR="0015126A" w:rsidRPr="00060EA2" w:rsidRDefault="0015126A" w:rsidP="00361521">
            <w:pPr>
              <w:ind w:left="32"/>
              <w:jc w:val="right"/>
              <w:rPr>
                <w:color w:val="000000"/>
                <w:sz w:val="18"/>
                <w:szCs w:val="18"/>
              </w:rPr>
            </w:pPr>
            <w:r w:rsidRPr="00060EA2">
              <w:rPr>
                <w:color w:val="000000" w:themeColor="text1"/>
                <w:sz w:val="18"/>
              </w:rPr>
              <w:t>2 822 900</w:t>
            </w:r>
          </w:p>
        </w:tc>
        <w:tc>
          <w:tcPr>
            <w:tcW w:w="1739" w:type="dxa"/>
            <w:tcBorders>
              <w:top w:val="nil"/>
              <w:left w:val="nil"/>
              <w:bottom w:val="nil"/>
              <w:right w:val="nil"/>
            </w:tcBorders>
            <w:shd w:val="clear" w:color="auto" w:fill="auto"/>
            <w:noWrap/>
            <w:vAlign w:val="bottom"/>
            <w:hideMark/>
          </w:tcPr>
          <w:p w14:paraId="5EF685A1" w14:textId="413C8CFD" w:rsidR="0015126A" w:rsidRPr="00060EA2" w:rsidRDefault="0015126A" w:rsidP="00361521">
            <w:pPr>
              <w:ind w:left="32"/>
              <w:jc w:val="right"/>
              <w:rPr>
                <w:color w:val="000000"/>
                <w:sz w:val="18"/>
                <w:szCs w:val="18"/>
              </w:rPr>
            </w:pPr>
            <w:r w:rsidRPr="00060EA2">
              <w:rPr>
                <w:color w:val="000000" w:themeColor="text1"/>
                <w:sz w:val="18"/>
              </w:rPr>
              <w:t>5 414 000</w:t>
            </w:r>
          </w:p>
        </w:tc>
      </w:tr>
      <w:tr w:rsidR="0015126A" w:rsidRPr="00060EA2" w14:paraId="44443344" w14:textId="77777777" w:rsidTr="00361521">
        <w:trPr>
          <w:trHeight w:val="275"/>
          <w:jc w:val="center"/>
        </w:trPr>
        <w:tc>
          <w:tcPr>
            <w:tcW w:w="3854" w:type="dxa"/>
            <w:tcBorders>
              <w:top w:val="single" w:sz="4" w:space="0" w:color="auto"/>
              <w:left w:val="nil"/>
              <w:bottom w:val="single" w:sz="4" w:space="0" w:color="auto"/>
              <w:right w:val="nil"/>
            </w:tcBorders>
            <w:shd w:val="clear" w:color="auto" w:fill="auto"/>
            <w:noWrap/>
            <w:vAlign w:val="bottom"/>
            <w:hideMark/>
          </w:tcPr>
          <w:p w14:paraId="3F35A942" w14:textId="4BFC172F" w:rsidR="0015126A" w:rsidRPr="00060EA2" w:rsidRDefault="0015126A" w:rsidP="00361521">
            <w:pPr>
              <w:tabs>
                <w:tab w:val="clear" w:pos="567"/>
                <w:tab w:val="left" w:pos="316"/>
              </w:tabs>
              <w:ind w:left="32"/>
              <w:jc w:val="left"/>
              <w:rPr>
                <w:b/>
                <w:bCs/>
                <w:color w:val="000000"/>
                <w:sz w:val="18"/>
                <w:szCs w:val="18"/>
              </w:rPr>
            </w:pPr>
            <w:r w:rsidRPr="00060EA2">
              <w:rPr>
                <w:b/>
                <w:color w:val="000000" w:themeColor="text1"/>
                <w:sz w:val="18"/>
              </w:rPr>
              <w:tab/>
              <w:t>Итого</w:t>
            </w:r>
          </w:p>
        </w:tc>
        <w:tc>
          <w:tcPr>
            <w:tcW w:w="1527" w:type="dxa"/>
            <w:tcBorders>
              <w:top w:val="single" w:sz="4" w:space="0" w:color="auto"/>
              <w:left w:val="nil"/>
              <w:bottom w:val="single" w:sz="4" w:space="0" w:color="auto"/>
              <w:right w:val="nil"/>
            </w:tcBorders>
            <w:shd w:val="clear" w:color="auto" w:fill="auto"/>
            <w:noWrap/>
            <w:vAlign w:val="bottom"/>
            <w:hideMark/>
          </w:tcPr>
          <w:p w14:paraId="08AB1794" w14:textId="62E5D7C7" w:rsidR="0015126A" w:rsidRPr="00060EA2" w:rsidRDefault="0015126A" w:rsidP="00361521">
            <w:pPr>
              <w:ind w:left="32"/>
              <w:jc w:val="right"/>
              <w:rPr>
                <w:b/>
                <w:bCs/>
                <w:color w:val="000000"/>
                <w:sz w:val="18"/>
                <w:szCs w:val="18"/>
              </w:rPr>
            </w:pPr>
            <w:r w:rsidRPr="00060EA2">
              <w:rPr>
                <w:b/>
                <w:color w:val="000000" w:themeColor="text1"/>
                <w:sz w:val="18"/>
              </w:rPr>
              <w:t>19 931 600</w:t>
            </w:r>
          </w:p>
        </w:tc>
        <w:tc>
          <w:tcPr>
            <w:tcW w:w="1527" w:type="dxa"/>
            <w:tcBorders>
              <w:top w:val="single" w:sz="4" w:space="0" w:color="auto"/>
              <w:left w:val="nil"/>
              <w:bottom w:val="single" w:sz="4" w:space="0" w:color="auto"/>
              <w:right w:val="nil"/>
            </w:tcBorders>
            <w:shd w:val="clear" w:color="auto" w:fill="auto"/>
            <w:noWrap/>
            <w:vAlign w:val="bottom"/>
            <w:hideMark/>
          </w:tcPr>
          <w:p w14:paraId="26B45100" w14:textId="10703C53" w:rsidR="0015126A" w:rsidRPr="00060EA2" w:rsidRDefault="0015126A" w:rsidP="00361521">
            <w:pPr>
              <w:ind w:left="32"/>
              <w:jc w:val="right"/>
              <w:rPr>
                <w:b/>
                <w:bCs/>
                <w:color w:val="000000"/>
                <w:sz w:val="18"/>
                <w:szCs w:val="18"/>
              </w:rPr>
            </w:pPr>
            <w:bookmarkStart w:id="2" w:name="_Hlk176421975"/>
            <w:r w:rsidRPr="00060EA2">
              <w:rPr>
                <w:b/>
                <w:color w:val="000000" w:themeColor="text1"/>
                <w:sz w:val="18"/>
              </w:rPr>
              <w:t>21 714 500</w:t>
            </w:r>
            <w:bookmarkEnd w:id="2"/>
          </w:p>
        </w:tc>
        <w:tc>
          <w:tcPr>
            <w:tcW w:w="1739" w:type="dxa"/>
            <w:tcBorders>
              <w:top w:val="single" w:sz="4" w:space="0" w:color="auto"/>
              <w:left w:val="nil"/>
              <w:bottom w:val="single" w:sz="4" w:space="0" w:color="auto"/>
              <w:right w:val="nil"/>
            </w:tcBorders>
            <w:shd w:val="clear" w:color="auto" w:fill="auto"/>
            <w:noWrap/>
            <w:vAlign w:val="bottom"/>
            <w:hideMark/>
          </w:tcPr>
          <w:p w14:paraId="6E94245F" w14:textId="399885FE" w:rsidR="0015126A" w:rsidRPr="00060EA2" w:rsidRDefault="0015126A" w:rsidP="00361521">
            <w:pPr>
              <w:ind w:left="32"/>
              <w:jc w:val="right"/>
              <w:rPr>
                <w:b/>
                <w:bCs/>
                <w:color w:val="000000"/>
                <w:sz w:val="18"/>
                <w:szCs w:val="18"/>
              </w:rPr>
            </w:pPr>
            <w:bookmarkStart w:id="3" w:name="_Hlk176422224"/>
            <w:r w:rsidRPr="00060EA2">
              <w:rPr>
                <w:b/>
                <w:color w:val="000000" w:themeColor="text1"/>
                <w:sz w:val="18"/>
              </w:rPr>
              <w:t>41 646</w:t>
            </w:r>
            <w:bookmarkEnd w:id="3"/>
            <w:r w:rsidRPr="00060EA2">
              <w:rPr>
                <w:b/>
                <w:color w:val="000000" w:themeColor="text1"/>
                <w:sz w:val="18"/>
              </w:rPr>
              <w:t> 100</w:t>
            </w:r>
          </w:p>
        </w:tc>
      </w:tr>
    </w:tbl>
    <w:p w14:paraId="029AC54B" w14:textId="6ABEBC58" w:rsidR="0015126A" w:rsidRPr="00060EA2" w:rsidRDefault="0015126A" w:rsidP="00361521">
      <w:pPr>
        <w:pStyle w:val="CBDNormalNumber"/>
        <w:rPr>
          <w:rFonts w:eastAsia="Malgun Gothic"/>
          <w:kern w:val="22"/>
        </w:rPr>
      </w:pPr>
      <w:r w:rsidRPr="00060EA2">
        <w:t>Как показано в таблице 2, после вычета суммы средств, сэкономленных за предыдущие периоды, в размере 410 000 долл. США и взноса принимающей страны в размере 3 298 100 долл. США и добавления взносов в размере 10 400 долл. США от трех новых Сторон Нагойского протокола, общ</w:t>
      </w:r>
      <w:r w:rsidR="000B51CA">
        <w:t>ий</w:t>
      </w:r>
      <w:r w:rsidRPr="00060EA2">
        <w:t xml:space="preserve"> </w:t>
      </w:r>
      <w:r w:rsidR="000B51CA">
        <w:t>объем</w:t>
      </w:r>
      <w:r w:rsidRPr="00060EA2">
        <w:t xml:space="preserve"> начисленных взносов Сторон Конвенции и протоколов к ней в соответствии со шкалой взносов составил 37 948 400 долл. США за двухлетний период. </w:t>
      </w:r>
    </w:p>
    <w:p w14:paraId="3095F5E3" w14:textId="6BE97884" w:rsidR="0015126A" w:rsidRPr="00060EA2" w:rsidRDefault="0015126A" w:rsidP="00FD70F5">
      <w:pPr>
        <w:pStyle w:val="CBDTableTitle"/>
      </w:pPr>
      <w:r w:rsidRPr="00060EA2">
        <w:rPr>
          <w:b w:val="0"/>
        </w:rPr>
        <w:lastRenderedPageBreak/>
        <w:t>Таблица 2</w:t>
      </w:r>
      <w:r w:rsidRPr="00060EA2">
        <w:br/>
        <w:t>Общее состояние начисленных взносов, 2023-2024 годы</w:t>
      </w:r>
    </w:p>
    <w:p w14:paraId="48A99164" w14:textId="4DD130B7" w:rsidR="0015126A" w:rsidRPr="00060EA2" w:rsidRDefault="0015126A" w:rsidP="00361521">
      <w:pPr>
        <w:pStyle w:val="CBDTableTitle"/>
        <w:spacing w:before="0"/>
        <w:rPr>
          <w:b w:val="0"/>
          <w:bCs/>
          <w:sz w:val="18"/>
          <w:szCs w:val="18"/>
        </w:rPr>
      </w:pPr>
      <w:r w:rsidRPr="00060EA2">
        <w:rPr>
          <w:b w:val="0"/>
          <w:color w:val="000000" w:themeColor="text1"/>
          <w:sz w:val="18"/>
        </w:rPr>
        <w:t>(тыс. долл. США)</w:t>
      </w:r>
    </w:p>
    <w:tbl>
      <w:tblPr>
        <w:tblW w:w="5812" w:type="dxa"/>
        <w:jc w:val="center"/>
        <w:tblLook w:val="04A0" w:firstRow="1" w:lastRow="0" w:firstColumn="1" w:lastColumn="0" w:noHBand="0" w:noVBand="1"/>
      </w:tblPr>
      <w:tblGrid>
        <w:gridCol w:w="4260"/>
        <w:gridCol w:w="1552"/>
      </w:tblGrid>
      <w:tr w:rsidR="0015126A" w:rsidRPr="00060EA2" w14:paraId="270D29F4" w14:textId="77777777" w:rsidTr="00361521">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19FC8059" w14:textId="4ECED478" w:rsidR="0015126A" w:rsidRPr="00060EA2" w:rsidRDefault="0015126A" w:rsidP="00F531D2">
            <w:pPr>
              <w:jc w:val="left"/>
              <w:rPr>
                <w:i/>
                <w:iCs/>
                <w:color w:val="000000"/>
                <w:sz w:val="18"/>
                <w:szCs w:val="18"/>
              </w:rPr>
            </w:pPr>
            <w:r w:rsidRPr="00060EA2">
              <w:rPr>
                <w:i/>
                <w:color w:val="000000" w:themeColor="text1"/>
                <w:sz w:val="18"/>
              </w:rPr>
              <w:t>Источник финансирования</w:t>
            </w:r>
          </w:p>
        </w:tc>
        <w:tc>
          <w:tcPr>
            <w:tcW w:w="1552" w:type="dxa"/>
            <w:tcBorders>
              <w:top w:val="single" w:sz="4" w:space="0" w:color="auto"/>
              <w:left w:val="nil"/>
              <w:bottom w:val="single" w:sz="4" w:space="0" w:color="auto"/>
              <w:right w:val="nil"/>
            </w:tcBorders>
            <w:shd w:val="clear" w:color="auto" w:fill="auto"/>
            <w:vAlign w:val="center"/>
            <w:hideMark/>
          </w:tcPr>
          <w:p w14:paraId="06D4A6BC" w14:textId="08AC49F9" w:rsidR="0015126A" w:rsidRPr="00060EA2" w:rsidRDefault="0015126A" w:rsidP="00F531D2">
            <w:pPr>
              <w:jc w:val="right"/>
              <w:rPr>
                <w:i/>
                <w:iCs/>
                <w:color w:val="000000"/>
                <w:sz w:val="18"/>
                <w:szCs w:val="18"/>
              </w:rPr>
            </w:pPr>
            <w:r w:rsidRPr="00060EA2">
              <w:rPr>
                <w:i/>
                <w:color w:val="000000" w:themeColor="text1"/>
                <w:sz w:val="18"/>
              </w:rPr>
              <w:t>Сумма</w:t>
            </w:r>
          </w:p>
        </w:tc>
      </w:tr>
      <w:tr w:rsidR="0015126A" w:rsidRPr="00060EA2" w14:paraId="3F2FD620" w14:textId="77777777" w:rsidTr="00361521">
        <w:trPr>
          <w:trHeight w:val="290"/>
          <w:jc w:val="center"/>
        </w:trPr>
        <w:tc>
          <w:tcPr>
            <w:tcW w:w="4260" w:type="dxa"/>
            <w:tcBorders>
              <w:top w:val="nil"/>
              <w:left w:val="nil"/>
              <w:bottom w:val="nil"/>
              <w:right w:val="nil"/>
            </w:tcBorders>
            <w:shd w:val="clear" w:color="auto" w:fill="auto"/>
            <w:vAlign w:val="center"/>
            <w:hideMark/>
          </w:tcPr>
          <w:p w14:paraId="3F0F3D33" w14:textId="77777777" w:rsidR="0015126A" w:rsidRPr="00060EA2" w:rsidRDefault="0015126A" w:rsidP="00F531D2">
            <w:pPr>
              <w:jc w:val="left"/>
              <w:rPr>
                <w:color w:val="000000"/>
                <w:sz w:val="18"/>
                <w:szCs w:val="18"/>
              </w:rPr>
            </w:pPr>
            <w:r w:rsidRPr="00060EA2">
              <w:rPr>
                <w:color w:val="000000" w:themeColor="text1"/>
                <w:sz w:val="18"/>
              </w:rPr>
              <w:t>Утвержденный бюджет</w:t>
            </w:r>
          </w:p>
        </w:tc>
        <w:tc>
          <w:tcPr>
            <w:tcW w:w="1552" w:type="dxa"/>
            <w:tcBorders>
              <w:top w:val="nil"/>
              <w:left w:val="nil"/>
              <w:bottom w:val="nil"/>
              <w:right w:val="nil"/>
            </w:tcBorders>
            <w:shd w:val="clear" w:color="auto" w:fill="auto"/>
            <w:vAlign w:val="center"/>
            <w:hideMark/>
          </w:tcPr>
          <w:p w14:paraId="46AB92E9" w14:textId="549E90CD" w:rsidR="0015126A" w:rsidRPr="00060EA2" w:rsidRDefault="0015126A" w:rsidP="00F531D2">
            <w:pPr>
              <w:jc w:val="right"/>
              <w:rPr>
                <w:color w:val="000000"/>
                <w:sz w:val="18"/>
                <w:szCs w:val="18"/>
              </w:rPr>
            </w:pPr>
            <w:r w:rsidRPr="00060EA2">
              <w:rPr>
                <w:color w:val="000000" w:themeColor="text1"/>
                <w:sz w:val="18"/>
              </w:rPr>
              <w:t>41 646,1</w:t>
            </w:r>
          </w:p>
        </w:tc>
      </w:tr>
      <w:tr w:rsidR="0015126A" w:rsidRPr="00060EA2" w14:paraId="3C0918B4" w14:textId="77777777" w:rsidTr="00361521">
        <w:trPr>
          <w:trHeight w:val="290"/>
          <w:jc w:val="center"/>
        </w:trPr>
        <w:tc>
          <w:tcPr>
            <w:tcW w:w="4260" w:type="dxa"/>
            <w:tcBorders>
              <w:top w:val="nil"/>
              <w:left w:val="nil"/>
              <w:bottom w:val="nil"/>
              <w:right w:val="nil"/>
            </w:tcBorders>
            <w:shd w:val="clear" w:color="auto" w:fill="auto"/>
            <w:vAlign w:val="center"/>
            <w:hideMark/>
          </w:tcPr>
          <w:p w14:paraId="29366F87" w14:textId="77777777" w:rsidR="0015126A" w:rsidRPr="00060EA2" w:rsidRDefault="0015126A" w:rsidP="00F531D2">
            <w:pPr>
              <w:jc w:val="left"/>
              <w:rPr>
                <w:color w:val="000000"/>
                <w:sz w:val="18"/>
                <w:szCs w:val="18"/>
              </w:rPr>
            </w:pPr>
            <w:r w:rsidRPr="00060EA2">
              <w:rPr>
                <w:color w:val="000000" w:themeColor="text1"/>
                <w:sz w:val="18"/>
              </w:rPr>
              <w:t>Принимающая страна</w:t>
            </w:r>
          </w:p>
        </w:tc>
        <w:tc>
          <w:tcPr>
            <w:tcW w:w="1552" w:type="dxa"/>
            <w:tcBorders>
              <w:top w:val="nil"/>
              <w:left w:val="nil"/>
              <w:bottom w:val="nil"/>
              <w:right w:val="nil"/>
            </w:tcBorders>
            <w:shd w:val="clear" w:color="auto" w:fill="auto"/>
            <w:vAlign w:val="center"/>
            <w:hideMark/>
          </w:tcPr>
          <w:p w14:paraId="28616915" w14:textId="6225DCEA" w:rsidR="0015126A" w:rsidRPr="00060EA2" w:rsidRDefault="0015126A" w:rsidP="00F531D2">
            <w:pPr>
              <w:jc w:val="right"/>
              <w:rPr>
                <w:color w:val="000000"/>
                <w:sz w:val="18"/>
                <w:szCs w:val="18"/>
              </w:rPr>
            </w:pPr>
            <w:r w:rsidRPr="00060EA2">
              <w:rPr>
                <w:color w:val="000000" w:themeColor="text1"/>
                <w:sz w:val="18"/>
              </w:rPr>
              <w:t>(3 298,1)</w:t>
            </w:r>
          </w:p>
        </w:tc>
      </w:tr>
      <w:tr w:rsidR="0015126A" w:rsidRPr="00060EA2" w14:paraId="4FF3821C" w14:textId="77777777" w:rsidTr="00361521">
        <w:trPr>
          <w:trHeight w:val="300"/>
          <w:jc w:val="center"/>
        </w:trPr>
        <w:tc>
          <w:tcPr>
            <w:tcW w:w="4260" w:type="dxa"/>
            <w:tcBorders>
              <w:top w:val="nil"/>
              <w:left w:val="nil"/>
              <w:bottom w:val="nil"/>
              <w:right w:val="nil"/>
            </w:tcBorders>
            <w:shd w:val="clear" w:color="auto" w:fill="auto"/>
            <w:vAlign w:val="center"/>
            <w:hideMark/>
          </w:tcPr>
          <w:p w14:paraId="44059592" w14:textId="479D382C" w:rsidR="0015126A" w:rsidRPr="00060EA2" w:rsidRDefault="0015126A" w:rsidP="00F531D2">
            <w:pPr>
              <w:jc w:val="left"/>
              <w:rPr>
                <w:color w:val="000000"/>
                <w:sz w:val="18"/>
                <w:szCs w:val="18"/>
              </w:rPr>
            </w:pPr>
            <w:r w:rsidRPr="00060EA2">
              <w:rPr>
                <w:color w:val="000000" w:themeColor="text1"/>
                <w:sz w:val="18"/>
              </w:rPr>
              <w:t>Средства, сэкономленные в предыдущие годы</w:t>
            </w:r>
          </w:p>
        </w:tc>
        <w:tc>
          <w:tcPr>
            <w:tcW w:w="1552" w:type="dxa"/>
            <w:tcBorders>
              <w:top w:val="nil"/>
              <w:left w:val="nil"/>
              <w:bottom w:val="nil"/>
              <w:right w:val="nil"/>
            </w:tcBorders>
            <w:shd w:val="clear" w:color="auto" w:fill="auto"/>
            <w:vAlign w:val="center"/>
            <w:hideMark/>
          </w:tcPr>
          <w:p w14:paraId="2547D643" w14:textId="7BA07914" w:rsidR="0015126A" w:rsidRPr="00060EA2" w:rsidRDefault="0015126A" w:rsidP="00F531D2">
            <w:pPr>
              <w:jc w:val="right"/>
              <w:rPr>
                <w:color w:val="000000"/>
                <w:sz w:val="18"/>
                <w:szCs w:val="18"/>
              </w:rPr>
            </w:pPr>
            <w:r w:rsidRPr="00060EA2">
              <w:rPr>
                <w:color w:val="000000" w:themeColor="text1"/>
                <w:sz w:val="18"/>
              </w:rPr>
              <w:t>(410,0)</w:t>
            </w:r>
          </w:p>
        </w:tc>
      </w:tr>
      <w:tr w:rsidR="0015126A" w:rsidRPr="00060EA2" w14:paraId="0CF73FB8" w14:textId="77777777" w:rsidTr="00361521">
        <w:trPr>
          <w:trHeight w:val="315"/>
          <w:jc w:val="center"/>
        </w:trPr>
        <w:tc>
          <w:tcPr>
            <w:tcW w:w="4260" w:type="dxa"/>
            <w:tcBorders>
              <w:top w:val="nil"/>
              <w:left w:val="nil"/>
              <w:bottom w:val="single" w:sz="4" w:space="0" w:color="auto"/>
              <w:right w:val="nil"/>
            </w:tcBorders>
            <w:shd w:val="clear" w:color="auto" w:fill="auto"/>
            <w:vAlign w:val="center"/>
            <w:hideMark/>
          </w:tcPr>
          <w:p w14:paraId="4BD347BC" w14:textId="77777777" w:rsidR="0015126A" w:rsidRPr="00060EA2" w:rsidRDefault="0015126A" w:rsidP="00F531D2">
            <w:pPr>
              <w:jc w:val="left"/>
              <w:rPr>
                <w:color w:val="000000"/>
                <w:sz w:val="18"/>
                <w:szCs w:val="18"/>
              </w:rPr>
            </w:pPr>
            <w:r w:rsidRPr="00060EA2">
              <w:rPr>
                <w:color w:val="000000" w:themeColor="text1"/>
                <w:sz w:val="18"/>
              </w:rPr>
              <w:t>Новые Стороны протоколов</w:t>
            </w:r>
          </w:p>
        </w:tc>
        <w:tc>
          <w:tcPr>
            <w:tcW w:w="1552" w:type="dxa"/>
            <w:tcBorders>
              <w:top w:val="nil"/>
              <w:left w:val="nil"/>
              <w:bottom w:val="single" w:sz="4" w:space="0" w:color="auto"/>
              <w:right w:val="nil"/>
            </w:tcBorders>
            <w:shd w:val="clear" w:color="auto" w:fill="auto"/>
            <w:vAlign w:val="center"/>
            <w:hideMark/>
          </w:tcPr>
          <w:p w14:paraId="0373CFCB" w14:textId="276DC245" w:rsidR="0015126A" w:rsidRPr="00060EA2" w:rsidRDefault="0015126A" w:rsidP="00F531D2">
            <w:pPr>
              <w:jc w:val="right"/>
              <w:rPr>
                <w:color w:val="000000"/>
                <w:sz w:val="18"/>
                <w:szCs w:val="18"/>
              </w:rPr>
            </w:pPr>
            <w:r w:rsidRPr="00060EA2">
              <w:rPr>
                <w:color w:val="000000"/>
                <w:sz w:val="18"/>
              </w:rPr>
              <w:t>10,4</w:t>
            </w:r>
          </w:p>
        </w:tc>
      </w:tr>
      <w:tr w:rsidR="0015126A" w:rsidRPr="00060EA2" w14:paraId="1197FCA2" w14:textId="77777777" w:rsidTr="00361521">
        <w:trPr>
          <w:trHeight w:val="290"/>
          <w:jc w:val="center"/>
        </w:trPr>
        <w:tc>
          <w:tcPr>
            <w:tcW w:w="4260" w:type="dxa"/>
            <w:tcBorders>
              <w:top w:val="nil"/>
              <w:left w:val="nil"/>
              <w:bottom w:val="single" w:sz="4" w:space="0" w:color="auto"/>
              <w:right w:val="nil"/>
            </w:tcBorders>
            <w:shd w:val="clear" w:color="auto" w:fill="auto"/>
            <w:vAlign w:val="center"/>
            <w:hideMark/>
          </w:tcPr>
          <w:p w14:paraId="04542654" w14:textId="324C68D7" w:rsidR="0015126A" w:rsidRPr="00060EA2" w:rsidRDefault="0015126A" w:rsidP="00361521">
            <w:pPr>
              <w:tabs>
                <w:tab w:val="clear" w:pos="567"/>
                <w:tab w:val="left" w:pos="316"/>
              </w:tabs>
              <w:rPr>
                <w:b/>
                <w:bCs/>
                <w:color w:val="000000"/>
                <w:sz w:val="18"/>
                <w:szCs w:val="18"/>
              </w:rPr>
            </w:pPr>
            <w:r w:rsidRPr="00060EA2">
              <w:rPr>
                <w:b/>
                <w:color w:val="000000" w:themeColor="text1"/>
                <w:sz w:val="18"/>
              </w:rPr>
              <w:tab/>
            </w:r>
            <w:r w:rsidR="00BF361E">
              <w:rPr>
                <w:b/>
                <w:color w:val="000000" w:themeColor="text1"/>
                <w:sz w:val="18"/>
              </w:rPr>
              <w:t>Итого</w:t>
            </w:r>
            <w:r w:rsidRPr="00060EA2">
              <w:rPr>
                <w:b/>
                <w:color w:val="000000" w:themeColor="text1"/>
                <w:sz w:val="18"/>
              </w:rPr>
              <w:t xml:space="preserve"> начисленных взносов</w:t>
            </w:r>
          </w:p>
        </w:tc>
        <w:tc>
          <w:tcPr>
            <w:tcW w:w="1552" w:type="dxa"/>
            <w:tcBorders>
              <w:top w:val="nil"/>
              <w:left w:val="nil"/>
              <w:bottom w:val="single" w:sz="4" w:space="0" w:color="auto"/>
              <w:right w:val="nil"/>
            </w:tcBorders>
            <w:shd w:val="clear" w:color="auto" w:fill="auto"/>
            <w:vAlign w:val="center"/>
            <w:hideMark/>
          </w:tcPr>
          <w:p w14:paraId="2B4F05A3" w14:textId="6198F20B" w:rsidR="0015126A" w:rsidRPr="00060EA2" w:rsidRDefault="0015126A" w:rsidP="00F531D2">
            <w:pPr>
              <w:jc w:val="right"/>
              <w:rPr>
                <w:b/>
                <w:bCs/>
                <w:color w:val="000000"/>
                <w:sz w:val="18"/>
                <w:szCs w:val="18"/>
              </w:rPr>
            </w:pPr>
            <w:r w:rsidRPr="00060EA2">
              <w:rPr>
                <w:b/>
                <w:color w:val="000000" w:themeColor="text1"/>
                <w:sz w:val="18"/>
              </w:rPr>
              <w:t>37 948,4</w:t>
            </w:r>
          </w:p>
        </w:tc>
      </w:tr>
    </w:tbl>
    <w:p w14:paraId="29AB1202" w14:textId="77777777" w:rsidR="00CB0022" w:rsidRDefault="00CB0022" w:rsidP="009B0710">
      <w:pPr>
        <w:pStyle w:val="CBDTableTitle"/>
        <w:rPr>
          <w:b w:val="0"/>
        </w:rPr>
      </w:pPr>
    </w:p>
    <w:p w14:paraId="33B5B05B" w14:textId="563AD285" w:rsidR="0015126A" w:rsidRPr="00060EA2" w:rsidRDefault="0015126A" w:rsidP="009B0710">
      <w:pPr>
        <w:pStyle w:val="CBDTableTitle"/>
      </w:pPr>
      <w:r w:rsidRPr="00060EA2">
        <w:rPr>
          <w:b w:val="0"/>
        </w:rPr>
        <w:t>Таблица 3</w:t>
      </w:r>
      <w:r w:rsidRPr="00060EA2">
        <w:t xml:space="preserve"> </w:t>
      </w:r>
      <w:r w:rsidRPr="00060EA2">
        <w:rPr>
          <w:i/>
        </w:rPr>
        <w:br/>
      </w:r>
      <w:r w:rsidRPr="00060EA2">
        <w:t xml:space="preserve">Состояние взносов в осуществление Конвенции и протоколов к ней за двухлетний период 2023-2024 годов, </w:t>
      </w:r>
      <w:r w:rsidRPr="00060EA2">
        <w:br/>
        <w:t>по состоянию на 31 июля 2024 года</w:t>
      </w:r>
    </w:p>
    <w:p w14:paraId="087CBC12" w14:textId="7379CB81" w:rsidR="0015126A" w:rsidRPr="00060EA2" w:rsidRDefault="0015126A" w:rsidP="009B0710">
      <w:pPr>
        <w:pStyle w:val="Style1"/>
        <w:numPr>
          <w:ilvl w:val="0"/>
          <w:numId w:val="0"/>
        </w:numPr>
        <w:tabs>
          <w:tab w:val="left" w:pos="567"/>
        </w:tabs>
        <w:spacing w:before="0" w:after="60"/>
        <w:ind w:left="567"/>
        <w:outlineLvl w:val="9"/>
        <w:rPr>
          <w:rFonts w:ascii="Times New Roman" w:hAnsi="Times New Roman" w:cs="Times New Roman"/>
          <w:b w:val="0"/>
          <w:bCs/>
          <w:i w:val="0"/>
          <w:iCs w:val="0"/>
          <w:sz w:val="18"/>
          <w:szCs w:val="18"/>
        </w:rPr>
      </w:pPr>
      <w:r w:rsidRPr="00060EA2">
        <w:rPr>
          <w:rFonts w:ascii="Times New Roman" w:hAnsi="Times New Roman"/>
          <w:b w:val="0"/>
          <w:i w:val="0"/>
          <w:color w:val="000000" w:themeColor="text1"/>
          <w:sz w:val="18"/>
        </w:rPr>
        <w:t>(тыс. долл. США)</w:t>
      </w:r>
    </w:p>
    <w:tbl>
      <w:tblPr>
        <w:tblW w:w="8820" w:type="dxa"/>
        <w:jc w:val="center"/>
        <w:tblLook w:val="04A0" w:firstRow="1" w:lastRow="0" w:firstColumn="1" w:lastColumn="0" w:noHBand="0" w:noVBand="1"/>
      </w:tblPr>
      <w:tblGrid>
        <w:gridCol w:w="2435"/>
        <w:gridCol w:w="259"/>
        <w:gridCol w:w="974"/>
        <w:gridCol w:w="1157"/>
        <w:gridCol w:w="1196"/>
        <w:gridCol w:w="1439"/>
        <w:gridCol w:w="1360"/>
      </w:tblGrid>
      <w:tr w:rsidR="003E73B7" w:rsidRPr="003E73B7" w14:paraId="421664AD" w14:textId="77777777" w:rsidTr="00695099">
        <w:trPr>
          <w:trHeight w:val="246"/>
          <w:jc w:val="center"/>
        </w:trPr>
        <w:tc>
          <w:tcPr>
            <w:tcW w:w="2435" w:type="dxa"/>
            <w:tcBorders>
              <w:top w:val="single" w:sz="4" w:space="0" w:color="auto"/>
              <w:bottom w:val="single" w:sz="4" w:space="0" w:color="auto"/>
            </w:tcBorders>
            <w:vAlign w:val="center"/>
            <w:hideMark/>
          </w:tcPr>
          <w:p w14:paraId="6980EEA3" w14:textId="77777777" w:rsidR="0015126A" w:rsidRPr="00695099" w:rsidRDefault="0015126A" w:rsidP="00695099">
            <w:pPr>
              <w:keepNext/>
              <w:keepLines/>
              <w:ind w:left="179"/>
              <w:jc w:val="left"/>
              <w:rPr>
                <w:color w:val="000000"/>
                <w:sz w:val="18"/>
                <w:szCs w:val="18"/>
                <w:lang w:val="en-GB" w:eastAsia="zh-CN"/>
              </w:rPr>
            </w:pPr>
          </w:p>
        </w:tc>
        <w:tc>
          <w:tcPr>
            <w:tcW w:w="1233" w:type="dxa"/>
            <w:gridSpan w:val="2"/>
            <w:tcBorders>
              <w:top w:val="single" w:sz="4" w:space="0" w:color="auto"/>
              <w:bottom w:val="single" w:sz="4" w:space="0" w:color="auto"/>
              <w:right w:val="nil"/>
            </w:tcBorders>
            <w:shd w:val="clear" w:color="auto" w:fill="auto"/>
            <w:noWrap/>
            <w:vAlign w:val="bottom"/>
            <w:hideMark/>
          </w:tcPr>
          <w:p w14:paraId="124FDEED" w14:textId="2280F74C" w:rsidR="0015126A" w:rsidRPr="00695099" w:rsidRDefault="0015126A" w:rsidP="00695099">
            <w:pPr>
              <w:keepNext/>
              <w:keepLines/>
              <w:jc w:val="center"/>
              <w:rPr>
                <w:i/>
                <w:iCs/>
                <w:color w:val="000000"/>
                <w:sz w:val="18"/>
                <w:szCs w:val="18"/>
                <w:lang w:val="en-GB" w:eastAsia="zh-CN"/>
              </w:rPr>
            </w:pPr>
            <w:r w:rsidRPr="00695099">
              <w:rPr>
                <w:i/>
                <w:iCs/>
                <w:color w:val="000000"/>
                <w:sz w:val="18"/>
                <w:szCs w:val="18"/>
                <w:lang w:val="en-GB" w:eastAsia="zh-CN"/>
              </w:rPr>
              <w:t>Сумма начисленных взносов</w:t>
            </w:r>
          </w:p>
        </w:tc>
        <w:tc>
          <w:tcPr>
            <w:tcW w:w="1157" w:type="dxa"/>
            <w:tcBorders>
              <w:top w:val="single" w:sz="4" w:space="0" w:color="auto"/>
              <w:left w:val="nil"/>
              <w:bottom w:val="single" w:sz="4" w:space="0" w:color="auto"/>
              <w:right w:val="nil"/>
            </w:tcBorders>
            <w:shd w:val="clear" w:color="auto" w:fill="auto"/>
            <w:noWrap/>
            <w:vAlign w:val="bottom"/>
            <w:hideMark/>
          </w:tcPr>
          <w:p w14:paraId="1D27D94E" w14:textId="489BD395" w:rsidR="0015126A" w:rsidRPr="00695099" w:rsidRDefault="0015126A" w:rsidP="00695099">
            <w:pPr>
              <w:keepNext/>
              <w:keepLines/>
              <w:jc w:val="center"/>
              <w:rPr>
                <w:i/>
                <w:iCs/>
                <w:color w:val="000000"/>
                <w:sz w:val="18"/>
                <w:szCs w:val="18"/>
                <w:lang w:val="en-GB" w:eastAsia="zh-CN"/>
              </w:rPr>
            </w:pPr>
            <w:r w:rsidRPr="00695099">
              <w:rPr>
                <w:i/>
                <w:iCs/>
                <w:color w:val="000000"/>
                <w:sz w:val="18"/>
                <w:szCs w:val="18"/>
                <w:lang w:val="en-GB" w:eastAsia="zh-CN"/>
              </w:rPr>
              <w:t>Сумма полученных взносов</w:t>
            </w:r>
          </w:p>
        </w:tc>
        <w:tc>
          <w:tcPr>
            <w:tcW w:w="1196" w:type="dxa"/>
            <w:tcBorders>
              <w:top w:val="single" w:sz="4" w:space="0" w:color="auto"/>
              <w:left w:val="nil"/>
              <w:bottom w:val="single" w:sz="4" w:space="0" w:color="auto"/>
              <w:right w:val="nil"/>
            </w:tcBorders>
            <w:shd w:val="clear" w:color="auto" w:fill="auto"/>
            <w:noWrap/>
            <w:vAlign w:val="bottom"/>
            <w:hideMark/>
          </w:tcPr>
          <w:p w14:paraId="1CC84973" w14:textId="385ED706" w:rsidR="0015126A" w:rsidRPr="00695099" w:rsidRDefault="0015126A" w:rsidP="00695099">
            <w:pPr>
              <w:keepNext/>
              <w:keepLines/>
              <w:jc w:val="center"/>
              <w:rPr>
                <w:i/>
                <w:iCs/>
                <w:color w:val="000000"/>
                <w:sz w:val="18"/>
                <w:szCs w:val="18"/>
                <w:lang w:val="en-GB" w:eastAsia="zh-CN"/>
              </w:rPr>
            </w:pPr>
            <w:r w:rsidRPr="00695099">
              <w:rPr>
                <w:i/>
                <w:iCs/>
                <w:color w:val="000000"/>
                <w:sz w:val="18"/>
                <w:szCs w:val="18"/>
                <w:lang w:val="en-GB" w:eastAsia="zh-CN"/>
              </w:rPr>
              <w:t xml:space="preserve">Доля в </w:t>
            </w:r>
            <w:r w:rsidR="008055AC" w:rsidRPr="00695099">
              <w:rPr>
                <w:i/>
                <w:iCs/>
                <w:color w:val="000000"/>
                <w:sz w:val="18"/>
                <w:szCs w:val="18"/>
                <w:lang w:val="en-GB" w:eastAsia="zh-CN"/>
              </w:rPr>
              <w:t>%</w:t>
            </w:r>
          </w:p>
        </w:tc>
        <w:tc>
          <w:tcPr>
            <w:tcW w:w="1439" w:type="dxa"/>
            <w:tcBorders>
              <w:top w:val="single" w:sz="4" w:space="0" w:color="auto"/>
              <w:left w:val="nil"/>
              <w:bottom w:val="single" w:sz="4" w:space="0" w:color="auto"/>
              <w:right w:val="nil"/>
            </w:tcBorders>
            <w:shd w:val="clear" w:color="auto" w:fill="auto"/>
            <w:noWrap/>
            <w:vAlign w:val="bottom"/>
            <w:hideMark/>
          </w:tcPr>
          <w:p w14:paraId="4AB67886" w14:textId="2C3103F6" w:rsidR="0015126A" w:rsidRPr="00695099" w:rsidRDefault="000A003A" w:rsidP="00695099">
            <w:pPr>
              <w:keepNext/>
              <w:keepLines/>
              <w:jc w:val="center"/>
              <w:rPr>
                <w:i/>
                <w:iCs/>
                <w:color w:val="000000"/>
                <w:sz w:val="18"/>
                <w:szCs w:val="18"/>
                <w:lang w:val="en-GB" w:eastAsia="zh-CN"/>
              </w:rPr>
            </w:pPr>
            <w:r w:rsidRPr="00695099">
              <w:rPr>
                <w:i/>
                <w:iCs/>
                <w:color w:val="000000"/>
                <w:sz w:val="18"/>
                <w:szCs w:val="18"/>
                <w:lang w:val="en-GB" w:eastAsia="zh-CN"/>
              </w:rPr>
              <w:t>Сумма невыплаченных взносов</w:t>
            </w:r>
          </w:p>
        </w:tc>
        <w:tc>
          <w:tcPr>
            <w:tcW w:w="1360" w:type="dxa"/>
            <w:tcBorders>
              <w:top w:val="single" w:sz="4" w:space="0" w:color="auto"/>
              <w:left w:val="nil"/>
              <w:bottom w:val="single" w:sz="4" w:space="0" w:color="auto"/>
              <w:right w:val="nil"/>
            </w:tcBorders>
            <w:shd w:val="clear" w:color="auto" w:fill="auto"/>
            <w:noWrap/>
            <w:vAlign w:val="bottom"/>
            <w:hideMark/>
          </w:tcPr>
          <w:p w14:paraId="553A8BEA" w14:textId="296BCFA2" w:rsidR="0015126A" w:rsidRPr="00695099" w:rsidRDefault="0015126A" w:rsidP="00695099">
            <w:pPr>
              <w:keepNext/>
              <w:keepLines/>
              <w:jc w:val="center"/>
              <w:rPr>
                <w:i/>
                <w:iCs/>
                <w:color w:val="000000"/>
                <w:sz w:val="18"/>
                <w:szCs w:val="18"/>
                <w:lang w:val="en-GB" w:eastAsia="zh-CN"/>
              </w:rPr>
            </w:pPr>
            <w:r w:rsidRPr="00695099">
              <w:rPr>
                <w:i/>
                <w:iCs/>
                <w:color w:val="000000"/>
                <w:sz w:val="18"/>
                <w:szCs w:val="18"/>
                <w:lang w:val="en-GB" w:eastAsia="zh-CN"/>
              </w:rPr>
              <w:t xml:space="preserve">Доля в </w:t>
            </w:r>
            <w:r w:rsidR="008055AC" w:rsidRPr="00695099">
              <w:rPr>
                <w:i/>
                <w:iCs/>
                <w:color w:val="000000"/>
                <w:sz w:val="18"/>
                <w:szCs w:val="18"/>
                <w:lang w:val="en-GB" w:eastAsia="zh-CN"/>
              </w:rPr>
              <w:t>%</w:t>
            </w:r>
          </w:p>
        </w:tc>
      </w:tr>
      <w:tr w:rsidR="00684BB2" w:rsidRPr="00060EA2" w14:paraId="22B73784" w14:textId="77777777" w:rsidTr="00695099">
        <w:trPr>
          <w:trHeight w:val="259"/>
          <w:jc w:val="center"/>
        </w:trPr>
        <w:tc>
          <w:tcPr>
            <w:tcW w:w="2694" w:type="dxa"/>
            <w:gridSpan w:val="2"/>
            <w:tcBorders>
              <w:top w:val="single" w:sz="4" w:space="0" w:color="auto"/>
              <w:left w:val="nil"/>
              <w:bottom w:val="nil"/>
            </w:tcBorders>
            <w:shd w:val="clear" w:color="auto" w:fill="auto"/>
            <w:noWrap/>
            <w:vAlign w:val="bottom"/>
            <w:hideMark/>
          </w:tcPr>
          <w:p w14:paraId="7021246D" w14:textId="410FFF6F" w:rsidR="0015126A" w:rsidRPr="00060EA2" w:rsidRDefault="0015126A" w:rsidP="00695099">
            <w:pPr>
              <w:keepNext/>
              <w:keepLines/>
              <w:tabs>
                <w:tab w:val="clear" w:pos="567"/>
                <w:tab w:val="left" w:pos="458"/>
              </w:tabs>
              <w:ind w:left="37"/>
              <w:jc w:val="left"/>
              <w:rPr>
                <w:color w:val="000000"/>
                <w:sz w:val="18"/>
                <w:szCs w:val="18"/>
              </w:rPr>
            </w:pPr>
            <w:r w:rsidRPr="00060EA2">
              <w:rPr>
                <w:color w:val="000000" w:themeColor="text1"/>
                <w:sz w:val="18"/>
              </w:rPr>
              <w:t>Общий целевой фонд Конвенции</w:t>
            </w:r>
          </w:p>
        </w:tc>
        <w:tc>
          <w:tcPr>
            <w:tcW w:w="974" w:type="dxa"/>
            <w:tcBorders>
              <w:top w:val="single" w:sz="4" w:space="0" w:color="auto"/>
              <w:bottom w:val="nil"/>
              <w:right w:val="nil"/>
            </w:tcBorders>
            <w:shd w:val="clear" w:color="auto" w:fill="auto"/>
            <w:noWrap/>
            <w:vAlign w:val="bottom"/>
            <w:hideMark/>
          </w:tcPr>
          <w:p w14:paraId="427F52CC" w14:textId="1DC72250" w:rsidR="0015126A" w:rsidRPr="00060EA2" w:rsidRDefault="0015126A" w:rsidP="00C81818">
            <w:pPr>
              <w:keepNext/>
              <w:keepLines/>
              <w:jc w:val="right"/>
              <w:rPr>
                <w:color w:val="000000"/>
                <w:sz w:val="18"/>
                <w:szCs w:val="18"/>
              </w:rPr>
            </w:pPr>
            <w:r w:rsidRPr="00060EA2">
              <w:rPr>
                <w:color w:val="000000" w:themeColor="text1"/>
                <w:sz w:val="18"/>
              </w:rPr>
              <w:t>27 315,4</w:t>
            </w:r>
          </w:p>
        </w:tc>
        <w:tc>
          <w:tcPr>
            <w:tcW w:w="1157" w:type="dxa"/>
            <w:tcBorders>
              <w:top w:val="single" w:sz="4" w:space="0" w:color="auto"/>
              <w:left w:val="nil"/>
              <w:bottom w:val="nil"/>
              <w:right w:val="nil"/>
            </w:tcBorders>
            <w:shd w:val="clear" w:color="auto" w:fill="auto"/>
            <w:noWrap/>
            <w:vAlign w:val="bottom"/>
            <w:hideMark/>
          </w:tcPr>
          <w:p w14:paraId="299836D9" w14:textId="7B7C1A7F" w:rsidR="0015126A" w:rsidRPr="00060EA2" w:rsidRDefault="0015126A" w:rsidP="00C81818">
            <w:pPr>
              <w:keepNext/>
              <w:keepLines/>
              <w:jc w:val="right"/>
              <w:rPr>
                <w:color w:val="000000"/>
                <w:sz w:val="18"/>
                <w:szCs w:val="18"/>
              </w:rPr>
            </w:pPr>
            <w:r w:rsidRPr="00060EA2">
              <w:rPr>
                <w:color w:val="000000"/>
                <w:sz w:val="18"/>
              </w:rPr>
              <w:t>21 343,6</w:t>
            </w:r>
          </w:p>
        </w:tc>
        <w:tc>
          <w:tcPr>
            <w:tcW w:w="1196" w:type="dxa"/>
            <w:tcBorders>
              <w:top w:val="single" w:sz="4" w:space="0" w:color="auto"/>
              <w:left w:val="nil"/>
              <w:bottom w:val="nil"/>
              <w:right w:val="nil"/>
            </w:tcBorders>
            <w:shd w:val="clear" w:color="auto" w:fill="auto"/>
            <w:noWrap/>
            <w:vAlign w:val="bottom"/>
            <w:hideMark/>
          </w:tcPr>
          <w:p w14:paraId="4F7CFB66" w14:textId="63116642" w:rsidR="0015126A" w:rsidRPr="00060EA2" w:rsidRDefault="0015126A" w:rsidP="00C81818">
            <w:pPr>
              <w:keepNext/>
              <w:keepLines/>
              <w:jc w:val="right"/>
              <w:rPr>
                <w:color w:val="000000"/>
                <w:sz w:val="18"/>
                <w:szCs w:val="18"/>
              </w:rPr>
            </w:pPr>
            <w:r w:rsidRPr="00060EA2">
              <w:rPr>
                <w:color w:val="000000"/>
                <w:sz w:val="18"/>
              </w:rPr>
              <w:t>78,14</w:t>
            </w:r>
          </w:p>
        </w:tc>
        <w:tc>
          <w:tcPr>
            <w:tcW w:w="1439" w:type="dxa"/>
            <w:tcBorders>
              <w:top w:val="single" w:sz="4" w:space="0" w:color="auto"/>
              <w:left w:val="nil"/>
              <w:bottom w:val="nil"/>
              <w:right w:val="nil"/>
            </w:tcBorders>
            <w:shd w:val="clear" w:color="auto" w:fill="auto"/>
            <w:noWrap/>
            <w:vAlign w:val="bottom"/>
            <w:hideMark/>
          </w:tcPr>
          <w:p w14:paraId="08C5465C" w14:textId="2D8CD003" w:rsidR="0015126A" w:rsidRPr="00060EA2" w:rsidRDefault="0015126A" w:rsidP="00C81818">
            <w:pPr>
              <w:keepNext/>
              <w:keepLines/>
              <w:jc w:val="right"/>
              <w:rPr>
                <w:color w:val="000000"/>
                <w:sz w:val="18"/>
                <w:szCs w:val="18"/>
              </w:rPr>
            </w:pPr>
            <w:r w:rsidRPr="00060EA2">
              <w:rPr>
                <w:color w:val="000000"/>
                <w:sz w:val="18"/>
              </w:rPr>
              <w:t>5 971,8</w:t>
            </w:r>
          </w:p>
        </w:tc>
        <w:tc>
          <w:tcPr>
            <w:tcW w:w="1360" w:type="dxa"/>
            <w:tcBorders>
              <w:top w:val="single" w:sz="4" w:space="0" w:color="auto"/>
              <w:left w:val="nil"/>
              <w:bottom w:val="nil"/>
              <w:right w:val="nil"/>
            </w:tcBorders>
            <w:shd w:val="clear" w:color="auto" w:fill="auto"/>
            <w:noWrap/>
            <w:vAlign w:val="bottom"/>
            <w:hideMark/>
          </w:tcPr>
          <w:p w14:paraId="1328E3C8" w14:textId="0E14DB5C" w:rsidR="0015126A" w:rsidRPr="00060EA2" w:rsidRDefault="0015126A" w:rsidP="00C81818">
            <w:pPr>
              <w:keepNext/>
              <w:keepLines/>
              <w:jc w:val="right"/>
              <w:rPr>
                <w:color w:val="000000"/>
                <w:sz w:val="18"/>
                <w:szCs w:val="18"/>
              </w:rPr>
            </w:pPr>
            <w:r w:rsidRPr="00060EA2">
              <w:rPr>
                <w:color w:val="000000" w:themeColor="text1"/>
                <w:sz w:val="18"/>
              </w:rPr>
              <w:t>21,86</w:t>
            </w:r>
          </w:p>
        </w:tc>
      </w:tr>
      <w:tr w:rsidR="00684BB2" w:rsidRPr="00060EA2" w14:paraId="7A75485A" w14:textId="77777777" w:rsidTr="00695099">
        <w:trPr>
          <w:trHeight w:val="238"/>
          <w:jc w:val="center"/>
        </w:trPr>
        <w:tc>
          <w:tcPr>
            <w:tcW w:w="2694" w:type="dxa"/>
            <w:gridSpan w:val="2"/>
            <w:tcBorders>
              <w:top w:val="nil"/>
              <w:left w:val="nil"/>
              <w:bottom w:val="nil"/>
            </w:tcBorders>
            <w:shd w:val="clear" w:color="auto" w:fill="auto"/>
            <w:noWrap/>
            <w:vAlign w:val="bottom"/>
            <w:hideMark/>
          </w:tcPr>
          <w:p w14:paraId="69D97DD8" w14:textId="5DCEC441" w:rsidR="0015126A" w:rsidRPr="00060EA2" w:rsidRDefault="0015126A" w:rsidP="00695099">
            <w:pPr>
              <w:keepNext/>
              <w:keepLines/>
              <w:tabs>
                <w:tab w:val="clear" w:pos="567"/>
                <w:tab w:val="left" w:pos="458"/>
              </w:tabs>
              <w:ind w:left="37"/>
              <w:jc w:val="left"/>
              <w:rPr>
                <w:color w:val="000000"/>
                <w:sz w:val="18"/>
                <w:szCs w:val="18"/>
              </w:rPr>
            </w:pPr>
            <w:r w:rsidRPr="00060EA2">
              <w:rPr>
                <w:color w:val="000000" w:themeColor="text1"/>
                <w:sz w:val="18"/>
              </w:rPr>
              <w:t>Общий целевой фонд для основного бюджета по программе Картахенского протокола</w:t>
            </w:r>
          </w:p>
        </w:tc>
        <w:tc>
          <w:tcPr>
            <w:tcW w:w="974" w:type="dxa"/>
            <w:tcBorders>
              <w:top w:val="nil"/>
              <w:right w:val="nil"/>
            </w:tcBorders>
            <w:shd w:val="clear" w:color="auto" w:fill="auto"/>
            <w:noWrap/>
            <w:vAlign w:val="bottom"/>
            <w:hideMark/>
          </w:tcPr>
          <w:p w14:paraId="57BDBED4" w14:textId="604BC84E" w:rsidR="0015126A" w:rsidRPr="00060EA2" w:rsidRDefault="0015126A" w:rsidP="00C81818">
            <w:pPr>
              <w:keepNext/>
              <w:keepLines/>
              <w:jc w:val="right"/>
              <w:rPr>
                <w:color w:val="000000"/>
                <w:sz w:val="18"/>
                <w:szCs w:val="18"/>
              </w:rPr>
            </w:pPr>
            <w:r w:rsidRPr="00060EA2">
              <w:rPr>
                <w:color w:val="000000" w:themeColor="text1"/>
                <w:sz w:val="18"/>
              </w:rPr>
              <w:t>5 690,7</w:t>
            </w:r>
          </w:p>
        </w:tc>
        <w:tc>
          <w:tcPr>
            <w:tcW w:w="1157" w:type="dxa"/>
            <w:tcBorders>
              <w:top w:val="nil"/>
              <w:left w:val="nil"/>
              <w:bottom w:val="nil"/>
              <w:right w:val="nil"/>
            </w:tcBorders>
            <w:shd w:val="clear" w:color="auto" w:fill="auto"/>
            <w:noWrap/>
            <w:vAlign w:val="bottom"/>
            <w:hideMark/>
          </w:tcPr>
          <w:p w14:paraId="254EB26B" w14:textId="5650383E" w:rsidR="0015126A" w:rsidRPr="00060EA2" w:rsidRDefault="0015126A" w:rsidP="00C81818">
            <w:pPr>
              <w:keepNext/>
              <w:keepLines/>
              <w:jc w:val="right"/>
              <w:rPr>
                <w:color w:val="000000"/>
                <w:sz w:val="18"/>
                <w:szCs w:val="18"/>
              </w:rPr>
            </w:pPr>
            <w:r w:rsidRPr="00060EA2">
              <w:rPr>
                <w:color w:val="000000"/>
                <w:sz w:val="18"/>
              </w:rPr>
              <w:t>4 577,6</w:t>
            </w:r>
          </w:p>
        </w:tc>
        <w:tc>
          <w:tcPr>
            <w:tcW w:w="1196" w:type="dxa"/>
            <w:tcBorders>
              <w:top w:val="nil"/>
              <w:left w:val="nil"/>
              <w:bottom w:val="nil"/>
              <w:right w:val="nil"/>
            </w:tcBorders>
            <w:shd w:val="clear" w:color="auto" w:fill="auto"/>
            <w:noWrap/>
            <w:vAlign w:val="bottom"/>
            <w:hideMark/>
          </w:tcPr>
          <w:p w14:paraId="571F7FD2" w14:textId="5E8A8F8B" w:rsidR="0015126A" w:rsidRPr="00060EA2" w:rsidRDefault="0015126A" w:rsidP="00C81818">
            <w:pPr>
              <w:keepNext/>
              <w:keepLines/>
              <w:jc w:val="right"/>
              <w:rPr>
                <w:color w:val="000000"/>
                <w:sz w:val="18"/>
                <w:szCs w:val="18"/>
              </w:rPr>
            </w:pPr>
            <w:r w:rsidRPr="00060EA2">
              <w:rPr>
                <w:color w:val="000000" w:themeColor="text1"/>
                <w:sz w:val="18"/>
              </w:rPr>
              <w:t>80,44</w:t>
            </w:r>
          </w:p>
        </w:tc>
        <w:tc>
          <w:tcPr>
            <w:tcW w:w="1439" w:type="dxa"/>
            <w:tcBorders>
              <w:top w:val="nil"/>
              <w:left w:val="nil"/>
              <w:bottom w:val="nil"/>
              <w:right w:val="nil"/>
            </w:tcBorders>
            <w:shd w:val="clear" w:color="auto" w:fill="auto"/>
            <w:noWrap/>
            <w:vAlign w:val="bottom"/>
            <w:hideMark/>
          </w:tcPr>
          <w:p w14:paraId="6E778A08" w14:textId="04B1AC5B" w:rsidR="0015126A" w:rsidRPr="00060EA2" w:rsidRDefault="0015126A" w:rsidP="00C81818">
            <w:pPr>
              <w:keepNext/>
              <w:keepLines/>
              <w:jc w:val="right"/>
              <w:rPr>
                <w:color w:val="000000"/>
                <w:sz w:val="18"/>
                <w:szCs w:val="18"/>
              </w:rPr>
            </w:pPr>
            <w:r w:rsidRPr="00060EA2">
              <w:rPr>
                <w:color w:val="000000"/>
                <w:sz w:val="18"/>
              </w:rPr>
              <w:t>1 113,1</w:t>
            </w:r>
          </w:p>
        </w:tc>
        <w:tc>
          <w:tcPr>
            <w:tcW w:w="1360" w:type="dxa"/>
            <w:tcBorders>
              <w:top w:val="nil"/>
              <w:left w:val="nil"/>
              <w:bottom w:val="nil"/>
              <w:right w:val="nil"/>
            </w:tcBorders>
            <w:shd w:val="clear" w:color="auto" w:fill="auto"/>
            <w:noWrap/>
            <w:vAlign w:val="bottom"/>
            <w:hideMark/>
          </w:tcPr>
          <w:p w14:paraId="7AF74093" w14:textId="2F2DBEE8" w:rsidR="0015126A" w:rsidRPr="00060EA2" w:rsidRDefault="0015126A" w:rsidP="00C81818">
            <w:pPr>
              <w:keepNext/>
              <w:keepLines/>
              <w:jc w:val="right"/>
              <w:rPr>
                <w:color w:val="000000"/>
                <w:sz w:val="18"/>
                <w:szCs w:val="18"/>
              </w:rPr>
            </w:pPr>
            <w:r w:rsidRPr="00060EA2">
              <w:rPr>
                <w:color w:val="000000" w:themeColor="text1"/>
                <w:sz w:val="18"/>
              </w:rPr>
              <w:t>19,56</w:t>
            </w:r>
          </w:p>
        </w:tc>
      </w:tr>
      <w:tr w:rsidR="00684BB2" w:rsidRPr="00060EA2" w14:paraId="627BCD58" w14:textId="77777777" w:rsidTr="00695099">
        <w:trPr>
          <w:trHeight w:val="238"/>
          <w:jc w:val="center"/>
        </w:trPr>
        <w:tc>
          <w:tcPr>
            <w:tcW w:w="2694" w:type="dxa"/>
            <w:gridSpan w:val="2"/>
            <w:tcBorders>
              <w:top w:val="nil"/>
              <w:left w:val="nil"/>
              <w:bottom w:val="nil"/>
            </w:tcBorders>
            <w:shd w:val="clear" w:color="auto" w:fill="auto"/>
            <w:noWrap/>
            <w:vAlign w:val="bottom"/>
            <w:hideMark/>
          </w:tcPr>
          <w:p w14:paraId="006595C4" w14:textId="184C3F29" w:rsidR="0015126A" w:rsidRPr="00060EA2" w:rsidRDefault="0015126A" w:rsidP="00695099">
            <w:pPr>
              <w:keepNext/>
              <w:keepLines/>
              <w:tabs>
                <w:tab w:val="clear" w:pos="567"/>
                <w:tab w:val="left" w:pos="458"/>
              </w:tabs>
              <w:ind w:left="37"/>
              <w:jc w:val="left"/>
              <w:rPr>
                <w:color w:val="000000"/>
                <w:sz w:val="18"/>
                <w:szCs w:val="18"/>
              </w:rPr>
            </w:pPr>
            <w:r w:rsidRPr="00060EA2">
              <w:rPr>
                <w:color w:val="000000" w:themeColor="text1"/>
                <w:sz w:val="18"/>
              </w:rPr>
              <w:t>Общий целевой фонд для основного бюджета по программе Нагойского протокола</w:t>
            </w:r>
          </w:p>
        </w:tc>
        <w:tc>
          <w:tcPr>
            <w:tcW w:w="974" w:type="dxa"/>
            <w:tcBorders>
              <w:top w:val="nil"/>
              <w:bottom w:val="single" w:sz="4" w:space="0" w:color="auto"/>
              <w:right w:val="nil"/>
            </w:tcBorders>
            <w:shd w:val="clear" w:color="auto" w:fill="auto"/>
            <w:noWrap/>
            <w:vAlign w:val="bottom"/>
            <w:hideMark/>
          </w:tcPr>
          <w:p w14:paraId="542F376D" w14:textId="401FBFDE" w:rsidR="0015126A" w:rsidRPr="00060EA2" w:rsidRDefault="0015126A" w:rsidP="00C81818">
            <w:pPr>
              <w:jc w:val="right"/>
              <w:rPr>
                <w:color w:val="000000"/>
                <w:sz w:val="18"/>
                <w:szCs w:val="18"/>
              </w:rPr>
            </w:pPr>
            <w:r w:rsidRPr="00060EA2">
              <w:rPr>
                <w:color w:val="000000"/>
                <w:sz w:val="18"/>
              </w:rPr>
              <w:t>4 942,3</w:t>
            </w:r>
          </w:p>
        </w:tc>
        <w:tc>
          <w:tcPr>
            <w:tcW w:w="1157" w:type="dxa"/>
            <w:tcBorders>
              <w:top w:val="nil"/>
              <w:left w:val="nil"/>
              <w:bottom w:val="nil"/>
              <w:right w:val="nil"/>
            </w:tcBorders>
            <w:shd w:val="clear" w:color="auto" w:fill="auto"/>
            <w:noWrap/>
            <w:vAlign w:val="bottom"/>
            <w:hideMark/>
          </w:tcPr>
          <w:p w14:paraId="326E256B" w14:textId="1D10756D" w:rsidR="0015126A" w:rsidRPr="00060EA2" w:rsidRDefault="0015126A" w:rsidP="00C81818">
            <w:pPr>
              <w:jc w:val="right"/>
              <w:rPr>
                <w:color w:val="000000"/>
                <w:sz w:val="18"/>
                <w:szCs w:val="18"/>
              </w:rPr>
            </w:pPr>
            <w:r w:rsidRPr="00060EA2">
              <w:rPr>
                <w:color w:val="000000"/>
                <w:sz w:val="18"/>
              </w:rPr>
              <w:t>3 620,6</w:t>
            </w:r>
          </w:p>
        </w:tc>
        <w:tc>
          <w:tcPr>
            <w:tcW w:w="1196" w:type="dxa"/>
            <w:tcBorders>
              <w:top w:val="nil"/>
              <w:left w:val="nil"/>
              <w:bottom w:val="nil"/>
              <w:right w:val="nil"/>
            </w:tcBorders>
            <w:shd w:val="clear" w:color="auto" w:fill="auto"/>
            <w:noWrap/>
            <w:vAlign w:val="bottom"/>
            <w:hideMark/>
          </w:tcPr>
          <w:p w14:paraId="469E5369" w14:textId="1B759EE8" w:rsidR="0015126A" w:rsidRPr="00060EA2" w:rsidRDefault="0015126A" w:rsidP="00C81818">
            <w:pPr>
              <w:jc w:val="right"/>
              <w:rPr>
                <w:color w:val="000000"/>
                <w:sz w:val="18"/>
                <w:szCs w:val="18"/>
              </w:rPr>
            </w:pPr>
            <w:r w:rsidRPr="00060EA2">
              <w:rPr>
                <w:color w:val="000000" w:themeColor="text1"/>
                <w:sz w:val="18"/>
              </w:rPr>
              <w:t>73,26</w:t>
            </w:r>
          </w:p>
        </w:tc>
        <w:tc>
          <w:tcPr>
            <w:tcW w:w="1439" w:type="dxa"/>
            <w:tcBorders>
              <w:top w:val="nil"/>
              <w:left w:val="nil"/>
              <w:bottom w:val="nil"/>
              <w:right w:val="nil"/>
            </w:tcBorders>
            <w:shd w:val="clear" w:color="auto" w:fill="auto"/>
            <w:noWrap/>
            <w:vAlign w:val="bottom"/>
            <w:hideMark/>
          </w:tcPr>
          <w:p w14:paraId="42F2BF4E" w14:textId="0A5DE8A0" w:rsidR="0015126A" w:rsidRPr="00060EA2" w:rsidRDefault="0015126A" w:rsidP="00C81818">
            <w:pPr>
              <w:jc w:val="right"/>
              <w:rPr>
                <w:color w:val="000000"/>
                <w:sz w:val="18"/>
                <w:szCs w:val="18"/>
              </w:rPr>
            </w:pPr>
            <w:r w:rsidRPr="00060EA2">
              <w:rPr>
                <w:color w:val="000000"/>
                <w:sz w:val="18"/>
              </w:rPr>
              <w:t>1 321,8</w:t>
            </w:r>
          </w:p>
        </w:tc>
        <w:tc>
          <w:tcPr>
            <w:tcW w:w="1360" w:type="dxa"/>
            <w:tcBorders>
              <w:top w:val="nil"/>
              <w:left w:val="nil"/>
              <w:bottom w:val="nil"/>
              <w:right w:val="nil"/>
            </w:tcBorders>
            <w:shd w:val="clear" w:color="auto" w:fill="auto"/>
            <w:noWrap/>
            <w:vAlign w:val="bottom"/>
            <w:hideMark/>
          </w:tcPr>
          <w:p w14:paraId="75A1FD35" w14:textId="4FB1FA65" w:rsidR="0015126A" w:rsidRPr="00060EA2" w:rsidRDefault="0015126A" w:rsidP="00C81818">
            <w:pPr>
              <w:jc w:val="right"/>
              <w:rPr>
                <w:color w:val="000000"/>
                <w:sz w:val="18"/>
                <w:szCs w:val="18"/>
              </w:rPr>
            </w:pPr>
            <w:r w:rsidRPr="00060EA2">
              <w:rPr>
                <w:color w:val="000000" w:themeColor="text1"/>
                <w:sz w:val="18"/>
              </w:rPr>
              <w:t>26,74</w:t>
            </w:r>
          </w:p>
        </w:tc>
      </w:tr>
      <w:tr w:rsidR="00684BB2" w:rsidRPr="00060EA2" w14:paraId="51984EAA" w14:textId="77777777" w:rsidTr="00695099">
        <w:trPr>
          <w:trHeight w:val="238"/>
          <w:jc w:val="center"/>
        </w:trPr>
        <w:tc>
          <w:tcPr>
            <w:tcW w:w="2435" w:type="dxa"/>
            <w:tcBorders>
              <w:top w:val="single" w:sz="4" w:space="0" w:color="auto"/>
              <w:left w:val="nil"/>
              <w:bottom w:val="single" w:sz="4" w:space="0" w:color="auto"/>
            </w:tcBorders>
            <w:shd w:val="clear" w:color="auto" w:fill="auto"/>
            <w:noWrap/>
            <w:vAlign w:val="bottom"/>
            <w:hideMark/>
          </w:tcPr>
          <w:p w14:paraId="428182CF" w14:textId="72020D1C" w:rsidR="0015126A" w:rsidRPr="00060EA2" w:rsidRDefault="0015126A" w:rsidP="00695099">
            <w:pPr>
              <w:tabs>
                <w:tab w:val="clear" w:pos="567"/>
                <w:tab w:val="left" w:pos="316"/>
              </w:tabs>
              <w:ind w:left="179"/>
              <w:jc w:val="left"/>
              <w:rPr>
                <w:b/>
                <w:bCs/>
                <w:color w:val="000000"/>
                <w:sz w:val="18"/>
                <w:szCs w:val="18"/>
              </w:rPr>
            </w:pPr>
            <w:r w:rsidRPr="00060EA2">
              <w:rPr>
                <w:b/>
                <w:color w:val="000000" w:themeColor="text1"/>
                <w:sz w:val="18"/>
              </w:rPr>
              <w:tab/>
              <w:t xml:space="preserve">Итого </w:t>
            </w:r>
          </w:p>
        </w:tc>
        <w:tc>
          <w:tcPr>
            <w:tcW w:w="1233" w:type="dxa"/>
            <w:gridSpan w:val="2"/>
            <w:tcBorders>
              <w:top w:val="single" w:sz="4" w:space="0" w:color="auto"/>
              <w:bottom w:val="single" w:sz="4" w:space="0" w:color="auto"/>
              <w:right w:val="nil"/>
            </w:tcBorders>
            <w:shd w:val="clear" w:color="auto" w:fill="auto"/>
            <w:noWrap/>
            <w:vAlign w:val="bottom"/>
            <w:hideMark/>
          </w:tcPr>
          <w:p w14:paraId="7D8410DE" w14:textId="79DFDE56" w:rsidR="0015126A" w:rsidRPr="00060EA2" w:rsidRDefault="0015126A" w:rsidP="00C81818">
            <w:pPr>
              <w:jc w:val="right"/>
              <w:rPr>
                <w:b/>
                <w:bCs/>
                <w:color w:val="000000"/>
                <w:sz w:val="18"/>
                <w:szCs w:val="18"/>
              </w:rPr>
            </w:pPr>
            <w:r w:rsidRPr="00060EA2">
              <w:rPr>
                <w:b/>
                <w:color w:val="000000"/>
                <w:sz w:val="18"/>
              </w:rPr>
              <w:t>37 948,4</w:t>
            </w:r>
          </w:p>
        </w:tc>
        <w:tc>
          <w:tcPr>
            <w:tcW w:w="1157" w:type="dxa"/>
            <w:tcBorders>
              <w:top w:val="single" w:sz="4" w:space="0" w:color="auto"/>
              <w:left w:val="nil"/>
              <w:bottom w:val="single" w:sz="4" w:space="0" w:color="auto"/>
              <w:right w:val="nil"/>
            </w:tcBorders>
            <w:shd w:val="clear" w:color="auto" w:fill="auto"/>
            <w:noWrap/>
            <w:vAlign w:val="bottom"/>
            <w:hideMark/>
          </w:tcPr>
          <w:p w14:paraId="4E881467" w14:textId="1C618DCB" w:rsidR="0015126A" w:rsidRPr="00060EA2" w:rsidRDefault="0015126A" w:rsidP="00C81818">
            <w:pPr>
              <w:jc w:val="right"/>
              <w:rPr>
                <w:b/>
                <w:bCs/>
                <w:color w:val="000000"/>
                <w:sz w:val="18"/>
                <w:szCs w:val="18"/>
              </w:rPr>
            </w:pPr>
            <w:r w:rsidRPr="00060EA2">
              <w:rPr>
                <w:b/>
                <w:color w:val="000000"/>
                <w:sz w:val="18"/>
              </w:rPr>
              <w:t>29 541,8</w:t>
            </w:r>
          </w:p>
        </w:tc>
        <w:tc>
          <w:tcPr>
            <w:tcW w:w="1196" w:type="dxa"/>
            <w:tcBorders>
              <w:top w:val="single" w:sz="4" w:space="0" w:color="auto"/>
              <w:left w:val="nil"/>
              <w:bottom w:val="single" w:sz="4" w:space="0" w:color="auto"/>
              <w:right w:val="nil"/>
            </w:tcBorders>
            <w:shd w:val="clear" w:color="auto" w:fill="auto"/>
            <w:noWrap/>
            <w:vAlign w:val="bottom"/>
            <w:hideMark/>
          </w:tcPr>
          <w:p w14:paraId="558381B8" w14:textId="658964A8" w:rsidR="0015126A" w:rsidRPr="00060EA2" w:rsidRDefault="0015126A" w:rsidP="00C81818">
            <w:pPr>
              <w:jc w:val="right"/>
              <w:rPr>
                <w:b/>
                <w:bCs/>
                <w:color w:val="000000"/>
                <w:sz w:val="18"/>
                <w:szCs w:val="18"/>
              </w:rPr>
            </w:pPr>
            <w:r w:rsidRPr="00060EA2">
              <w:rPr>
                <w:b/>
                <w:color w:val="000000" w:themeColor="text1"/>
                <w:sz w:val="18"/>
              </w:rPr>
              <w:t>77,85</w:t>
            </w:r>
          </w:p>
        </w:tc>
        <w:tc>
          <w:tcPr>
            <w:tcW w:w="1439" w:type="dxa"/>
            <w:tcBorders>
              <w:top w:val="single" w:sz="4" w:space="0" w:color="auto"/>
              <w:left w:val="nil"/>
              <w:bottom w:val="single" w:sz="4" w:space="0" w:color="auto"/>
              <w:right w:val="nil"/>
            </w:tcBorders>
            <w:shd w:val="clear" w:color="auto" w:fill="auto"/>
            <w:noWrap/>
            <w:vAlign w:val="bottom"/>
            <w:hideMark/>
          </w:tcPr>
          <w:p w14:paraId="31144291" w14:textId="62E77EE9" w:rsidR="0015126A" w:rsidRPr="00060EA2" w:rsidRDefault="0015126A" w:rsidP="00C81818">
            <w:pPr>
              <w:jc w:val="right"/>
              <w:rPr>
                <w:b/>
                <w:bCs/>
                <w:color w:val="000000"/>
                <w:sz w:val="18"/>
                <w:szCs w:val="18"/>
              </w:rPr>
            </w:pPr>
            <w:r w:rsidRPr="00060EA2">
              <w:rPr>
                <w:b/>
                <w:color w:val="000000"/>
                <w:sz w:val="18"/>
              </w:rPr>
              <w:t>8 406,7</w:t>
            </w:r>
          </w:p>
        </w:tc>
        <w:tc>
          <w:tcPr>
            <w:tcW w:w="1360" w:type="dxa"/>
            <w:tcBorders>
              <w:top w:val="single" w:sz="4" w:space="0" w:color="auto"/>
              <w:left w:val="nil"/>
              <w:bottom w:val="single" w:sz="4" w:space="0" w:color="auto"/>
              <w:right w:val="nil"/>
            </w:tcBorders>
            <w:shd w:val="clear" w:color="auto" w:fill="auto"/>
            <w:noWrap/>
            <w:vAlign w:val="bottom"/>
            <w:hideMark/>
          </w:tcPr>
          <w:p w14:paraId="714A7C88" w14:textId="65FC907A" w:rsidR="0015126A" w:rsidRPr="00060EA2" w:rsidRDefault="0015126A" w:rsidP="00C81818">
            <w:pPr>
              <w:jc w:val="right"/>
              <w:rPr>
                <w:b/>
                <w:bCs/>
                <w:color w:val="000000"/>
                <w:sz w:val="18"/>
                <w:szCs w:val="18"/>
              </w:rPr>
            </w:pPr>
            <w:r w:rsidRPr="00060EA2">
              <w:rPr>
                <w:b/>
                <w:color w:val="000000" w:themeColor="text1"/>
                <w:sz w:val="18"/>
              </w:rPr>
              <w:t>22,15</w:t>
            </w:r>
          </w:p>
        </w:tc>
      </w:tr>
    </w:tbl>
    <w:p w14:paraId="79CB0351" w14:textId="561038BF" w:rsidR="0015126A" w:rsidRPr="008B2C73" w:rsidRDefault="0015126A" w:rsidP="00EC3D61">
      <w:pPr>
        <w:pStyle w:val="CBDNormalNumber"/>
        <w:rPr>
          <w:rFonts w:eastAsia="Malgun Gothic"/>
          <w:kern w:val="22"/>
        </w:rPr>
      </w:pPr>
      <w:r w:rsidRPr="00060EA2">
        <w:t>Как показано в таблице 3, по состоянию на 31 июля 2024 года Стороны выплатили 77,85</w:t>
      </w:r>
      <w:r w:rsidR="009B5E09">
        <w:t>%</w:t>
      </w:r>
      <w:r w:rsidRPr="00060EA2">
        <w:t xml:space="preserve"> от общей суммы начисленных взносов за двухлетний период 2023-2024 годов. Как показано в таблице 4, по состоянию на ту же дату 92 Стороны Конвенции, 82 Стороны Картахенского протокола и 59 Сторон Нагойского протокола выплатили свои начисленные взносы за 2023 год в полном объеме. Что касается 2024 года, 51 Сторона Конвенции, 49 Сторон Картахенского протокола и 29 Сторон Нагойского протокола выплатили свои начисленные взносы в полном объеме.</w:t>
      </w:r>
      <w:r w:rsidR="005819F1">
        <w:t xml:space="preserve"> </w:t>
      </w:r>
    </w:p>
    <w:p w14:paraId="0B908333" w14:textId="0422556C" w:rsidR="0015126A" w:rsidRPr="00060EA2" w:rsidRDefault="0015126A" w:rsidP="008067E6">
      <w:pPr>
        <w:pStyle w:val="CBDTableTitle"/>
        <w:rPr>
          <w:rFonts w:eastAsia="Malgun Gothic"/>
        </w:rPr>
      </w:pPr>
      <w:r w:rsidRPr="00060EA2">
        <w:rPr>
          <w:b w:val="0"/>
        </w:rPr>
        <w:lastRenderedPageBreak/>
        <w:t xml:space="preserve">Таблица 4 </w:t>
      </w:r>
      <w:r w:rsidRPr="00060EA2">
        <w:rPr>
          <w:b w:val="0"/>
        </w:rPr>
        <w:br/>
      </w:r>
      <w:r w:rsidRPr="00060EA2">
        <w:rPr>
          <w:bCs/>
        </w:rPr>
        <w:t xml:space="preserve">Состояние начисленных взносов за двухлетний период 2023-2024 годов, </w:t>
      </w:r>
      <w:r w:rsidR="00F34C75" w:rsidRPr="00060EA2">
        <w:rPr>
          <w:bCs/>
        </w:rPr>
        <w:t xml:space="preserve">полностью </w:t>
      </w:r>
      <w:r w:rsidRPr="00060EA2">
        <w:rPr>
          <w:bCs/>
        </w:rPr>
        <w:t>выплаченных по состоянию на 31 июля 2024 года</w:t>
      </w:r>
    </w:p>
    <w:tbl>
      <w:tblPr>
        <w:tblW w:w="8907" w:type="dxa"/>
        <w:jc w:val="center"/>
        <w:tblLook w:val="04A0" w:firstRow="1" w:lastRow="0" w:firstColumn="1" w:lastColumn="0" w:noHBand="0" w:noVBand="1"/>
      </w:tblPr>
      <w:tblGrid>
        <w:gridCol w:w="3131"/>
        <w:gridCol w:w="826"/>
        <w:gridCol w:w="1279"/>
        <w:gridCol w:w="1196"/>
        <w:gridCol w:w="1279"/>
        <w:gridCol w:w="1196"/>
      </w:tblGrid>
      <w:tr w:rsidR="0015126A" w:rsidRPr="00060EA2" w14:paraId="12056679" w14:textId="77777777" w:rsidTr="00695099">
        <w:trPr>
          <w:trHeight w:val="433"/>
          <w:jc w:val="center"/>
        </w:trPr>
        <w:tc>
          <w:tcPr>
            <w:tcW w:w="3131" w:type="dxa"/>
            <w:vMerge w:val="restart"/>
            <w:tcBorders>
              <w:top w:val="single" w:sz="4" w:space="0" w:color="auto"/>
              <w:left w:val="nil"/>
              <w:bottom w:val="single" w:sz="4" w:space="0" w:color="000000"/>
              <w:right w:val="nil"/>
            </w:tcBorders>
            <w:shd w:val="clear" w:color="auto" w:fill="auto"/>
            <w:noWrap/>
            <w:vAlign w:val="bottom"/>
            <w:hideMark/>
          </w:tcPr>
          <w:p w14:paraId="470EAA9B" w14:textId="514F76E2" w:rsidR="0015126A" w:rsidRPr="00060EA2" w:rsidRDefault="0015126A" w:rsidP="00361521">
            <w:pPr>
              <w:keepNext/>
              <w:keepLines/>
              <w:jc w:val="left"/>
              <w:rPr>
                <w:i/>
                <w:iCs/>
                <w:color w:val="000000"/>
                <w:sz w:val="18"/>
                <w:szCs w:val="18"/>
              </w:rPr>
            </w:pPr>
            <w:r w:rsidRPr="00060EA2">
              <w:rPr>
                <w:i/>
                <w:color w:val="000000"/>
                <w:sz w:val="18"/>
              </w:rPr>
              <w:t>Целевой фонд</w:t>
            </w:r>
          </w:p>
        </w:tc>
        <w:tc>
          <w:tcPr>
            <w:tcW w:w="826" w:type="dxa"/>
            <w:vMerge w:val="restart"/>
            <w:tcBorders>
              <w:top w:val="single" w:sz="4" w:space="0" w:color="auto"/>
              <w:left w:val="nil"/>
              <w:bottom w:val="single" w:sz="4" w:space="0" w:color="000000"/>
              <w:right w:val="nil"/>
            </w:tcBorders>
            <w:shd w:val="clear" w:color="auto" w:fill="auto"/>
            <w:vAlign w:val="bottom"/>
            <w:hideMark/>
          </w:tcPr>
          <w:p w14:paraId="18B3E6DC" w14:textId="77777777" w:rsidR="0015126A" w:rsidRPr="00060EA2" w:rsidRDefault="0015126A" w:rsidP="00361521">
            <w:pPr>
              <w:keepNext/>
              <w:keepLines/>
              <w:jc w:val="right"/>
              <w:rPr>
                <w:i/>
                <w:iCs/>
                <w:color w:val="000000"/>
                <w:sz w:val="18"/>
                <w:szCs w:val="18"/>
              </w:rPr>
            </w:pPr>
            <w:r w:rsidRPr="00060EA2">
              <w:rPr>
                <w:i/>
                <w:color w:val="000000"/>
                <w:sz w:val="18"/>
              </w:rPr>
              <w:t>Число Сторон</w:t>
            </w:r>
          </w:p>
        </w:tc>
        <w:tc>
          <w:tcPr>
            <w:tcW w:w="1279" w:type="dxa"/>
            <w:vMerge w:val="restart"/>
            <w:tcBorders>
              <w:top w:val="single" w:sz="4" w:space="0" w:color="auto"/>
              <w:left w:val="nil"/>
              <w:bottom w:val="single" w:sz="4" w:space="0" w:color="000000"/>
              <w:right w:val="nil"/>
            </w:tcBorders>
            <w:shd w:val="clear" w:color="auto" w:fill="auto"/>
            <w:vAlign w:val="bottom"/>
            <w:hideMark/>
          </w:tcPr>
          <w:p w14:paraId="48AC44A3" w14:textId="075524DF" w:rsidR="0015126A" w:rsidRPr="00060EA2" w:rsidRDefault="0015126A" w:rsidP="00361521">
            <w:pPr>
              <w:keepNext/>
              <w:keepLines/>
              <w:jc w:val="right"/>
              <w:rPr>
                <w:i/>
                <w:iCs/>
                <w:color w:val="000000"/>
                <w:sz w:val="18"/>
                <w:szCs w:val="18"/>
              </w:rPr>
            </w:pPr>
            <w:r w:rsidRPr="00060EA2">
              <w:rPr>
                <w:i/>
                <w:color w:val="000000"/>
                <w:sz w:val="18"/>
              </w:rPr>
              <w:t>Число Сторон, полностью выплативших свои начисленные взносы за 2023 г.</w:t>
            </w:r>
          </w:p>
        </w:tc>
        <w:tc>
          <w:tcPr>
            <w:tcW w:w="1196" w:type="dxa"/>
            <w:vMerge w:val="restart"/>
            <w:tcBorders>
              <w:top w:val="single" w:sz="4" w:space="0" w:color="auto"/>
              <w:left w:val="nil"/>
              <w:bottom w:val="single" w:sz="4" w:space="0" w:color="000000"/>
              <w:right w:val="nil"/>
            </w:tcBorders>
            <w:shd w:val="clear" w:color="auto" w:fill="auto"/>
            <w:noWrap/>
            <w:vAlign w:val="bottom"/>
            <w:hideMark/>
          </w:tcPr>
          <w:p w14:paraId="13D1FC55" w14:textId="3433CBE1" w:rsidR="0015126A" w:rsidRPr="00060EA2" w:rsidRDefault="0015126A" w:rsidP="00361521">
            <w:pPr>
              <w:keepNext/>
              <w:keepLines/>
              <w:jc w:val="right"/>
              <w:rPr>
                <w:i/>
                <w:iCs/>
                <w:color w:val="000000"/>
                <w:sz w:val="18"/>
                <w:szCs w:val="18"/>
              </w:rPr>
            </w:pPr>
            <w:r w:rsidRPr="00060EA2">
              <w:rPr>
                <w:i/>
                <w:color w:val="000000"/>
                <w:sz w:val="18"/>
              </w:rPr>
              <w:t xml:space="preserve">Доля </w:t>
            </w:r>
            <w:r w:rsidR="009B5E09">
              <w:rPr>
                <w:i/>
                <w:color w:val="000000"/>
                <w:sz w:val="18"/>
              </w:rPr>
              <w:t>%</w:t>
            </w:r>
          </w:p>
        </w:tc>
        <w:tc>
          <w:tcPr>
            <w:tcW w:w="1279" w:type="dxa"/>
            <w:vMerge w:val="restart"/>
            <w:tcBorders>
              <w:top w:val="single" w:sz="4" w:space="0" w:color="auto"/>
              <w:left w:val="nil"/>
              <w:bottom w:val="single" w:sz="4" w:space="0" w:color="000000"/>
              <w:right w:val="nil"/>
            </w:tcBorders>
            <w:shd w:val="clear" w:color="auto" w:fill="auto"/>
            <w:vAlign w:val="bottom"/>
            <w:hideMark/>
          </w:tcPr>
          <w:p w14:paraId="79C9F78E" w14:textId="4B3F6203" w:rsidR="0015126A" w:rsidRPr="00060EA2" w:rsidRDefault="0015126A" w:rsidP="00361521">
            <w:pPr>
              <w:keepNext/>
              <w:keepLines/>
              <w:jc w:val="right"/>
              <w:rPr>
                <w:i/>
                <w:iCs/>
                <w:color w:val="000000"/>
                <w:sz w:val="18"/>
                <w:szCs w:val="18"/>
              </w:rPr>
            </w:pPr>
            <w:r w:rsidRPr="00060EA2">
              <w:rPr>
                <w:i/>
                <w:color w:val="000000"/>
                <w:sz w:val="18"/>
              </w:rPr>
              <w:t>Число Сторон, полностью выплативших свои начисленные взносы</w:t>
            </w:r>
          </w:p>
        </w:tc>
        <w:tc>
          <w:tcPr>
            <w:tcW w:w="1196" w:type="dxa"/>
            <w:vMerge w:val="restart"/>
            <w:tcBorders>
              <w:top w:val="single" w:sz="4" w:space="0" w:color="auto"/>
              <w:left w:val="nil"/>
              <w:bottom w:val="single" w:sz="4" w:space="0" w:color="000000"/>
              <w:right w:val="nil"/>
            </w:tcBorders>
            <w:shd w:val="clear" w:color="auto" w:fill="auto"/>
            <w:noWrap/>
            <w:vAlign w:val="bottom"/>
            <w:hideMark/>
          </w:tcPr>
          <w:p w14:paraId="542B0902" w14:textId="422140B1" w:rsidR="0015126A" w:rsidRPr="00060EA2" w:rsidRDefault="0015126A" w:rsidP="00361521">
            <w:pPr>
              <w:keepNext/>
              <w:keepLines/>
              <w:jc w:val="right"/>
              <w:rPr>
                <w:i/>
                <w:iCs/>
                <w:color w:val="000000"/>
                <w:sz w:val="18"/>
                <w:szCs w:val="18"/>
              </w:rPr>
            </w:pPr>
            <w:r w:rsidRPr="00060EA2">
              <w:rPr>
                <w:i/>
                <w:color w:val="000000"/>
                <w:sz w:val="18"/>
              </w:rPr>
              <w:t xml:space="preserve">Доля </w:t>
            </w:r>
            <w:r w:rsidR="009B5E09">
              <w:rPr>
                <w:i/>
                <w:color w:val="000000"/>
                <w:sz w:val="18"/>
              </w:rPr>
              <w:t>%</w:t>
            </w:r>
          </w:p>
        </w:tc>
      </w:tr>
      <w:tr w:rsidR="0015126A" w:rsidRPr="00060EA2" w14:paraId="1A43E40D" w14:textId="77777777" w:rsidTr="00695099">
        <w:trPr>
          <w:trHeight w:val="433"/>
          <w:jc w:val="center"/>
        </w:trPr>
        <w:tc>
          <w:tcPr>
            <w:tcW w:w="3131" w:type="dxa"/>
            <w:vMerge/>
            <w:tcBorders>
              <w:top w:val="single" w:sz="4" w:space="0" w:color="auto"/>
              <w:left w:val="nil"/>
              <w:bottom w:val="single" w:sz="4" w:space="0" w:color="000000"/>
              <w:right w:val="nil"/>
            </w:tcBorders>
            <w:vAlign w:val="center"/>
            <w:hideMark/>
          </w:tcPr>
          <w:p w14:paraId="7438F424" w14:textId="77777777" w:rsidR="0015126A" w:rsidRPr="00060EA2" w:rsidRDefault="0015126A" w:rsidP="00361521">
            <w:pPr>
              <w:keepNext/>
              <w:keepLines/>
              <w:jc w:val="left"/>
              <w:rPr>
                <w:b/>
                <w:bCs/>
                <w:color w:val="000000"/>
                <w:sz w:val="18"/>
                <w:szCs w:val="18"/>
                <w:lang w:eastAsia="zh-CN"/>
              </w:rPr>
            </w:pPr>
          </w:p>
        </w:tc>
        <w:tc>
          <w:tcPr>
            <w:tcW w:w="826" w:type="dxa"/>
            <w:vMerge/>
            <w:tcBorders>
              <w:top w:val="single" w:sz="4" w:space="0" w:color="auto"/>
              <w:left w:val="nil"/>
              <w:bottom w:val="single" w:sz="4" w:space="0" w:color="000000"/>
              <w:right w:val="nil"/>
            </w:tcBorders>
            <w:vAlign w:val="center"/>
            <w:hideMark/>
          </w:tcPr>
          <w:p w14:paraId="47FAEE28" w14:textId="77777777" w:rsidR="0015126A" w:rsidRPr="00060EA2" w:rsidRDefault="0015126A" w:rsidP="00361521">
            <w:pPr>
              <w:keepNext/>
              <w:keepLines/>
              <w:jc w:val="left"/>
              <w:rPr>
                <w:b/>
                <w:bCs/>
                <w:color w:val="000000"/>
                <w:sz w:val="18"/>
                <w:szCs w:val="18"/>
                <w:lang w:eastAsia="zh-CN"/>
              </w:rPr>
            </w:pPr>
          </w:p>
        </w:tc>
        <w:tc>
          <w:tcPr>
            <w:tcW w:w="1279" w:type="dxa"/>
            <w:vMerge/>
            <w:tcBorders>
              <w:top w:val="single" w:sz="4" w:space="0" w:color="auto"/>
              <w:left w:val="nil"/>
              <w:bottom w:val="single" w:sz="4" w:space="0" w:color="000000"/>
              <w:right w:val="nil"/>
            </w:tcBorders>
            <w:vAlign w:val="center"/>
            <w:hideMark/>
          </w:tcPr>
          <w:p w14:paraId="008F4FB9" w14:textId="77777777" w:rsidR="0015126A" w:rsidRPr="00060EA2" w:rsidRDefault="0015126A" w:rsidP="00361521">
            <w:pPr>
              <w:keepNext/>
              <w:keepLines/>
              <w:jc w:val="left"/>
              <w:rPr>
                <w:b/>
                <w:bCs/>
                <w:color w:val="000000"/>
                <w:sz w:val="18"/>
                <w:szCs w:val="18"/>
                <w:lang w:eastAsia="zh-CN"/>
              </w:rPr>
            </w:pPr>
          </w:p>
        </w:tc>
        <w:tc>
          <w:tcPr>
            <w:tcW w:w="1196" w:type="dxa"/>
            <w:vMerge/>
            <w:tcBorders>
              <w:top w:val="single" w:sz="4" w:space="0" w:color="auto"/>
              <w:left w:val="nil"/>
              <w:bottom w:val="single" w:sz="4" w:space="0" w:color="000000"/>
              <w:right w:val="nil"/>
            </w:tcBorders>
            <w:vAlign w:val="center"/>
            <w:hideMark/>
          </w:tcPr>
          <w:p w14:paraId="14F221DC" w14:textId="77777777" w:rsidR="0015126A" w:rsidRPr="00060EA2" w:rsidRDefault="0015126A" w:rsidP="00361521">
            <w:pPr>
              <w:keepNext/>
              <w:keepLines/>
              <w:jc w:val="left"/>
              <w:rPr>
                <w:b/>
                <w:bCs/>
                <w:color w:val="000000"/>
                <w:sz w:val="18"/>
                <w:szCs w:val="18"/>
                <w:lang w:eastAsia="zh-CN"/>
              </w:rPr>
            </w:pPr>
          </w:p>
        </w:tc>
        <w:tc>
          <w:tcPr>
            <w:tcW w:w="1279" w:type="dxa"/>
            <w:vMerge/>
            <w:tcBorders>
              <w:top w:val="single" w:sz="4" w:space="0" w:color="auto"/>
              <w:left w:val="nil"/>
              <w:bottom w:val="single" w:sz="4" w:space="0" w:color="000000"/>
              <w:right w:val="nil"/>
            </w:tcBorders>
            <w:vAlign w:val="center"/>
            <w:hideMark/>
          </w:tcPr>
          <w:p w14:paraId="2809AA80" w14:textId="77777777" w:rsidR="0015126A" w:rsidRPr="00060EA2" w:rsidRDefault="0015126A" w:rsidP="00361521">
            <w:pPr>
              <w:keepNext/>
              <w:keepLines/>
              <w:jc w:val="left"/>
              <w:rPr>
                <w:b/>
                <w:bCs/>
                <w:color w:val="000000"/>
                <w:sz w:val="18"/>
                <w:szCs w:val="18"/>
                <w:lang w:eastAsia="zh-CN"/>
              </w:rPr>
            </w:pPr>
          </w:p>
        </w:tc>
        <w:tc>
          <w:tcPr>
            <w:tcW w:w="1196" w:type="dxa"/>
            <w:vMerge/>
            <w:tcBorders>
              <w:top w:val="single" w:sz="4" w:space="0" w:color="auto"/>
              <w:left w:val="nil"/>
              <w:bottom w:val="single" w:sz="4" w:space="0" w:color="000000"/>
              <w:right w:val="nil"/>
            </w:tcBorders>
            <w:vAlign w:val="center"/>
            <w:hideMark/>
          </w:tcPr>
          <w:p w14:paraId="15DEAA9C" w14:textId="77777777" w:rsidR="0015126A" w:rsidRPr="00060EA2" w:rsidRDefault="0015126A" w:rsidP="00361521">
            <w:pPr>
              <w:keepNext/>
              <w:keepLines/>
              <w:jc w:val="left"/>
              <w:rPr>
                <w:b/>
                <w:bCs/>
                <w:color w:val="000000"/>
                <w:sz w:val="18"/>
                <w:szCs w:val="18"/>
                <w:lang w:eastAsia="zh-CN"/>
              </w:rPr>
            </w:pPr>
          </w:p>
        </w:tc>
      </w:tr>
      <w:tr w:rsidR="0015126A" w:rsidRPr="00060EA2" w14:paraId="40C2B172" w14:textId="77777777" w:rsidTr="00695099">
        <w:trPr>
          <w:trHeight w:val="265"/>
          <w:jc w:val="center"/>
        </w:trPr>
        <w:tc>
          <w:tcPr>
            <w:tcW w:w="3131" w:type="dxa"/>
            <w:tcBorders>
              <w:top w:val="nil"/>
              <w:left w:val="nil"/>
              <w:bottom w:val="nil"/>
              <w:right w:val="nil"/>
            </w:tcBorders>
            <w:shd w:val="clear" w:color="auto" w:fill="auto"/>
            <w:noWrap/>
            <w:vAlign w:val="bottom"/>
            <w:hideMark/>
          </w:tcPr>
          <w:p w14:paraId="3990797D" w14:textId="2708C834" w:rsidR="0015126A" w:rsidRPr="00060EA2" w:rsidRDefault="0015126A" w:rsidP="00361521">
            <w:pPr>
              <w:keepNext/>
              <w:keepLines/>
              <w:jc w:val="left"/>
              <w:rPr>
                <w:color w:val="000000"/>
                <w:sz w:val="18"/>
                <w:szCs w:val="18"/>
              </w:rPr>
            </w:pPr>
            <w:r w:rsidRPr="00060EA2">
              <w:rPr>
                <w:color w:val="000000" w:themeColor="text1"/>
                <w:sz w:val="18"/>
              </w:rPr>
              <w:t>Общий целевой фонд</w:t>
            </w:r>
            <w:r w:rsidRPr="00060EA2">
              <w:rPr>
                <w:sz w:val="18"/>
              </w:rPr>
              <w:t xml:space="preserve"> </w:t>
            </w:r>
            <w:r w:rsidRPr="00060EA2">
              <w:rPr>
                <w:color w:val="000000"/>
                <w:sz w:val="18"/>
              </w:rPr>
              <w:t>Конвенции</w:t>
            </w:r>
          </w:p>
        </w:tc>
        <w:tc>
          <w:tcPr>
            <w:tcW w:w="826" w:type="dxa"/>
            <w:tcBorders>
              <w:top w:val="nil"/>
              <w:left w:val="nil"/>
              <w:bottom w:val="nil"/>
              <w:right w:val="nil"/>
            </w:tcBorders>
            <w:shd w:val="clear" w:color="auto" w:fill="auto"/>
            <w:noWrap/>
            <w:vAlign w:val="center"/>
            <w:hideMark/>
          </w:tcPr>
          <w:p w14:paraId="7691796D" w14:textId="77777777" w:rsidR="0015126A" w:rsidRPr="00060EA2" w:rsidRDefault="0015126A" w:rsidP="00361521">
            <w:pPr>
              <w:keepNext/>
              <w:keepLines/>
              <w:jc w:val="right"/>
              <w:rPr>
                <w:color w:val="000000"/>
                <w:sz w:val="18"/>
                <w:szCs w:val="18"/>
              </w:rPr>
            </w:pPr>
            <w:r w:rsidRPr="00060EA2">
              <w:rPr>
                <w:color w:val="000000"/>
                <w:sz w:val="18"/>
              </w:rPr>
              <w:t>196</w:t>
            </w:r>
          </w:p>
        </w:tc>
        <w:tc>
          <w:tcPr>
            <w:tcW w:w="1279" w:type="dxa"/>
            <w:tcBorders>
              <w:top w:val="nil"/>
              <w:left w:val="nil"/>
              <w:bottom w:val="nil"/>
              <w:right w:val="nil"/>
            </w:tcBorders>
            <w:shd w:val="clear" w:color="auto" w:fill="auto"/>
            <w:noWrap/>
            <w:vAlign w:val="center"/>
            <w:hideMark/>
          </w:tcPr>
          <w:p w14:paraId="45EC37FE" w14:textId="28B2887B" w:rsidR="0015126A" w:rsidRPr="00060EA2" w:rsidRDefault="0015126A" w:rsidP="00361521">
            <w:pPr>
              <w:keepNext/>
              <w:keepLines/>
              <w:jc w:val="right"/>
              <w:rPr>
                <w:color w:val="000000"/>
                <w:sz w:val="18"/>
                <w:szCs w:val="18"/>
              </w:rPr>
            </w:pPr>
            <w:r w:rsidRPr="00060EA2">
              <w:rPr>
                <w:color w:val="000000"/>
                <w:sz w:val="18"/>
              </w:rPr>
              <w:t>92</w:t>
            </w:r>
          </w:p>
        </w:tc>
        <w:tc>
          <w:tcPr>
            <w:tcW w:w="1196" w:type="dxa"/>
            <w:tcBorders>
              <w:top w:val="nil"/>
              <w:left w:val="nil"/>
              <w:bottom w:val="nil"/>
              <w:right w:val="nil"/>
            </w:tcBorders>
            <w:shd w:val="clear" w:color="auto" w:fill="auto"/>
            <w:noWrap/>
            <w:vAlign w:val="center"/>
            <w:hideMark/>
          </w:tcPr>
          <w:p w14:paraId="122CEC9C" w14:textId="16F5483D" w:rsidR="0015126A" w:rsidRPr="00060EA2" w:rsidRDefault="0015126A" w:rsidP="00361521">
            <w:pPr>
              <w:keepNext/>
              <w:keepLines/>
              <w:jc w:val="right"/>
              <w:rPr>
                <w:color w:val="000000"/>
                <w:sz w:val="18"/>
                <w:szCs w:val="18"/>
              </w:rPr>
            </w:pPr>
            <w:r w:rsidRPr="00060EA2">
              <w:rPr>
                <w:color w:val="000000"/>
                <w:sz w:val="18"/>
              </w:rPr>
              <w:t>46,94</w:t>
            </w:r>
          </w:p>
        </w:tc>
        <w:tc>
          <w:tcPr>
            <w:tcW w:w="1279" w:type="dxa"/>
            <w:tcBorders>
              <w:top w:val="nil"/>
              <w:left w:val="nil"/>
              <w:bottom w:val="nil"/>
              <w:right w:val="nil"/>
            </w:tcBorders>
            <w:shd w:val="clear" w:color="auto" w:fill="auto"/>
            <w:noWrap/>
            <w:vAlign w:val="center"/>
            <w:hideMark/>
          </w:tcPr>
          <w:p w14:paraId="607DCE46" w14:textId="7406588F" w:rsidR="0015126A" w:rsidRPr="00060EA2" w:rsidRDefault="0015126A" w:rsidP="00361521">
            <w:pPr>
              <w:keepNext/>
              <w:keepLines/>
              <w:jc w:val="right"/>
              <w:rPr>
                <w:color w:val="000000"/>
                <w:sz w:val="18"/>
                <w:szCs w:val="18"/>
              </w:rPr>
            </w:pPr>
            <w:r w:rsidRPr="00060EA2">
              <w:rPr>
                <w:color w:val="000000"/>
                <w:sz w:val="18"/>
              </w:rPr>
              <w:t>51</w:t>
            </w:r>
          </w:p>
        </w:tc>
        <w:tc>
          <w:tcPr>
            <w:tcW w:w="1196" w:type="dxa"/>
            <w:tcBorders>
              <w:top w:val="nil"/>
              <w:left w:val="nil"/>
              <w:bottom w:val="nil"/>
              <w:right w:val="nil"/>
            </w:tcBorders>
            <w:shd w:val="clear" w:color="auto" w:fill="auto"/>
            <w:noWrap/>
            <w:vAlign w:val="center"/>
            <w:hideMark/>
          </w:tcPr>
          <w:p w14:paraId="555F36B5" w14:textId="5AE0FB5D" w:rsidR="0015126A" w:rsidRPr="00060EA2" w:rsidRDefault="0015126A" w:rsidP="00361521">
            <w:pPr>
              <w:keepNext/>
              <w:keepLines/>
              <w:jc w:val="right"/>
              <w:rPr>
                <w:color w:val="000000"/>
                <w:sz w:val="18"/>
                <w:szCs w:val="18"/>
              </w:rPr>
            </w:pPr>
            <w:r w:rsidRPr="00060EA2">
              <w:rPr>
                <w:color w:val="000000"/>
                <w:sz w:val="18"/>
              </w:rPr>
              <w:t>26,02</w:t>
            </w:r>
          </w:p>
        </w:tc>
      </w:tr>
      <w:tr w:rsidR="0015126A" w:rsidRPr="00060EA2" w14:paraId="02CE8F80" w14:textId="77777777" w:rsidTr="00695099">
        <w:trPr>
          <w:trHeight w:val="265"/>
          <w:jc w:val="center"/>
        </w:trPr>
        <w:tc>
          <w:tcPr>
            <w:tcW w:w="3131" w:type="dxa"/>
            <w:tcBorders>
              <w:top w:val="nil"/>
              <w:left w:val="nil"/>
              <w:bottom w:val="nil"/>
              <w:right w:val="nil"/>
            </w:tcBorders>
            <w:shd w:val="clear" w:color="auto" w:fill="auto"/>
            <w:noWrap/>
            <w:vAlign w:val="bottom"/>
            <w:hideMark/>
          </w:tcPr>
          <w:p w14:paraId="081E2747" w14:textId="6CEFA3BD" w:rsidR="0015126A" w:rsidRPr="00060EA2" w:rsidRDefault="0015126A" w:rsidP="00361521">
            <w:pPr>
              <w:keepNext/>
              <w:keepLines/>
              <w:jc w:val="left"/>
              <w:rPr>
                <w:color w:val="000000"/>
                <w:sz w:val="18"/>
                <w:szCs w:val="18"/>
              </w:rPr>
            </w:pPr>
            <w:r w:rsidRPr="00060EA2">
              <w:rPr>
                <w:color w:val="000000" w:themeColor="text1"/>
                <w:sz w:val="18"/>
              </w:rPr>
              <w:t>Общий целевой фонд для основного бюджета по программе</w:t>
            </w:r>
            <w:r w:rsidRPr="00060EA2">
              <w:rPr>
                <w:sz w:val="18"/>
              </w:rPr>
              <w:t xml:space="preserve"> </w:t>
            </w:r>
            <w:r w:rsidRPr="00060EA2">
              <w:rPr>
                <w:color w:val="000000"/>
                <w:sz w:val="18"/>
              </w:rPr>
              <w:t>Картахенского протокола</w:t>
            </w:r>
          </w:p>
        </w:tc>
        <w:tc>
          <w:tcPr>
            <w:tcW w:w="826" w:type="dxa"/>
            <w:tcBorders>
              <w:top w:val="nil"/>
              <w:left w:val="nil"/>
              <w:bottom w:val="nil"/>
              <w:right w:val="nil"/>
            </w:tcBorders>
            <w:shd w:val="clear" w:color="auto" w:fill="auto"/>
            <w:noWrap/>
            <w:vAlign w:val="center"/>
            <w:hideMark/>
          </w:tcPr>
          <w:p w14:paraId="07D57F80" w14:textId="24B74BA5" w:rsidR="0015126A" w:rsidRPr="00060EA2" w:rsidRDefault="0015126A" w:rsidP="00361521">
            <w:pPr>
              <w:keepNext/>
              <w:keepLines/>
              <w:jc w:val="right"/>
              <w:rPr>
                <w:color w:val="000000"/>
                <w:sz w:val="18"/>
                <w:szCs w:val="18"/>
              </w:rPr>
            </w:pPr>
            <w:r w:rsidRPr="00060EA2">
              <w:rPr>
                <w:color w:val="000000"/>
                <w:sz w:val="18"/>
              </w:rPr>
              <w:t>173</w:t>
            </w:r>
          </w:p>
        </w:tc>
        <w:tc>
          <w:tcPr>
            <w:tcW w:w="1279" w:type="dxa"/>
            <w:tcBorders>
              <w:top w:val="nil"/>
              <w:left w:val="nil"/>
              <w:bottom w:val="nil"/>
              <w:right w:val="nil"/>
            </w:tcBorders>
            <w:shd w:val="clear" w:color="auto" w:fill="auto"/>
            <w:noWrap/>
            <w:vAlign w:val="center"/>
            <w:hideMark/>
          </w:tcPr>
          <w:p w14:paraId="24890786" w14:textId="1DBDDE1A" w:rsidR="0015126A" w:rsidRPr="00060EA2" w:rsidRDefault="0015126A" w:rsidP="00361521">
            <w:pPr>
              <w:keepNext/>
              <w:keepLines/>
              <w:jc w:val="right"/>
              <w:rPr>
                <w:color w:val="000000"/>
                <w:sz w:val="18"/>
                <w:szCs w:val="18"/>
              </w:rPr>
            </w:pPr>
            <w:r w:rsidRPr="00060EA2">
              <w:rPr>
                <w:color w:val="000000"/>
                <w:sz w:val="18"/>
              </w:rPr>
              <w:t>82</w:t>
            </w:r>
          </w:p>
        </w:tc>
        <w:tc>
          <w:tcPr>
            <w:tcW w:w="1196" w:type="dxa"/>
            <w:tcBorders>
              <w:top w:val="nil"/>
              <w:left w:val="nil"/>
              <w:bottom w:val="nil"/>
              <w:right w:val="nil"/>
            </w:tcBorders>
            <w:shd w:val="clear" w:color="auto" w:fill="auto"/>
            <w:noWrap/>
            <w:vAlign w:val="center"/>
            <w:hideMark/>
          </w:tcPr>
          <w:p w14:paraId="37F27819" w14:textId="40696D64" w:rsidR="0015126A" w:rsidRPr="00060EA2" w:rsidRDefault="0015126A" w:rsidP="00361521">
            <w:pPr>
              <w:keepNext/>
              <w:keepLines/>
              <w:jc w:val="right"/>
              <w:rPr>
                <w:color w:val="000000"/>
                <w:sz w:val="18"/>
                <w:szCs w:val="18"/>
              </w:rPr>
            </w:pPr>
            <w:r w:rsidRPr="00060EA2">
              <w:rPr>
                <w:color w:val="000000"/>
                <w:sz w:val="18"/>
              </w:rPr>
              <w:t>47,40</w:t>
            </w:r>
          </w:p>
        </w:tc>
        <w:tc>
          <w:tcPr>
            <w:tcW w:w="1279" w:type="dxa"/>
            <w:tcBorders>
              <w:top w:val="nil"/>
              <w:left w:val="nil"/>
              <w:bottom w:val="nil"/>
              <w:right w:val="nil"/>
            </w:tcBorders>
            <w:shd w:val="clear" w:color="auto" w:fill="auto"/>
            <w:noWrap/>
            <w:vAlign w:val="center"/>
            <w:hideMark/>
          </w:tcPr>
          <w:p w14:paraId="6BF61771" w14:textId="50E1228B" w:rsidR="0015126A" w:rsidRPr="00060EA2" w:rsidRDefault="0015126A" w:rsidP="00361521">
            <w:pPr>
              <w:keepNext/>
              <w:keepLines/>
              <w:jc w:val="right"/>
              <w:rPr>
                <w:color w:val="000000"/>
                <w:sz w:val="18"/>
                <w:szCs w:val="18"/>
              </w:rPr>
            </w:pPr>
            <w:r w:rsidRPr="00060EA2">
              <w:rPr>
                <w:color w:val="000000"/>
                <w:sz w:val="18"/>
              </w:rPr>
              <w:t>49</w:t>
            </w:r>
          </w:p>
        </w:tc>
        <w:tc>
          <w:tcPr>
            <w:tcW w:w="1196" w:type="dxa"/>
            <w:tcBorders>
              <w:top w:val="nil"/>
              <w:left w:val="nil"/>
              <w:bottom w:val="nil"/>
              <w:right w:val="nil"/>
            </w:tcBorders>
            <w:shd w:val="clear" w:color="auto" w:fill="auto"/>
            <w:noWrap/>
            <w:vAlign w:val="center"/>
            <w:hideMark/>
          </w:tcPr>
          <w:p w14:paraId="5AEE4B60" w14:textId="2796662D" w:rsidR="0015126A" w:rsidRPr="00060EA2" w:rsidRDefault="0015126A" w:rsidP="00361521">
            <w:pPr>
              <w:keepNext/>
              <w:keepLines/>
              <w:jc w:val="right"/>
              <w:rPr>
                <w:color w:val="000000"/>
                <w:sz w:val="18"/>
                <w:szCs w:val="18"/>
              </w:rPr>
            </w:pPr>
            <w:r w:rsidRPr="00060EA2">
              <w:rPr>
                <w:color w:val="000000"/>
                <w:sz w:val="18"/>
              </w:rPr>
              <w:t>28,32</w:t>
            </w:r>
          </w:p>
        </w:tc>
      </w:tr>
      <w:tr w:rsidR="0015126A" w:rsidRPr="00060EA2" w14:paraId="529A6666" w14:textId="77777777" w:rsidTr="00695099">
        <w:trPr>
          <w:trHeight w:val="265"/>
          <w:jc w:val="center"/>
        </w:trPr>
        <w:tc>
          <w:tcPr>
            <w:tcW w:w="3131" w:type="dxa"/>
            <w:tcBorders>
              <w:top w:val="nil"/>
              <w:left w:val="nil"/>
              <w:bottom w:val="single" w:sz="4" w:space="0" w:color="auto"/>
              <w:right w:val="nil"/>
            </w:tcBorders>
            <w:shd w:val="clear" w:color="auto" w:fill="auto"/>
            <w:noWrap/>
            <w:vAlign w:val="bottom"/>
            <w:hideMark/>
          </w:tcPr>
          <w:p w14:paraId="4963CB03" w14:textId="1773C0EA" w:rsidR="0015126A" w:rsidRPr="00060EA2" w:rsidRDefault="0015126A" w:rsidP="00361521">
            <w:pPr>
              <w:keepNext/>
              <w:keepLines/>
              <w:jc w:val="left"/>
              <w:rPr>
                <w:color w:val="000000"/>
                <w:sz w:val="18"/>
                <w:szCs w:val="18"/>
              </w:rPr>
            </w:pPr>
            <w:r w:rsidRPr="00060EA2">
              <w:rPr>
                <w:color w:val="000000" w:themeColor="text1"/>
                <w:sz w:val="18"/>
              </w:rPr>
              <w:t>Общий целевой фонд для основного бюджета по программе</w:t>
            </w:r>
            <w:r w:rsidRPr="00060EA2">
              <w:rPr>
                <w:sz w:val="18"/>
              </w:rPr>
              <w:t xml:space="preserve"> </w:t>
            </w:r>
            <w:r w:rsidRPr="00060EA2">
              <w:rPr>
                <w:color w:val="000000"/>
                <w:sz w:val="18"/>
              </w:rPr>
              <w:t>Нагойского протокола</w:t>
            </w:r>
          </w:p>
        </w:tc>
        <w:tc>
          <w:tcPr>
            <w:tcW w:w="826" w:type="dxa"/>
            <w:tcBorders>
              <w:top w:val="nil"/>
              <w:left w:val="nil"/>
              <w:bottom w:val="single" w:sz="4" w:space="0" w:color="auto"/>
              <w:right w:val="nil"/>
            </w:tcBorders>
            <w:shd w:val="clear" w:color="auto" w:fill="auto"/>
            <w:noWrap/>
            <w:vAlign w:val="center"/>
            <w:hideMark/>
          </w:tcPr>
          <w:p w14:paraId="146FFDB3" w14:textId="2456F213" w:rsidR="0015126A" w:rsidRPr="00060EA2" w:rsidRDefault="0015126A" w:rsidP="00361521">
            <w:pPr>
              <w:keepNext/>
              <w:keepLines/>
              <w:jc w:val="right"/>
              <w:rPr>
                <w:color w:val="000000"/>
                <w:sz w:val="18"/>
                <w:szCs w:val="18"/>
              </w:rPr>
            </w:pPr>
            <w:r w:rsidRPr="00060EA2">
              <w:rPr>
                <w:color w:val="000000"/>
                <w:sz w:val="18"/>
              </w:rPr>
              <w:t>141</w:t>
            </w:r>
          </w:p>
        </w:tc>
        <w:tc>
          <w:tcPr>
            <w:tcW w:w="1279" w:type="dxa"/>
            <w:tcBorders>
              <w:top w:val="nil"/>
              <w:left w:val="nil"/>
              <w:bottom w:val="single" w:sz="4" w:space="0" w:color="auto"/>
              <w:right w:val="nil"/>
            </w:tcBorders>
            <w:shd w:val="clear" w:color="auto" w:fill="auto"/>
            <w:noWrap/>
            <w:vAlign w:val="center"/>
            <w:hideMark/>
          </w:tcPr>
          <w:p w14:paraId="27646AB6" w14:textId="68599485" w:rsidR="0015126A" w:rsidRPr="00060EA2" w:rsidRDefault="0015126A" w:rsidP="00361521">
            <w:pPr>
              <w:keepNext/>
              <w:keepLines/>
              <w:jc w:val="right"/>
              <w:rPr>
                <w:color w:val="000000"/>
                <w:sz w:val="18"/>
                <w:szCs w:val="18"/>
              </w:rPr>
            </w:pPr>
            <w:r w:rsidRPr="00060EA2">
              <w:rPr>
                <w:color w:val="000000"/>
                <w:sz w:val="18"/>
              </w:rPr>
              <w:t>59</w:t>
            </w:r>
          </w:p>
        </w:tc>
        <w:tc>
          <w:tcPr>
            <w:tcW w:w="1196" w:type="dxa"/>
            <w:tcBorders>
              <w:top w:val="nil"/>
              <w:left w:val="nil"/>
              <w:bottom w:val="single" w:sz="4" w:space="0" w:color="auto"/>
              <w:right w:val="nil"/>
            </w:tcBorders>
            <w:shd w:val="clear" w:color="auto" w:fill="auto"/>
            <w:noWrap/>
            <w:vAlign w:val="center"/>
            <w:hideMark/>
          </w:tcPr>
          <w:p w14:paraId="525E81D0" w14:textId="4EBC8229" w:rsidR="0015126A" w:rsidRPr="00060EA2" w:rsidRDefault="0015126A" w:rsidP="00361521">
            <w:pPr>
              <w:keepNext/>
              <w:keepLines/>
              <w:jc w:val="right"/>
              <w:rPr>
                <w:color w:val="000000"/>
                <w:sz w:val="18"/>
                <w:szCs w:val="18"/>
              </w:rPr>
            </w:pPr>
            <w:r w:rsidRPr="00060EA2">
              <w:rPr>
                <w:color w:val="000000"/>
                <w:sz w:val="18"/>
              </w:rPr>
              <w:t>41,84</w:t>
            </w:r>
          </w:p>
        </w:tc>
        <w:tc>
          <w:tcPr>
            <w:tcW w:w="1279" w:type="dxa"/>
            <w:tcBorders>
              <w:top w:val="nil"/>
              <w:left w:val="nil"/>
              <w:bottom w:val="single" w:sz="4" w:space="0" w:color="auto"/>
              <w:right w:val="nil"/>
            </w:tcBorders>
            <w:shd w:val="clear" w:color="auto" w:fill="auto"/>
            <w:noWrap/>
            <w:vAlign w:val="center"/>
            <w:hideMark/>
          </w:tcPr>
          <w:p w14:paraId="0EA6DD29" w14:textId="74E8B600" w:rsidR="0015126A" w:rsidRPr="00060EA2" w:rsidRDefault="0015126A" w:rsidP="00361521">
            <w:pPr>
              <w:keepNext/>
              <w:keepLines/>
              <w:jc w:val="right"/>
              <w:rPr>
                <w:color w:val="000000"/>
                <w:sz w:val="18"/>
                <w:szCs w:val="18"/>
              </w:rPr>
            </w:pPr>
            <w:r w:rsidRPr="00060EA2">
              <w:rPr>
                <w:color w:val="000000"/>
                <w:sz w:val="18"/>
              </w:rPr>
              <w:t>29</w:t>
            </w:r>
          </w:p>
        </w:tc>
        <w:tc>
          <w:tcPr>
            <w:tcW w:w="1196" w:type="dxa"/>
            <w:tcBorders>
              <w:top w:val="nil"/>
              <w:left w:val="nil"/>
              <w:bottom w:val="single" w:sz="4" w:space="0" w:color="auto"/>
              <w:right w:val="nil"/>
            </w:tcBorders>
            <w:shd w:val="clear" w:color="auto" w:fill="auto"/>
            <w:noWrap/>
            <w:vAlign w:val="center"/>
            <w:hideMark/>
          </w:tcPr>
          <w:p w14:paraId="327F2425" w14:textId="30DA3EBB" w:rsidR="0015126A" w:rsidRPr="00060EA2" w:rsidRDefault="0015126A" w:rsidP="00361521">
            <w:pPr>
              <w:keepNext/>
              <w:keepLines/>
              <w:jc w:val="right"/>
              <w:rPr>
                <w:color w:val="000000"/>
                <w:sz w:val="18"/>
                <w:szCs w:val="18"/>
              </w:rPr>
            </w:pPr>
            <w:r w:rsidRPr="00060EA2">
              <w:rPr>
                <w:color w:val="000000"/>
                <w:sz w:val="18"/>
              </w:rPr>
              <w:t>20,57</w:t>
            </w:r>
          </w:p>
        </w:tc>
      </w:tr>
    </w:tbl>
    <w:p w14:paraId="00541796" w14:textId="28FCA982" w:rsidR="0015126A" w:rsidRPr="00060EA2" w:rsidRDefault="0015126A" w:rsidP="00361521">
      <w:pPr>
        <w:pStyle w:val="CBDNormalNumber"/>
        <w:rPr>
          <w:kern w:val="22"/>
        </w:rPr>
      </w:pPr>
      <w:r w:rsidRPr="00060EA2">
        <w:t>С состоянием взносов в три общих целевых фонда можно ознакомиться на веб-сайте секретариата.</w:t>
      </w:r>
    </w:p>
    <w:p w14:paraId="7A6E5F70" w14:textId="7FFF9A11" w:rsidR="0015126A" w:rsidRPr="00060EA2" w:rsidRDefault="0015126A" w:rsidP="00361521">
      <w:pPr>
        <w:pStyle w:val="CBDH2"/>
        <w:numPr>
          <w:ilvl w:val="0"/>
          <w:numId w:val="0"/>
        </w:numPr>
        <w:ind w:left="567" w:hanging="567"/>
        <w:outlineLvl w:val="1"/>
        <w:rPr>
          <w:kern w:val="22"/>
        </w:rPr>
      </w:pPr>
      <w:r w:rsidRPr="00060EA2">
        <w:t>В.</w:t>
      </w:r>
      <w:r w:rsidRPr="00060EA2">
        <w:tab/>
        <w:t>Исполнение комплексного бюджета на 2023-2024 годы</w:t>
      </w:r>
    </w:p>
    <w:p w14:paraId="5F820B3E" w14:textId="6A0A0F8C" w:rsidR="0015126A" w:rsidRPr="00060EA2" w:rsidRDefault="0015126A" w:rsidP="00361521">
      <w:pPr>
        <w:pStyle w:val="CBDNormalNumber"/>
      </w:pPr>
      <w:r w:rsidRPr="00060EA2">
        <w:t>Как показано в третьей колонке таблицы 5, по состоянию на 31 июля 2024 года расходы, понесенные в рамках утвержденного бюджета за двухлетний период 2023-2024 годов, составили в общей сложности 39 824 700 долл. США, включая фактические расходы и обязательства, которые будут произведены и погашены до конца 2024 года.</w:t>
      </w:r>
    </w:p>
    <w:p w14:paraId="6643187E" w14:textId="75091343" w:rsidR="0015126A" w:rsidRPr="00060EA2" w:rsidRDefault="0015126A" w:rsidP="00361521">
      <w:pPr>
        <w:pStyle w:val="CBDTableTitle"/>
        <w:rPr>
          <w:bCs/>
        </w:rPr>
      </w:pPr>
      <w:r w:rsidRPr="00060EA2">
        <w:rPr>
          <w:b w:val="0"/>
        </w:rPr>
        <w:t>Таблица 5</w:t>
      </w:r>
      <w:r w:rsidRPr="00060EA2">
        <w:t xml:space="preserve"> </w:t>
      </w:r>
      <w:r w:rsidRPr="00060EA2">
        <w:br/>
        <w:t>Расходы по статьям расходов в сравнении с утвержденным комплексным бюджетом на 2023</w:t>
      </w:r>
      <w:r w:rsidR="001E381A" w:rsidRPr="00060EA2">
        <w:t>-</w:t>
      </w:r>
      <w:r w:rsidRPr="00060EA2">
        <w:t xml:space="preserve">2024 годы по состоянию на 31 июля 2024 года </w:t>
      </w:r>
    </w:p>
    <w:p w14:paraId="2333653D" w14:textId="77777777" w:rsidR="0015126A" w:rsidRPr="00060EA2" w:rsidRDefault="0015126A" w:rsidP="00361521">
      <w:pPr>
        <w:pStyle w:val="Style1"/>
        <w:numPr>
          <w:ilvl w:val="0"/>
          <w:numId w:val="0"/>
        </w:numPr>
        <w:spacing w:before="0" w:after="60"/>
        <w:ind w:left="567"/>
        <w:outlineLvl w:val="9"/>
        <w:rPr>
          <w:rFonts w:ascii="Times New Roman" w:hAnsi="Times New Roman" w:cs="Times New Roman"/>
          <w:b w:val="0"/>
          <w:bCs/>
          <w:i w:val="0"/>
          <w:iCs w:val="0"/>
          <w:color w:val="000000" w:themeColor="text1"/>
          <w:sz w:val="18"/>
          <w:szCs w:val="18"/>
        </w:rPr>
      </w:pPr>
      <w:r w:rsidRPr="00060EA2">
        <w:rPr>
          <w:rFonts w:ascii="Times New Roman" w:hAnsi="Times New Roman"/>
          <w:b w:val="0"/>
          <w:i w:val="0"/>
          <w:color w:val="000000" w:themeColor="text1"/>
          <w:sz w:val="18"/>
        </w:rPr>
        <w:t>(тыс. долл. США)</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772"/>
        <w:gridCol w:w="1646"/>
        <w:gridCol w:w="1264"/>
      </w:tblGrid>
      <w:tr w:rsidR="0015126A" w:rsidRPr="00060EA2" w14:paraId="32881321" w14:textId="77777777" w:rsidTr="008067E6">
        <w:trPr>
          <w:trHeight w:val="426"/>
          <w:tblHeader/>
          <w:jc w:val="center"/>
        </w:trPr>
        <w:tc>
          <w:tcPr>
            <w:tcW w:w="3681" w:type="dxa"/>
            <w:shd w:val="clear" w:color="auto" w:fill="auto"/>
            <w:vAlign w:val="bottom"/>
            <w:hideMark/>
          </w:tcPr>
          <w:p w14:paraId="53872340" w14:textId="77777777" w:rsidR="0015126A" w:rsidRPr="00060EA2" w:rsidRDefault="0015126A" w:rsidP="00361521">
            <w:pPr>
              <w:keepNext/>
              <w:keepLines/>
              <w:jc w:val="center"/>
              <w:rPr>
                <w:rFonts w:asciiTheme="majorBidi" w:hAnsiTheme="majorBidi" w:cstheme="majorBidi"/>
                <w:i/>
                <w:iCs/>
                <w:color w:val="000000"/>
                <w:sz w:val="18"/>
                <w:szCs w:val="18"/>
              </w:rPr>
            </w:pPr>
            <w:r w:rsidRPr="00060EA2">
              <w:rPr>
                <w:rFonts w:asciiTheme="majorBidi" w:hAnsiTheme="majorBidi"/>
                <w:i/>
                <w:color w:val="000000"/>
                <w:sz w:val="18"/>
              </w:rPr>
              <w:t>Статья расходов</w:t>
            </w:r>
          </w:p>
        </w:tc>
        <w:tc>
          <w:tcPr>
            <w:tcW w:w="1772" w:type="dxa"/>
            <w:shd w:val="clear" w:color="auto" w:fill="auto"/>
            <w:vAlign w:val="bottom"/>
            <w:hideMark/>
          </w:tcPr>
          <w:p w14:paraId="02603FC5" w14:textId="7C03C2F4" w:rsidR="0015126A" w:rsidRPr="00060EA2" w:rsidRDefault="0015126A" w:rsidP="00361521">
            <w:pPr>
              <w:keepNext/>
              <w:keepLines/>
              <w:jc w:val="center"/>
              <w:rPr>
                <w:rFonts w:asciiTheme="majorBidi" w:hAnsiTheme="majorBidi" w:cstheme="majorBidi"/>
                <w:i/>
                <w:iCs/>
                <w:color w:val="000000"/>
                <w:sz w:val="18"/>
                <w:szCs w:val="18"/>
              </w:rPr>
            </w:pPr>
            <w:r w:rsidRPr="00060EA2">
              <w:rPr>
                <w:rFonts w:asciiTheme="majorBidi" w:hAnsiTheme="majorBidi"/>
                <w:i/>
                <w:color w:val="000000"/>
                <w:sz w:val="18"/>
              </w:rPr>
              <w:t>Утвержденный бюджет на 2023-2024 гг.</w:t>
            </w:r>
          </w:p>
        </w:tc>
        <w:tc>
          <w:tcPr>
            <w:tcW w:w="1646" w:type="dxa"/>
            <w:shd w:val="clear" w:color="auto" w:fill="auto"/>
            <w:vAlign w:val="bottom"/>
            <w:hideMark/>
          </w:tcPr>
          <w:p w14:paraId="417B2329" w14:textId="77777777" w:rsidR="0015126A" w:rsidRPr="00060EA2" w:rsidRDefault="0015126A" w:rsidP="00361521">
            <w:pPr>
              <w:keepNext/>
              <w:keepLines/>
              <w:jc w:val="center"/>
              <w:rPr>
                <w:rFonts w:asciiTheme="majorBidi" w:hAnsiTheme="majorBidi" w:cstheme="majorBidi"/>
                <w:i/>
                <w:iCs/>
                <w:color w:val="000000"/>
                <w:sz w:val="18"/>
                <w:szCs w:val="18"/>
              </w:rPr>
            </w:pPr>
            <w:r w:rsidRPr="00060EA2">
              <w:rPr>
                <w:rFonts w:asciiTheme="majorBidi" w:hAnsiTheme="majorBidi"/>
                <w:i/>
                <w:color w:val="000000"/>
                <w:sz w:val="18"/>
              </w:rPr>
              <w:t>Расходы</w:t>
            </w:r>
          </w:p>
        </w:tc>
        <w:tc>
          <w:tcPr>
            <w:tcW w:w="1264" w:type="dxa"/>
            <w:shd w:val="clear" w:color="auto" w:fill="auto"/>
            <w:vAlign w:val="bottom"/>
            <w:hideMark/>
          </w:tcPr>
          <w:p w14:paraId="2C00B763" w14:textId="77777777" w:rsidR="0015126A" w:rsidRPr="00060EA2" w:rsidRDefault="0015126A" w:rsidP="00361521">
            <w:pPr>
              <w:keepNext/>
              <w:keepLines/>
              <w:jc w:val="center"/>
              <w:rPr>
                <w:rFonts w:asciiTheme="majorBidi" w:hAnsiTheme="majorBidi" w:cstheme="majorBidi"/>
                <w:i/>
                <w:iCs/>
                <w:color w:val="000000"/>
                <w:sz w:val="18"/>
                <w:szCs w:val="18"/>
              </w:rPr>
            </w:pPr>
            <w:r w:rsidRPr="00060EA2">
              <w:rPr>
                <w:rFonts w:asciiTheme="majorBidi" w:hAnsiTheme="majorBidi"/>
                <w:i/>
                <w:color w:val="000000"/>
                <w:sz w:val="18"/>
              </w:rPr>
              <w:t>Расхождение</w:t>
            </w:r>
          </w:p>
        </w:tc>
      </w:tr>
      <w:tr w:rsidR="0015126A" w:rsidRPr="00060EA2" w14:paraId="2CA44748" w14:textId="77777777" w:rsidTr="008067E6">
        <w:trPr>
          <w:trHeight w:val="347"/>
          <w:jc w:val="center"/>
        </w:trPr>
        <w:tc>
          <w:tcPr>
            <w:tcW w:w="3681" w:type="dxa"/>
            <w:shd w:val="clear" w:color="auto" w:fill="auto"/>
            <w:vAlign w:val="bottom"/>
            <w:hideMark/>
          </w:tcPr>
          <w:p w14:paraId="29529B60" w14:textId="375B0347" w:rsidR="0015126A" w:rsidRPr="00060EA2" w:rsidRDefault="0015126A" w:rsidP="00361521">
            <w:pPr>
              <w:keepNext/>
              <w:keepLines/>
              <w:jc w:val="left"/>
              <w:rPr>
                <w:rFonts w:asciiTheme="majorBidi" w:hAnsiTheme="majorBidi" w:cstheme="majorBidi"/>
                <w:color w:val="000000"/>
                <w:sz w:val="18"/>
                <w:szCs w:val="18"/>
              </w:rPr>
            </w:pPr>
            <w:r w:rsidRPr="00060EA2">
              <w:rPr>
                <w:rFonts w:asciiTheme="majorBidi" w:hAnsiTheme="majorBidi"/>
                <w:color w:val="000000"/>
                <w:sz w:val="18"/>
              </w:rPr>
              <w:t>Расходы на персонал</w:t>
            </w:r>
          </w:p>
        </w:tc>
        <w:tc>
          <w:tcPr>
            <w:tcW w:w="1772" w:type="dxa"/>
            <w:shd w:val="clear" w:color="auto" w:fill="auto"/>
            <w:vAlign w:val="bottom"/>
            <w:hideMark/>
          </w:tcPr>
          <w:p w14:paraId="611F892A" w14:textId="50B78140" w:rsidR="0015126A" w:rsidRPr="00060EA2" w:rsidRDefault="0015126A" w:rsidP="00361521">
            <w:pPr>
              <w:keepNext/>
              <w:keepLines/>
              <w:jc w:val="right"/>
              <w:rPr>
                <w:rFonts w:asciiTheme="majorBidi" w:hAnsiTheme="majorBidi" w:cstheme="majorBidi"/>
                <w:color w:val="000000"/>
                <w:sz w:val="18"/>
                <w:szCs w:val="18"/>
              </w:rPr>
            </w:pPr>
            <w:r w:rsidRPr="00060EA2">
              <w:rPr>
                <w:rFonts w:asciiTheme="majorBidi" w:hAnsiTheme="majorBidi"/>
                <w:color w:val="000000"/>
                <w:sz w:val="18"/>
              </w:rPr>
              <w:t>24 157,3</w:t>
            </w:r>
          </w:p>
        </w:tc>
        <w:tc>
          <w:tcPr>
            <w:tcW w:w="1646" w:type="dxa"/>
            <w:shd w:val="clear" w:color="auto" w:fill="auto"/>
            <w:vAlign w:val="bottom"/>
            <w:hideMark/>
          </w:tcPr>
          <w:p w14:paraId="11DE018D" w14:textId="2AE6611F" w:rsidR="0015126A" w:rsidRPr="00060EA2" w:rsidRDefault="0015126A" w:rsidP="00361521">
            <w:pPr>
              <w:keepNext/>
              <w:keepLines/>
              <w:jc w:val="right"/>
              <w:rPr>
                <w:rFonts w:asciiTheme="majorBidi" w:hAnsiTheme="majorBidi" w:cstheme="majorBidi"/>
                <w:color w:val="000000"/>
                <w:sz w:val="18"/>
                <w:szCs w:val="18"/>
              </w:rPr>
            </w:pPr>
            <w:r w:rsidRPr="00060EA2">
              <w:rPr>
                <w:rFonts w:asciiTheme="majorBidi" w:hAnsiTheme="majorBidi"/>
                <w:color w:val="000000"/>
                <w:sz w:val="18"/>
              </w:rPr>
              <w:t>23 394,0</w:t>
            </w:r>
          </w:p>
        </w:tc>
        <w:tc>
          <w:tcPr>
            <w:tcW w:w="1264" w:type="dxa"/>
            <w:shd w:val="clear" w:color="auto" w:fill="auto"/>
            <w:vAlign w:val="bottom"/>
            <w:hideMark/>
          </w:tcPr>
          <w:p w14:paraId="0CEE4A47" w14:textId="6328B92D" w:rsidR="0015126A" w:rsidRPr="00060EA2" w:rsidRDefault="0015126A" w:rsidP="00361521">
            <w:pPr>
              <w:keepNext/>
              <w:keepLines/>
              <w:jc w:val="right"/>
              <w:rPr>
                <w:rFonts w:asciiTheme="majorBidi" w:hAnsiTheme="majorBidi" w:cstheme="majorBidi"/>
                <w:color w:val="000000"/>
                <w:sz w:val="18"/>
                <w:szCs w:val="18"/>
              </w:rPr>
            </w:pPr>
            <w:r w:rsidRPr="00060EA2">
              <w:rPr>
                <w:rFonts w:asciiTheme="majorBidi" w:hAnsiTheme="majorBidi"/>
                <w:color w:val="000000"/>
                <w:sz w:val="18"/>
              </w:rPr>
              <w:t>763,3</w:t>
            </w:r>
          </w:p>
        </w:tc>
      </w:tr>
      <w:tr w:rsidR="0015126A" w:rsidRPr="00060EA2" w14:paraId="200C8564" w14:textId="77777777" w:rsidTr="008067E6">
        <w:trPr>
          <w:trHeight w:val="216"/>
          <w:jc w:val="center"/>
        </w:trPr>
        <w:tc>
          <w:tcPr>
            <w:tcW w:w="3681" w:type="dxa"/>
            <w:shd w:val="clear" w:color="auto" w:fill="auto"/>
            <w:vAlign w:val="bottom"/>
            <w:hideMark/>
          </w:tcPr>
          <w:p w14:paraId="354F658E" w14:textId="0A966443"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Временн</w:t>
            </w:r>
            <w:r w:rsidR="000A29F8">
              <w:rPr>
                <w:rFonts w:asciiTheme="majorBidi" w:hAnsiTheme="majorBidi"/>
                <w:color w:val="000000"/>
                <w:sz w:val="18"/>
              </w:rPr>
              <w:t>ая</w:t>
            </w:r>
            <w:r w:rsidRPr="00060EA2">
              <w:rPr>
                <w:rFonts w:asciiTheme="majorBidi" w:hAnsiTheme="majorBidi"/>
                <w:color w:val="000000"/>
                <w:sz w:val="18"/>
              </w:rPr>
              <w:t xml:space="preserve"> </w:t>
            </w:r>
            <w:r w:rsidR="000A29F8">
              <w:rPr>
                <w:rFonts w:asciiTheme="majorBidi" w:hAnsiTheme="majorBidi"/>
                <w:color w:val="000000"/>
                <w:sz w:val="18"/>
              </w:rPr>
              <w:t>помощь</w:t>
            </w:r>
            <w:r w:rsidRPr="00060EA2">
              <w:rPr>
                <w:rFonts w:asciiTheme="majorBidi" w:hAnsiTheme="majorBidi"/>
                <w:color w:val="000000"/>
                <w:sz w:val="18"/>
              </w:rPr>
              <w:t xml:space="preserve"> и оплата сверхурочных</w:t>
            </w:r>
          </w:p>
        </w:tc>
        <w:tc>
          <w:tcPr>
            <w:tcW w:w="1772" w:type="dxa"/>
            <w:shd w:val="clear" w:color="auto" w:fill="auto"/>
            <w:vAlign w:val="bottom"/>
            <w:hideMark/>
          </w:tcPr>
          <w:p w14:paraId="41F7CE9B" w14:textId="59BB0033"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200,0</w:t>
            </w:r>
          </w:p>
        </w:tc>
        <w:tc>
          <w:tcPr>
            <w:tcW w:w="1646" w:type="dxa"/>
            <w:shd w:val="clear" w:color="auto" w:fill="auto"/>
            <w:vAlign w:val="bottom"/>
            <w:hideMark/>
          </w:tcPr>
          <w:p w14:paraId="5ABDD7DD" w14:textId="76038688"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themeColor="text1"/>
                <w:sz w:val="18"/>
              </w:rPr>
              <w:t>210,0</w:t>
            </w:r>
          </w:p>
        </w:tc>
        <w:tc>
          <w:tcPr>
            <w:tcW w:w="1264" w:type="dxa"/>
            <w:shd w:val="clear" w:color="auto" w:fill="auto"/>
            <w:vAlign w:val="bottom"/>
            <w:hideMark/>
          </w:tcPr>
          <w:p w14:paraId="400F2508" w14:textId="004CFFBA"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themeColor="text1"/>
                <w:sz w:val="18"/>
              </w:rPr>
              <w:t>(10,0)</w:t>
            </w:r>
          </w:p>
        </w:tc>
      </w:tr>
      <w:tr w:rsidR="0015126A" w:rsidRPr="00060EA2" w14:paraId="04D54B4A" w14:textId="77777777" w:rsidTr="008067E6">
        <w:trPr>
          <w:trHeight w:val="216"/>
          <w:jc w:val="center"/>
        </w:trPr>
        <w:tc>
          <w:tcPr>
            <w:tcW w:w="3681" w:type="dxa"/>
            <w:shd w:val="clear" w:color="auto" w:fill="auto"/>
            <w:vAlign w:val="bottom"/>
            <w:hideMark/>
          </w:tcPr>
          <w:p w14:paraId="1B660CDF" w14:textId="55F32969"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Консультанты и субподрядчики</w:t>
            </w:r>
          </w:p>
        </w:tc>
        <w:tc>
          <w:tcPr>
            <w:tcW w:w="1772" w:type="dxa"/>
            <w:shd w:val="clear" w:color="auto" w:fill="auto"/>
            <w:vAlign w:val="bottom"/>
            <w:hideMark/>
          </w:tcPr>
          <w:p w14:paraId="35087BB0" w14:textId="6C8876EF"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100,0</w:t>
            </w:r>
          </w:p>
        </w:tc>
        <w:tc>
          <w:tcPr>
            <w:tcW w:w="1646" w:type="dxa"/>
            <w:shd w:val="clear" w:color="auto" w:fill="auto"/>
            <w:vAlign w:val="bottom"/>
            <w:hideMark/>
          </w:tcPr>
          <w:p w14:paraId="217DDD04" w14:textId="3AF2D2A3"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90,0</w:t>
            </w:r>
          </w:p>
        </w:tc>
        <w:tc>
          <w:tcPr>
            <w:tcW w:w="1264" w:type="dxa"/>
            <w:shd w:val="clear" w:color="auto" w:fill="auto"/>
            <w:vAlign w:val="bottom"/>
            <w:hideMark/>
          </w:tcPr>
          <w:p w14:paraId="7494A044" w14:textId="10879793"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10,0</w:t>
            </w:r>
          </w:p>
        </w:tc>
      </w:tr>
      <w:tr w:rsidR="0015126A" w:rsidRPr="00060EA2" w14:paraId="2DFCA1CE" w14:textId="77777777" w:rsidTr="008067E6">
        <w:trPr>
          <w:trHeight w:val="216"/>
          <w:jc w:val="center"/>
        </w:trPr>
        <w:tc>
          <w:tcPr>
            <w:tcW w:w="3681" w:type="dxa"/>
            <w:shd w:val="clear" w:color="auto" w:fill="auto"/>
            <w:vAlign w:val="bottom"/>
            <w:hideMark/>
          </w:tcPr>
          <w:p w14:paraId="05B60FA8" w14:textId="3CCEAC82"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Профподготовка</w:t>
            </w:r>
          </w:p>
        </w:tc>
        <w:tc>
          <w:tcPr>
            <w:tcW w:w="1772" w:type="dxa"/>
            <w:shd w:val="clear" w:color="auto" w:fill="auto"/>
            <w:vAlign w:val="bottom"/>
            <w:hideMark/>
          </w:tcPr>
          <w:p w14:paraId="3483553B" w14:textId="5FBCC35A"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10,0</w:t>
            </w:r>
          </w:p>
        </w:tc>
        <w:tc>
          <w:tcPr>
            <w:tcW w:w="1646" w:type="dxa"/>
            <w:shd w:val="clear" w:color="auto" w:fill="auto"/>
            <w:vAlign w:val="bottom"/>
            <w:hideMark/>
          </w:tcPr>
          <w:p w14:paraId="2D6990ED" w14:textId="63C78E3A"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7,2</w:t>
            </w:r>
          </w:p>
        </w:tc>
        <w:tc>
          <w:tcPr>
            <w:tcW w:w="1264" w:type="dxa"/>
            <w:shd w:val="clear" w:color="auto" w:fill="auto"/>
            <w:vAlign w:val="bottom"/>
            <w:hideMark/>
          </w:tcPr>
          <w:p w14:paraId="45E99B6E" w14:textId="79A843D3"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2,8</w:t>
            </w:r>
          </w:p>
        </w:tc>
      </w:tr>
      <w:tr w:rsidR="0015126A" w:rsidRPr="00060EA2" w14:paraId="39A29E88" w14:textId="77777777" w:rsidTr="008067E6">
        <w:trPr>
          <w:trHeight w:val="329"/>
          <w:jc w:val="center"/>
        </w:trPr>
        <w:tc>
          <w:tcPr>
            <w:tcW w:w="3681" w:type="dxa"/>
            <w:shd w:val="clear" w:color="auto" w:fill="auto"/>
            <w:vAlign w:val="bottom"/>
            <w:hideMark/>
          </w:tcPr>
          <w:p w14:paraId="4FD82351" w14:textId="473EE00D"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Структурный обзор</w:t>
            </w:r>
          </w:p>
        </w:tc>
        <w:tc>
          <w:tcPr>
            <w:tcW w:w="1772" w:type="dxa"/>
            <w:shd w:val="clear" w:color="auto" w:fill="auto"/>
            <w:vAlign w:val="bottom"/>
            <w:hideMark/>
          </w:tcPr>
          <w:p w14:paraId="31CFBF35" w14:textId="522629DD"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250,0</w:t>
            </w:r>
          </w:p>
        </w:tc>
        <w:tc>
          <w:tcPr>
            <w:tcW w:w="1646" w:type="dxa"/>
            <w:shd w:val="clear" w:color="auto" w:fill="auto"/>
            <w:vAlign w:val="bottom"/>
            <w:hideMark/>
          </w:tcPr>
          <w:p w14:paraId="09E7137F" w14:textId="123CF5E0"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23,0</w:t>
            </w:r>
          </w:p>
        </w:tc>
        <w:tc>
          <w:tcPr>
            <w:tcW w:w="1264" w:type="dxa"/>
            <w:shd w:val="clear" w:color="auto" w:fill="auto"/>
            <w:vAlign w:val="bottom"/>
            <w:hideMark/>
          </w:tcPr>
          <w:p w14:paraId="00E3AE4E"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227,0</w:t>
            </w:r>
          </w:p>
        </w:tc>
      </w:tr>
      <w:tr w:rsidR="0015126A" w:rsidRPr="00060EA2" w14:paraId="46FF80B2" w14:textId="77777777" w:rsidTr="008067E6">
        <w:trPr>
          <w:trHeight w:val="216"/>
          <w:jc w:val="center"/>
        </w:trPr>
        <w:tc>
          <w:tcPr>
            <w:tcW w:w="3681" w:type="dxa"/>
            <w:shd w:val="clear" w:color="auto" w:fill="auto"/>
            <w:vAlign w:val="bottom"/>
            <w:hideMark/>
          </w:tcPr>
          <w:p w14:paraId="2EA8AA17" w14:textId="47B1531D"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Совещания бюро</w:t>
            </w:r>
          </w:p>
        </w:tc>
        <w:tc>
          <w:tcPr>
            <w:tcW w:w="1772" w:type="dxa"/>
            <w:shd w:val="clear" w:color="auto" w:fill="auto"/>
            <w:vAlign w:val="bottom"/>
            <w:hideMark/>
          </w:tcPr>
          <w:p w14:paraId="1791FBC4" w14:textId="78CE56F9"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278,9</w:t>
            </w:r>
          </w:p>
        </w:tc>
        <w:tc>
          <w:tcPr>
            <w:tcW w:w="1646" w:type="dxa"/>
            <w:shd w:val="clear" w:color="auto" w:fill="auto"/>
            <w:vAlign w:val="bottom"/>
            <w:hideMark/>
          </w:tcPr>
          <w:p w14:paraId="567445A6" w14:textId="1EEB8DB0" w:rsidR="0015126A" w:rsidRPr="00060EA2" w:rsidRDefault="0015126A" w:rsidP="00FB7401">
            <w:pPr>
              <w:jc w:val="right"/>
              <w:rPr>
                <w:rFonts w:asciiTheme="majorBidi" w:hAnsiTheme="majorBidi" w:cstheme="majorBidi"/>
                <w:color w:val="000000"/>
                <w:sz w:val="18"/>
                <w:szCs w:val="18"/>
              </w:rPr>
            </w:pPr>
            <w:r w:rsidRPr="00060EA2">
              <w:rPr>
                <w:rFonts w:asciiTheme="majorBidi" w:hAnsiTheme="majorBidi"/>
                <w:color w:val="000000"/>
                <w:sz w:val="18"/>
              </w:rPr>
              <w:t>280,0</w:t>
            </w:r>
          </w:p>
        </w:tc>
        <w:tc>
          <w:tcPr>
            <w:tcW w:w="1264" w:type="dxa"/>
            <w:shd w:val="clear" w:color="auto" w:fill="auto"/>
            <w:vAlign w:val="bottom"/>
            <w:hideMark/>
          </w:tcPr>
          <w:p w14:paraId="45A0DB07" w14:textId="4DA75CE6"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1,1</w:t>
            </w:r>
          </w:p>
        </w:tc>
      </w:tr>
      <w:tr w:rsidR="0015126A" w:rsidRPr="00060EA2" w14:paraId="10FD0F9B" w14:textId="77777777" w:rsidTr="008067E6">
        <w:trPr>
          <w:trHeight w:val="216"/>
          <w:jc w:val="center"/>
        </w:trPr>
        <w:tc>
          <w:tcPr>
            <w:tcW w:w="3681" w:type="dxa"/>
            <w:shd w:val="clear" w:color="auto" w:fill="auto"/>
            <w:vAlign w:val="bottom"/>
            <w:hideMark/>
          </w:tcPr>
          <w:p w14:paraId="52F90EBF" w14:textId="28A3B3BB"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Совещания экспертов</w:t>
            </w:r>
          </w:p>
        </w:tc>
        <w:tc>
          <w:tcPr>
            <w:tcW w:w="1772" w:type="dxa"/>
            <w:shd w:val="clear" w:color="auto" w:fill="auto"/>
            <w:vAlign w:val="bottom"/>
            <w:hideMark/>
          </w:tcPr>
          <w:p w14:paraId="37B7864F" w14:textId="2B32CE0C"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480,0</w:t>
            </w:r>
          </w:p>
        </w:tc>
        <w:tc>
          <w:tcPr>
            <w:tcW w:w="1646" w:type="dxa"/>
            <w:shd w:val="clear" w:color="auto" w:fill="auto"/>
            <w:vAlign w:val="bottom"/>
            <w:hideMark/>
          </w:tcPr>
          <w:p w14:paraId="16A86523" w14:textId="189E8FB4" w:rsidR="0015126A" w:rsidRPr="00060EA2" w:rsidRDefault="0015126A" w:rsidP="0019209D">
            <w:pPr>
              <w:jc w:val="right"/>
              <w:rPr>
                <w:rFonts w:asciiTheme="majorBidi" w:hAnsiTheme="majorBidi" w:cstheme="majorBidi"/>
                <w:color w:val="000000"/>
                <w:sz w:val="18"/>
                <w:szCs w:val="18"/>
              </w:rPr>
            </w:pPr>
            <w:r w:rsidRPr="00060EA2">
              <w:rPr>
                <w:rFonts w:asciiTheme="majorBidi" w:hAnsiTheme="majorBidi"/>
                <w:color w:val="000000"/>
                <w:sz w:val="18"/>
              </w:rPr>
              <w:t>453,1</w:t>
            </w:r>
          </w:p>
        </w:tc>
        <w:tc>
          <w:tcPr>
            <w:tcW w:w="1264" w:type="dxa"/>
            <w:shd w:val="clear" w:color="auto" w:fill="auto"/>
            <w:vAlign w:val="bottom"/>
            <w:hideMark/>
          </w:tcPr>
          <w:p w14:paraId="553C9A6C" w14:textId="5717764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26,9</w:t>
            </w:r>
          </w:p>
        </w:tc>
      </w:tr>
      <w:tr w:rsidR="0015126A" w:rsidRPr="00060EA2" w14:paraId="574FF5F5" w14:textId="77777777" w:rsidTr="008067E6">
        <w:trPr>
          <w:trHeight w:val="329"/>
          <w:jc w:val="center"/>
        </w:trPr>
        <w:tc>
          <w:tcPr>
            <w:tcW w:w="3681" w:type="dxa"/>
            <w:shd w:val="clear" w:color="auto" w:fill="auto"/>
            <w:vAlign w:val="bottom"/>
            <w:hideMark/>
          </w:tcPr>
          <w:p w14:paraId="574C7623" w14:textId="2F490A8E"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Совещания межправительственных органов</w:t>
            </w:r>
            <w:r w:rsidRPr="00060EA2">
              <w:rPr>
                <w:rFonts w:asciiTheme="majorBidi" w:hAnsiTheme="majorBidi"/>
                <w:i/>
                <w:iCs/>
                <w:color w:val="000000"/>
                <w:sz w:val="18"/>
                <w:vertAlign w:val="superscript"/>
              </w:rPr>
              <w:t>a</w:t>
            </w:r>
          </w:p>
        </w:tc>
        <w:tc>
          <w:tcPr>
            <w:tcW w:w="1772" w:type="dxa"/>
            <w:shd w:val="clear" w:color="auto" w:fill="auto"/>
            <w:vAlign w:val="bottom"/>
            <w:hideMark/>
          </w:tcPr>
          <w:p w14:paraId="2B5D0BD6" w14:textId="2026C094"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5 584,6</w:t>
            </w:r>
          </w:p>
        </w:tc>
        <w:tc>
          <w:tcPr>
            <w:tcW w:w="1646" w:type="dxa"/>
            <w:shd w:val="clear" w:color="auto" w:fill="auto"/>
            <w:vAlign w:val="bottom"/>
            <w:hideMark/>
          </w:tcPr>
          <w:p w14:paraId="2B9BD288" w14:textId="436ABE9C"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5 500,0</w:t>
            </w:r>
          </w:p>
        </w:tc>
        <w:tc>
          <w:tcPr>
            <w:tcW w:w="1264" w:type="dxa"/>
            <w:shd w:val="clear" w:color="auto" w:fill="auto"/>
            <w:vAlign w:val="bottom"/>
            <w:hideMark/>
          </w:tcPr>
          <w:p w14:paraId="13E87151" w14:textId="711F4D05"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84,6</w:t>
            </w:r>
          </w:p>
        </w:tc>
      </w:tr>
      <w:tr w:rsidR="0015126A" w:rsidRPr="00060EA2" w14:paraId="13F69251" w14:textId="77777777" w:rsidTr="008067E6">
        <w:trPr>
          <w:trHeight w:val="216"/>
          <w:jc w:val="center"/>
        </w:trPr>
        <w:tc>
          <w:tcPr>
            <w:tcW w:w="3681" w:type="dxa"/>
            <w:shd w:val="clear" w:color="auto" w:fill="auto"/>
            <w:vAlign w:val="bottom"/>
            <w:hideMark/>
          </w:tcPr>
          <w:p w14:paraId="319BA76C" w14:textId="46910381" w:rsidR="0015126A" w:rsidRPr="00060EA2" w:rsidRDefault="00054FDD" w:rsidP="00892011">
            <w:pPr>
              <w:jc w:val="left"/>
              <w:rPr>
                <w:rFonts w:asciiTheme="majorBidi" w:hAnsiTheme="majorBidi" w:cstheme="majorBidi"/>
                <w:color w:val="000000"/>
                <w:sz w:val="18"/>
                <w:szCs w:val="18"/>
                <w:vertAlign w:val="superscript"/>
              </w:rPr>
            </w:pPr>
            <w:r>
              <w:rPr>
                <w:rFonts w:asciiTheme="majorBidi" w:hAnsiTheme="majorBidi"/>
                <w:color w:val="000000" w:themeColor="text1"/>
                <w:sz w:val="18"/>
              </w:rPr>
              <w:t>И</w:t>
            </w:r>
            <w:r w:rsidR="0015126A" w:rsidRPr="00060EA2">
              <w:rPr>
                <w:rFonts w:asciiTheme="majorBidi" w:hAnsiTheme="majorBidi"/>
                <w:color w:val="000000" w:themeColor="text1"/>
                <w:sz w:val="18"/>
              </w:rPr>
              <w:t>нформационные материалы и коммуникация</w:t>
            </w:r>
          </w:p>
        </w:tc>
        <w:tc>
          <w:tcPr>
            <w:tcW w:w="1772" w:type="dxa"/>
            <w:shd w:val="clear" w:color="auto" w:fill="auto"/>
            <w:vAlign w:val="bottom"/>
            <w:hideMark/>
          </w:tcPr>
          <w:p w14:paraId="3B72B7E5" w14:textId="6CF407E4"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100,0</w:t>
            </w:r>
          </w:p>
        </w:tc>
        <w:tc>
          <w:tcPr>
            <w:tcW w:w="1646" w:type="dxa"/>
            <w:shd w:val="clear" w:color="auto" w:fill="auto"/>
            <w:vAlign w:val="bottom"/>
            <w:hideMark/>
          </w:tcPr>
          <w:p w14:paraId="3B05A7FB" w14:textId="68DF9728"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100,0</w:t>
            </w:r>
          </w:p>
        </w:tc>
        <w:tc>
          <w:tcPr>
            <w:tcW w:w="1264" w:type="dxa"/>
            <w:shd w:val="clear" w:color="auto" w:fill="auto"/>
            <w:vAlign w:val="bottom"/>
            <w:hideMark/>
          </w:tcPr>
          <w:p w14:paraId="630A0F37" w14:textId="64B6D7EF"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w:t>
            </w:r>
          </w:p>
        </w:tc>
      </w:tr>
      <w:tr w:rsidR="0015126A" w:rsidRPr="00060EA2" w14:paraId="49813DF4" w14:textId="77777777" w:rsidTr="008067E6">
        <w:trPr>
          <w:trHeight w:val="216"/>
          <w:jc w:val="center"/>
        </w:trPr>
        <w:tc>
          <w:tcPr>
            <w:tcW w:w="3681" w:type="dxa"/>
            <w:shd w:val="clear" w:color="auto" w:fill="auto"/>
            <w:vAlign w:val="bottom"/>
            <w:hideMark/>
          </w:tcPr>
          <w:p w14:paraId="7557DF06" w14:textId="1EA6D768"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Перевод веб-сайта механизма посредничества и проектов веб-сайтов</w:t>
            </w:r>
          </w:p>
        </w:tc>
        <w:tc>
          <w:tcPr>
            <w:tcW w:w="1772" w:type="dxa"/>
            <w:shd w:val="clear" w:color="auto" w:fill="auto"/>
            <w:vAlign w:val="bottom"/>
            <w:hideMark/>
          </w:tcPr>
          <w:p w14:paraId="4713F2D3" w14:textId="01A28455"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130,0</w:t>
            </w:r>
          </w:p>
        </w:tc>
        <w:tc>
          <w:tcPr>
            <w:tcW w:w="1646" w:type="dxa"/>
            <w:shd w:val="clear" w:color="auto" w:fill="auto"/>
            <w:vAlign w:val="bottom"/>
            <w:hideMark/>
          </w:tcPr>
          <w:p w14:paraId="6357560D" w14:textId="775107E5"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70,0</w:t>
            </w:r>
          </w:p>
        </w:tc>
        <w:tc>
          <w:tcPr>
            <w:tcW w:w="1264" w:type="dxa"/>
            <w:shd w:val="clear" w:color="auto" w:fill="auto"/>
            <w:vAlign w:val="bottom"/>
            <w:hideMark/>
          </w:tcPr>
          <w:p w14:paraId="288D22EA" w14:textId="7AA8E322"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60,0</w:t>
            </w:r>
          </w:p>
        </w:tc>
      </w:tr>
      <w:tr w:rsidR="0015126A" w:rsidRPr="00060EA2" w14:paraId="269F4C58" w14:textId="77777777" w:rsidTr="008067E6">
        <w:trPr>
          <w:trHeight w:val="360"/>
          <w:jc w:val="center"/>
        </w:trPr>
        <w:tc>
          <w:tcPr>
            <w:tcW w:w="3681" w:type="dxa"/>
            <w:shd w:val="clear" w:color="auto" w:fill="auto"/>
            <w:vAlign w:val="bottom"/>
            <w:hideMark/>
          </w:tcPr>
          <w:p w14:paraId="7E329666" w14:textId="3C1E94CD" w:rsidR="0015126A" w:rsidRPr="00060EA2" w:rsidRDefault="0015126A" w:rsidP="00892011">
            <w:pPr>
              <w:jc w:val="left"/>
              <w:rPr>
                <w:rFonts w:asciiTheme="majorBidi" w:hAnsiTheme="majorBidi" w:cstheme="majorBidi"/>
                <w:color w:val="000000"/>
                <w:sz w:val="18"/>
                <w:szCs w:val="18"/>
                <w:vertAlign w:val="superscript"/>
              </w:rPr>
            </w:pPr>
            <w:r w:rsidRPr="00060EA2">
              <w:rPr>
                <w:rFonts w:asciiTheme="majorBidi" w:hAnsiTheme="majorBidi"/>
                <w:color w:val="000000" w:themeColor="text1"/>
                <w:sz w:val="18"/>
              </w:rPr>
              <w:t>Служебные командировки</w:t>
            </w:r>
          </w:p>
        </w:tc>
        <w:tc>
          <w:tcPr>
            <w:tcW w:w="1772" w:type="dxa"/>
            <w:shd w:val="clear" w:color="auto" w:fill="auto"/>
            <w:vAlign w:val="bottom"/>
            <w:hideMark/>
          </w:tcPr>
          <w:p w14:paraId="75C0C24F"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 xml:space="preserve">640,0 </w:t>
            </w:r>
          </w:p>
        </w:tc>
        <w:tc>
          <w:tcPr>
            <w:tcW w:w="1646" w:type="dxa"/>
            <w:shd w:val="clear" w:color="auto" w:fill="auto"/>
            <w:vAlign w:val="bottom"/>
            <w:hideMark/>
          </w:tcPr>
          <w:p w14:paraId="7EEB4941"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 xml:space="preserve">720,0 </w:t>
            </w:r>
          </w:p>
        </w:tc>
        <w:tc>
          <w:tcPr>
            <w:tcW w:w="1264" w:type="dxa"/>
            <w:shd w:val="clear" w:color="auto" w:fill="auto"/>
            <w:vAlign w:val="bottom"/>
            <w:hideMark/>
          </w:tcPr>
          <w:p w14:paraId="23664CDC" w14:textId="7C3F434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(80,0)</w:t>
            </w:r>
          </w:p>
        </w:tc>
      </w:tr>
      <w:tr w:rsidR="0015126A" w:rsidRPr="00060EA2" w14:paraId="2EF6F601" w14:textId="77777777" w:rsidTr="008067E6">
        <w:trPr>
          <w:trHeight w:val="216"/>
          <w:jc w:val="center"/>
        </w:trPr>
        <w:tc>
          <w:tcPr>
            <w:tcW w:w="3681" w:type="dxa"/>
            <w:shd w:val="clear" w:color="auto" w:fill="auto"/>
            <w:vAlign w:val="bottom"/>
            <w:hideMark/>
          </w:tcPr>
          <w:p w14:paraId="48409D31" w14:textId="2204ED96" w:rsidR="0015126A" w:rsidRPr="00060EA2" w:rsidRDefault="0015126A" w:rsidP="00892011">
            <w:pPr>
              <w:jc w:val="left"/>
              <w:rPr>
                <w:rFonts w:asciiTheme="majorBidi" w:hAnsiTheme="majorBidi" w:cstheme="majorBidi"/>
                <w:color w:val="000000" w:themeColor="text1"/>
                <w:sz w:val="18"/>
                <w:szCs w:val="18"/>
              </w:rPr>
            </w:pPr>
            <w:r w:rsidRPr="00060EA2">
              <w:rPr>
                <w:rFonts w:asciiTheme="majorBidi" w:hAnsiTheme="majorBidi"/>
                <w:color w:val="000000" w:themeColor="text1"/>
                <w:sz w:val="18"/>
              </w:rPr>
              <w:t>Арендная плата и сопутствующие расходы</w:t>
            </w:r>
          </w:p>
        </w:tc>
        <w:tc>
          <w:tcPr>
            <w:tcW w:w="1772" w:type="dxa"/>
            <w:shd w:val="clear" w:color="auto" w:fill="auto"/>
            <w:vAlign w:val="bottom"/>
            <w:hideMark/>
          </w:tcPr>
          <w:p w14:paraId="71DB36BE" w14:textId="5D10D7A9"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 xml:space="preserve">2 918,7 </w:t>
            </w:r>
          </w:p>
        </w:tc>
        <w:tc>
          <w:tcPr>
            <w:tcW w:w="1646" w:type="dxa"/>
            <w:shd w:val="clear" w:color="auto" w:fill="auto"/>
            <w:vAlign w:val="bottom"/>
            <w:hideMark/>
          </w:tcPr>
          <w:p w14:paraId="01CFFDFB"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 xml:space="preserve">2 895,8 </w:t>
            </w:r>
          </w:p>
        </w:tc>
        <w:tc>
          <w:tcPr>
            <w:tcW w:w="1264" w:type="dxa"/>
            <w:shd w:val="clear" w:color="auto" w:fill="auto"/>
            <w:vAlign w:val="bottom"/>
            <w:hideMark/>
          </w:tcPr>
          <w:p w14:paraId="234F297A"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22,9</w:t>
            </w:r>
          </w:p>
        </w:tc>
      </w:tr>
      <w:tr w:rsidR="0015126A" w:rsidRPr="00060EA2" w14:paraId="37961EAB" w14:textId="77777777" w:rsidTr="008067E6">
        <w:trPr>
          <w:trHeight w:val="216"/>
          <w:jc w:val="center"/>
        </w:trPr>
        <w:tc>
          <w:tcPr>
            <w:tcW w:w="3681" w:type="dxa"/>
            <w:shd w:val="clear" w:color="auto" w:fill="auto"/>
            <w:vAlign w:val="bottom"/>
          </w:tcPr>
          <w:p w14:paraId="5348562F" w14:textId="6A2E4648" w:rsidR="0015126A" w:rsidRPr="00060EA2" w:rsidRDefault="0015126A" w:rsidP="00892011">
            <w:pPr>
              <w:jc w:val="left"/>
              <w:rPr>
                <w:rFonts w:asciiTheme="majorBidi" w:hAnsiTheme="majorBidi" w:cstheme="majorBidi"/>
                <w:color w:val="000000" w:themeColor="text1"/>
                <w:sz w:val="18"/>
                <w:szCs w:val="18"/>
              </w:rPr>
            </w:pPr>
            <w:r w:rsidRPr="00060EA2">
              <w:rPr>
                <w:rFonts w:asciiTheme="majorBidi" w:hAnsiTheme="majorBidi"/>
                <w:color w:val="000000"/>
                <w:sz w:val="18"/>
              </w:rPr>
              <w:t>Информационные технологии</w:t>
            </w:r>
          </w:p>
        </w:tc>
        <w:tc>
          <w:tcPr>
            <w:tcW w:w="1772" w:type="dxa"/>
            <w:shd w:val="clear" w:color="auto" w:fill="auto"/>
            <w:vAlign w:val="bottom"/>
          </w:tcPr>
          <w:p w14:paraId="191F3067"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130,0</w:t>
            </w:r>
          </w:p>
        </w:tc>
        <w:tc>
          <w:tcPr>
            <w:tcW w:w="1646" w:type="dxa"/>
            <w:shd w:val="clear" w:color="auto" w:fill="auto"/>
            <w:vAlign w:val="bottom"/>
          </w:tcPr>
          <w:p w14:paraId="5C90A566"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100,0</w:t>
            </w:r>
          </w:p>
        </w:tc>
        <w:tc>
          <w:tcPr>
            <w:tcW w:w="1264" w:type="dxa"/>
            <w:shd w:val="clear" w:color="auto" w:fill="auto"/>
            <w:vAlign w:val="bottom"/>
          </w:tcPr>
          <w:p w14:paraId="34262CEC"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30,0</w:t>
            </w:r>
          </w:p>
        </w:tc>
      </w:tr>
      <w:tr w:rsidR="0015126A" w:rsidRPr="00060EA2" w14:paraId="1AC0BD33" w14:textId="77777777" w:rsidTr="008067E6">
        <w:trPr>
          <w:trHeight w:val="216"/>
          <w:jc w:val="center"/>
        </w:trPr>
        <w:tc>
          <w:tcPr>
            <w:tcW w:w="3681" w:type="dxa"/>
            <w:shd w:val="clear" w:color="auto" w:fill="auto"/>
            <w:vAlign w:val="bottom"/>
          </w:tcPr>
          <w:p w14:paraId="15236429" w14:textId="15375F81"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Общие эксплуатационные расходы</w:t>
            </w:r>
          </w:p>
        </w:tc>
        <w:tc>
          <w:tcPr>
            <w:tcW w:w="1772" w:type="dxa"/>
            <w:shd w:val="clear" w:color="auto" w:fill="auto"/>
            <w:vAlign w:val="bottom"/>
          </w:tcPr>
          <w:p w14:paraId="09C62ACD"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1 453,2</w:t>
            </w:r>
          </w:p>
        </w:tc>
        <w:tc>
          <w:tcPr>
            <w:tcW w:w="1646" w:type="dxa"/>
            <w:shd w:val="clear" w:color="auto" w:fill="auto"/>
            <w:vAlign w:val="bottom"/>
          </w:tcPr>
          <w:p w14:paraId="1264ACE7"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1 400,0</w:t>
            </w:r>
          </w:p>
        </w:tc>
        <w:tc>
          <w:tcPr>
            <w:tcW w:w="1264" w:type="dxa"/>
            <w:shd w:val="clear" w:color="auto" w:fill="auto"/>
            <w:vAlign w:val="bottom"/>
          </w:tcPr>
          <w:p w14:paraId="3B49D6C3" w14:textId="77777777"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53,2</w:t>
            </w:r>
          </w:p>
        </w:tc>
      </w:tr>
      <w:tr w:rsidR="0015126A" w:rsidRPr="00060EA2" w14:paraId="25CB644F" w14:textId="77777777" w:rsidTr="008067E6">
        <w:trPr>
          <w:trHeight w:val="216"/>
          <w:jc w:val="center"/>
        </w:trPr>
        <w:tc>
          <w:tcPr>
            <w:tcW w:w="3681" w:type="dxa"/>
            <w:shd w:val="clear" w:color="auto" w:fill="auto"/>
            <w:vAlign w:val="bottom"/>
            <w:hideMark/>
          </w:tcPr>
          <w:p w14:paraId="6F271681" w14:textId="21A618FC" w:rsidR="0015126A" w:rsidRPr="00060EA2" w:rsidRDefault="0015126A" w:rsidP="00892011">
            <w:pPr>
              <w:jc w:val="left"/>
              <w:rPr>
                <w:rFonts w:asciiTheme="majorBidi" w:hAnsiTheme="majorBidi" w:cstheme="majorBidi"/>
                <w:b/>
                <w:bCs/>
                <w:color w:val="000000"/>
                <w:sz w:val="18"/>
                <w:szCs w:val="18"/>
              </w:rPr>
            </w:pPr>
            <w:r w:rsidRPr="00060EA2">
              <w:rPr>
                <w:rFonts w:asciiTheme="majorBidi" w:hAnsiTheme="majorBidi"/>
                <w:b/>
                <w:color w:val="000000"/>
                <w:sz w:val="18"/>
              </w:rPr>
              <w:tab/>
              <w:t>Промежуточный итог</w:t>
            </w:r>
          </w:p>
        </w:tc>
        <w:tc>
          <w:tcPr>
            <w:tcW w:w="1772" w:type="dxa"/>
            <w:shd w:val="clear" w:color="auto" w:fill="auto"/>
            <w:vAlign w:val="bottom"/>
            <w:hideMark/>
          </w:tcPr>
          <w:p w14:paraId="49974FEB" w14:textId="726F0E53" w:rsidR="0015126A" w:rsidRPr="00060EA2" w:rsidRDefault="0015126A" w:rsidP="00892011">
            <w:pPr>
              <w:jc w:val="right"/>
              <w:rPr>
                <w:rFonts w:asciiTheme="majorBidi" w:hAnsiTheme="majorBidi" w:cstheme="majorBidi"/>
                <w:b/>
                <w:bCs/>
                <w:color w:val="000000"/>
                <w:sz w:val="18"/>
                <w:szCs w:val="18"/>
              </w:rPr>
            </w:pPr>
            <w:r w:rsidRPr="00060EA2">
              <w:rPr>
                <w:rFonts w:asciiTheme="majorBidi" w:hAnsiTheme="majorBidi"/>
                <w:b/>
                <w:color w:val="000000"/>
                <w:sz w:val="18"/>
              </w:rPr>
              <w:t>36 432,7</w:t>
            </w:r>
          </w:p>
        </w:tc>
        <w:tc>
          <w:tcPr>
            <w:tcW w:w="1646" w:type="dxa"/>
            <w:shd w:val="clear" w:color="auto" w:fill="auto"/>
            <w:vAlign w:val="bottom"/>
            <w:hideMark/>
          </w:tcPr>
          <w:p w14:paraId="4CE1CA5B" w14:textId="29857B91" w:rsidR="0015126A" w:rsidRPr="00060EA2" w:rsidRDefault="0015126A" w:rsidP="00892011">
            <w:pPr>
              <w:jc w:val="right"/>
              <w:rPr>
                <w:rFonts w:asciiTheme="majorBidi" w:hAnsiTheme="majorBidi" w:cstheme="majorBidi"/>
                <w:b/>
                <w:bCs/>
                <w:color w:val="000000"/>
                <w:sz w:val="18"/>
                <w:szCs w:val="18"/>
              </w:rPr>
            </w:pPr>
            <w:r w:rsidRPr="00060EA2">
              <w:rPr>
                <w:rFonts w:asciiTheme="majorBidi" w:hAnsiTheme="majorBidi"/>
                <w:b/>
                <w:color w:val="000000" w:themeColor="text1"/>
                <w:sz w:val="18"/>
              </w:rPr>
              <w:t>35 243,1</w:t>
            </w:r>
          </w:p>
        </w:tc>
        <w:tc>
          <w:tcPr>
            <w:tcW w:w="1264" w:type="dxa"/>
            <w:shd w:val="clear" w:color="auto" w:fill="auto"/>
            <w:vAlign w:val="bottom"/>
            <w:hideMark/>
          </w:tcPr>
          <w:p w14:paraId="0D1CD2B0" w14:textId="012888F1" w:rsidR="0015126A" w:rsidRPr="00060EA2" w:rsidRDefault="0015126A" w:rsidP="00892011">
            <w:pPr>
              <w:jc w:val="right"/>
              <w:rPr>
                <w:rFonts w:asciiTheme="majorBidi" w:hAnsiTheme="majorBidi" w:cstheme="majorBidi"/>
                <w:b/>
                <w:bCs/>
                <w:color w:val="000000"/>
                <w:sz w:val="18"/>
                <w:szCs w:val="18"/>
              </w:rPr>
            </w:pPr>
            <w:r w:rsidRPr="00060EA2">
              <w:rPr>
                <w:rFonts w:asciiTheme="majorBidi" w:hAnsiTheme="majorBidi"/>
                <w:b/>
                <w:color w:val="000000" w:themeColor="text1"/>
                <w:sz w:val="18"/>
              </w:rPr>
              <w:t>1 189,6</w:t>
            </w:r>
          </w:p>
        </w:tc>
      </w:tr>
      <w:tr w:rsidR="0015126A" w:rsidRPr="00060EA2" w14:paraId="20075388" w14:textId="77777777" w:rsidTr="008067E6">
        <w:trPr>
          <w:trHeight w:val="329"/>
          <w:jc w:val="center"/>
        </w:trPr>
        <w:tc>
          <w:tcPr>
            <w:tcW w:w="3681" w:type="dxa"/>
            <w:shd w:val="clear" w:color="auto" w:fill="auto"/>
            <w:vAlign w:val="bottom"/>
            <w:hideMark/>
          </w:tcPr>
          <w:p w14:paraId="06D3F149" w14:textId="4440494D" w:rsidR="0015126A" w:rsidRPr="00060EA2" w:rsidRDefault="0015126A" w:rsidP="00892011">
            <w:pPr>
              <w:jc w:val="left"/>
              <w:rPr>
                <w:rFonts w:asciiTheme="majorBidi" w:hAnsiTheme="majorBidi" w:cstheme="majorBidi"/>
                <w:color w:val="000000"/>
                <w:sz w:val="18"/>
                <w:szCs w:val="18"/>
              </w:rPr>
            </w:pPr>
            <w:r w:rsidRPr="00060EA2">
              <w:rPr>
                <w:rFonts w:asciiTheme="majorBidi" w:hAnsiTheme="majorBidi"/>
                <w:color w:val="000000"/>
                <w:sz w:val="18"/>
              </w:rPr>
              <w:t>Расходы на поддержку программ</w:t>
            </w:r>
            <w:r w:rsidRPr="00060EA2">
              <w:rPr>
                <w:rFonts w:asciiTheme="majorBidi" w:hAnsiTheme="majorBidi"/>
                <w:color w:val="000000"/>
                <w:sz w:val="18"/>
              </w:rPr>
              <w:br/>
              <w:t>(13%)</w:t>
            </w:r>
          </w:p>
        </w:tc>
        <w:tc>
          <w:tcPr>
            <w:tcW w:w="1772" w:type="dxa"/>
            <w:shd w:val="clear" w:color="auto" w:fill="auto"/>
            <w:vAlign w:val="bottom"/>
            <w:hideMark/>
          </w:tcPr>
          <w:p w14:paraId="0BDC350B" w14:textId="30CEA5B4"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sz w:val="18"/>
              </w:rPr>
              <w:t xml:space="preserve">4 736,2 </w:t>
            </w:r>
          </w:p>
        </w:tc>
        <w:tc>
          <w:tcPr>
            <w:tcW w:w="1646" w:type="dxa"/>
            <w:shd w:val="clear" w:color="auto" w:fill="auto"/>
            <w:vAlign w:val="bottom"/>
            <w:hideMark/>
          </w:tcPr>
          <w:p w14:paraId="19EBB154" w14:textId="5B28989F"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themeColor="text1"/>
                <w:sz w:val="18"/>
              </w:rPr>
              <w:t xml:space="preserve">4 581,6 </w:t>
            </w:r>
          </w:p>
        </w:tc>
        <w:tc>
          <w:tcPr>
            <w:tcW w:w="1264" w:type="dxa"/>
            <w:shd w:val="clear" w:color="auto" w:fill="auto"/>
            <w:vAlign w:val="bottom"/>
            <w:hideMark/>
          </w:tcPr>
          <w:p w14:paraId="01FE9E30" w14:textId="5FE3D37C" w:rsidR="0015126A" w:rsidRPr="00060EA2" w:rsidRDefault="0015126A" w:rsidP="00892011">
            <w:pPr>
              <w:jc w:val="right"/>
              <w:rPr>
                <w:rFonts w:asciiTheme="majorBidi" w:hAnsiTheme="majorBidi" w:cstheme="majorBidi"/>
                <w:color w:val="000000"/>
                <w:sz w:val="18"/>
                <w:szCs w:val="18"/>
              </w:rPr>
            </w:pPr>
            <w:r w:rsidRPr="00060EA2">
              <w:rPr>
                <w:rFonts w:asciiTheme="majorBidi" w:hAnsiTheme="majorBidi"/>
                <w:color w:val="000000" w:themeColor="text1"/>
                <w:sz w:val="18"/>
              </w:rPr>
              <w:t xml:space="preserve">154,6 </w:t>
            </w:r>
          </w:p>
        </w:tc>
      </w:tr>
      <w:tr w:rsidR="0015126A" w:rsidRPr="00060EA2" w14:paraId="2EA06421" w14:textId="77777777" w:rsidTr="008067E6">
        <w:trPr>
          <w:trHeight w:val="215"/>
          <w:jc w:val="center"/>
        </w:trPr>
        <w:tc>
          <w:tcPr>
            <w:tcW w:w="3681" w:type="dxa"/>
            <w:shd w:val="clear" w:color="auto" w:fill="auto"/>
            <w:vAlign w:val="bottom"/>
            <w:hideMark/>
          </w:tcPr>
          <w:p w14:paraId="541C55CF" w14:textId="1FF3942F" w:rsidR="0015126A" w:rsidRPr="00060EA2" w:rsidRDefault="0015126A" w:rsidP="00892011">
            <w:pPr>
              <w:jc w:val="left"/>
              <w:rPr>
                <w:rFonts w:asciiTheme="majorBidi" w:hAnsiTheme="majorBidi" w:cstheme="majorBidi"/>
                <w:b/>
                <w:bCs/>
                <w:color w:val="000000"/>
                <w:sz w:val="18"/>
                <w:szCs w:val="18"/>
              </w:rPr>
            </w:pPr>
            <w:r w:rsidRPr="00060EA2">
              <w:rPr>
                <w:rFonts w:asciiTheme="majorBidi" w:hAnsiTheme="majorBidi"/>
                <w:b/>
                <w:color w:val="000000"/>
                <w:sz w:val="18"/>
              </w:rPr>
              <w:tab/>
              <w:t xml:space="preserve">Итого </w:t>
            </w:r>
          </w:p>
        </w:tc>
        <w:tc>
          <w:tcPr>
            <w:tcW w:w="1772" w:type="dxa"/>
            <w:shd w:val="clear" w:color="auto" w:fill="auto"/>
            <w:vAlign w:val="bottom"/>
            <w:hideMark/>
          </w:tcPr>
          <w:p w14:paraId="5E14C907" w14:textId="37050163" w:rsidR="0015126A" w:rsidRPr="00060EA2" w:rsidRDefault="0015126A" w:rsidP="00892011">
            <w:pPr>
              <w:jc w:val="right"/>
              <w:rPr>
                <w:rFonts w:asciiTheme="majorBidi" w:hAnsiTheme="majorBidi" w:cstheme="majorBidi"/>
                <w:b/>
                <w:bCs/>
                <w:color w:val="000000"/>
                <w:sz w:val="18"/>
                <w:szCs w:val="18"/>
              </w:rPr>
            </w:pPr>
            <w:r w:rsidRPr="00060EA2">
              <w:rPr>
                <w:rFonts w:asciiTheme="majorBidi" w:hAnsiTheme="majorBidi"/>
                <w:b/>
                <w:color w:val="000000"/>
                <w:sz w:val="18"/>
              </w:rPr>
              <w:t>41 168,9</w:t>
            </w:r>
          </w:p>
        </w:tc>
        <w:tc>
          <w:tcPr>
            <w:tcW w:w="1646" w:type="dxa"/>
            <w:shd w:val="clear" w:color="auto" w:fill="auto"/>
            <w:vAlign w:val="bottom"/>
            <w:hideMark/>
          </w:tcPr>
          <w:p w14:paraId="5E7101C9" w14:textId="5612F6D9" w:rsidR="0015126A" w:rsidRPr="00060EA2" w:rsidRDefault="0015126A" w:rsidP="00892011">
            <w:pPr>
              <w:jc w:val="right"/>
              <w:rPr>
                <w:rFonts w:asciiTheme="majorBidi" w:hAnsiTheme="majorBidi" w:cstheme="majorBidi"/>
                <w:b/>
                <w:bCs/>
                <w:color w:val="000000"/>
                <w:sz w:val="18"/>
                <w:szCs w:val="18"/>
              </w:rPr>
            </w:pPr>
            <w:r w:rsidRPr="00060EA2">
              <w:rPr>
                <w:rFonts w:asciiTheme="majorBidi" w:hAnsiTheme="majorBidi"/>
                <w:b/>
                <w:color w:val="000000" w:themeColor="text1"/>
                <w:sz w:val="18"/>
              </w:rPr>
              <w:t>39 824,7</w:t>
            </w:r>
          </w:p>
        </w:tc>
        <w:tc>
          <w:tcPr>
            <w:tcW w:w="1264" w:type="dxa"/>
            <w:shd w:val="clear" w:color="auto" w:fill="auto"/>
            <w:vAlign w:val="bottom"/>
            <w:hideMark/>
          </w:tcPr>
          <w:p w14:paraId="305E599B" w14:textId="58587EA7" w:rsidR="0015126A" w:rsidRPr="00060EA2" w:rsidRDefault="0015126A" w:rsidP="00892011">
            <w:pPr>
              <w:jc w:val="right"/>
              <w:rPr>
                <w:rFonts w:asciiTheme="majorBidi" w:hAnsiTheme="majorBidi" w:cstheme="majorBidi"/>
                <w:b/>
                <w:bCs/>
                <w:color w:val="000000"/>
                <w:sz w:val="18"/>
                <w:szCs w:val="18"/>
              </w:rPr>
            </w:pPr>
            <w:r w:rsidRPr="00060EA2">
              <w:rPr>
                <w:rFonts w:asciiTheme="majorBidi" w:hAnsiTheme="majorBidi"/>
                <w:b/>
                <w:color w:val="000000" w:themeColor="text1"/>
                <w:sz w:val="18"/>
              </w:rPr>
              <w:t>1 344,2</w:t>
            </w:r>
          </w:p>
        </w:tc>
      </w:tr>
    </w:tbl>
    <w:p w14:paraId="75AD1470" w14:textId="278A1687" w:rsidR="0015126A" w:rsidRPr="00060EA2" w:rsidRDefault="0015126A" w:rsidP="006B6E6D">
      <w:pPr>
        <w:pStyle w:val="paragraph"/>
        <w:spacing w:before="240"/>
        <w:textAlignment w:val="baseline"/>
        <w:rPr>
          <w:kern w:val="22"/>
          <w:sz w:val="18"/>
          <w:szCs w:val="18"/>
        </w:rPr>
      </w:pPr>
      <w:r w:rsidRPr="00060EA2">
        <w:rPr>
          <w:i/>
          <w:sz w:val="18"/>
          <w:vertAlign w:val="superscript"/>
        </w:rPr>
        <w:t>a</w:t>
      </w:r>
      <w:r w:rsidRPr="00060EA2">
        <w:rPr>
          <w:sz w:val="18"/>
        </w:rPr>
        <w:t xml:space="preserve"> Совещания, финансируемые из основного бюджета.</w:t>
      </w:r>
    </w:p>
    <w:p w14:paraId="51E9BF6C" w14:textId="55FFA036" w:rsidR="0015126A" w:rsidRPr="00060EA2" w:rsidRDefault="0015126A" w:rsidP="00361521">
      <w:pPr>
        <w:pStyle w:val="paragraph"/>
        <w:keepNext/>
        <w:spacing w:before="120" w:after="120"/>
        <w:textAlignment w:val="baseline"/>
        <w:rPr>
          <w:i/>
          <w:iCs/>
          <w:kern w:val="22"/>
        </w:rPr>
      </w:pPr>
      <w:r w:rsidRPr="00060EA2">
        <w:rPr>
          <w:i/>
        </w:rPr>
        <w:lastRenderedPageBreak/>
        <w:t>Расходы на персонал</w:t>
      </w:r>
    </w:p>
    <w:p w14:paraId="552AEB30" w14:textId="1049B4DA" w:rsidR="0015126A" w:rsidRPr="00060EA2" w:rsidRDefault="0015126A" w:rsidP="00361521">
      <w:pPr>
        <w:pStyle w:val="CBDNormalNumber"/>
      </w:pPr>
      <w:r w:rsidRPr="00060EA2">
        <w:t xml:space="preserve">В своем решении 15/34 Конференция Сторон утвердила 82 должности (53 должности категории специалистов и выше и 29 должностей категории общего обслуживания) </w:t>
      </w:r>
      <w:r w:rsidR="00746D57">
        <w:t>в</w:t>
      </w:r>
      <w:r w:rsidRPr="00060EA2">
        <w:t xml:space="preserve"> </w:t>
      </w:r>
      <w:r w:rsidR="00E1339A">
        <w:t>сводном</w:t>
      </w:r>
      <w:r w:rsidRPr="00060EA2">
        <w:t xml:space="preserve"> основно</w:t>
      </w:r>
      <w:r w:rsidR="00E1339A">
        <w:t>м</w:t>
      </w:r>
      <w:r w:rsidRPr="00060EA2">
        <w:t xml:space="preserve"> бюджет</w:t>
      </w:r>
      <w:r w:rsidR="00E1339A">
        <w:t>е</w:t>
      </w:r>
      <w:r w:rsidRPr="00060EA2">
        <w:t xml:space="preserve"> трех общих целевых фондов на двухлетний период 2023-2024 годов. К концу 2024 года ожидается расхождение в размере 763 300 долл. США главным образом в связи с вакансиями, незамещенными в 2023 и 2024 годах. </w:t>
      </w:r>
    </w:p>
    <w:p w14:paraId="64B22D76" w14:textId="38EA548B" w:rsidR="0015126A" w:rsidRPr="00060EA2" w:rsidRDefault="0015126A" w:rsidP="00361521">
      <w:pPr>
        <w:pStyle w:val="paragraph"/>
        <w:keepNext/>
        <w:spacing w:before="120" w:after="120"/>
        <w:textAlignment w:val="baseline"/>
        <w:rPr>
          <w:i/>
          <w:iCs/>
          <w:szCs w:val="22"/>
        </w:rPr>
      </w:pPr>
      <w:r w:rsidRPr="00060EA2">
        <w:rPr>
          <w:i/>
        </w:rPr>
        <w:t>Временн</w:t>
      </w:r>
      <w:r w:rsidR="00692AFE">
        <w:rPr>
          <w:i/>
        </w:rPr>
        <w:t>ая</w:t>
      </w:r>
      <w:r w:rsidRPr="00060EA2">
        <w:rPr>
          <w:i/>
        </w:rPr>
        <w:t xml:space="preserve"> </w:t>
      </w:r>
      <w:r w:rsidR="00692AFE">
        <w:rPr>
          <w:i/>
        </w:rPr>
        <w:t>помощь</w:t>
      </w:r>
      <w:r w:rsidRPr="00060EA2">
        <w:rPr>
          <w:i/>
        </w:rPr>
        <w:t xml:space="preserve"> и оплата сверхурочных</w:t>
      </w:r>
    </w:p>
    <w:p w14:paraId="2286E754" w14:textId="10BA1AF6" w:rsidR="0015126A" w:rsidRPr="00060EA2" w:rsidRDefault="0015126A" w:rsidP="00361521">
      <w:pPr>
        <w:pStyle w:val="CBDNormalNumber"/>
        <w:rPr>
          <w:i/>
          <w:iCs/>
        </w:rPr>
      </w:pPr>
      <w:r w:rsidRPr="00060EA2">
        <w:t xml:space="preserve">По состоянию на 31 июля 2024 года секретариат израсходовал около 210 000 долл. США на привлечение 28 индивидуальных подрядчиков для удовлетворения </w:t>
      </w:r>
      <w:r w:rsidR="00ED2536">
        <w:t>возросших</w:t>
      </w:r>
      <w:r w:rsidR="00ED2536" w:rsidRPr="00060EA2">
        <w:t xml:space="preserve"> </w:t>
      </w:r>
      <w:r w:rsidRPr="00060EA2">
        <w:t xml:space="preserve">оперативных потребностей. </w:t>
      </w:r>
    </w:p>
    <w:p w14:paraId="49817A84" w14:textId="53599FEA" w:rsidR="0015126A" w:rsidRPr="00060EA2" w:rsidRDefault="0015126A" w:rsidP="00361521">
      <w:pPr>
        <w:pStyle w:val="paragraph"/>
        <w:keepNext/>
        <w:spacing w:before="120" w:after="120"/>
        <w:textAlignment w:val="baseline"/>
        <w:rPr>
          <w:i/>
          <w:iCs/>
          <w:szCs w:val="22"/>
        </w:rPr>
      </w:pPr>
      <w:r w:rsidRPr="00060EA2">
        <w:rPr>
          <w:i/>
        </w:rPr>
        <w:t xml:space="preserve">Консультанты и субподрядчики </w:t>
      </w:r>
    </w:p>
    <w:p w14:paraId="074605A1" w14:textId="444BA274" w:rsidR="0015126A" w:rsidRPr="00060EA2" w:rsidRDefault="0015126A" w:rsidP="00361521">
      <w:pPr>
        <w:pStyle w:val="CBDNormalNumber"/>
      </w:pPr>
      <w:r w:rsidRPr="00060EA2">
        <w:t xml:space="preserve">По состоянию на 31 июля 2024 года секретариат израсходовал около 90 000 долл. США на </w:t>
      </w:r>
      <w:r w:rsidR="000D0F9C">
        <w:t xml:space="preserve">услуги </w:t>
      </w:r>
      <w:r w:rsidRPr="00060EA2">
        <w:t>консульта</w:t>
      </w:r>
      <w:r w:rsidR="000D0F9C">
        <w:t>нтов</w:t>
      </w:r>
      <w:r w:rsidRPr="00060EA2">
        <w:t xml:space="preserve"> </w:t>
      </w:r>
      <w:r w:rsidR="002E596C">
        <w:t>в рамках</w:t>
      </w:r>
      <w:r w:rsidRPr="00060EA2">
        <w:t xml:space="preserve"> обзора эффективности механизма финансирования </w:t>
      </w:r>
      <w:r w:rsidR="000572B9">
        <w:t>для</w:t>
      </w:r>
      <w:r w:rsidRPr="00060EA2">
        <w:t xml:space="preserve"> достижения целей, </w:t>
      </w:r>
      <w:r w:rsidR="000572B9">
        <w:t>изложенных</w:t>
      </w:r>
      <w:r w:rsidRPr="00060EA2">
        <w:t xml:space="preserve"> в круге полномочий для проведения такого обзора (решение 15/15, приложение IV). </w:t>
      </w:r>
    </w:p>
    <w:p w14:paraId="38D09ADA" w14:textId="77777777" w:rsidR="0015126A" w:rsidRPr="00060EA2" w:rsidRDefault="0015126A" w:rsidP="00361521">
      <w:pPr>
        <w:pStyle w:val="paragraph"/>
        <w:keepNext/>
        <w:spacing w:before="120" w:after="120"/>
        <w:textAlignment w:val="baseline"/>
        <w:rPr>
          <w:i/>
          <w:iCs/>
          <w:szCs w:val="22"/>
        </w:rPr>
      </w:pPr>
      <w:r w:rsidRPr="00060EA2">
        <w:rPr>
          <w:i/>
        </w:rPr>
        <w:t xml:space="preserve">Профподготовка </w:t>
      </w:r>
    </w:p>
    <w:p w14:paraId="35D172B0" w14:textId="464AEB96" w:rsidR="0015126A" w:rsidRPr="00060EA2" w:rsidRDefault="0015126A">
      <w:pPr>
        <w:pStyle w:val="CBDNormalNumber"/>
      </w:pPr>
      <w:r w:rsidRPr="00060EA2">
        <w:t xml:space="preserve">По состоянию на 31 июля 2024 года 7 200 долл. США было израсходовано на покрытие командировочных расходов </w:t>
      </w:r>
      <w:r w:rsidR="004C17FA">
        <w:t>группы</w:t>
      </w:r>
      <w:r w:rsidR="004C17FA" w:rsidRPr="00060EA2">
        <w:t xml:space="preserve"> </w:t>
      </w:r>
      <w:r w:rsidRPr="00060EA2">
        <w:t xml:space="preserve">Программы Организации Объединенных Наций по окружающей среде (ЮНЕП), которая </w:t>
      </w:r>
      <w:r w:rsidR="004C17FA">
        <w:t>проводила</w:t>
      </w:r>
      <w:r w:rsidR="00A34393">
        <w:t xml:space="preserve"> </w:t>
      </w:r>
      <w:r w:rsidRPr="00060EA2">
        <w:t>обучение по комплексной системе планирования, управления и отчетности Умоджа.</w:t>
      </w:r>
    </w:p>
    <w:p w14:paraId="4C56F162" w14:textId="0624F5E9" w:rsidR="0015126A" w:rsidRPr="00060EA2" w:rsidRDefault="0015126A" w:rsidP="00361521">
      <w:pPr>
        <w:pStyle w:val="paragraph"/>
        <w:keepNext/>
        <w:spacing w:before="120" w:after="120"/>
        <w:textAlignment w:val="baseline"/>
        <w:rPr>
          <w:i/>
          <w:iCs/>
          <w:kern w:val="22"/>
        </w:rPr>
      </w:pPr>
      <w:r w:rsidRPr="00060EA2">
        <w:rPr>
          <w:i/>
        </w:rPr>
        <w:t>Структурный обзор</w:t>
      </w:r>
    </w:p>
    <w:p w14:paraId="6CC9B7B8" w14:textId="2F473766" w:rsidR="0015126A" w:rsidRPr="00060EA2" w:rsidRDefault="008134FC" w:rsidP="00361521">
      <w:pPr>
        <w:pStyle w:val="CBDNormalNumber"/>
      </w:pPr>
      <w:r w:rsidRPr="00060EA2">
        <w:t>Секретариат поручил консультанту подготовить аналитический доклад</w:t>
      </w:r>
      <w:r w:rsidRPr="00060EA2">
        <w:rPr>
          <w:rStyle w:val="FootnoteReference"/>
        </w:rPr>
        <w:footnoteReference w:id="6"/>
      </w:r>
      <w:r w:rsidRPr="00060EA2">
        <w:t xml:space="preserve"> для оказания содействия в организации функционального обзора после текущего совещания (см. раздел E).</w:t>
      </w:r>
    </w:p>
    <w:p w14:paraId="6CD4E5C6" w14:textId="44CD9438" w:rsidR="0015126A" w:rsidRPr="00060EA2" w:rsidRDefault="0015126A" w:rsidP="00361521">
      <w:pPr>
        <w:pStyle w:val="paragraph"/>
        <w:keepNext/>
        <w:spacing w:before="120" w:after="120"/>
        <w:textAlignment w:val="baseline"/>
        <w:rPr>
          <w:szCs w:val="22"/>
        </w:rPr>
      </w:pPr>
      <w:r w:rsidRPr="00060EA2">
        <w:rPr>
          <w:i/>
        </w:rPr>
        <w:t>Совещания бюро</w:t>
      </w:r>
    </w:p>
    <w:p w14:paraId="5CAE3F3C" w14:textId="77777777" w:rsidR="0015126A" w:rsidRPr="00060EA2" w:rsidRDefault="0015126A" w:rsidP="00361521">
      <w:pPr>
        <w:pStyle w:val="CBDNormalNumber"/>
        <w:rPr>
          <w:i/>
          <w:iCs/>
        </w:rPr>
      </w:pPr>
      <w:r w:rsidRPr="00060EA2">
        <w:t>В период с января 2023 года по февраль 2024 года было проведено пять совещаний бюро Конференции Сторон, два совещания бюро Вспомогательного органа по научным, техническим и технологическим консультациям и одно совместное совещание двух бюро в очном формате. На оплату поездок членов бюро Сторон Конвенции из числа развивающихся стран было израсходовано в общей сложности 280 000 долл. США.</w:t>
      </w:r>
    </w:p>
    <w:p w14:paraId="2CA4C415" w14:textId="77777777" w:rsidR="0015126A" w:rsidRPr="00060EA2" w:rsidRDefault="0015126A" w:rsidP="00361521">
      <w:pPr>
        <w:pStyle w:val="paragraph"/>
        <w:keepNext/>
        <w:spacing w:before="120"/>
        <w:textAlignment w:val="baseline"/>
        <w:rPr>
          <w:i/>
          <w:iCs/>
          <w:szCs w:val="22"/>
        </w:rPr>
      </w:pPr>
      <w:r w:rsidRPr="00060EA2">
        <w:rPr>
          <w:i/>
        </w:rPr>
        <w:t>Совещания экспертов</w:t>
      </w:r>
    </w:p>
    <w:p w14:paraId="48031BB7" w14:textId="1696B1DF" w:rsidR="0015126A" w:rsidRPr="00060EA2" w:rsidRDefault="0015126A" w:rsidP="00361521">
      <w:pPr>
        <w:pStyle w:val="CBDNormalNumber"/>
      </w:pPr>
      <w:r w:rsidRPr="00060EA2">
        <w:t xml:space="preserve">На своем 15-м совещании Конференция Сторон утвердила бюджет в размере 480 000 долл. США на организацию нескольких совещаний экспертов в 2023-2024 годах. В период с 1 января 2023 года по 31 июля 2024 года секретариат организовал следующие очные совещания экспертов, общая стоимость которых составила 453 100 долл. США: </w:t>
      </w:r>
    </w:p>
    <w:p w14:paraId="3A4B1D43" w14:textId="433CC457" w:rsidR="0015126A" w:rsidRPr="00060EA2" w:rsidRDefault="00821126" w:rsidP="00361521">
      <w:pPr>
        <w:pStyle w:val="paragraph"/>
        <w:numPr>
          <w:ilvl w:val="0"/>
          <w:numId w:val="30"/>
        </w:numPr>
        <w:ind w:left="1134" w:hanging="567"/>
        <w:textAlignment w:val="baseline"/>
        <w:rPr>
          <w:szCs w:val="22"/>
        </w:rPr>
      </w:pPr>
      <w:r>
        <w:t>д</w:t>
      </w:r>
      <w:r w:rsidR="0015126A" w:rsidRPr="00060EA2">
        <w:t>венадцатое совещание Неофициального консультативного комитета по Механизму посредничества по биобезопасности (15-16 мая 2023 года)</w:t>
      </w:r>
    </w:p>
    <w:p w14:paraId="6EAE6EC0" w14:textId="0D451832" w:rsidR="0015126A" w:rsidRPr="00060EA2" w:rsidRDefault="00821126" w:rsidP="00361521">
      <w:pPr>
        <w:pStyle w:val="paragraph"/>
        <w:numPr>
          <w:ilvl w:val="0"/>
          <w:numId w:val="30"/>
        </w:numPr>
        <w:ind w:left="1134" w:hanging="567"/>
        <w:textAlignment w:val="baseline"/>
        <w:rPr>
          <w:szCs w:val="22"/>
        </w:rPr>
      </w:pPr>
      <w:r>
        <w:t>п</w:t>
      </w:r>
      <w:r w:rsidR="0015126A" w:rsidRPr="00060EA2">
        <w:t xml:space="preserve">ервое совещание Неофициальной консультативной группы по научно-техническому сотрудничеству (14-16 июня 2023 года) </w:t>
      </w:r>
    </w:p>
    <w:p w14:paraId="34DBACAB" w14:textId="2EBE00CB" w:rsidR="0015126A" w:rsidRPr="00060EA2" w:rsidRDefault="00821126" w:rsidP="00361521">
      <w:pPr>
        <w:pStyle w:val="paragraph"/>
        <w:numPr>
          <w:ilvl w:val="0"/>
          <w:numId w:val="30"/>
        </w:numPr>
        <w:ind w:left="1134" w:hanging="567"/>
        <w:textAlignment w:val="baseline"/>
        <w:rPr>
          <w:szCs w:val="22"/>
        </w:rPr>
      </w:pPr>
      <w:r>
        <w:t>п</w:t>
      </w:r>
      <w:r w:rsidR="0015126A" w:rsidRPr="00060EA2">
        <w:t xml:space="preserve">ятое совещание Неофициального консультативного комитета по созданию потенциала для осуществления Нагойского протокола (20-22 июня 2023 года) </w:t>
      </w:r>
    </w:p>
    <w:p w14:paraId="6A7BEBC5" w14:textId="4A31424A" w:rsidR="0015126A" w:rsidRPr="00060EA2" w:rsidRDefault="00821126" w:rsidP="00361521">
      <w:pPr>
        <w:pStyle w:val="paragraph"/>
        <w:numPr>
          <w:ilvl w:val="0"/>
          <w:numId w:val="30"/>
        </w:numPr>
        <w:ind w:left="1134" w:hanging="567"/>
        <w:textAlignment w:val="baseline"/>
        <w:rPr>
          <w:szCs w:val="22"/>
        </w:rPr>
      </w:pPr>
      <w:r>
        <w:t>п</w:t>
      </w:r>
      <w:r w:rsidR="0015126A" w:rsidRPr="00060EA2">
        <w:t xml:space="preserve">ервое совещание Консультативного комитета по мобилизации ресурсов (25-29 сентября 2023 года) </w:t>
      </w:r>
    </w:p>
    <w:p w14:paraId="2F10C1A1" w14:textId="5EC8E2DA" w:rsidR="0015126A" w:rsidRPr="00060EA2" w:rsidRDefault="00821126" w:rsidP="00361521">
      <w:pPr>
        <w:pStyle w:val="paragraph"/>
        <w:numPr>
          <w:ilvl w:val="0"/>
          <w:numId w:val="30"/>
        </w:numPr>
        <w:ind w:left="1134" w:hanging="567"/>
        <w:textAlignment w:val="baseline"/>
        <w:rPr>
          <w:szCs w:val="22"/>
        </w:rPr>
      </w:pPr>
      <w:r>
        <w:lastRenderedPageBreak/>
        <w:t>в</w:t>
      </w:r>
      <w:r w:rsidR="0015126A" w:rsidRPr="00060EA2">
        <w:t xml:space="preserve">осемнадцатое и девятнадцатое совещания Комитета по соблюдению в рамках Картахенского протокола (24-26 октября 2023 года и 30 апреля – 2 мая 2024 года соответственно) </w:t>
      </w:r>
    </w:p>
    <w:p w14:paraId="30E107E5" w14:textId="6FA873EC" w:rsidR="0015126A" w:rsidRPr="00060EA2" w:rsidRDefault="00821126" w:rsidP="00361521">
      <w:pPr>
        <w:pStyle w:val="paragraph"/>
        <w:numPr>
          <w:ilvl w:val="0"/>
          <w:numId w:val="30"/>
        </w:numPr>
        <w:ind w:left="1134" w:hanging="567"/>
        <w:textAlignment w:val="baseline"/>
        <w:rPr>
          <w:szCs w:val="22"/>
        </w:rPr>
      </w:pPr>
      <w:r>
        <w:t>п</w:t>
      </w:r>
      <w:r w:rsidR="0015126A" w:rsidRPr="00060EA2">
        <w:t>ятое совещание Неофициального консультативного комитета по Механизму посредничества для регулирования доступа к генетическим ресурсам и совместно</w:t>
      </w:r>
      <w:r w:rsidR="00943E2F">
        <w:t>го</w:t>
      </w:r>
      <w:r w:rsidR="0015126A" w:rsidRPr="00060EA2">
        <w:t xml:space="preserve"> использовани</w:t>
      </w:r>
      <w:r w:rsidR="00943E2F">
        <w:t>я</w:t>
      </w:r>
      <w:r w:rsidR="0015126A" w:rsidRPr="00060EA2">
        <w:t xml:space="preserve"> выгод (13-15 февраля 2024 года).</w:t>
      </w:r>
    </w:p>
    <w:p w14:paraId="279FC679" w14:textId="2C7408FD" w:rsidR="0015126A" w:rsidRPr="00060EA2" w:rsidRDefault="00821126" w:rsidP="00361521">
      <w:pPr>
        <w:pStyle w:val="paragraph"/>
        <w:numPr>
          <w:ilvl w:val="0"/>
          <w:numId w:val="30"/>
        </w:numPr>
        <w:ind w:left="1134" w:hanging="567"/>
        <w:textAlignment w:val="baseline"/>
        <w:rPr>
          <w:rFonts w:asciiTheme="majorBidi" w:hAnsiTheme="majorBidi" w:cstheme="majorBidi"/>
          <w:szCs w:val="22"/>
        </w:rPr>
      </w:pPr>
      <w:r>
        <w:t>ш</w:t>
      </w:r>
      <w:r w:rsidR="0015126A" w:rsidRPr="00060EA2">
        <w:t>естое совещание Специальной группы технических экспертов по индикаторам для Куньминско-Монреальской глобальной рамочной программы в области биоразнообразия (12-15 марта 2024 года)</w:t>
      </w:r>
    </w:p>
    <w:p w14:paraId="697E9936" w14:textId="7A89AD3F" w:rsidR="0015126A" w:rsidRPr="00060EA2" w:rsidRDefault="00821126" w:rsidP="00361521">
      <w:pPr>
        <w:pStyle w:val="paragraph"/>
        <w:numPr>
          <w:ilvl w:val="0"/>
          <w:numId w:val="30"/>
        </w:numPr>
        <w:ind w:left="1134" w:hanging="567"/>
        <w:textAlignment w:val="baseline"/>
        <w:rPr>
          <w:i/>
          <w:iCs/>
          <w:szCs w:val="22"/>
        </w:rPr>
      </w:pPr>
      <w:r>
        <w:t>ч</w:t>
      </w:r>
      <w:r w:rsidR="0015126A" w:rsidRPr="00060EA2">
        <w:t>етвертое совещание Комитета по соблюдению в рамках Нагойского протокола регулирования доступа к генетическим ресурсам и совместного использования выгод (25-27 марта 2024 года)</w:t>
      </w:r>
    </w:p>
    <w:p w14:paraId="1FB0F37D" w14:textId="77777777" w:rsidR="0015126A" w:rsidRPr="00060EA2" w:rsidRDefault="0015126A" w:rsidP="00361521">
      <w:pPr>
        <w:pStyle w:val="paragraph"/>
        <w:keepNext/>
        <w:spacing w:before="120" w:after="120"/>
        <w:textAlignment w:val="baseline"/>
        <w:rPr>
          <w:i/>
          <w:iCs/>
          <w:szCs w:val="22"/>
        </w:rPr>
      </w:pPr>
      <w:r w:rsidRPr="00060EA2">
        <w:rPr>
          <w:i/>
        </w:rPr>
        <w:t>Совещания межправительственных органов</w:t>
      </w:r>
    </w:p>
    <w:p w14:paraId="6279C039" w14:textId="0EC833D7" w:rsidR="0015126A" w:rsidRPr="00060EA2" w:rsidRDefault="0015126A" w:rsidP="00361521">
      <w:pPr>
        <w:pStyle w:val="CBDNormalNumber"/>
      </w:pPr>
      <w:r w:rsidRPr="00060EA2">
        <w:t xml:space="preserve">В своем решении 15/34 Конференция Сторон утвердила бюджет в размере 5 584 600 долл. США на двухлетний период для покрытия расходов на проведение совещаний вспомогательных органов, 16-го совещания Конференции Сторон Конвенции,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 По состоянию на 31 июля 2024 года около 5,5 млн. долл. США было израсходовано на покрытие расходов </w:t>
      </w:r>
      <w:r w:rsidR="00126652">
        <w:t>в связи с</w:t>
      </w:r>
      <w:r w:rsidR="00126652" w:rsidRPr="00060EA2">
        <w:t xml:space="preserve"> </w:t>
      </w:r>
      <w:r w:rsidRPr="00060EA2">
        <w:t>проведение</w:t>
      </w:r>
      <w:r w:rsidR="00126652">
        <w:t>м</w:t>
      </w:r>
      <w:r w:rsidRPr="00060EA2">
        <w:t xml:space="preserve"> 25-го и 26-го совещаний Вспомогательного органа по научным, техническим и технологическим консультациям; 4-го и 5-го совещаний Вспомогательного органа по осуществлению; возобновленных вторых частей 15-го совещания Конференции Сторон Конвенции, 10-го совещания Конференции сторон, выступающей в качестве совещания Сторон Картахенского протокола, и 4-го совещания Конференции Сторон, выступающей в качестве совещания Сторон Нагойского протокола; 12-го совещания Специальной межсессионной рабочей группы открытого состава по осуществлению статьи 8 (j) и соответствующих положений Конвенции, 16-го совещания Конференции Сторон Конвенции,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w:t>
      </w:r>
    </w:p>
    <w:p w14:paraId="1E986E9F" w14:textId="1A479A26" w:rsidR="0015126A" w:rsidRPr="00060EA2" w:rsidRDefault="00416C6F" w:rsidP="00361521">
      <w:pPr>
        <w:pStyle w:val="paragraph"/>
        <w:keepNext/>
        <w:spacing w:before="120" w:after="120"/>
        <w:textAlignment w:val="baseline"/>
        <w:rPr>
          <w:i/>
          <w:iCs/>
          <w:szCs w:val="22"/>
        </w:rPr>
      </w:pPr>
      <w:r>
        <w:rPr>
          <w:i/>
        </w:rPr>
        <w:t>И</w:t>
      </w:r>
      <w:r w:rsidR="0015126A" w:rsidRPr="00060EA2">
        <w:rPr>
          <w:i/>
        </w:rPr>
        <w:t>нформационные материалы и коммуникация</w:t>
      </w:r>
    </w:p>
    <w:p w14:paraId="58D8998F" w14:textId="2C35A28E" w:rsidR="0015126A" w:rsidRPr="00060EA2" w:rsidRDefault="0015126A" w:rsidP="00361521">
      <w:pPr>
        <w:pStyle w:val="CBDNormalNumber"/>
      </w:pPr>
      <w:r w:rsidRPr="00060EA2">
        <w:t>По состоянию на 31 июля 2024 года секретариат израсходовал 100 000 долл. США на подготовку информационных материалов для распространения в печатных СМИ, сети Интернет, социальных сетях, в аудиоформате и на телевидении</w:t>
      </w:r>
      <w:r w:rsidR="001C7175">
        <w:t xml:space="preserve"> </w:t>
      </w:r>
      <w:r w:rsidR="00C66AF4">
        <w:t>в целях</w:t>
      </w:r>
      <w:r w:rsidR="001C7175">
        <w:t xml:space="preserve"> привлечения внимания и повышения осведомленности о</w:t>
      </w:r>
      <w:r w:rsidR="003154F7">
        <w:t xml:space="preserve"> </w:t>
      </w:r>
      <w:r w:rsidR="005F523A" w:rsidRPr="00060EA2">
        <w:t>Р</w:t>
      </w:r>
      <w:r w:rsidRPr="00060EA2">
        <w:t>амочной программ</w:t>
      </w:r>
      <w:r w:rsidR="00E71202">
        <w:t>е</w:t>
      </w:r>
      <w:r w:rsidRPr="00060EA2">
        <w:t xml:space="preserve">, а также </w:t>
      </w:r>
      <w:r w:rsidR="00E71202">
        <w:t>в связи с</w:t>
      </w:r>
      <w:r w:rsidRPr="00060EA2">
        <w:t xml:space="preserve"> 16-</w:t>
      </w:r>
      <w:r w:rsidR="00E71202">
        <w:t>м</w:t>
      </w:r>
      <w:r w:rsidRPr="00060EA2">
        <w:t xml:space="preserve"> совещани</w:t>
      </w:r>
      <w:r w:rsidR="00E71202">
        <w:t>ем</w:t>
      </w:r>
      <w:r w:rsidRPr="00060EA2">
        <w:t xml:space="preserve"> Конференции Сторон, другой работ</w:t>
      </w:r>
      <w:r w:rsidR="00E71202">
        <w:t>ой</w:t>
      </w:r>
      <w:r w:rsidRPr="00060EA2">
        <w:t>, проводимой в рамках Конвенции</w:t>
      </w:r>
      <w:r w:rsidR="000B6551">
        <w:t>,</w:t>
      </w:r>
      <w:r w:rsidRPr="00060EA2">
        <w:t xml:space="preserve"> и праздновани</w:t>
      </w:r>
      <w:r w:rsidR="00E71202">
        <w:t>ем</w:t>
      </w:r>
      <w:r w:rsidRPr="00060EA2">
        <w:t xml:space="preserve"> Международного дня биологического разнообразия.</w:t>
      </w:r>
    </w:p>
    <w:p w14:paraId="0887EDF3" w14:textId="742116B5" w:rsidR="0015126A" w:rsidRPr="00060EA2" w:rsidRDefault="0015126A" w:rsidP="00361521">
      <w:pPr>
        <w:pStyle w:val="paragraph"/>
        <w:keepNext/>
        <w:spacing w:before="120" w:after="120"/>
        <w:textAlignment w:val="baseline"/>
        <w:rPr>
          <w:i/>
          <w:iCs/>
          <w:szCs w:val="22"/>
        </w:rPr>
      </w:pPr>
      <w:r w:rsidRPr="00060EA2">
        <w:rPr>
          <w:i/>
        </w:rPr>
        <w:t>Перевод веб-сайта механизма посредничества и проектов веб-сайтов</w:t>
      </w:r>
    </w:p>
    <w:p w14:paraId="61C04570" w14:textId="46A93FEF" w:rsidR="0015126A" w:rsidRPr="00060EA2" w:rsidRDefault="0015126A" w:rsidP="00361521">
      <w:pPr>
        <w:pStyle w:val="CBDNormalNumber"/>
      </w:pPr>
      <w:r w:rsidRPr="00060EA2">
        <w:t xml:space="preserve">По состоянию на 31 июля 2024 года секретариат потратил по этой статье расходов около 70 000 долл. США главным образом на перевод платформ Механизма посредничества </w:t>
      </w:r>
      <w:r w:rsidR="009E5606">
        <w:t>по</w:t>
      </w:r>
      <w:r w:rsidRPr="00060EA2">
        <w:t xml:space="preserve"> биобезопасности и Механизма посредничества для регулирования доступа к генетическим ресурсам и совместно</w:t>
      </w:r>
      <w:r w:rsidR="0006085C">
        <w:t>го</w:t>
      </w:r>
      <w:r w:rsidRPr="00060EA2">
        <w:t xml:space="preserve"> использовани</w:t>
      </w:r>
      <w:r w:rsidR="0006085C">
        <w:t>я</w:t>
      </w:r>
      <w:r w:rsidRPr="00060EA2">
        <w:t xml:space="preserve"> выгод. В связи с тем, что веб-сайт </w:t>
      </w:r>
      <w:r w:rsidR="00FD7F1E">
        <w:t xml:space="preserve">секретариата </w:t>
      </w:r>
      <w:r w:rsidRPr="00060EA2">
        <w:t xml:space="preserve">находится </w:t>
      </w:r>
      <w:r w:rsidR="00FD7F1E">
        <w:t>в процессе обновления</w:t>
      </w:r>
      <w:r w:rsidRPr="00060EA2">
        <w:t xml:space="preserve">, перевод </w:t>
      </w:r>
      <w:r w:rsidR="00FD7F1E">
        <w:t xml:space="preserve">его </w:t>
      </w:r>
      <w:r w:rsidRPr="00060EA2">
        <w:t>содерж</w:t>
      </w:r>
      <w:r w:rsidR="00FD7F1E">
        <w:t>а</w:t>
      </w:r>
      <w:r w:rsidR="009B28C0">
        <w:t>ния</w:t>
      </w:r>
      <w:r w:rsidRPr="00060EA2">
        <w:t xml:space="preserve"> был отложен до завершения</w:t>
      </w:r>
      <w:r w:rsidR="009B28C0">
        <w:t xml:space="preserve"> этого процесса</w:t>
      </w:r>
      <w:r w:rsidRPr="00060EA2">
        <w:t>.</w:t>
      </w:r>
    </w:p>
    <w:p w14:paraId="48648CD7" w14:textId="568E49D7" w:rsidR="0015126A" w:rsidRPr="00060EA2" w:rsidRDefault="0015126A" w:rsidP="00361521">
      <w:pPr>
        <w:pStyle w:val="paragraph"/>
        <w:keepNext/>
        <w:spacing w:before="120" w:after="120"/>
        <w:textAlignment w:val="baseline"/>
        <w:rPr>
          <w:i/>
          <w:iCs/>
          <w:szCs w:val="22"/>
        </w:rPr>
      </w:pPr>
      <w:r w:rsidRPr="00060EA2">
        <w:rPr>
          <w:i/>
        </w:rPr>
        <w:t>Служебные командировки</w:t>
      </w:r>
    </w:p>
    <w:p w14:paraId="48DD6D0C" w14:textId="66069767" w:rsidR="0015126A" w:rsidRPr="00060EA2" w:rsidRDefault="0015126A" w:rsidP="00361521">
      <w:pPr>
        <w:pStyle w:val="CBDNormalNumber"/>
      </w:pPr>
      <w:r w:rsidRPr="00060EA2">
        <w:t xml:space="preserve">По состоянию на 31 июля 2024 года 720 000 долл. США было израсходовано на служебные командировки сотрудников секретариата в целях представления Конвенции и протоколов к ней на различных совещаниях и мероприятиях. Перерасход средств в размере 80 000 долл. США был связан с постоянным и растущим спросом на участие секретариата в </w:t>
      </w:r>
      <w:r w:rsidRPr="00060EA2">
        <w:lastRenderedPageBreak/>
        <w:t xml:space="preserve">совещаниях и мероприятиях. Следует также отметить, что бюджет на командировки на текущий двухлетний период (640 000 долл. США) значительно ниже, чем бюджет </w:t>
      </w:r>
      <w:r w:rsidR="003D4CAD">
        <w:t>в</w:t>
      </w:r>
      <w:r w:rsidR="003D4CAD" w:rsidRPr="00060EA2">
        <w:t xml:space="preserve"> </w:t>
      </w:r>
      <w:r w:rsidRPr="00060EA2">
        <w:t>предыдущие двухлетние периоды, который варьировался от 800 000 до 900 000 долл. США.</w:t>
      </w:r>
    </w:p>
    <w:p w14:paraId="1FE6A055" w14:textId="6ACB428D" w:rsidR="0015126A" w:rsidRPr="00060EA2" w:rsidRDefault="0015126A" w:rsidP="00361521">
      <w:pPr>
        <w:pStyle w:val="CBDNormalNumber"/>
      </w:pPr>
      <w:r w:rsidRPr="00060EA2">
        <w:t>Сотрудники совершили 85 командировок в 2023 году и 75 командировок в период с 1 января по 31 июля 2024 года. В течение двухлетнего периода сотрудники секретариата также посещали совещания с представителями гражданского общества и бизнес-форумы и участвовали в соответствующих технических совещаниях и межправительственных процессах. Участие сотрудников в других совещаниях и мероприятиях финансировалось за счет добровольных взносов, а в некоторых случаях оплачивалось различными организаторами. Кроме того, сотрудники участвовали в совещаниях и мероприятиях в режиме видеоконференции.</w:t>
      </w:r>
    </w:p>
    <w:p w14:paraId="3E8DAE75" w14:textId="77777777" w:rsidR="0015126A" w:rsidRPr="00060EA2" w:rsidRDefault="0015126A" w:rsidP="00361521">
      <w:pPr>
        <w:pStyle w:val="paragraph"/>
        <w:keepNext/>
        <w:spacing w:before="120" w:after="120"/>
        <w:textAlignment w:val="baseline"/>
      </w:pPr>
      <w:r w:rsidRPr="00060EA2">
        <w:rPr>
          <w:i/>
        </w:rPr>
        <w:t>Арендная плата и сопутствующие расходы</w:t>
      </w:r>
    </w:p>
    <w:p w14:paraId="5C6AA1C8" w14:textId="25EB339F" w:rsidR="0015126A" w:rsidRPr="00060EA2" w:rsidRDefault="0015126A" w:rsidP="005F523A">
      <w:pPr>
        <w:pStyle w:val="CBDNormalNumber"/>
        <w:ind w:left="562"/>
        <w:rPr>
          <w:i/>
          <w:iCs/>
        </w:rPr>
      </w:pPr>
      <w:r w:rsidRPr="00060EA2">
        <w:t>Арендная плата и сопутствующие расходы секретариата на существующие служебные помещения в Монреале, Канада</w:t>
      </w:r>
      <w:r w:rsidR="00626BFF">
        <w:t>,</w:t>
      </w:r>
      <w:r w:rsidRPr="00060EA2">
        <w:t xml:space="preserve"> оплачиваются правительствами Канады и провинции Квебек на основе совместного финансирования в соотношении 75/25. В соответствии с текущим договором аренды сроком на 10 лет </w:t>
      </w:r>
      <w:r w:rsidR="00220461">
        <w:t>с</w:t>
      </w:r>
      <w:r w:rsidRPr="00060EA2">
        <w:t>екретариат выплатил 2 895 800 долл. США за аренду своих помещений за двухлетний период.</w:t>
      </w:r>
    </w:p>
    <w:p w14:paraId="498A6289" w14:textId="5B14F8C4" w:rsidR="0015126A" w:rsidRPr="00060EA2" w:rsidRDefault="0015126A" w:rsidP="00361521">
      <w:pPr>
        <w:pStyle w:val="paragraph"/>
        <w:keepNext/>
        <w:spacing w:before="120" w:after="120"/>
        <w:textAlignment w:val="baseline"/>
        <w:rPr>
          <w:i/>
          <w:iCs/>
          <w:szCs w:val="22"/>
        </w:rPr>
      </w:pPr>
      <w:r w:rsidRPr="00060EA2">
        <w:rPr>
          <w:i/>
        </w:rPr>
        <w:t>Информационные технологии</w:t>
      </w:r>
    </w:p>
    <w:p w14:paraId="59B6451C" w14:textId="54F7FE0E" w:rsidR="00A7398E" w:rsidRPr="00060EA2" w:rsidRDefault="00A7398E" w:rsidP="005F523A">
      <w:pPr>
        <w:pStyle w:val="CBDNormalNumber"/>
        <w:ind w:left="562"/>
      </w:pPr>
      <w:r w:rsidRPr="00060EA2">
        <w:t xml:space="preserve">Секретариат израсходовал 100 000 долл. США </w:t>
      </w:r>
      <w:r w:rsidR="00741843" w:rsidRPr="00741843">
        <w:t>на оплату услуг дизайнеров</w:t>
      </w:r>
      <w:r w:rsidR="00E43F52">
        <w:t xml:space="preserve"> </w:t>
      </w:r>
      <w:r w:rsidRPr="00060EA2">
        <w:t xml:space="preserve">пользовательского интерфейса для совершенствования дизайна и </w:t>
      </w:r>
      <w:r w:rsidR="0025779A" w:rsidRPr="0025779A">
        <w:t>функциональных возможностей</w:t>
      </w:r>
      <w:r w:rsidRPr="00060EA2">
        <w:t xml:space="preserve"> веб-сайта секретариата. Результатом этой работы должен стать более динамичный, привлекательный и удобный для пользователей веб-сайт, который будет </w:t>
      </w:r>
      <w:r w:rsidR="00DB1A04" w:rsidRPr="00DB1A04">
        <w:t>адаптирован для различных устройств и согласован</w:t>
      </w:r>
      <w:r w:rsidR="004649EE">
        <w:t xml:space="preserve"> </w:t>
      </w:r>
      <w:r w:rsidRPr="00060EA2">
        <w:t xml:space="preserve">с темами Куньминско-Монреальской глобальной рамочной программы в области биоразнообразия. </w:t>
      </w:r>
    </w:p>
    <w:p w14:paraId="3EB47028" w14:textId="3D9D66D6" w:rsidR="0015126A" w:rsidRPr="00060EA2" w:rsidRDefault="0015126A" w:rsidP="00361521">
      <w:pPr>
        <w:pStyle w:val="paragraph"/>
        <w:keepNext/>
        <w:spacing w:before="120" w:after="120"/>
        <w:textAlignment w:val="baseline"/>
        <w:rPr>
          <w:i/>
          <w:iCs/>
          <w:szCs w:val="22"/>
        </w:rPr>
      </w:pPr>
      <w:r w:rsidRPr="00060EA2">
        <w:rPr>
          <w:i/>
        </w:rPr>
        <w:t>Общие эксплуатационные расходы</w:t>
      </w:r>
    </w:p>
    <w:p w14:paraId="6727FA24" w14:textId="78D1D63B" w:rsidR="0015126A" w:rsidRPr="00060EA2" w:rsidRDefault="0015126A" w:rsidP="00361521">
      <w:pPr>
        <w:pStyle w:val="CBDNormalNumber"/>
      </w:pPr>
      <w:r w:rsidRPr="00060EA2">
        <w:t xml:space="preserve">Общие эксплуатационные расходы включают финансирование затрат на офисное оборудование и канцелярские принадлежности, оплату коммунальных услуг, страхования, курьерских служб, услуг связи и стоимости годовых лицензий на систему Умоджа. Секретариат завершил проект по </w:t>
      </w:r>
      <w:r w:rsidR="006D6263" w:rsidRPr="006D6263">
        <w:t xml:space="preserve">модернизации </w:t>
      </w:r>
      <w:r w:rsidRPr="00060EA2">
        <w:t xml:space="preserve">существующих служебных помещений и залов заседаний, а также по совершенствованию информационно-технологической инфраструктуры для более эффективной поддержки и оптимизации деятельности. </w:t>
      </w:r>
      <w:r w:rsidR="000B40B9" w:rsidRPr="000B40B9">
        <w:t xml:space="preserve">Модернизация </w:t>
      </w:r>
      <w:r w:rsidRPr="00060EA2">
        <w:t xml:space="preserve">залов заседаний и информационно-технологической инфраструктуры способствовало повышению экономической эффективности и обеспечению безопасности данных секретариата. </w:t>
      </w:r>
    </w:p>
    <w:p w14:paraId="5E331B6D" w14:textId="2E819DAD" w:rsidR="0015126A" w:rsidRPr="00060EA2" w:rsidRDefault="0015126A" w:rsidP="00361521">
      <w:pPr>
        <w:pStyle w:val="CBDH3"/>
        <w:rPr>
          <w:bCs/>
        </w:rPr>
      </w:pPr>
      <w:r w:rsidRPr="00060EA2">
        <w:t>Резерв оборотных средств</w:t>
      </w:r>
    </w:p>
    <w:p w14:paraId="1E8220A0" w14:textId="69E02036" w:rsidR="0015126A" w:rsidRDefault="0015126A" w:rsidP="00361521">
      <w:pPr>
        <w:pStyle w:val="CBDNormalNumber"/>
      </w:pPr>
      <w:r w:rsidRPr="00060EA2">
        <w:t>Резерв оборотных средств соответствует 15</w:t>
      </w:r>
      <w:r w:rsidR="009B5E09">
        <w:t>%</w:t>
      </w:r>
      <w:r w:rsidRPr="00060EA2">
        <w:t xml:space="preserve"> </w:t>
      </w:r>
      <w:r w:rsidR="00C30A2D" w:rsidRPr="00C30A2D">
        <w:t>сметных годовых расходов</w:t>
      </w:r>
      <w:r w:rsidRPr="00060EA2">
        <w:t xml:space="preserve">, включая расходы на поддержку программ. Резерв оборотных средств предназначен для обеспечения непрерывности </w:t>
      </w:r>
      <w:r w:rsidR="00E960C5" w:rsidRPr="00E960C5">
        <w:t>работы секретариата</w:t>
      </w:r>
      <w:r w:rsidR="00E960C5">
        <w:t xml:space="preserve"> </w:t>
      </w:r>
      <w:r w:rsidRPr="00060EA2">
        <w:t xml:space="preserve">в случае временного дефицита денежных средств. При использовании средств из резерва оборотных средств пополнение резерва осуществляется в кратчайшие сроки за счет взносов. </w:t>
      </w:r>
    </w:p>
    <w:p w14:paraId="52778184" w14:textId="77777777" w:rsidR="005819F1" w:rsidRDefault="005819F1" w:rsidP="005819F1">
      <w:pPr>
        <w:pStyle w:val="CBDNormalNumber"/>
        <w:numPr>
          <w:ilvl w:val="0"/>
          <w:numId w:val="0"/>
        </w:numPr>
        <w:ind w:left="567"/>
      </w:pPr>
    </w:p>
    <w:p w14:paraId="06D4C53B" w14:textId="77777777" w:rsidR="005819F1" w:rsidRDefault="005819F1" w:rsidP="005819F1">
      <w:pPr>
        <w:pStyle w:val="CBDNormalNumber"/>
        <w:numPr>
          <w:ilvl w:val="0"/>
          <w:numId w:val="0"/>
        </w:numPr>
        <w:ind w:left="567"/>
      </w:pPr>
    </w:p>
    <w:p w14:paraId="14D2EABB" w14:textId="77777777" w:rsidR="005819F1" w:rsidRDefault="005819F1" w:rsidP="005819F1">
      <w:pPr>
        <w:pStyle w:val="CBDNormalNumber"/>
        <w:numPr>
          <w:ilvl w:val="0"/>
          <w:numId w:val="0"/>
        </w:numPr>
        <w:ind w:left="567"/>
      </w:pPr>
    </w:p>
    <w:p w14:paraId="38B36DB8" w14:textId="1C462065" w:rsidR="0015126A" w:rsidRPr="00060EA2" w:rsidRDefault="0015126A" w:rsidP="00361521">
      <w:pPr>
        <w:pStyle w:val="CBDTableTitle"/>
        <w:rPr>
          <w:snapToGrid w:val="0"/>
        </w:rPr>
      </w:pPr>
      <w:r w:rsidRPr="00060EA2">
        <w:rPr>
          <w:b w:val="0"/>
          <w:snapToGrid w:val="0"/>
        </w:rPr>
        <w:lastRenderedPageBreak/>
        <w:t>Таблица 6</w:t>
      </w:r>
      <w:r w:rsidRPr="00060EA2">
        <w:rPr>
          <w:snapToGrid w:val="0"/>
        </w:rPr>
        <w:br/>
        <w:t>Резерв оборотных средств по состоянию на 31 декабря 2023 года</w:t>
      </w:r>
    </w:p>
    <w:p w14:paraId="5684F7DC" w14:textId="77777777" w:rsidR="0015126A" w:rsidRPr="00060EA2" w:rsidRDefault="0015126A" w:rsidP="00361521">
      <w:pPr>
        <w:pStyle w:val="ListParagraph"/>
        <w:keepNext/>
        <w:keepLines/>
        <w:suppressLineNumbers/>
        <w:suppressAutoHyphens/>
        <w:spacing w:after="60"/>
        <w:ind w:left="567"/>
        <w:jc w:val="left"/>
        <w:rPr>
          <w:kern w:val="22"/>
          <w:sz w:val="18"/>
          <w:szCs w:val="18"/>
        </w:rPr>
      </w:pPr>
      <w:r w:rsidRPr="00060EA2">
        <w:rPr>
          <w:sz w:val="18"/>
        </w:rPr>
        <w:t>(тыс. долл. США)</w:t>
      </w:r>
    </w:p>
    <w:tbl>
      <w:tblPr>
        <w:tblW w:w="6508" w:type="dxa"/>
        <w:jc w:val="center"/>
        <w:tblLayout w:type="fixed"/>
        <w:tblLook w:val="04A0" w:firstRow="1" w:lastRow="0" w:firstColumn="1" w:lastColumn="0" w:noHBand="0" w:noVBand="1"/>
      </w:tblPr>
      <w:tblGrid>
        <w:gridCol w:w="5398"/>
        <w:gridCol w:w="1110"/>
      </w:tblGrid>
      <w:tr w:rsidR="0015126A" w:rsidRPr="00060EA2" w14:paraId="76BA03E1" w14:textId="77777777" w:rsidTr="00361521">
        <w:trPr>
          <w:cantSplit/>
          <w:tblHeader/>
          <w:jc w:val="center"/>
        </w:trPr>
        <w:tc>
          <w:tcPr>
            <w:tcW w:w="5398" w:type="dxa"/>
            <w:tcBorders>
              <w:top w:val="single" w:sz="4" w:space="0" w:color="auto"/>
              <w:bottom w:val="single" w:sz="4" w:space="0" w:color="auto"/>
            </w:tcBorders>
            <w:shd w:val="clear" w:color="auto" w:fill="auto"/>
            <w:noWrap/>
          </w:tcPr>
          <w:p w14:paraId="0106B70D" w14:textId="77777777" w:rsidR="0015126A" w:rsidRPr="00060EA2" w:rsidRDefault="0015126A" w:rsidP="00361521">
            <w:pPr>
              <w:suppressLineNumbers/>
              <w:suppressAutoHyphens/>
              <w:spacing w:before="60"/>
              <w:jc w:val="left"/>
              <w:rPr>
                <w:i/>
                <w:iCs/>
                <w:color w:val="000000"/>
                <w:kern w:val="22"/>
                <w:sz w:val="18"/>
                <w:szCs w:val="18"/>
              </w:rPr>
            </w:pPr>
            <w:r w:rsidRPr="00060EA2">
              <w:rPr>
                <w:i/>
                <w:color w:val="000000"/>
                <w:sz w:val="18"/>
              </w:rPr>
              <w:t>Целевой фонд</w:t>
            </w:r>
          </w:p>
        </w:tc>
        <w:tc>
          <w:tcPr>
            <w:tcW w:w="1110" w:type="dxa"/>
            <w:tcBorders>
              <w:top w:val="single" w:sz="4" w:space="0" w:color="auto"/>
              <w:bottom w:val="single" w:sz="4" w:space="0" w:color="auto"/>
            </w:tcBorders>
            <w:shd w:val="clear" w:color="auto" w:fill="auto"/>
            <w:noWrap/>
            <w:hideMark/>
          </w:tcPr>
          <w:p w14:paraId="79A90DCA" w14:textId="33F1C6B5" w:rsidR="0015126A" w:rsidRPr="00060EA2" w:rsidRDefault="0015126A" w:rsidP="00361521">
            <w:pPr>
              <w:suppressLineNumbers/>
              <w:suppressAutoHyphens/>
              <w:spacing w:before="60"/>
              <w:jc w:val="right"/>
              <w:rPr>
                <w:i/>
                <w:iCs/>
                <w:color w:val="000000"/>
                <w:kern w:val="22"/>
                <w:sz w:val="18"/>
                <w:szCs w:val="18"/>
              </w:rPr>
            </w:pPr>
            <w:r w:rsidRPr="00060EA2">
              <w:rPr>
                <w:i/>
                <w:color w:val="000000"/>
                <w:sz w:val="18"/>
              </w:rPr>
              <w:t>2023 г.</w:t>
            </w:r>
          </w:p>
        </w:tc>
      </w:tr>
      <w:tr w:rsidR="0015126A" w:rsidRPr="00060EA2" w14:paraId="1EEF9A03" w14:textId="77777777" w:rsidTr="00361521">
        <w:trPr>
          <w:cantSplit/>
          <w:jc w:val="center"/>
        </w:trPr>
        <w:tc>
          <w:tcPr>
            <w:tcW w:w="5398" w:type="dxa"/>
            <w:tcBorders>
              <w:top w:val="single" w:sz="4" w:space="0" w:color="auto"/>
            </w:tcBorders>
            <w:shd w:val="clear" w:color="auto" w:fill="auto"/>
            <w:noWrap/>
            <w:hideMark/>
          </w:tcPr>
          <w:p w14:paraId="5933B46A" w14:textId="49558694" w:rsidR="0015126A" w:rsidRPr="00060EA2" w:rsidRDefault="0015126A" w:rsidP="00361521">
            <w:pPr>
              <w:suppressLineNumbers/>
              <w:suppressAutoHyphens/>
              <w:spacing w:before="60"/>
              <w:jc w:val="left"/>
              <w:rPr>
                <w:color w:val="000000"/>
                <w:kern w:val="22"/>
                <w:sz w:val="18"/>
                <w:szCs w:val="18"/>
              </w:rPr>
            </w:pPr>
            <w:r w:rsidRPr="00060EA2">
              <w:rPr>
                <w:sz w:val="18"/>
              </w:rPr>
              <w:t>Общий целевой фонд Конвенции</w:t>
            </w:r>
            <w:r w:rsidRPr="00060EA2">
              <w:rPr>
                <w:color w:val="000000"/>
                <w:sz w:val="18"/>
              </w:rPr>
              <w:t xml:space="preserve"> </w:t>
            </w:r>
          </w:p>
        </w:tc>
        <w:tc>
          <w:tcPr>
            <w:tcW w:w="1110" w:type="dxa"/>
            <w:tcBorders>
              <w:top w:val="single" w:sz="4" w:space="0" w:color="auto"/>
            </w:tcBorders>
            <w:shd w:val="clear" w:color="auto" w:fill="auto"/>
            <w:noWrap/>
            <w:hideMark/>
          </w:tcPr>
          <w:p w14:paraId="2F9D3315" w14:textId="3158E655" w:rsidR="0015126A" w:rsidRPr="00060EA2" w:rsidRDefault="0015126A" w:rsidP="00361521">
            <w:pPr>
              <w:suppressLineNumbers/>
              <w:suppressAutoHyphens/>
              <w:spacing w:before="60"/>
              <w:jc w:val="right"/>
              <w:rPr>
                <w:color w:val="000000"/>
                <w:kern w:val="22"/>
                <w:sz w:val="18"/>
                <w:szCs w:val="18"/>
              </w:rPr>
            </w:pPr>
            <w:r w:rsidRPr="00060EA2">
              <w:rPr>
                <w:color w:val="000000"/>
                <w:sz w:val="18"/>
              </w:rPr>
              <w:t>2 317,0</w:t>
            </w:r>
          </w:p>
        </w:tc>
      </w:tr>
      <w:tr w:rsidR="0015126A" w:rsidRPr="00060EA2" w14:paraId="3A76AD80" w14:textId="77777777" w:rsidTr="00361521">
        <w:trPr>
          <w:cantSplit/>
          <w:jc w:val="center"/>
        </w:trPr>
        <w:tc>
          <w:tcPr>
            <w:tcW w:w="5398" w:type="dxa"/>
            <w:shd w:val="clear" w:color="auto" w:fill="auto"/>
            <w:noWrap/>
            <w:hideMark/>
          </w:tcPr>
          <w:p w14:paraId="68F4278D" w14:textId="7118A4F8" w:rsidR="0015126A" w:rsidRPr="00060EA2" w:rsidRDefault="0015126A" w:rsidP="00361521">
            <w:pPr>
              <w:suppressLineNumbers/>
              <w:suppressAutoHyphens/>
              <w:spacing w:before="60"/>
              <w:jc w:val="left"/>
              <w:rPr>
                <w:color w:val="000000"/>
                <w:kern w:val="22"/>
                <w:sz w:val="18"/>
                <w:szCs w:val="18"/>
              </w:rPr>
            </w:pPr>
            <w:r w:rsidRPr="00060EA2">
              <w:rPr>
                <w:sz w:val="18"/>
              </w:rPr>
              <w:t>Общий целевой фонд для основного бюджета по программе Картахенского протокола</w:t>
            </w:r>
            <w:r w:rsidRPr="00060EA2">
              <w:rPr>
                <w:color w:val="000000"/>
                <w:sz w:val="18"/>
              </w:rPr>
              <w:t xml:space="preserve"> </w:t>
            </w:r>
          </w:p>
        </w:tc>
        <w:tc>
          <w:tcPr>
            <w:tcW w:w="1110" w:type="dxa"/>
            <w:shd w:val="clear" w:color="auto" w:fill="auto"/>
            <w:noWrap/>
            <w:hideMark/>
          </w:tcPr>
          <w:p w14:paraId="799E2A7B" w14:textId="0FC3BC04" w:rsidR="0015126A" w:rsidRPr="00060EA2" w:rsidRDefault="0015126A" w:rsidP="00361521">
            <w:pPr>
              <w:suppressLineNumbers/>
              <w:suppressAutoHyphens/>
              <w:spacing w:before="60"/>
              <w:jc w:val="right"/>
              <w:rPr>
                <w:color w:val="000000"/>
                <w:kern w:val="22"/>
                <w:sz w:val="18"/>
                <w:szCs w:val="18"/>
              </w:rPr>
            </w:pPr>
            <w:r w:rsidRPr="00060EA2">
              <w:rPr>
                <w:color w:val="000000"/>
                <w:sz w:val="18"/>
              </w:rPr>
              <w:t>482,7</w:t>
            </w:r>
          </w:p>
        </w:tc>
      </w:tr>
      <w:tr w:rsidR="0015126A" w:rsidRPr="00060EA2" w14:paraId="31EA3795" w14:textId="77777777" w:rsidTr="00361521">
        <w:trPr>
          <w:cantSplit/>
          <w:jc w:val="center"/>
        </w:trPr>
        <w:tc>
          <w:tcPr>
            <w:tcW w:w="5398" w:type="dxa"/>
            <w:tcBorders>
              <w:bottom w:val="single" w:sz="4" w:space="0" w:color="auto"/>
            </w:tcBorders>
            <w:shd w:val="clear" w:color="auto" w:fill="auto"/>
            <w:noWrap/>
            <w:hideMark/>
          </w:tcPr>
          <w:p w14:paraId="75EAE049" w14:textId="597DA9B1" w:rsidR="0015126A" w:rsidRPr="00060EA2" w:rsidRDefault="0015126A" w:rsidP="00361521">
            <w:pPr>
              <w:suppressLineNumbers/>
              <w:suppressAutoHyphens/>
              <w:spacing w:before="60"/>
              <w:jc w:val="left"/>
              <w:rPr>
                <w:color w:val="000000"/>
                <w:kern w:val="22"/>
                <w:sz w:val="18"/>
                <w:szCs w:val="18"/>
              </w:rPr>
            </w:pPr>
            <w:r w:rsidRPr="00060EA2">
              <w:rPr>
                <w:color w:val="000000"/>
                <w:sz w:val="18"/>
              </w:rPr>
              <w:t>Общий целевой фонд для основного бюджета по программе Нагойского протокола</w:t>
            </w:r>
          </w:p>
        </w:tc>
        <w:tc>
          <w:tcPr>
            <w:tcW w:w="1110" w:type="dxa"/>
            <w:tcBorders>
              <w:bottom w:val="single" w:sz="4" w:space="0" w:color="auto"/>
            </w:tcBorders>
            <w:shd w:val="clear" w:color="auto" w:fill="auto"/>
            <w:noWrap/>
            <w:hideMark/>
          </w:tcPr>
          <w:p w14:paraId="4EAB5A16" w14:textId="4D380919" w:rsidR="0015126A" w:rsidRPr="00060EA2" w:rsidRDefault="0015126A" w:rsidP="00361521">
            <w:pPr>
              <w:suppressLineNumbers/>
              <w:suppressAutoHyphens/>
              <w:spacing w:before="60"/>
              <w:jc w:val="right"/>
              <w:rPr>
                <w:color w:val="000000"/>
                <w:kern w:val="22"/>
                <w:sz w:val="18"/>
                <w:szCs w:val="18"/>
              </w:rPr>
            </w:pPr>
            <w:r w:rsidRPr="00060EA2">
              <w:rPr>
                <w:color w:val="000000"/>
                <w:sz w:val="18"/>
              </w:rPr>
              <w:t>418,4</w:t>
            </w:r>
          </w:p>
        </w:tc>
      </w:tr>
      <w:tr w:rsidR="0015126A" w:rsidRPr="00060EA2" w14:paraId="44A97F1C" w14:textId="77777777" w:rsidTr="00361521">
        <w:trPr>
          <w:cantSplit/>
          <w:jc w:val="center"/>
        </w:trPr>
        <w:tc>
          <w:tcPr>
            <w:tcW w:w="5398" w:type="dxa"/>
            <w:tcBorders>
              <w:top w:val="single" w:sz="4" w:space="0" w:color="auto"/>
              <w:bottom w:val="single" w:sz="4" w:space="0" w:color="auto"/>
            </w:tcBorders>
            <w:shd w:val="clear" w:color="auto" w:fill="auto"/>
            <w:noWrap/>
            <w:hideMark/>
          </w:tcPr>
          <w:p w14:paraId="01630DA0" w14:textId="647D1BA5" w:rsidR="0015126A" w:rsidRPr="00060EA2" w:rsidRDefault="0015126A" w:rsidP="00361521">
            <w:pPr>
              <w:suppressLineNumbers/>
              <w:tabs>
                <w:tab w:val="clear" w:pos="567"/>
                <w:tab w:val="left" w:pos="316"/>
              </w:tabs>
              <w:suppressAutoHyphens/>
              <w:spacing w:before="60"/>
              <w:rPr>
                <w:b/>
                <w:bCs/>
                <w:color w:val="000000"/>
                <w:kern w:val="22"/>
                <w:sz w:val="18"/>
                <w:szCs w:val="18"/>
              </w:rPr>
            </w:pPr>
            <w:r w:rsidRPr="00060EA2">
              <w:rPr>
                <w:b/>
                <w:color w:val="000000"/>
                <w:sz w:val="18"/>
              </w:rPr>
              <w:tab/>
              <w:t>Итого</w:t>
            </w:r>
          </w:p>
        </w:tc>
        <w:tc>
          <w:tcPr>
            <w:tcW w:w="1110" w:type="dxa"/>
            <w:tcBorders>
              <w:top w:val="single" w:sz="4" w:space="0" w:color="auto"/>
              <w:bottom w:val="single" w:sz="4" w:space="0" w:color="auto"/>
            </w:tcBorders>
            <w:shd w:val="clear" w:color="auto" w:fill="auto"/>
            <w:noWrap/>
            <w:hideMark/>
          </w:tcPr>
          <w:p w14:paraId="500E52F8" w14:textId="68B69259" w:rsidR="0015126A" w:rsidRPr="00060EA2" w:rsidRDefault="0015126A" w:rsidP="00361521">
            <w:pPr>
              <w:suppressLineNumbers/>
              <w:suppressAutoHyphens/>
              <w:spacing w:before="60"/>
              <w:jc w:val="right"/>
              <w:rPr>
                <w:b/>
                <w:bCs/>
                <w:color w:val="000000"/>
                <w:kern w:val="22"/>
                <w:sz w:val="18"/>
                <w:szCs w:val="18"/>
              </w:rPr>
            </w:pPr>
            <w:r w:rsidRPr="00060EA2">
              <w:rPr>
                <w:b/>
                <w:color w:val="000000"/>
                <w:sz w:val="18"/>
              </w:rPr>
              <w:t>3 218,1</w:t>
            </w:r>
          </w:p>
        </w:tc>
      </w:tr>
    </w:tbl>
    <w:p w14:paraId="6F2B6889" w14:textId="5640AF47" w:rsidR="0015126A" w:rsidRPr="00060EA2" w:rsidRDefault="0015126A" w:rsidP="00361521">
      <w:pPr>
        <w:pStyle w:val="CBDNormalNumber"/>
      </w:pPr>
      <w:r w:rsidRPr="00060EA2">
        <w:t xml:space="preserve">В таблице 6 представлен </w:t>
      </w:r>
      <w:r w:rsidRPr="00060EA2">
        <w:rPr>
          <w:snapToGrid w:val="0"/>
        </w:rPr>
        <w:t xml:space="preserve">резерв оборотных средств по состоянию на 31 декабря 2023 года. </w:t>
      </w:r>
      <w:r w:rsidRPr="00060EA2">
        <w:t>По оценкам совокупное положительное сальдо трех общих целевых фондов, за вычетом резерва оборотных средств в размере 3 218 100 долл. США, на конец 2024 года составит 18 млн долл. США (см. таблицу 7). Прогноз основан на предположении, что секретариат не ожидает дальнейших поступлений начисленных взносов в период с 1 августа по 31 декабря 2024 года.</w:t>
      </w:r>
    </w:p>
    <w:p w14:paraId="30419FA1" w14:textId="49FEDBE2" w:rsidR="0015126A" w:rsidRPr="00060EA2" w:rsidRDefault="0015126A" w:rsidP="00361521">
      <w:pPr>
        <w:pStyle w:val="CBDTableTitle"/>
        <w:rPr>
          <w:bCs/>
          <w:kern w:val="22"/>
        </w:rPr>
      </w:pPr>
      <w:r w:rsidRPr="00060EA2">
        <w:rPr>
          <w:b w:val="0"/>
        </w:rPr>
        <w:t>Таблица 7</w:t>
      </w:r>
      <w:r w:rsidRPr="00060EA2">
        <w:br/>
        <w:t>Прогноз совокупного положительного сальдо (за вычетом резерва оборотных средств) по состоянию на 31 декабря 2024 года</w:t>
      </w:r>
    </w:p>
    <w:p w14:paraId="6095BFE0" w14:textId="77777777" w:rsidR="0015126A" w:rsidRPr="00060EA2" w:rsidRDefault="0015126A" w:rsidP="00361521">
      <w:pPr>
        <w:keepNext/>
        <w:keepLines/>
        <w:suppressLineNumbers/>
        <w:suppressAutoHyphens/>
        <w:spacing w:after="60"/>
        <w:ind w:left="567"/>
        <w:jc w:val="left"/>
        <w:rPr>
          <w:kern w:val="22"/>
          <w:sz w:val="18"/>
          <w:szCs w:val="18"/>
        </w:rPr>
      </w:pPr>
      <w:r w:rsidRPr="00060EA2">
        <w:rPr>
          <w:sz w:val="18"/>
        </w:rPr>
        <w:t>(млн долл. США)</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549"/>
      </w:tblGrid>
      <w:tr w:rsidR="0015126A" w:rsidRPr="00060EA2" w14:paraId="2E67C50B" w14:textId="77777777" w:rsidTr="00695099">
        <w:tc>
          <w:tcPr>
            <w:tcW w:w="2268" w:type="dxa"/>
            <w:tcBorders>
              <w:top w:val="single" w:sz="4" w:space="0" w:color="auto"/>
            </w:tcBorders>
            <w:vAlign w:val="center"/>
          </w:tcPr>
          <w:p w14:paraId="7C1A40F5" w14:textId="1F8DC5BE" w:rsidR="0015126A" w:rsidRPr="00060EA2" w:rsidRDefault="0015126A" w:rsidP="00361521">
            <w:pPr>
              <w:keepNext/>
              <w:suppressLineNumbers/>
              <w:suppressAutoHyphens/>
              <w:spacing w:before="40" w:after="60"/>
              <w:jc w:val="left"/>
              <w:rPr>
                <w:kern w:val="22"/>
                <w:sz w:val="18"/>
                <w:szCs w:val="18"/>
              </w:rPr>
            </w:pPr>
            <w:r w:rsidRPr="00060EA2">
              <w:rPr>
                <w:sz w:val="18"/>
              </w:rPr>
              <w:t>Конвенция</w:t>
            </w:r>
          </w:p>
        </w:tc>
        <w:tc>
          <w:tcPr>
            <w:tcW w:w="3549" w:type="dxa"/>
            <w:tcBorders>
              <w:top w:val="single" w:sz="4" w:space="0" w:color="auto"/>
            </w:tcBorders>
            <w:vAlign w:val="center"/>
          </w:tcPr>
          <w:p w14:paraId="163AE500" w14:textId="7BEEE0BE" w:rsidR="0015126A" w:rsidRPr="00060EA2" w:rsidDel="00026C34" w:rsidRDefault="0015126A" w:rsidP="00361521">
            <w:pPr>
              <w:keepNext/>
              <w:suppressLineNumbers/>
              <w:suppressAutoHyphens/>
              <w:spacing w:before="40" w:after="60"/>
              <w:jc w:val="right"/>
              <w:rPr>
                <w:kern w:val="22"/>
                <w:sz w:val="18"/>
                <w:szCs w:val="18"/>
              </w:rPr>
            </w:pPr>
            <w:r w:rsidRPr="00060EA2">
              <w:rPr>
                <w:sz w:val="18"/>
              </w:rPr>
              <w:t>11,0</w:t>
            </w:r>
          </w:p>
        </w:tc>
      </w:tr>
      <w:tr w:rsidR="0015126A" w:rsidRPr="00060EA2" w14:paraId="2B35D0B7" w14:textId="77777777" w:rsidTr="00695099">
        <w:tc>
          <w:tcPr>
            <w:tcW w:w="2268" w:type="dxa"/>
            <w:vAlign w:val="center"/>
          </w:tcPr>
          <w:p w14:paraId="4F955580" w14:textId="4B33E00A" w:rsidR="0015126A" w:rsidRPr="00060EA2" w:rsidRDefault="0015126A" w:rsidP="00361521">
            <w:pPr>
              <w:keepNext/>
              <w:suppressLineNumbers/>
              <w:suppressAutoHyphens/>
              <w:spacing w:before="40" w:after="60"/>
              <w:jc w:val="left"/>
              <w:rPr>
                <w:kern w:val="22"/>
                <w:sz w:val="18"/>
                <w:szCs w:val="18"/>
              </w:rPr>
            </w:pPr>
            <w:r w:rsidRPr="00060EA2">
              <w:rPr>
                <w:sz w:val="18"/>
              </w:rPr>
              <w:t>Картахенский протокол</w:t>
            </w:r>
          </w:p>
        </w:tc>
        <w:tc>
          <w:tcPr>
            <w:tcW w:w="3549" w:type="dxa"/>
            <w:vAlign w:val="center"/>
          </w:tcPr>
          <w:p w14:paraId="2EFDFC39" w14:textId="7E451F94" w:rsidR="0015126A" w:rsidRPr="00060EA2" w:rsidDel="00026C34" w:rsidRDefault="0015126A" w:rsidP="00361521">
            <w:pPr>
              <w:keepNext/>
              <w:suppressLineNumbers/>
              <w:suppressAutoHyphens/>
              <w:spacing w:before="40" w:after="60"/>
              <w:jc w:val="right"/>
              <w:rPr>
                <w:kern w:val="22"/>
                <w:sz w:val="18"/>
                <w:szCs w:val="18"/>
              </w:rPr>
            </w:pPr>
            <w:r w:rsidRPr="00060EA2">
              <w:rPr>
                <w:sz w:val="18"/>
              </w:rPr>
              <w:t>4,9</w:t>
            </w:r>
          </w:p>
        </w:tc>
      </w:tr>
      <w:tr w:rsidR="0015126A" w:rsidRPr="00060EA2" w14:paraId="4AEA6DB5" w14:textId="77777777" w:rsidTr="00695099">
        <w:tc>
          <w:tcPr>
            <w:tcW w:w="2268" w:type="dxa"/>
            <w:tcBorders>
              <w:bottom w:val="single" w:sz="4" w:space="0" w:color="auto"/>
            </w:tcBorders>
            <w:vAlign w:val="center"/>
          </w:tcPr>
          <w:p w14:paraId="5520432E" w14:textId="7875825E" w:rsidR="0015126A" w:rsidRPr="00060EA2" w:rsidRDefault="0015126A" w:rsidP="00361521">
            <w:pPr>
              <w:keepNext/>
              <w:suppressLineNumbers/>
              <w:suppressAutoHyphens/>
              <w:spacing w:before="40" w:after="60"/>
              <w:jc w:val="left"/>
              <w:rPr>
                <w:kern w:val="22"/>
                <w:sz w:val="18"/>
                <w:szCs w:val="18"/>
              </w:rPr>
            </w:pPr>
            <w:r w:rsidRPr="00060EA2">
              <w:rPr>
                <w:sz w:val="18"/>
              </w:rPr>
              <w:t>Нагойский протокол</w:t>
            </w:r>
          </w:p>
        </w:tc>
        <w:tc>
          <w:tcPr>
            <w:tcW w:w="3549" w:type="dxa"/>
            <w:tcBorders>
              <w:bottom w:val="single" w:sz="4" w:space="0" w:color="auto"/>
            </w:tcBorders>
            <w:vAlign w:val="center"/>
          </w:tcPr>
          <w:p w14:paraId="51BE2356" w14:textId="2CE8DF0C" w:rsidR="0015126A" w:rsidRPr="00060EA2" w:rsidDel="00026C34" w:rsidRDefault="0015126A" w:rsidP="00361521">
            <w:pPr>
              <w:keepNext/>
              <w:suppressLineNumbers/>
              <w:suppressAutoHyphens/>
              <w:spacing w:before="40" w:after="60"/>
              <w:jc w:val="right"/>
              <w:rPr>
                <w:kern w:val="22"/>
                <w:sz w:val="18"/>
                <w:szCs w:val="18"/>
              </w:rPr>
            </w:pPr>
            <w:r w:rsidRPr="00060EA2">
              <w:rPr>
                <w:sz w:val="18"/>
              </w:rPr>
              <w:t>2,2</w:t>
            </w:r>
          </w:p>
        </w:tc>
      </w:tr>
      <w:tr w:rsidR="0015126A" w:rsidRPr="00060EA2" w14:paraId="692A8BED" w14:textId="77777777" w:rsidTr="00695099">
        <w:tc>
          <w:tcPr>
            <w:tcW w:w="2268" w:type="dxa"/>
            <w:tcBorders>
              <w:top w:val="single" w:sz="4" w:space="0" w:color="auto"/>
              <w:bottom w:val="single" w:sz="4" w:space="0" w:color="auto"/>
            </w:tcBorders>
            <w:vAlign w:val="center"/>
          </w:tcPr>
          <w:p w14:paraId="34B32B9C" w14:textId="2435187B" w:rsidR="0015126A" w:rsidRPr="00060EA2" w:rsidRDefault="0015126A" w:rsidP="00361521">
            <w:pPr>
              <w:keepNext/>
              <w:suppressLineNumbers/>
              <w:suppressAutoHyphens/>
              <w:spacing w:before="40" w:after="60"/>
              <w:ind w:left="181"/>
              <w:jc w:val="left"/>
              <w:rPr>
                <w:kern w:val="22"/>
                <w:sz w:val="18"/>
                <w:szCs w:val="18"/>
              </w:rPr>
            </w:pPr>
            <w:r w:rsidRPr="00060EA2">
              <w:rPr>
                <w:b/>
                <w:sz w:val="18"/>
              </w:rPr>
              <w:t>Итого</w:t>
            </w:r>
          </w:p>
        </w:tc>
        <w:tc>
          <w:tcPr>
            <w:tcW w:w="3549" w:type="dxa"/>
            <w:tcBorders>
              <w:top w:val="single" w:sz="4" w:space="0" w:color="auto"/>
              <w:bottom w:val="single" w:sz="4" w:space="0" w:color="auto"/>
            </w:tcBorders>
            <w:vAlign w:val="center"/>
          </w:tcPr>
          <w:p w14:paraId="589CE280" w14:textId="2B5304B8" w:rsidR="0015126A" w:rsidRPr="00060EA2" w:rsidRDefault="0015126A" w:rsidP="00361521">
            <w:pPr>
              <w:keepNext/>
              <w:suppressLineNumbers/>
              <w:suppressAutoHyphens/>
              <w:spacing w:before="40" w:after="60"/>
              <w:jc w:val="right"/>
              <w:rPr>
                <w:kern w:val="22"/>
                <w:sz w:val="18"/>
                <w:szCs w:val="18"/>
              </w:rPr>
            </w:pPr>
            <w:r w:rsidRPr="00060EA2">
              <w:rPr>
                <w:b/>
                <w:sz w:val="18"/>
              </w:rPr>
              <w:t>18,1</w:t>
            </w:r>
          </w:p>
        </w:tc>
      </w:tr>
    </w:tbl>
    <w:p w14:paraId="2B98497D" w14:textId="40CE5015" w:rsidR="0015126A" w:rsidRPr="005819F1" w:rsidRDefault="0015126A" w:rsidP="00361521">
      <w:pPr>
        <w:pStyle w:val="CBDH2"/>
        <w:numPr>
          <w:ilvl w:val="0"/>
          <w:numId w:val="0"/>
        </w:numPr>
        <w:ind w:left="567" w:hanging="567"/>
        <w:jc w:val="left"/>
        <w:outlineLvl w:val="1"/>
      </w:pPr>
      <w:r w:rsidRPr="005819F1">
        <w:t>C.</w:t>
      </w:r>
      <w:r w:rsidRPr="005819F1">
        <w:tab/>
        <w:t xml:space="preserve">Специальный добровольный целевой фонд для дополнительных добровольных взносов в поддержку утвержденных мероприятий в рамках Конвенции </w:t>
      </w:r>
    </w:p>
    <w:p w14:paraId="6DB100BF" w14:textId="34BFF73A" w:rsidR="0015126A" w:rsidRPr="005819F1" w:rsidRDefault="0015126A" w:rsidP="00361521">
      <w:pPr>
        <w:pStyle w:val="CBDNormalNumber"/>
        <w:rPr>
          <w:color w:val="000000" w:themeColor="text1"/>
        </w:rPr>
      </w:pPr>
      <w:r w:rsidRPr="005819F1">
        <w:t xml:space="preserve">В своем решении 15/34 Конференция Сторон </w:t>
      </w:r>
      <w:r w:rsidR="007537AE" w:rsidRPr="005819F1">
        <w:t>признала смету</w:t>
      </w:r>
      <w:r w:rsidRPr="005819F1">
        <w:t xml:space="preserve"> финансировани</w:t>
      </w:r>
      <w:r w:rsidR="007537AE" w:rsidRPr="005819F1">
        <w:t>я</w:t>
      </w:r>
      <w:r w:rsidRPr="005819F1">
        <w:t xml:space="preserve"> в размере 22 207 099 долл. США для Специального добровольного целевого фонда </w:t>
      </w:r>
      <w:r w:rsidR="00A4179E" w:rsidRPr="005819F1">
        <w:t xml:space="preserve">для дополнительных добровольных взносов в поддержку утвержденных мероприятий </w:t>
      </w:r>
      <w:r w:rsidRPr="005819F1">
        <w:t>в рамках Конвенции на двухлетний период 2023-2024 годов.</w:t>
      </w:r>
      <w:r w:rsidRPr="005819F1">
        <w:rPr>
          <w:color w:val="000000" w:themeColor="text1"/>
        </w:rPr>
        <w:t xml:space="preserve"> </w:t>
      </w:r>
      <w:r w:rsidRPr="005819F1">
        <w:t xml:space="preserve">По состоянию на 31 августа 2024 года секретариат получил взносы на дополнительные утвержденные мероприятия на общую сумму 14 953 029 долл. США. </w:t>
      </w:r>
    </w:p>
    <w:p w14:paraId="125DF76C" w14:textId="6B8A3E88" w:rsidR="0015126A" w:rsidRPr="005819F1" w:rsidRDefault="0015126A" w:rsidP="00361521">
      <w:pPr>
        <w:pStyle w:val="CBDNormalNumber"/>
        <w:rPr>
          <w:color w:val="000000" w:themeColor="text1"/>
        </w:rPr>
      </w:pPr>
      <w:r w:rsidRPr="005819F1">
        <w:t>Общие расходы секретариат</w:t>
      </w:r>
      <w:r w:rsidR="005A69E2" w:rsidRPr="005819F1">
        <w:t>а</w:t>
      </w:r>
      <w:r w:rsidRPr="005819F1">
        <w:t xml:space="preserve"> </w:t>
      </w:r>
      <w:r w:rsidR="005A69E2" w:rsidRPr="005819F1">
        <w:t>в</w:t>
      </w:r>
      <w:r w:rsidRPr="005819F1">
        <w:t xml:space="preserve"> период с января 2023 года по 31 августа 2024 года составили 11 348 622 долл. США.</w:t>
      </w:r>
      <w:r w:rsidRPr="005819F1">
        <w:rPr>
          <w:color w:val="000000" w:themeColor="text1"/>
        </w:rPr>
        <w:t xml:space="preserve"> </w:t>
      </w:r>
      <w:r w:rsidR="001246F0" w:rsidRPr="005819F1">
        <w:rPr>
          <w:color w:val="000000" w:themeColor="text1"/>
        </w:rPr>
        <w:t>Мероприятия</w:t>
      </w:r>
      <w:r w:rsidRPr="005819F1">
        <w:rPr>
          <w:color w:val="000000" w:themeColor="text1"/>
        </w:rPr>
        <w:t xml:space="preserve">, </w:t>
      </w:r>
      <w:r w:rsidR="001246F0" w:rsidRPr="005819F1">
        <w:rPr>
          <w:color w:val="000000" w:themeColor="text1"/>
        </w:rPr>
        <w:t xml:space="preserve">осуществлявшиеся </w:t>
      </w:r>
      <w:r w:rsidRPr="005819F1">
        <w:rPr>
          <w:color w:val="000000" w:themeColor="text1"/>
        </w:rPr>
        <w:t>им в указанный период, касал</w:t>
      </w:r>
      <w:r w:rsidR="00DD338E" w:rsidRPr="005819F1">
        <w:rPr>
          <w:color w:val="000000" w:themeColor="text1"/>
        </w:rPr>
        <w:t>и</w:t>
      </w:r>
      <w:r w:rsidRPr="005819F1">
        <w:rPr>
          <w:color w:val="000000" w:themeColor="text1"/>
        </w:rPr>
        <w:t xml:space="preserve">сь, в частности, мобилизации ресурсов, морского и прибрежного биоразнообразия, цифровой информации о последовательностях, планирования и мониторинга и биобезопасности. </w:t>
      </w:r>
    </w:p>
    <w:p w14:paraId="4505E29B" w14:textId="318DDF4B" w:rsidR="0015126A" w:rsidRPr="005819F1" w:rsidRDefault="0015126A" w:rsidP="00361521">
      <w:pPr>
        <w:pStyle w:val="CBDH2"/>
        <w:numPr>
          <w:ilvl w:val="0"/>
          <w:numId w:val="0"/>
        </w:numPr>
        <w:ind w:left="567" w:hanging="567"/>
        <w:jc w:val="left"/>
        <w:outlineLvl w:val="1"/>
      </w:pPr>
      <w:r w:rsidRPr="005819F1">
        <w:t>D.</w:t>
      </w:r>
      <w:r w:rsidRPr="005819F1">
        <w:tab/>
        <w:t xml:space="preserve">Специальный целевой фонд для дополнительных добровольных взносов для содействия участию Сторон в процессах в рамках Конвенции </w:t>
      </w:r>
    </w:p>
    <w:p w14:paraId="6BE78416" w14:textId="7261DB23" w:rsidR="0015126A" w:rsidRPr="00060EA2" w:rsidRDefault="0015126A" w:rsidP="00361521">
      <w:pPr>
        <w:pStyle w:val="CBDNormalNumber"/>
        <w:rPr>
          <w:color w:val="000000" w:themeColor="text1"/>
        </w:rPr>
      </w:pPr>
      <w:r w:rsidRPr="005819F1">
        <w:t xml:space="preserve">В своем решении 15/34 Конференция Сторон </w:t>
      </w:r>
      <w:r w:rsidR="005F521A" w:rsidRPr="005819F1">
        <w:t xml:space="preserve">признала смету </w:t>
      </w:r>
      <w:r w:rsidRPr="005819F1">
        <w:t>финансировани</w:t>
      </w:r>
      <w:r w:rsidR="005F521A" w:rsidRPr="005819F1">
        <w:t>я</w:t>
      </w:r>
      <w:r w:rsidRPr="005819F1">
        <w:t xml:space="preserve"> в размере 8 604 000 долл. США для Специального целевого фонда для </w:t>
      </w:r>
      <w:r w:rsidR="00D51034" w:rsidRPr="005819F1">
        <w:t xml:space="preserve">дополнительных </w:t>
      </w:r>
      <w:r w:rsidRPr="005819F1">
        <w:t xml:space="preserve">добровольных взносов для содействия участию Сторон </w:t>
      </w:r>
      <w:r w:rsidR="000F6844" w:rsidRPr="005819F1">
        <w:t>в процессах в рамках Конвенции</w:t>
      </w:r>
      <w:r w:rsidRPr="005819F1">
        <w:t xml:space="preserve"> на двухлетний</w:t>
      </w:r>
      <w:r w:rsidRPr="00060EA2">
        <w:t xml:space="preserve"> период 2023-2024 годов.</w:t>
      </w:r>
      <w:r w:rsidRPr="00060EA2">
        <w:rPr>
          <w:color w:val="000000" w:themeColor="text1"/>
        </w:rPr>
        <w:t xml:space="preserve"> По состоянию на 31 августа 2024 года секретариат получил взносы в указанный Целевой фонд на общую сумму 2 533 421 долл. США.</w:t>
      </w:r>
    </w:p>
    <w:p w14:paraId="7ABA734F" w14:textId="734156BC" w:rsidR="0015126A" w:rsidRPr="00060EA2" w:rsidRDefault="00F22649" w:rsidP="00361521">
      <w:pPr>
        <w:pStyle w:val="CBDNormalNumber"/>
      </w:pPr>
      <w:r w:rsidRPr="00060EA2">
        <w:t xml:space="preserve">По состоянию на 31 августа 2024 года секретариат израсходовал 2 526 854 долл. США на участие 591 делегата из развивающихся стран в 25-м и 26-м совещаниях Вспомогательного органа по научным, техническим и технологическим консультациям, возобновленных вторых </w:t>
      </w:r>
      <w:r w:rsidRPr="00060EA2">
        <w:lastRenderedPageBreak/>
        <w:t>частях 15-го совещания Конференции Сторон Конвенции, 10-</w:t>
      </w:r>
      <w:r w:rsidR="00AD38A0">
        <w:t>го</w:t>
      </w:r>
      <w:r w:rsidRPr="00060EA2">
        <w:t xml:space="preserve"> совещани</w:t>
      </w:r>
      <w:r w:rsidR="00103A0F">
        <w:t>я</w:t>
      </w:r>
      <w:r w:rsidRPr="00060EA2">
        <w:t xml:space="preserve"> Конференции Сторон, выступающей в качестве совещания Сторон Картахенского протокола, и 4-</w:t>
      </w:r>
      <w:r w:rsidR="00AD38A0">
        <w:t>го</w:t>
      </w:r>
      <w:r w:rsidRPr="00060EA2">
        <w:t xml:space="preserve"> совещани</w:t>
      </w:r>
      <w:r w:rsidR="00103A0F">
        <w:t>я</w:t>
      </w:r>
      <w:r w:rsidRPr="00060EA2">
        <w:t xml:space="preserve"> Конференции Сторон, выступающей в качестве совещания Сторон Нагойского протокола; 12-м совещании Рабочей группы по осуществлению статьи 8 (j) и соответствующих положений Конвенции; 1-м и 2-м совещаниях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4-м и 5-м совещаниях Вспомогательного органа по осуществлению; 16-м совещании Конференции Сторон Конвенции; 11-м совещании Конференции Сторон, выступающей в качестве совещания Сторон Картахенского протокола; и 5-м совещании Конференции Сторон, выступающей в качестве совещания Сторон Нагойского протокола.</w:t>
      </w:r>
    </w:p>
    <w:p w14:paraId="42BB6FF7" w14:textId="2C8218CE" w:rsidR="0015126A" w:rsidRPr="005819F1" w:rsidRDefault="0015126A" w:rsidP="00361521">
      <w:pPr>
        <w:pStyle w:val="CBDH2"/>
        <w:numPr>
          <w:ilvl w:val="0"/>
          <w:numId w:val="0"/>
        </w:numPr>
        <w:ind w:left="567" w:hanging="567"/>
        <w:jc w:val="left"/>
        <w:outlineLvl w:val="1"/>
      </w:pPr>
      <w:r w:rsidRPr="005819F1">
        <w:t>E.</w:t>
      </w:r>
      <w:r w:rsidRPr="005819F1">
        <w:tab/>
        <w:t>Специальный добровольный целевой фонд для содействия участию коренных народов и местных общин в процессах в рамках Конвенции</w:t>
      </w:r>
    </w:p>
    <w:p w14:paraId="0EB67B23" w14:textId="6C0CC623" w:rsidR="0015126A" w:rsidRPr="00060EA2" w:rsidRDefault="0015126A" w:rsidP="00361521">
      <w:pPr>
        <w:pStyle w:val="CBDNormalNumber"/>
        <w:rPr>
          <w:color w:val="000000" w:themeColor="text1"/>
        </w:rPr>
      </w:pPr>
      <w:r w:rsidRPr="005819F1">
        <w:t xml:space="preserve">В своем решении 15/34 Конференция Сторон </w:t>
      </w:r>
      <w:r w:rsidR="00F806E7" w:rsidRPr="005819F1">
        <w:t xml:space="preserve">признала смету </w:t>
      </w:r>
      <w:r w:rsidRPr="005819F1">
        <w:t>финансировани</w:t>
      </w:r>
      <w:r w:rsidR="00F806E7" w:rsidRPr="005819F1">
        <w:t>я</w:t>
      </w:r>
      <w:r w:rsidRPr="005819F1">
        <w:t xml:space="preserve"> в размере 895 400 долл. США для Специального добровольного целевого фонда для содействия участию коренных народов и местных общин в процессах в рамках Конвенции на двухлетний период 2023-2024 годов.</w:t>
      </w:r>
      <w:r w:rsidRPr="005819F1">
        <w:rPr>
          <w:color w:val="000000" w:themeColor="text1"/>
        </w:rPr>
        <w:t xml:space="preserve"> По состоянию на 31 августа 2024 года секретариат получил взносы</w:t>
      </w:r>
      <w:r w:rsidRPr="00060EA2">
        <w:rPr>
          <w:color w:val="000000" w:themeColor="text1"/>
        </w:rPr>
        <w:t xml:space="preserve"> на общую сумму 420 460 долл. США.</w:t>
      </w:r>
    </w:p>
    <w:p w14:paraId="0FDEA8AA" w14:textId="1AB437F7" w:rsidR="0015126A" w:rsidRPr="00060EA2" w:rsidRDefault="0015126A" w:rsidP="00361521">
      <w:pPr>
        <w:pStyle w:val="CBDNormalNumber"/>
        <w:rPr>
          <w:b/>
          <w:bCs/>
          <w:kern w:val="22"/>
        </w:rPr>
      </w:pPr>
      <w:r w:rsidRPr="00060EA2">
        <w:t xml:space="preserve">По состоянию на 31 июля 2024 года секретариат потратил в общей сложности 535 894 долл. США на финансирование поездок 91 участника из числа коренных </w:t>
      </w:r>
      <w:r w:rsidR="00A057D8">
        <w:t xml:space="preserve">народов </w:t>
      </w:r>
      <w:r w:rsidRPr="00060EA2">
        <w:t>и местных общин для участия в 25-м и 26-м совещаниях Вспомогательного органа по научным, техническим и технологическим консультациям; возобновленных вторых частях 15-го совещания Конференции Сторон Конвенции, 10-</w:t>
      </w:r>
      <w:r w:rsidR="00E009DF">
        <w:t>го</w:t>
      </w:r>
      <w:r w:rsidRPr="00060EA2">
        <w:t xml:space="preserve"> совещани</w:t>
      </w:r>
      <w:r w:rsidR="00E009DF">
        <w:t>я</w:t>
      </w:r>
      <w:r w:rsidRPr="00060EA2">
        <w:t xml:space="preserve"> Конференции Сторон, выступающей в качестве совещания Сторон Картахенского протокола, и 4-</w:t>
      </w:r>
      <w:r w:rsidR="00E009DF">
        <w:t>го</w:t>
      </w:r>
      <w:r w:rsidRPr="00060EA2">
        <w:t xml:space="preserve"> совещани</w:t>
      </w:r>
      <w:r w:rsidR="00E009DF">
        <w:t>я</w:t>
      </w:r>
      <w:r w:rsidRPr="00060EA2">
        <w:t xml:space="preserve"> Конференции Сторон, выступающей в качестве совещания Сторон Нагойского протокола; 12-м совещании Рабочей группы по осуществлению статьи 8 (j) и соответствующих положений Конвенции; 1-м и 2-м совещаниях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4-м и 5-м совещаниях Вспомогательного органа по осуществлению; 16-м совещании Конференции Сторон Конвенции; 11-м совещании Конференции Сторон, выступающей в качестве совещания Сторон Картахенского протокола; и 5-м совещании Конференции Сторон, выступающей в качестве совещания Сторон Нагойского протокола.</w:t>
      </w:r>
    </w:p>
    <w:p w14:paraId="69D65875" w14:textId="21BD3F95" w:rsidR="0015126A" w:rsidRPr="00060EA2" w:rsidRDefault="0015126A" w:rsidP="00361521">
      <w:pPr>
        <w:pStyle w:val="CBDH1"/>
      </w:pPr>
      <w:r w:rsidRPr="00060EA2">
        <w:t>III.</w:t>
      </w:r>
      <w:r w:rsidRPr="00060EA2">
        <w:tab/>
        <w:t>Другие административные вопросы</w:t>
      </w:r>
    </w:p>
    <w:p w14:paraId="7D835CAE" w14:textId="0C36DAF9" w:rsidR="0015126A" w:rsidRPr="00060EA2" w:rsidRDefault="0015126A" w:rsidP="00361521">
      <w:pPr>
        <w:pStyle w:val="CBDH2"/>
        <w:numPr>
          <w:ilvl w:val="0"/>
          <w:numId w:val="0"/>
        </w:numPr>
        <w:ind w:left="567" w:hanging="567"/>
        <w:outlineLvl w:val="1"/>
      </w:pPr>
      <w:r w:rsidRPr="00060EA2">
        <w:t>A.</w:t>
      </w:r>
      <w:r w:rsidRPr="00060EA2">
        <w:tab/>
        <w:t>Персонал</w:t>
      </w:r>
    </w:p>
    <w:p w14:paraId="013FCA8E" w14:textId="69D5D385" w:rsidR="0015126A" w:rsidRPr="00060EA2" w:rsidRDefault="0015126A" w:rsidP="00361521">
      <w:pPr>
        <w:pStyle w:val="CBDNormalNumber"/>
      </w:pPr>
      <w:r w:rsidRPr="00060EA2">
        <w:t>В своем решении 15/34 Конференция сторон утвердила таблицу с изложением потребностей секретариата в персонале на двухлетний период 2023-2024 годов, предусматривающую 53 должности категории специалистов и выше и 29 должностей категории общего обслуживания. В настоящее время в штате насчитывается шесть вакантных должностей категории специалистов и выше и одна вакантная должность категории общего обслуживания</w:t>
      </w:r>
      <w:r w:rsidR="006A0536">
        <w:t>. Соответствующие</w:t>
      </w:r>
      <w:r w:rsidRPr="00060EA2">
        <w:t xml:space="preserve"> </w:t>
      </w:r>
      <w:r w:rsidR="006A0536">
        <w:t xml:space="preserve">процедуры </w:t>
      </w:r>
      <w:r w:rsidRPr="00060EA2">
        <w:t>набор</w:t>
      </w:r>
      <w:r w:rsidR="006A0536">
        <w:t>а</w:t>
      </w:r>
      <w:r w:rsidRPr="00060EA2">
        <w:t xml:space="preserve"> сотрудников </w:t>
      </w:r>
      <w:r w:rsidR="00F60A68">
        <w:t xml:space="preserve">находятся </w:t>
      </w:r>
      <w:r w:rsidRPr="00060EA2">
        <w:t>на различных этапах. Ожидается, что все вакантные должности будут заполнены к концу 2024 года.</w:t>
      </w:r>
    </w:p>
    <w:p w14:paraId="653F97B1" w14:textId="3904244C" w:rsidR="0015126A" w:rsidRPr="00060EA2" w:rsidRDefault="0015126A" w:rsidP="00361521">
      <w:pPr>
        <w:pStyle w:val="CBDNormalNumber"/>
      </w:pPr>
      <w:r w:rsidRPr="00060EA2">
        <w:t xml:space="preserve">Помимо должностей, финансируемых из комплексного основного бюджета, в Отделе администрации, финансов и </w:t>
      </w:r>
      <w:r w:rsidR="00E43B86" w:rsidRPr="00E43B86">
        <w:t>административного</w:t>
      </w:r>
      <w:r w:rsidR="00E43B86">
        <w:t xml:space="preserve"> </w:t>
      </w:r>
      <w:r w:rsidRPr="00060EA2">
        <w:t xml:space="preserve">обслуживания совещаний имеется 19 должностей (4 должности категории специалистов и выше и 15 должностей категории общего обслуживания), финансируемых из целевого фонда ЮНЕП для накладных расходов, 5 должностей, финансируемых из Японского фонда биоразнообразия (3 должности категории специалистов и выше и 2 должности категории общего обслуживания). Кроме того, имеется 2 должности категории специалистов, финансируемые за счет добровольных взносов </w:t>
      </w:r>
      <w:r w:rsidRPr="00060EA2">
        <w:lastRenderedPageBreak/>
        <w:t xml:space="preserve">Европейского союза и Норвегии, и 2 должности, финансируемые Республикой Корея в рамках инициативы </w:t>
      </w:r>
      <w:r w:rsidR="007D6492">
        <w:t>«</w:t>
      </w:r>
      <w:r w:rsidRPr="00060EA2">
        <w:t>БиоМост</w:t>
      </w:r>
      <w:r w:rsidR="007D6492">
        <w:t>»</w:t>
      </w:r>
      <w:r w:rsidRPr="00060EA2">
        <w:t xml:space="preserve"> (1 должность категории специалистов и выше и 1 – категории общего обслуживания). Кроме того, Республика Корея напрямую финансирует одного прикомандированного </w:t>
      </w:r>
      <w:r w:rsidR="004C56A3" w:rsidRPr="004C56A3">
        <w:t xml:space="preserve">профильного </w:t>
      </w:r>
      <w:r w:rsidRPr="00060EA2">
        <w:t xml:space="preserve">эксперта. </w:t>
      </w:r>
    </w:p>
    <w:p w14:paraId="24179DE2" w14:textId="06CC3094" w:rsidR="0015126A" w:rsidRPr="00060EA2" w:rsidRDefault="0015126A" w:rsidP="00361521">
      <w:pPr>
        <w:pStyle w:val="CBDNormalNumber"/>
      </w:pPr>
      <w:r w:rsidRPr="00060EA2">
        <w:t xml:space="preserve">Кроме того, четыре младших сотрудника категории специалистов, финансируемых правительством Японии (2), правительством Соединенного Королевства Великобритании и Северной Ирландии (1) и правительством Италии (1), в настоящее время оказывают секретариату поддержку в выполнении программы работы. </w:t>
      </w:r>
    </w:p>
    <w:p w14:paraId="5F36E2E0" w14:textId="66823233" w:rsidR="0015126A" w:rsidRPr="00060EA2" w:rsidRDefault="0015126A" w:rsidP="00361521">
      <w:pPr>
        <w:pStyle w:val="CBDNormalNumber"/>
      </w:pPr>
      <w:r w:rsidRPr="00060EA2">
        <w:t xml:space="preserve">По состоянию на 31 июля 2024 года секретариат в течение двухлетнего периода воспользовался услугами 62 консультантов и индивидуальных подрядчиков, финансируемых в основном за счет добровольных взносов, в качестве дополнительных кадровых ресурсов для осуществления программы работы и удовлетворения краткосрочных потребностей в персонале. </w:t>
      </w:r>
    </w:p>
    <w:p w14:paraId="47E4347E" w14:textId="2052AF74" w:rsidR="0015126A" w:rsidRPr="00060EA2" w:rsidRDefault="0015126A" w:rsidP="00361521">
      <w:pPr>
        <w:pStyle w:val="CBDH2"/>
        <w:numPr>
          <w:ilvl w:val="0"/>
          <w:numId w:val="0"/>
        </w:numPr>
        <w:ind w:left="567" w:hanging="567"/>
        <w:outlineLvl w:val="1"/>
      </w:pPr>
      <w:r w:rsidRPr="00060EA2">
        <w:t>B.</w:t>
      </w:r>
      <w:r w:rsidRPr="00060EA2">
        <w:tab/>
        <w:t>Бюджетирование, ориентированное на результат</w:t>
      </w:r>
      <w:r w:rsidR="003842E5">
        <w:t>ы</w:t>
      </w:r>
      <w:r w:rsidRPr="00060EA2">
        <w:t xml:space="preserve"> </w:t>
      </w:r>
    </w:p>
    <w:p w14:paraId="40D29002" w14:textId="4E5818D3" w:rsidR="0015126A" w:rsidRPr="00060EA2" w:rsidRDefault="0015126A" w:rsidP="00361521">
      <w:pPr>
        <w:pStyle w:val="CBDNormalNumber"/>
        <w:rPr>
          <w:kern w:val="22"/>
        </w:rPr>
      </w:pPr>
      <w:r w:rsidRPr="00060EA2">
        <w:t>В ответ на поручение Конференции Сторон в ее решении 14/37 и в соответствии с рекомендациями</w:t>
      </w:r>
      <w:r w:rsidR="005A7EB9">
        <w:t xml:space="preserve"> по итогам аудита</w:t>
      </w:r>
      <w:r w:rsidRPr="00060EA2">
        <w:t xml:space="preserve"> секретариат разработал систему программирования и бюджетирования, ориентированную на результаты. Эта система постепенно внедряется с начала 2023 года с целью </w:t>
      </w:r>
      <w:r w:rsidR="009255E8">
        <w:t>обеспечения</w:t>
      </w:r>
      <w:r w:rsidRPr="00060EA2">
        <w:t xml:space="preserve"> ее</w:t>
      </w:r>
      <w:r w:rsidR="009255E8">
        <w:t xml:space="preserve"> полноценного функционирования</w:t>
      </w:r>
      <w:r w:rsidRPr="00060EA2">
        <w:t xml:space="preserve"> в течение двухлетнего периода 2025-2026 годов. Она будет обновляться на регулярной основе, в частности после проведения крупных совещаний с тем, чтобы обеспечить согласование и корректировку планирования на основе решений Конференции Сторон Конвенции и Конференции Сторон, выступающей в качестве совещания Сторон протоколов. Ожидается, что эт</w:t>
      </w:r>
      <w:r w:rsidR="00443701">
        <w:t>а</w:t>
      </w:r>
      <w:r w:rsidRPr="00060EA2">
        <w:t xml:space="preserve"> систем</w:t>
      </w:r>
      <w:r w:rsidR="00443701">
        <w:t>а</w:t>
      </w:r>
      <w:r w:rsidRPr="00060EA2">
        <w:t xml:space="preserve"> послуж</w:t>
      </w:r>
      <w:r w:rsidR="00443701">
        <w:t>и</w:t>
      </w:r>
      <w:r w:rsidRPr="00060EA2">
        <w:t xml:space="preserve">т для секретариата руководством при определении потребностей в ресурсах и </w:t>
      </w:r>
      <w:r w:rsidR="00EC36D5" w:rsidRPr="00060EA2">
        <w:t>позвол</w:t>
      </w:r>
      <w:r w:rsidR="00EC36D5">
        <w:t>и</w:t>
      </w:r>
      <w:r w:rsidR="00EC36D5" w:rsidRPr="00060EA2">
        <w:t xml:space="preserve">т </w:t>
      </w:r>
      <w:r w:rsidRPr="00060EA2">
        <w:t xml:space="preserve">оптимизировать использование добровольных фондов для достижения результатов. </w:t>
      </w:r>
    </w:p>
    <w:p w14:paraId="0FE5B048" w14:textId="531CCC00" w:rsidR="0015126A" w:rsidRPr="00060EA2" w:rsidRDefault="0015126A" w:rsidP="00361521">
      <w:pPr>
        <w:pStyle w:val="CBDNormalNumber"/>
        <w:rPr>
          <w:kern w:val="22"/>
        </w:rPr>
      </w:pPr>
      <w:r w:rsidRPr="00060EA2">
        <w:t>Секретариат начал использовать систему, ориентированную на результат</w:t>
      </w:r>
      <w:r w:rsidR="00D42EFF">
        <w:t>ы</w:t>
      </w:r>
      <w:r w:rsidRPr="00060EA2">
        <w:t xml:space="preserve">, для обеспечения оптимального осуществления своей деятельности и использования добровольных фондов. Эта система также позволит секретариату эффективно проводить мониторинг своей деятельности и отчитываться о результатах. </w:t>
      </w:r>
    </w:p>
    <w:p w14:paraId="6495B6D9" w14:textId="47765FBE" w:rsidR="0015126A" w:rsidRPr="00060EA2" w:rsidRDefault="0015126A" w:rsidP="00361521">
      <w:pPr>
        <w:pStyle w:val="CBDH2"/>
        <w:numPr>
          <w:ilvl w:val="0"/>
          <w:numId w:val="0"/>
        </w:numPr>
        <w:ind w:left="567" w:hanging="567"/>
        <w:outlineLvl w:val="1"/>
      </w:pPr>
      <w:r w:rsidRPr="00060EA2">
        <w:t>C.</w:t>
      </w:r>
      <w:r w:rsidRPr="00060EA2">
        <w:tab/>
        <w:t xml:space="preserve">Внедрение нового инструмента мониторинга программы </w:t>
      </w:r>
    </w:p>
    <w:p w14:paraId="73CFB440" w14:textId="1E12CC67" w:rsidR="0015126A" w:rsidRPr="00060EA2" w:rsidRDefault="0015126A" w:rsidP="00361521">
      <w:pPr>
        <w:pStyle w:val="CBDNormalNumber"/>
        <w:rPr>
          <w:kern w:val="22"/>
        </w:rPr>
      </w:pPr>
      <w:r w:rsidRPr="00060EA2">
        <w:t xml:space="preserve">Секретариат Организации Объединенных Наций внедрил Комплексную систему планирования, управления и отчетности в соответствии с концепцией Генерального секретаря Организации Объединенных Наций относительно более гибкого и децентрализованного Секретариата Организации Объединенных Наций. В своей резолюции 74/271 </w:t>
      </w:r>
      <w:r w:rsidR="0072426A">
        <w:t>об успехах</w:t>
      </w:r>
      <w:r w:rsidR="00C86881">
        <w:t xml:space="preserve"> на пути к системе подотчетности</w:t>
      </w:r>
      <w:r w:rsidRPr="00060EA2">
        <w:t xml:space="preserve"> в Секретариате ООН, Генеральная Ассамблея просила Генерального секретаря </w:t>
      </w:r>
      <w:r w:rsidR="008A4A85" w:rsidRPr="008A4A85">
        <w:t>и далее прилагать усилия, направленные на более эффективное внедрение системы ориентированного на результаты управления</w:t>
      </w:r>
      <w:r w:rsidRPr="00060EA2">
        <w:t xml:space="preserve">. Данная система предназначена для содействия осуществлению проектов, ориентированных на результаты, на основе логичного рамочного подхода в соответствии с принципами управления, ориентированного на результаты, и, таким образом, будет </w:t>
      </w:r>
      <w:r w:rsidR="00804048">
        <w:t>поддерживать</w:t>
      </w:r>
      <w:r w:rsidR="00804048" w:rsidRPr="00060EA2">
        <w:t xml:space="preserve"> выполнени</w:t>
      </w:r>
      <w:r w:rsidR="00804048">
        <w:t>е</w:t>
      </w:r>
      <w:r w:rsidR="00804048" w:rsidRPr="00060EA2">
        <w:t xml:space="preserve"> </w:t>
      </w:r>
      <w:r w:rsidRPr="00060EA2">
        <w:t>обязательств и усили</w:t>
      </w:r>
      <w:r w:rsidR="00804048">
        <w:t>я</w:t>
      </w:r>
      <w:r w:rsidRPr="00060EA2">
        <w:t xml:space="preserve"> Генерального секретаря по </w:t>
      </w:r>
      <w:r w:rsidR="003D1AE8">
        <w:t>формированию</w:t>
      </w:r>
      <w:r w:rsidR="003D1AE8" w:rsidRPr="00060EA2">
        <w:t xml:space="preserve"> </w:t>
      </w:r>
      <w:r w:rsidRPr="00060EA2">
        <w:t xml:space="preserve">культуры управления, ориентированного на результаты. </w:t>
      </w:r>
    </w:p>
    <w:p w14:paraId="6E28C5DB" w14:textId="61D37C19" w:rsidR="0015126A" w:rsidRPr="00060EA2" w:rsidRDefault="0015126A" w:rsidP="00361521">
      <w:pPr>
        <w:pStyle w:val="CBDNormalNumber"/>
        <w:rPr>
          <w:kern w:val="22"/>
        </w:rPr>
      </w:pPr>
      <w:r w:rsidRPr="00060EA2">
        <w:t xml:space="preserve">В марте 2024 года ЮНЕП провела тренинг, организованный секретариатом Конвенции, по Комплексной системе планирования, управления и отчетности для секретариатов многосторонних природоохранных соглашений, находящихся </w:t>
      </w:r>
      <w:r w:rsidR="005219A7" w:rsidRPr="005219A7">
        <w:t>в ведении</w:t>
      </w:r>
      <w:r w:rsidRPr="00060EA2">
        <w:t xml:space="preserve"> ЮНЕП, в целях содействия их переходу на эту систему. Секретариат Конвенции начал внедрять новую систему и будет использовать ее для управления своей программой работы. Эта система призвана </w:t>
      </w:r>
      <w:r w:rsidR="00D03EFD">
        <w:t>поддерживать</w:t>
      </w:r>
      <w:r w:rsidR="00D03EFD" w:rsidRPr="00060EA2">
        <w:t xml:space="preserve"> </w:t>
      </w:r>
      <w:r w:rsidRPr="00060EA2">
        <w:t xml:space="preserve">и </w:t>
      </w:r>
      <w:r w:rsidR="00D03EFD">
        <w:t>стимулировать</w:t>
      </w:r>
      <w:r w:rsidRPr="00060EA2">
        <w:t xml:space="preserve"> внедрение ориентированной на результаты </w:t>
      </w:r>
      <w:r w:rsidR="00EB5425">
        <w:t>системы</w:t>
      </w:r>
      <w:r w:rsidR="00EB5425" w:rsidRPr="00060EA2">
        <w:t xml:space="preserve"> </w:t>
      </w:r>
      <w:r w:rsidRPr="00060EA2">
        <w:t>работы секретариата.</w:t>
      </w:r>
    </w:p>
    <w:p w14:paraId="44223993" w14:textId="094CC36C" w:rsidR="0015126A" w:rsidRPr="00060EA2" w:rsidRDefault="0015126A" w:rsidP="00361521">
      <w:pPr>
        <w:pStyle w:val="CBDH2"/>
        <w:numPr>
          <w:ilvl w:val="0"/>
          <w:numId w:val="0"/>
        </w:numPr>
        <w:ind w:left="567" w:hanging="567"/>
      </w:pPr>
      <w:r w:rsidRPr="00060EA2">
        <w:lastRenderedPageBreak/>
        <w:t>D.</w:t>
      </w:r>
      <w:r w:rsidRPr="00060EA2">
        <w:tab/>
        <w:t xml:space="preserve">Невыполненные рекомендации </w:t>
      </w:r>
      <w:r w:rsidR="00DB0148">
        <w:t>по итогам аудита</w:t>
      </w:r>
    </w:p>
    <w:p w14:paraId="75668FD8" w14:textId="4F88AEB6" w:rsidR="0015126A" w:rsidRPr="00060EA2" w:rsidRDefault="00A87153" w:rsidP="00361521">
      <w:pPr>
        <w:pStyle w:val="CBDNormalNumber"/>
      </w:pPr>
      <w:r w:rsidRPr="00A87153">
        <w:t xml:space="preserve">За последние пять лет </w:t>
      </w:r>
      <w:r>
        <w:t xml:space="preserve">было проведено </w:t>
      </w:r>
      <w:r w:rsidRPr="00A87153">
        <w:t>три</w:t>
      </w:r>
      <w:r>
        <w:t xml:space="preserve"> аудита, по</w:t>
      </w:r>
      <w:r w:rsidR="00FD2D48">
        <w:t>с</w:t>
      </w:r>
      <w:r>
        <w:t xml:space="preserve">вященных </w:t>
      </w:r>
      <w:r w:rsidRPr="00A87153">
        <w:t xml:space="preserve">работе </w:t>
      </w:r>
      <w:r w:rsidR="00984503">
        <w:t>с</w:t>
      </w:r>
      <w:r w:rsidR="00984503" w:rsidRPr="00A87153">
        <w:t>екретариата.</w:t>
      </w:r>
      <w:r w:rsidR="0015126A" w:rsidRPr="00060EA2">
        <w:t xml:space="preserve"> За перв</w:t>
      </w:r>
      <w:r w:rsidR="007D48F9">
        <w:t>ым</w:t>
      </w:r>
      <w:r w:rsidR="0015126A" w:rsidRPr="00060EA2">
        <w:t xml:space="preserve"> аудито</w:t>
      </w:r>
      <w:r w:rsidR="007D48F9">
        <w:t>м</w:t>
      </w:r>
      <w:r w:rsidR="0015126A" w:rsidRPr="00060EA2">
        <w:t>, проведенн</w:t>
      </w:r>
      <w:r w:rsidR="007D48F9">
        <w:t>ым</w:t>
      </w:r>
      <w:r w:rsidR="0015126A" w:rsidRPr="00060EA2">
        <w:t xml:space="preserve"> Управлением служб внутреннего надзора в июле 2019 года, последовали еще дв</w:t>
      </w:r>
      <w:r w:rsidR="0027076F">
        <w:t>а</w:t>
      </w:r>
      <w:r w:rsidR="0015126A" w:rsidRPr="00060EA2">
        <w:t xml:space="preserve">, выполненные Советом аудиторов в январе 2020 года и в октябре 2021 года соответственно. По состоянию на 31 июля 2024 года были выполнены и закрыты все рекомендации, вынесенные по </w:t>
      </w:r>
      <w:r w:rsidR="008C052A">
        <w:t>итог</w:t>
      </w:r>
      <w:r w:rsidR="00FE417E">
        <w:t>ам аудитов</w:t>
      </w:r>
      <w:r w:rsidR="0015126A" w:rsidRPr="00060EA2">
        <w:t xml:space="preserve">, за исключением тех, которые касались: (a) закрытия старых грантов; (b) создания механизма мобилизации ресурсов; и (c) разработки политики и механизма оценки для </w:t>
      </w:r>
      <w:r w:rsidR="00CF39DA" w:rsidRPr="00CF39DA">
        <w:t xml:space="preserve">содействия оценке </w:t>
      </w:r>
      <w:r w:rsidR="0015126A" w:rsidRPr="00060EA2">
        <w:t>многолетней программы работы секретариата.</w:t>
      </w:r>
    </w:p>
    <w:p w14:paraId="0ABB1D9D" w14:textId="100D1168" w:rsidR="0015126A" w:rsidRPr="00060EA2" w:rsidRDefault="0015126A" w:rsidP="00361521">
      <w:pPr>
        <w:pStyle w:val="CBDNormalNumber"/>
      </w:pPr>
      <w:r w:rsidRPr="00060EA2">
        <w:t xml:space="preserve">С начала 2024 года секретариат успешно закрыл более 60 грантов в тесном сотрудничестве с ЮНЕП и Отделением Организации Объединенных Наций в Найроби. Эта работа также соответствует указаниям </w:t>
      </w:r>
      <w:r w:rsidR="007D3A54" w:rsidRPr="007D3A54">
        <w:t>Директор</w:t>
      </w:r>
      <w:r w:rsidR="007D3A54">
        <w:t>а</w:t>
      </w:r>
      <w:r w:rsidR="007D3A54" w:rsidRPr="007D3A54">
        <w:t>-исполнител</w:t>
      </w:r>
      <w:r w:rsidR="007D3A54">
        <w:t>я</w:t>
      </w:r>
      <w:r w:rsidR="007D3A54" w:rsidRPr="007D3A54" w:rsidDel="007D3A54">
        <w:t xml:space="preserve"> </w:t>
      </w:r>
      <w:r w:rsidRPr="00060EA2">
        <w:t xml:space="preserve">ЮНЕП и должна быть </w:t>
      </w:r>
      <w:r w:rsidR="00FC3133">
        <w:t>завершена</w:t>
      </w:r>
      <w:r w:rsidR="00FC3133" w:rsidRPr="00060EA2">
        <w:t xml:space="preserve"> </w:t>
      </w:r>
      <w:r w:rsidRPr="00060EA2">
        <w:t>к концу 2024 года.</w:t>
      </w:r>
    </w:p>
    <w:p w14:paraId="1457C979" w14:textId="05C6EC57" w:rsidR="0015126A" w:rsidRPr="00060EA2" w:rsidRDefault="0015126A" w:rsidP="00361521">
      <w:pPr>
        <w:pStyle w:val="CBDNormalNumber"/>
      </w:pPr>
      <w:r w:rsidRPr="00060EA2">
        <w:t>Что касается создания стратегии мобилизации ресурсов и разработки политики и механизма оценки, секретариат обозначил в качестве приоритетной задачу создания системы управления, ориентированной на результат</w:t>
      </w:r>
      <w:r w:rsidR="00812780">
        <w:t>ы</w:t>
      </w:r>
      <w:r w:rsidRPr="00060EA2">
        <w:t xml:space="preserve">, которая обеспечит ориентиры в </w:t>
      </w:r>
      <w:r w:rsidR="00A970B9">
        <w:t>текущем</w:t>
      </w:r>
      <w:r w:rsidR="00A970B9" w:rsidRPr="00060EA2">
        <w:t xml:space="preserve"> </w:t>
      </w:r>
      <w:r w:rsidRPr="00060EA2">
        <w:t>процессе подготовки и управления программой работы секретариата, планируемом к завершению в 2025 году</w:t>
      </w:r>
      <w:r w:rsidR="00517656">
        <w:t>.</w:t>
      </w:r>
      <w:r w:rsidRPr="00060EA2">
        <w:t xml:space="preserve"> Система управления, ориентированная на результат</w:t>
      </w:r>
      <w:r w:rsidR="00517656">
        <w:t>ы</w:t>
      </w:r>
      <w:r w:rsidRPr="00060EA2">
        <w:t xml:space="preserve">, рассматривается как необходимый этап, предшествующий разработке стратегии мобилизации ресурсов и </w:t>
      </w:r>
      <w:r w:rsidR="00C5642D" w:rsidRPr="00060EA2">
        <w:t xml:space="preserve">политики </w:t>
      </w:r>
      <w:r w:rsidR="00C5642D">
        <w:t xml:space="preserve">и </w:t>
      </w:r>
      <w:r w:rsidRPr="00060EA2">
        <w:t xml:space="preserve">механизма оценки. Принимая во внимание отсутствие собственного потенциала, секретариат планирует обеспечить финансирование для привлечения специалистов в области стратегий мобилизации ресурсов и политики </w:t>
      </w:r>
      <w:r w:rsidR="005C64F6" w:rsidRPr="00060EA2">
        <w:t xml:space="preserve">оценки </w:t>
      </w:r>
      <w:r w:rsidRPr="00060EA2">
        <w:t>с тем, чтобы выполнить эти рекомендации к декабрю 2025 года.</w:t>
      </w:r>
    </w:p>
    <w:p w14:paraId="6C3A9B65" w14:textId="760EE6EC" w:rsidR="0015126A" w:rsidRPr="00060EA2" w:rsidRDefault="0015126A" w:rsidP="00361521">
      <w:pPr>
        <w:pStyle w:val="CBDH2"/>
        <w:numPr>
          <w:ilvl w:val="0"/>
          <w:numId w:val="0"/>
        </w:numPr>
        <w:ind w:left="567" w:hanging="567"/>
      </w:pPr>
      <w:r w:rsidRPr="00060EA2">
        <w:t>E.</w:t>
      </w:r>
      <w:r w:rsidRPr="00060EA2">
        <w:tab/>
        <w:t>Функциональный обзор</w:t>
      </w:r>
    </w:p>
    <w:p w14:paraId="51CC33C2" w14:textId="3B6567D9" w:rsidR="0015126A" w:rsidRPr="00060EA2" w:rsidRDefault="0015126A" w:rsidP="00361521">
      <w:pPr>
        <w:pStyle w:val="CBDNormalNumber"/>
      </w:pPr>
      <w:r w:rsidRPr="00060EA2">
        <w:t xml:space="preserve">В своем решении 15/34 Конференция Сторон поручила Исполнительному секретарю провести внешний углубленный функциональный обзор структуры секретариата с целью обновления его структуры и классификации должностей в свете </w:t>
      </w:r>
      <w:r w:rsidR="00E73B19" w:rsidRPr="00060EA2">
        <w:t>Р</w:t>
      </w:r>
      <w:r w:rsidRPr="00060EA2">
        <w:t xml:space="preserve">амочной программы для рассмотрения Конференцией Сторон на ее 16-м совещании. Проведение всестороннего функционального обзора является сложной и трудоемкой задачей, требующей активного участия всего персонала организации, а также проявления приверженности и стратегического </w:t>
      </w:r>
      <w:r w:rsidR="00B36E53">
        <w:t>подхода</w:t>
      </w:r>
      <w:r w:rsidR="00B36E53" w:rsidRPr="00060EA2">
        <w:t xml:space="preserve"> </w:t>
      </w:r>
      <w:r w:rsidRPr="00060EA2">
        <w:t>со стороны руководства</w:t>
      </w:r>
      <w:r w:rsidR="009D276E">
        <w:t>.</w:t>
      </w:r>
    </w:p>
    <w:p w14:paraId="026C42EB" w14:textId="22821CFA" w:rsidR="003F3E6C" w:rsidRPr="00060EA2" w:rsidRDefault="0015126A" w:rsidP="00FD61C8">
      <w:pPr>
        <w:pStyle w:val="CBDNormalNumber"/>
      </w:pPr>
      <w:r w:rsidRPr="00060EA2">
        <w:t>Ввиду длительного процесса назначения нового Исполнительного секретаря, во время которого заместитель Исполнительного секретаря исполня</w:t>
      </w:r>
      <w:r w:rsidR="006C6E93">
        <w:t>л</w:t>
      </w:r>
      <w:r w:rsidRPr="00060EA2">
        <w:t xml:space="preserve"> обязанности Исполнительного секретаря в дополнение к своим функциям заместителя, и продолжавшегося набора на другие должности старших руководителей, а также учитывая чрезмерную рабочую нагрузку на персонал секретариата, до начала текущего совещания предпринять какие-либо действия для проведения функционального обзора не представл</w:t>
      </w:r>
      <w:r w:rsidR="008E3C9F">
        <w:t>ял</w:t>
      </w:r>
      <w:r w:rsidRPr="00060EA2">
        <w:t xml:space="preserve">ось возможным. Тем не менее, секретариат поручил консультанту подготовить аналитический доклад для оказания содействия в организации функционального обзора после </w:t>
      </w:r>
      <w:r w:rsidR="00AB5958">
        <w:t>нынешнего</w:t>
      </w:r>
      <w:r w:rsidR="00AB5958" w:rsidRPr="00060EA2">
        <w:t xml:space="preserve"> </w:t>
      </w:r>
      <w:r w:rsidRPr="00060EA2">
        <w:t>совещания.</w:t>
      </w:r>
    </w:p>
    <w:p w14:paraId="1D17120C" w14:textId="37419FAA" w:rsidR="00AB276E" w:rsidRPr="00060EA2" w:rsidRDefault="00AB276E" w:rsidP="00361521">
      <w:pPr>
        <w:pStyle w:val="CBDNormalNumber"/>
        <w:numPr>
          <w:ilvl w:val="0"/>
          <w:numId w:val="0"/>
        </w:numPr>
        <w:ind w:left="567"/>
        <w:jc w:val="center"/>
      </w:pPr>
      <w:r w:rsidRPr="00060EA2">
        <w:t>__________</w:t>
      </w:r>
    </w:p>
    <w:sectPr w:rsidR="00AB276E" w:rsidRPr="00060EA2" w:rsidSect="00BF6641">
      <w:headerReference w:type="even" r:id="rId14"/>
      <w:headerReference w:type="default" r:id="rId15"/>
      <w:footerReference w:type="even" r:id="rId16"/>
      <w:footerReference w:type="default" r:id="rId17"/>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24D246" w14:textId="77777777" w:rsidR="005E2069" w:rsidRPr="006814E7" w:rsidRDefault="005E2069" w:rsidP="00451B9F">
      <w:r w:rsidRPr="006814E7">
        <w:separator/>
      </w:r>
    </w:p>
  </w:endnote>
  <w:endnote w:type="continuationSeparator" w:id="0">
    <w:p w14:paraId="2325EF6C" w14:textId="77777777" w:rsidR="005E2069" w:rsidRPr="006814E7" w:rsidRDefault="005E2069" w:rsidP="00451B9F">
      <w:r w:rsidRPr="006814E7">
        <w:continuationSeparator/>
      </w:r>
    </w:p>
  </w:endnote>
  <w:endnote w:type="continuationNotice" w:id="1">
    <w:p w14:paraId="2E6FDF1C" w14:textId="77777777" w:rsidR="005E2069" w:rsidRPr="006814E7" w:rsidRDefault="005E2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2B54" w14:textId="479F6B95" w:rsidR="00361521" w:rsidRDefault="00B510B4">
    <w:pPr>
      <w:pStyle w:val="Footer"/>
    </w:pPr>
    <w:r>
      <w:fldChar w:fldCharType="begin"/>
    </w:r>
    <w:r>
      <w:instrText xml:space="preserve"> PAGE </w:instrText>
    </w:r>
    <w:r>
      <w:fldChar w:fldCharType="separate"/>
    </w:r>
    <w:r>
      <w:t>2</w:t>
    </w:r>
    <w:r>
      <w:fldChar w:fldCharType="end"/>
    </w:r>
    <w:r>
      <w:t>/</w:t>
    </w:r>
    <w:fldSimple w:instr="NUMPAGES \* MERGEFORMAT">
      <w: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8CCD5" w14:textId="08928EBD" w:rsidR="00361521" w:rsidRDefault="00B510B4" w:rsidP="00B510B4">
    <w:pPr>
      <w:pStyle w:val="Footer"/>
      <w:jc w:val="right"/>
    </w:pPr>
    <w:r>
      <w:fldChar w:fldCharType="begin"/>
    </w:r>
    <w:r>
      <w:instrText xml:space="preserve"> PAGE </w:instrText>
    </w:r>
    <w:r>
      <w:fldChar w:fldCharType="separate"/>
    </w:r>
    <w:r>
      <w:t>2</w:t>
    </w:r>
    <w:r>
      <w:fldChar w:fldCharType="end"/>
    </w:r>
    <w:r>
      <w:t>/</w:t>
    </w:r>
    <w:fldSimple w:instr="NUMPAGES \* MERGEFORMAT">
      <w: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C0E36" w14:textId="77777777" w:rsidR="005E2069" w:rsidRPr="006814E7" w:rsidRDefault="005E2069" w:rsidP="00451B9F">
      <w:r w:rsidRPr="006814E7">
        <w:separator/>
      </w:r>
    </w:p>
  </w:footnote>
  <w:footnote w:type="continuationSeparator" w:id="0">
    <w:p w14:paraId="3492901D" w14:textId="77777777" w:rsidR="005E2069" w:rsidRPr="006814E7" w:rsidRDefault="005E2069" w:rsidP="00451B9F">
      <w:r w:rsidRPr="006814E7">
        <w:continuationSeparator/>
      </w:r>
    </w:p>
  </w:footnote>
  <w:footnote w:type="continuationNotice" w:id="1">
    <w:p w14:paraId="68E191C7" w14:textId="77777777" w:rsidR="005E2069" w:rsidRPr="006814E7" w:rsidRDefault="005E2069"/>
  </w:footnote>
  <w:footnote w:id="2">
    <w:p w14:paraId="7611D034" w14:textId="3642BDB5" w:rsidR="0015126A" w:rsidRPr="00C63115" w:rsidRDefault="0015126A" w:rsidP="00411CB7">
      <w:pPr>
        <w:pStyle w:val="Footnote"/>
        <w:rPr>
          <w:lang w:val="en-US"/>
        </w:rPr>
      </w:pPr>
      <w:r w:rsidRPr="00C63115">
        <w:rPr>
          <w:rStyle w:val="FootnoteReference"/>
          <w:lang w:val="en-US"/>
        </w:rPr>
        <w:t>*</w:t>
      </w:r>
      <w:r w:rsidRPr="00C63115">
        <w:rPr>
          <w:lang w:val="en-US"/>
        </w:rPr>
        <w:t xml:space="preserve"> CBD/COP/16/1.</w:t>
      </w:r>
    </w:p>
  </w:footnote>
  <w:footnote w:id="3">
    <w:p w14:paraId="3B268E0D" w14:textId="77777777" w:rsidR="00A16798" w:rsidRPr="00C63115" w:rsidRDefault="00A16798" w:rsidP="00A16798">
      <w:pPr>
        <w:pStyle w:val="FootnoteText"/>
        <w:rPr>
          <w:szCs w:val="18"/>
          <w:lang w:val="en-US"/>
        </w:rPr>
      </w:pPr>
      <w:r w:rsidRPr="00C63115">
        <w:rPr>
          <w:rStyle w:val="FootnoteReference"/>
          <w:lang w:val="en-US"/>
        </w:rPr>
        <w:t>**</w:t>
      </w:r>
      <w:r w:rsidRPr="00C63115">
        <w:rPr>
          <w:lang w:val="en-US"/>
        </w:rPr>
        <w:t xml:space="preserve"> CBD/CP/MOP/11/1.</w:t>
      </w:r>
    </w:p>
  </w:footnote>
  <w:footnote w:id="4">
    <w:p w14:paraId="052AEA4D" w14:textId="056301A9" w:rsidR="0015126A" w:rsidRPr="00C63115" w:rsidRDefault="0015126A">
      <w:pPr>
        <w:pStyle w:val="FootnoteText"/>
        <w:rPr>
          <w:szCs w:val="18"/>
          <w:lang w:val="en-US"/>
        </w:rPr>
      </w:pPr>
      <w:r w:rsidRPr="00C63115">
        <w:rPr>
          <w:rStyle w:val="FootnoteReference"/>
          <w:lang w:val="en-US"/>
        </w:rPr>
        <w:t>***</w:t>
      </w:r>
      <w:r w:rsidRPr="00C63115">
        <w:rPr>
          <w:lang w:val="en-US"/>
        </w:rPr>
        <w:t xml:space="preserve"> CBD/NP/MOP/5/1.</w:t>
      </w:r>
    </w:p>
  </w:footnote>
  <w:footnote w:id="5">
    <w:p w14:paraId="0790CD9C" w14:textId="75AEB0F9" w:rsidR="00892011" w:rsidRPr="00C63115" w:rsidRDefault="00892011">
      <w:pPr>
        <w:pStyle w:val="FootnoteText"/>
        <w:rPr>
          <w:lang w:val="en-US"/>
        </w:rPr>
      </w:pPr>
      <w:r>
        <w:rPr>
          <w:rStyle w:val="FootnoteReference"/>
          <w:szCs w:val="18"/>
        </w:rPr>
        <w:footnoteRef/>
      </w:r>
      <w:r w:rsidRPr="00C63115">
        <w:rPr>
          <w:lang w:val="en-US"/>
        </w:rPr>
        <w:t xml:space="preserve"> </w:t>
      </w:r>
      <w:hyperlink r:id="rId1">
        <w:r w:rsidRPr="00C63115">
          <w:rPr>
            <w:rStyle w:val="Hyperlink"/>
            <w:lang w:val="en-US"/>
          </w:rPr>
          <w:t>www.cbd.int/information/adm-fin/</w:t>
        </w:r>
      </w:hyperlink>
      <w:r w:rsidRPr="00C63115">
        <w:rPr>
          <w:rStyle w:val="Hyperlink"/>
          <w:lang w:val="en-US"/>
        </w:rPr>
        <w:t>.</w:t>
      </w:r>
    </w:p>
  </w:footnote>
  <w:footnote w:id="6">
    <w:p w14:paraId="7F44490C" w14:textId="77777777" w:rsidR="008134FC" w:rsidRPr="00C63115" w:rsidRDefault="008134FC" w:rsidP="008134FC">
      <w:pPr>
        <w:pStyle w:val="FootnoteText"/>
        <w:rPr>
          <w:lang w:val="en-US"/>
        </w:rPr>
      </w:pPr>
      <w:r>
        <w:rPr>
          <w:rStyle w:val="FootnoteReference"/>
        </w:rPr>
        <w:footnoteRef/>
      </w:r>
      <w:r w:rsidRPr="00C63115">
        <w:rPr>
          <w:lang w:val="en-US"/>
        </w:rPr>
        <w:t xml:space="preserve"> CBD/COP/16/4/Add.2-CBD/CP/MOP/11/5/Add.2-CBD/NP/MOP/5/5/Add.2.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921F" w14:textId="6FD4A6B3" w:rsidR="005B31FC" w:rsidRPr="00C63115" w:rsidRDefault="000A2346" w:rsidP="00361521">
    <w:pPr>
      <w:pBdr>
        <w:bottom w:val="single" w:sz="4" w:space="1" w:color="auto"/>
      </w:pBdr>
      <w:spacing w:after="240"/>
      <w:ind w:right="4"/>
      <w:jc w:val="left"/>
      <w:rPr>
        <w:noProof/>
        <w:kern w:val="20"/>
        <w:sz w:val="20"/>
        <w:szCs w:val="20"/>
        <w:lang w:val="en-US"/>
      </w:rPr>
    </w:pPr>
    <w:r w:rsidRPr="00C63115">
      <w:rPr>
        <w:rStyle w:val="PlaceholderText"/>
        <w:color w:val="auto"/>
        <w:sz w:val="20"/>
        <w:lang w:val="en-US"/>
      </w:rPr>
      <w:t>CBD/COP/16/3-CBD/CP/MOP/11/4-CBD/NP/MOP/5/4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59B16" w14:textId="7E51516A" w:rsidR="005B31FC" w:rsidRPr="00C63115" w:rsidRDefault="000A2346" w:rsidP="00361521">
    <w:pPr>
      <w:pBdr>
        <w:bottom w:val="single" w:sz="4" w:space="1" w:color="auto"/>
      </w:pBdr>
      <w:spacing w:after="240"/>
      <w:ind w:right="4"/>
      <w:jc w:val="right"/>
      <w:rPr>
        <w:kern w:val="20"/>
        <w:sz w:val="20"/>
        <w:szCs w:val="20"/>
        <w:lang w:val="en-US"/>
      </w:rPr>
    </w:pPr>
    <w:r w:rsidRPr="00C63115">
      <w:rPr>
        <w:sz w:val="20"/>
        <w:lang w:val="en-US"/>
      </w:rPr>
      <w:t>CBD/COP/16/3-CBD/CP/MOP/11/4-CBD/NP/MOP/5/4</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581B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4E880595"/>
    <w:multiLevelType w:val="multilevel"/>
    <w:tmpl w:val="222A08B4"/>
    <w:numStyleLink w:val="ListCBD"/>
  </w:abstractNum>
  <w:abstractNum w:abstractNumId="54" w15:restartNumberingAfterBreak="0">
    <w:nsid w:val="52A66A9D"/>
    <w:multiLevelType w:val="multilevel"/>
    <w:tmpl w:val="222A08B4"/>
    <w:numStyleLink w:val="ListCBD"/>
  </w:abstractNum>
  <w:abstractNum w:abstractNumId="5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D943BEE"/>
    <w:multiLevelType w:val="multilevel"/>
    <w:tmpl w:val="222A08B4"/>
    <w:numStyleLink w:val="ListCBD"/>
  </w:abstractNum>
  <w:abstractNum w:abstractNumId="59"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0"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7"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468864174">
    <w:abstractNumId w:val="60"/>
  </w:num>
  <w:num w:numId="2" w16cid:durableId="2039618497">
    <w:abstractNumId w:val="70"/>
  </w:num>
  <w:num w:numId="3" w16cid:durableId="521821063">
    <w:abstractNumId w:val="62"/>
  </w:num>
  <w:num w:numId="4" w16cid:durableId="428742993">
    <w:abstractNumId w:val="59"/>
  </w:num>
  <w:num w:numId="5" w16cid:durableId="1938632523">
    <w:abstractNumId w:val="39"/>
  </w:num>
  <w:num w:numId="6" w16cid:durableId="795872334">
    <w:abstractNumId w:val="36"/>
  </w:num>
  <w:num w:numId="7" w16cid:durableId="1312782846">
    <w:abstractNumId w:val="49"/>
  </w:num>
  <w:num w:numId="8" w16cid:durableId="1695229103">
    <w:abstractNumId w:val="18"/>
  </w:num>
  <w:num w:numId="9" w16cid:durableId="1644920754">
    <w:abstractNumId w:val="25"/>
  </w:num>
  <w:num w:numId="10" w16cid:durableId="1828396445">
    <w:abstractNumId w:val="64"/>
  </w:num>
  <w:num w:numId="11" w16cid:durableId="751897603">
    <w:abstractNumId w:val="43"/>
  </w:num>
  <w:num w:numId="12" w16cid:durableId="1125805898">
    <w:abstractNumId w:val="33"/>
  </w:num>
  <w:num w:numId="13" w16cid:durableId="616718184">
    <w:abstractNumId w:val="52"/>
  </w:num>
  <w:num w:numId="14" w16cid:durableId="1757942756">
    <w:abstractNumId w:val="50"/>
  </w:num>
  <w:num w:numId="15" w16cid:durableId="549076060">
    <w:abstractNumId w:val="38"/>
  </w:num>
  <w:num w:numId="16" w16cid:durableId="888224596">
    <w:abstractNumId w:val="15"/>
  </w:num>
  <w:num w:numId="17" w16cid:durableId="1691681130">
    <w:abstractNumId w:val="69"/>
  </w:num>
  <w:num w:numId="18" w16cid:durableId="1635520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978027">
    <w:abstractNumId w:val="45"/>
  </w:num>
  <w:num w:numId="20" w16cid:durableId="2121486030">
    <w:abstractNumId w:val="23"/>
  </w:num>
  <w:num w:numId="21" w16cid:durableId="1630280876">
    <w:abstractNumId w:val="21"/>
  </w:num>
  <w:num w:numId="22" w16cid:durableId="1962877493">
    <w:abstractNumId w:val="44"/>
  </w:num>
  <w:num w:numId="23" w16cid:durableId="1497724973">
    <w:abstractNumId w:val="42"/>
  </w:num>
  <w:num w:numId="24" w16cid:durableId="204828385">
    <w:abstractNumId w:val="35"/>
  </w:num>
  <w:num w:numId="25" w16cid:durableId="202258076">
    <w:abstractNumId w:val="67"/>
  </w:num>
  <w:num w:numId="26" w16cid:durableId="8226196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1012216">
    <w:abstractNumId w:val="40"/>
  </w:num>
  <w:num w:numId="28" w16cid:durableId="21446343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0314483">
    <w:abstractNumId w:val="47"/>
  </w:num>
  <w:num w:numId="30" w16cid:durableId="1193494282">
    <w:abstractNumId w:val="22"/>
  </w:num>
  <w:num w:numId="31" w16cid:durableId="1322123619">
    <w:abstractNumId w:val="66"/>
  </w:num>
  <w:num w:numId="32" w16cid:durableId="1914313463">
    <w:abstractNumId w:val="30"/>
  </w:num>
  <w:num w:numId="33" w16cid:durableId="560672902">
    <w:abstractNumId w:val="14"/>
  </w:num>
  <w:num w:numId="34" w16cid:durableId="1072390599">
    <w:abstractNumId w:val="65"/>
  </w:num>
  <w:num w:numId="35" w16cid:durableId="1933662228">
    <w:abstractNumId w:val="37"/>
  </w:num>
  <w:num w:numId="36" w16cid:durableId="1991909117">
    <w:abstractNumId w:val="11"/>
  </w:num>
  <w:num w:numId="37" w16cid:durableId="1138956019">
    <w:abstractNumId w:val="26"/>
  </w:num>
  <w:num w:numId="38" w16cid:durableId="607395260">
    <w:abstractNumId w:val="9"/>
  </w:num>
  <w:num w:numId="39" w16cid:durableId="98110136">
    <w:abstractNumId w:val="7"/>
  </w:num>
  <w:num w:numId="40" w16cid:durableId="920676582">
    <w:abstractNumId w:val="6"/>
  </w:num>
  <w:num w:numId="41" w16cid:durableId="447286378">
    <w:abstractNumId w:val="5"/>
  </w:num>
  <w:num w:numId="42" w16cid:durableId="1532258362">
    <w:abstractNumId w:val="4"/>
  </w:num>
  <w:num w:numId="43" w16cid:durableId="1587106058">
    <w:abstractNumId w:val="8"/>
  </w:num>
  <w:num w:numId="44" w16cid:durableId="1646355732">
    <w:abstractNumId w:val="3"/>
  </w:num>
  <w:num w:numId="45" w16cid:durableId="2006930253">
    <w:abstractNumId w:val="2"/>
  </w:num>
  <w:num w:numId="46" w16cid:durableId="1811677887">
    <w:abstractNumId w:val="1"/>
  </w:num>
  <w:num w:numId="47" w16cid:durableId="537353487">
    <w:abstractNumId w:val="0"/>
  </w:num>
  <w:num w:numId="48" w16cid:durableId="2069499237">
    <w:abstractNumId w:val="61"/>
  </w:num>
  <w:num w:numId="49" w16cid:durableId="158270868">
    <w:abstractNumId w:val="68"/>
  </w:num>
  <w:num w:numId="50" w16cid:durableId="159275565">
    <w:abstractNumId w:val="28"/>
  </w:num>
  <w:num w:numId="51" w16cid:durableId="271714945">
    <w:abstractNumId w:val="29"/>
  </w:num>
  <w:num w:numId="52" w16cid:durableId="1638680439">
    <w:abstractNumId w:val="61"/>
    <w:lvlOverride w:ilvl="0">
      <w:startOverride w:val="1"/>
    </w:lvlOverride>
  </w:num>
  <w:num w:numId="53" w16cid:durableId="1865050652">
    <w:abstractNumId w:val="54"/>
  </w:num>
  <w:num w:numId="54" w16cid:durableId="152986975">
    <w:abstractNumId w:val="48"/>
  </w:num>
  <w:num w:numId="55" w16cid:durableId="1295136099">
    <w:abstractNumId w:val="57"/>
  </w:num>
  <w:num w:numId="56" w16cid:durableId="80179172">
    <w:abstractNumId w:val="56"/>
  </w:num>
  <w:num w:numId="57" w16cid:durableId="20679887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51"/>
  </w:num>
  <w:num w:numId="59" w16cid:durableId="1771076976">
    <w:abstractNumId w:val="16"/>
  </w:num>
  <w:num w:numId="60" w16cid:durableId="939752621">
    <w:abstractNumId w:val="53"/>
  </w:num>
  <w:num w:numId="61" w16cid:durableId="915044361">
    <w:abstractNumId w:val="41"/>
  </w:num>
  <w:num w:numId="62" w16cid:durableId="855196379">
    <w:abstractNumId w:val="19"/>
  </w:num>
  <w:num w:numId="63" w16cid:durableId="14668533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7"/>
  </w:num>
  <w:num w:numId="65" w16cid:durableId="708722651">
    <w:abstractNumId w:val="10"/>
  </w:num>
  <w:num w:numId="66" w16cid:durableId="21364124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4"/>
  </w:num>
  <w:num w:numId="74" w16cid:durableId="1570270110">
    <w:abstractNumId w:val="55"/>
  </w:num>
  <w:num w:numId="75" w16cid:durableId="2125995167">
    <w:abstractNumId w:val="46"/>
  </w:num>
  <w:num w:numId="76" w16cid:durableId="893932166">
    <w:abstractNumId w:val="63"/>
  </w:num>
  <w:num w:numId="77" w16cid:durableId="1627851340">
    <w:abstractNumId w:val="32"/>
  </w:num>
  <w:num w:numId="78" w16cid:durableId="1945532808">
    <w:abstractNumId w:val="17"/>
  </w:num>
  <w:num w:numId="79"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3"/>
  </w:num>
  <w:num w:numId="8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8"/>
  </w:num>
  <w:num w:numId="86" w16cid:durableId="1081876658">
    <w:abstractNumId w:val="8"/>
  </w:num>
  <w:num w:numId="87" w16cid:durableId="2057927063">
    <w:abstractNumId w:val="3"/>
  </w:num>
  <w:num w:numId="88" w16cid:durableId="630017806">
    <w:abstractNumId w:val="2"/>
  </w:num>
  <w:num w:numId="89" w16cid:durableId="2081127458">
    <w:abstractNumId w:val="1"/>
  </w:num>
  <w:num w:numId="90" w16cid:durableId="1864173357">
    <w:abstractNumId w:val="0"/>
  </w:num>
  <w:num w:numId="91" w16cid:durableId="424957950">
    <w:abstractNumId w:val="24"/>
  </w:num>
  <w:num w:numId="92" w16cid:durableId="2139492710">
    <w:abstractNumId w:val="58"/>
  </w:num>
  <w:num w:numId="93" w16cid:durableId="197353562">
    <w:abstractNumId w:val="58"/>
  </w:num>
  <w:num w:numId="94" w16cid:durableId="959148488">
    <w:abstractNumId w:val="58"/>
  </w:num>
  <w:num w:numId="95" w16cid:durableId="1306351563">
    <w:abstractNumId w:val="58"/>
  </w:num>
  <w:num w:numId="96" w16cid:durableId="1258291412">
    <w:abstractNumId w:val="58"/>
  </w:num>
  <w:num w:numId="97" w16cid:durableId="2132162123">
    <w:abstractNumId w:val="58"/>
  </w:num>
  <w:num w:numId="98" w16cid:durableId="767427740">
    <w:abstractNumId w:val="58"/>
  </w:num>
  <w:num w:numId="99" w16cid:durableId="921836813">
    <w:abstractNumId w:val="58"/>
  </w:num>
  <w:num w:numId="100" w16cid:durableId="430710877">
    <w:abstractNumId w:val="58"/>
  </w:num>
  <w:num w:numId="101" w16cid:durableId="161818173">
    <w:abstractNumId w:val="58"/>
  </w:num>
  <w:num w:numId="102" w16cid:durableId="237716041">
    <w:abstractNumId w:val="58"/>
  </w:num>
  <w:num w:numId="103" w16cid:durableId="1287740243">
    <w:abstractNumId w:val="58"/>
  </w:num>
  <w:num w:numId="104" w16cid:durableId="407192051">
    <w:abstractNumId w:val="58"/>
  </w:num>
  <w:num w:numId="105" w16cid:durableId="1300499834">
    <w:abstractNumId w:val="58"/>
  </w:num>
  <w:num w:numId="106" w16cid:durableId="892346738">
    <w:abstractNumId w:val="58"/>
  </w:num>
  <w:num w:numId="107" w16cid:durableId="382602386">
    <w:abstractNumId w:val="58"/>
  </w:num>
  <w:num w:numId="108" w16cid:durableId="1209025004">
    <w:abstractNumId w:val="58"/>
  </w:num>
  <w:num w:numId="109" w16cid:durableId="1323849562">
    <w:abstractNumId w:val="58"/>
  </w:num>
  <w:num w:numId="110" w16cid:durableId="1661692755">
    <w:abstractNumId w:val="58"/>
  </w:num>
  <w:num w:numId="111" w16cid:durableId="1616018499">
    <w:abstractNumId w:val="58"/>
  </w:num>
  <w:num w:numId="112" w16cid:durableId="786656891">
    <w:abstractNumId w:val="58"/>
  </w:num>
  <w:num w:numId="113" w16cid:durableId="1743915977">
    <w:abstractNumId w:val="58"/>
  </w:num>
  <w:num w:numId="114" w16cid:durableId="1788505549">
    <w:abstractNumId w:val="58"/>
  </w:num>
  <w:num w:numId="115" w16cid:durableId="1218586719">
    <w:abstractNumId w:val="58"/>
  </w:num>
  <w:num w:numId="116" w16cid:durableId="857541403">
    <w:abstractNumId w:val="58"/>
  </w:num>
  <w:num w:numId="117" w16cid:durableId="253976008">
    <w:abstractNumId w:val="58"/>
  </w:num>
  <w:num w:numId="118" w16cid:durableId="224146620">
    <w:abstractNumId w:val="58"/>
  </w:num>
  <w:num w:numId="119" w16cid:durableId="740175653">
    <w:abstractNumId w:val="58"/>
  </w:num>
  <w:num w:numId="120" w16cid:durableId="2055151187">
    <w:abstractNumId w:val="58"/>
  </w:num>
  <w:num w:numId="121" w16cid:durableId="1933588503">
    <w:abstractNumId w:val="58"/>
  </w:num>
  <w:num w:numId="122" w16cid:durableId="883907664">
    <w:abstractNumId w:val="58"/>
  </w:num>
  <w:num w:numId="123" w16cid:durableId="607272945">
    <w:abstractNumId w:val="58"/>
  </w:num>
  <w:num w:numId="124" w16cid:durableId="35737726">
    <w:abstractNumId w:val="58"/>
  </w:num>
  <w:num w:numId="125" w16cid:durableId="1387023358">
    <w:abstractNumId w:val="58"/>
  </w:num>
  <w:num w:numId="126" w16cid:durableId="591160294">
    <w:abstractNumId w:val="58"/>
  </w:num>
  <w:num w:numId="127" w16cid:durableId="1808010833">
    <w:abstractNumId w:val="58"/>
  </w:num>
  <w:num w:numId="128" w16cid:durableId="1708798286">
    <w:abstractNumId w:val="58"/>
  </w:num>
  <w:num w:numId="129" w16cid:durableId="811598167">
    <w:abstractNumId w:val="58"/>
  </w:num>
  <w:num w:numId="130" w16cid:durableId="1553732887">
    <w:abstractNumId w:val="58"/>
  </w:num>
  <w:num w:numId="131" w16cid:durableId="971984959">
    <w:abstractNumId w:val="58"/>
  </w:num>
  <w:num w:numId="132" w16cid:durableId="1008361928">
    <w:abstractNumId w:val="58"/>
  </w:num>
  <w:num w:numId="133" w16cid:durableId="1817258690">
    <w:abstractNumId w:val="58"/>
  </w:num>
  <w:num w:numId="134" w16cid:durableId="21131634">
    <w:abstractNumId w:val="58"/>
  </w:num>
  <w:num w:numId="135" w16cid:durableId="1616865514">
    <w:abstractNumId w:val="58"/>
  </w:num>
  <w:num w:numId="136" w16cid:durableId="353506157">
    <w:abstractNumId w:val="58"/>
  </w:num>
  <w:num w:numId="137" w16cid:durableId="292909767">
    <w:abstractNumId w:val="5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398"/>
    <w:rsid w:val="0000259F"/>
    <w:rsid w:val="00002AE4"/>
    <w:rsid w:val="00003AEB"/>
    <w:rsid w:val="0000407B"/>
    <w:rsid w:val="00004159"/>
    <w:rsid w:val="0000440D"/>
    <w:rsid w:val="00004BCB"/>
    <w:rsid w:val="00005CCD"/>
    <w:rsid w:val="000061EE"/>
    <w:rsid w:val="00006597"/>
    <w:rsid w:val="00006E14"/>
    <w:rsid w:val="000073B2"/>
    <w:rsid w:val="00007538"/>
    <w:rsid w:val="000076F5"/>
    <w:rsid w:val="00007AA5"/>
    <w:rsid w:val="0001016D"/>
    <w:rsid w:val="0001087A"/>
    <w:rsid w:val="00010D45"/>
    <w:rsid w:val="000111F8"/>
    <w:rsid w:val="000112BE"/>
    <w:rsid w:val="000125D5"/>
    <w:rsid w:val="00012D38"/>
    <w:rsid w:val="0001354B"/>
    <w:rsid w:val="00013E5A"/>
    <w:rsid w:val="00013EA7"/>
    <w:rsid w:val="0001418B"/>
    <w:rsid w:val="0001438D"/>
    <w:rsid w:val="00014779"/>
    <w:rsid w:val="0001477E"/>
    <w:rsid w:val="00014A14"/>
    <w:rsid w:val="00014B94"/>
    <w:rsid w:val="00014C5B"/>
    <w:rsid w:val="00014E60"/>
    <w:rsid w:val="00014FB7"/>
    <w:rsid w:val="0001521B"/>
    <w:rsid w:val="00015BBC"/>
    <w:rsid w:val="00016C64"/>
    <w:rsid w:val="00017720"/>
    <w:rsid w:val="00017D68"/>
    <w:rsid w:val="00020161"/>
    <w:rsid w:val="00020831"/>
    <w:rsid w:val="00021164"/>
    <w:rsid w:val="000213E9"/>
    <w:rsid w:val="00021511"/>
    <w:rsid w:val="000228E8"/>
    <w:rsid w:val="000231BD"/>
    <w:rsid w:val="000232B1"/>
    <w:rsid w:val="00023383"/>
    <w:rsid w:val="00025493"/>
    <w:rsid w:val="0002550E"/>
    <w:rsid w:val="000258D2"/>
    <w:rsid w:val="000259C7"/>
    <w:rsid w:val="00025BB9"/>
    <w:rsid w:val="000262F2"/>
    <w:rsid w:val="000266DB"/>
    <w:rsid w:val="00026728"/>
    <w:rsid w:val="0002685A"/>
    <w:rsid w:val="00026C34"/>
    <w:rsid w:val="00026F68"/>
    <w:rsid w:val="00027385"/>
    <w:rsid w:val="0002776E"/>
    <w:rsid w:val="00027C88"/>
    <w:rsid w:val="00027D5D"/>
    <w:rsid w:val="00027E5E"/>
    <w:rsid w:val="00027F79"/>
    <w:rsid w:val="0003069F"/>
    <w:rsid w:val="00030DEB"/>
    <w:rsid w:val="000311B5"/>
    <w:rsid w:val="00031E36"/>
    <w:rsid w:val="000320AF"/>
    <w:rsid w:val="000322A9"/>
    <w:rsid w:val="00032584"/>
    <w:rsid w:val="00033DD1"/>
    <w:rsid w:val="00034123"/>
    <w:rsid w:val="000342A6"/>
    <w:rsid w:val="000343E2"/>
    <w:rsid w:val="00034518"/>
    <w:rsid w:val="00034737"/>
    <w:rsid w:val="00035008"/>
    <w:rsid w:val="00035BEE"/>
    <w:rsid w:val="00035F25"/>
    <w:rsid w:val="0003605F"/>
    <w:rsid w:val="000362C9"/>
    <w:rsid w:val="00036ACD"/>
    <w:rsid w:val="0003781E"/>
    <w:rsid w:val="00037E37"/>
    <w:rsid w:val="0004093A"/>
    <w:rsid w:val="00040ACA"/>
    <w:rsid w:val="00040B48"/>
    <w:rsid w:val="00040E9D"/>
    <w:rsid w:val="00040F30"/>
    <w:rsid w:val="000413C5"/>
    <w:rsid w:val="00041CC2"/>
    <w:rsid w:val="00042D48"/>
    <w:rsid w:val="00043130"/>
    <w:rsid w:val="00044379"/>
    <w:rsid w:val="000456D6"/>
    <w:rsid w:val="00045C28"/>
    <w:rsid w:val="00045E51"/>
    <w:rsid w:val="000461BE"/>
    <w:rsid w:val="0004644D"/>
    <w:rsid w:val="000478D3"/>
    <w:rsid w:val="00050118"/>
    <w:rsid w:val="00050267"/>
    <w:rsid w:val="0005171F"/>
    <w:rsid w:val="00051F11"/>
    <w:rsid w:val="00052A60"/>
    <w:rsid w:val="00052ADD"/>
    <w:rsid w:val="00052F42"/>
    <w:rsid w:val="00053772"/>
    <w:rsid w:val="00053972"/>
    <w:rsid w:val="000540DA"/>
    <w:rsid w:val="000544CA"/>
    <w:rsid w:val="00054FDD"/>
    <w:rsid w:val="00056F85"/>
    <w:rsid w:val="000572B9"/>
    <w:rsid w:val="00059B05"/>
    <w:rsid w:val="0006085C"/>
    <w:rsid w:val="000609B8"/>
    <w:rsid w:val="00060E23"/>
    <w:rsid w:val="00060EA2"/>
    <w:rsid w:val="0006126C"/>
    <w:rsid w:val="000617A2"/>
    <w:rsid w:val="000618B4"/>
    <w:rsid w:val="00061B19"/>
    <w:rsid w:val="0006219B"/>
    <w:rsid w:val="00062627"/>
    <w:rsid w:val="000627AB"/>
    <w:rsid w:val="000630BD"/>
    <w:rsid w:val="000641D7"/>
    <w:rsid w:val="0006442E"/>
    <w:rsid w:val="00064499"/>
    <w:rsid w:val="00065000"/>
    <w:rsid w:val="0006504C"/>
    <w:rsid w:val="00065235"/>
    <w:rsid w:val="000659BF"/>
    <w:rsid w:val="00065EE0"/>
    <w:rsid w:val="00066016"/>
    <w:rsid w:val="000667D8"/>
    <w:rsid w:val="000667E6"/>
    <w:rsid w:val="000667F8"/>
    <w:rsid w:val="00066C0D"/>
    <w:rsid w:val="00066C45"/>
    <w:rsid w:val="00066E89"/>
    <w:rsid w:val="00067F2D"/>
    <w:rsid w:val="000709FB"/>
    <w:rsid w:val="00070ADF"/>
    <w:rsid w:val="00070B88"/>
    <w:rsid w:val="00070CAD"/>
    <w:rsid w:val="000710C7"/>
    <w:rsid w:val="0007116A"/>
    <w:rsid w:val="00071FEE"/>
    <w:rsid w:val="000726AD"/>
    <w:rsid w:val="000734CA"/>
    <w:rsid w:val="000738E3"/>
    <w:rsid w:val="000749DE"/>
    <w:rsid w:val="00074B1E"/>
    <w:rsid w:val="00074CC9"/>
    <w:rsid w:val="000752E3"/>
    <w:rsid w:val="0007588E"/>
    <w:rsid w:val="00075F4E"/>
    <w:rsid w:val="00076225"/>
    <w:rsid w:val="000769A0"/>
    <w:rsid w:val="00076BC5"/>
    <w:rsid w:val="00081DFD"/>
    <w:rsid w:val="000822E1"/>
    <w:rsid w:val="000826F7"/>
    <w:rsid w:val="00083A28"/>
    <w:rsid w:val="00083B33"/>
    <w:rsid w:val="00083B67"/>
    <w:rsid w:val="00083CC9"/>
    <w:rsid w:val="000845D9"/>
    <w:rsid w:val="00084631"/>
    <w:rsid w:val="00084D62"/>
    <w:rsid w:val="0008529C"/>
    <w:rsid w:val="00086D6A"/>
    <w:rsid w:val="00086E36"/>
    <w:rsid w:val="00086E6A"/>
    <w:rsid w:val="0008756D"/>
    <w:rsid w:val="00087634"/>
    <w:rsid w:val="00087C15"/>
    <w:rsid w:val="000906E3"/>
    <w:rsid w:val="00090790"/>
    <w:rsid w:val="000909C1"/>
    <w:rsid w:val="00090D28"/>
    <w:rsid w:val="00090FB8"/>
    <w:rsid w:val="00091061"/>
    <w:rsid w:val="000911AA"/>
    <w:rsid w:val="00091470"/>
    <w:rsid w:val="00091854"/>
    <w:rsid w:val="00091C32"/>
    <w:rsid w:val="00091DEA"/>
    <w:rsid w:val="000925AC"/>
    <w:rsid w:val="00092DC0"/>
    <w:rsid w:val="0009308C"/>
    <w:rsid w:val="00093454"/>
    <w:rsid w:val="000934A3"/>
    <w:rsid w:val="00093DE2"/>
    <w:rsid w:val="00093F03"/>
    <w:rsid w:val="0009465B"/>
    <w:rsid w:val="00094AC9"/>
    <w:rsid w:val="00095189"/>
    <w:rsid w:val="0009557B"/>
    <w:rsid w:val="0009654C"/>
    <w:rsid w:val="00096954"/>
    <w:rsid w:val="00097574"/>
    <w:rsid w:val="00097897"/>
    <w:rsid w:val="00097948"/>
    <w:rsid w:val="00097FF5"/>
    <w:rsid w:val="00098A10"/>
    <w:rsid w:val="000A0039"/>
    <w:rsid w:val="000A003A"/>
    <w:rsid w:val="000A14E9"/>
    <w:rsid w:val="000A181E"/>
    <w:rsid w:val="000A2346"/>
    <w:rsid w:val="000A2755"/>
    <w:rsid w:val="000A29F8"/>
    <w:rsid w:val="000A306E"/>
    <w:rsid w:val="000A33DA"/>
    <w:rsid w:val="000A3B5B"/>
    <w:rsid w:val="000A59C4"/>
    <w:rsid w:val="000A6DC4"/>
    <w:rsid w:val="000A7B5E"/>
    <w:rsid w:val="000B0925"/>
    <w:rsid w:val="000B0CDF"/>
    <w:rsid w:val="000B123B"/>
    <w:rsid w:val="000B12BB"/>
    <w:rsid w:val="000B2250"/>
    <w:rsid w:val="000B23EF"/>
    <w:rsid w:val="000B2CFC"/>
    <w:rsid w:val="000B2EC2"/>
    <w:rsid w:val="000B312C"/>
    <w:rsid w:val="000B33D0"/>
    <w:rsid w:val="000B35E1"/>
    <w:rsid w:val="000B3C61"/>
    <w:rsid w:val="000B40B9"/>
    <w:rsid w:val="000B4667"/>
    <w:rsid w:val="000B5071"/>
    <w:rsid w:val="000B51CA"/>
    <w:rsid w:val="000B554E"/>
    <w:rsid w:val="000B5A57"/>
    <w:rsid w:val="000B5F8B"/>
    <w:rsid w:val="000B6141"/>
    <w:rsid w:val="000B6551"/>
    <w:rsid w:val="000B7B72"/>
    <w:rsid w:val="000C049C"/>
    <w:rsid w:val="000C0519"/>
    <w:rsid w:val="000C1524"/>
    <w:rsid w:val="000C18CF"/>
    <w:rsid w:val="000C1A78"/>
    <w:rsid w:val="000C23C2"/>
    <w:rsid w:val="000C252F"/>
    <w:rsid w:val="000C29AF"/>
    <w:rsid w:val="000C3ABA"/>
    <w:rsid w:val="000C42F1"/>
    <w:rsid w:val="000C44C3"/>
    <w:rsid w:val="000C562C"/>
    <w:rsid w:val="000C585D"/>
    <w:rsid w:val="000C58C2"/>
    <w:rsid w:val="000C5FAD"/>
    <w:rsid w:val="000C6AFB"/>
    <w:rsid w:val="000C6B93"/>
    <w:rsid w:val="000C7391"/>
    <w:rsid w:val="000C78A0"/>
    <w:rsid w:val="000C7AE4"/>
    <w:rsid w:val="000C7BDC"/>
    <w:rsid w:val="000D02E4"/>
    <w:rsid w:val="000D0472"/>
    <w:rsid w:val="000D0E73"/>
    <w:rsid w:val="000D0F9C"/>
    <w:rsid w:val="000D19CC"/>
    <w:rsid w:val="000D2976"/>
    <w:rsid w:val="000D3673"/>
    <w:rsid w:val="000D36D0"/>
    <w:rsid w:val="000D38D0"/>
    <w:rsid w:val="000D447D"/>
    <w:rsid w:val="000D5274"/>
    <w:rsid w:val="000D5C82"/>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524E"/>
    <w:rsid w:val="000E61DF"/>
    <w:rsid w:val="000E6EFE"/>
    <w:rsid w:val="000E7027"/>
    <w:rsid w:val="000E7ACC"/>
    <w:rsid w:val="000F0ADA"/>
    <w:rsid w:val="000F0F8E"/>
    <w:rsid w:val="000F1208"/>
    <w:rsid w:val="000F1F71"/>
    <w:rsid w:val="000F20D0"/>
    <w:rsid w:val="000F2113"/>
    <w:rsid w:val="000F25B5"/>
    <w:rsid w:val="000F3AF5"/>
    <w:rsid w:val="000F4186"/>
    <w:rsid w:val="000F420F"/>
    <w:rsid w:val="000F4F34"/>
    <w:rsid w:val="000F53F0"/>
    <w:rsid w:val="000F5F9C"/>
    <w:rsid w:val="000F6844"/>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3171"/>
    <w:rsid w:val="00103A0F"/>
    <w:rsid w:val="00104232"/>
    <w:rsid w:val="00104976"/>
    <w:rsid w:val="00104E50"/>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3B90"/>
    <w:rsid w:val="00114257"/>
    <w:rsid w:val="0011508A"/>
    <w:rsid w:val="001150CA"/>
    <w:rsid w:val="001154FB"/>
    <w:rsid w:val="0011588E"/>
    <w:rsid w:val="00115DE8"/>
    <w:rsid w:val="001168DF"/>
    <w:rsid w:val="00116979"/>
    <w:rsid w:val="00116AD9"/>
    <w:rsid w:val="00117088"/>
    <w:rsid w:val="00117C8E"/>
    <w:rsid w:val="00117EF9"/>
    <w:rsid w:val="00117FFB"/>
    <w:rsid w:val="001200F6"/>
    <w:rsid w:val="00120230"/>
    <w:rsid w:val="001206B6"/>
    <w:rsid w:val="0012097B"/>
    <w:rsid w:val="00120AF3"/>
    <w:rsid w:val="00120D38"/>
    <w:rsid w:val="00120D77"/>
    <w:rsid w:val="0012127B"/>
    <w:rsid w:val="00121DD4"/>
    <w:rsid w:val="00121E6A"/>
    <w:rsid w:val="00122295"/>
    <w:rsid w:val="00122536"/>
    <w:rsid w:val="00123072"/>
    <w:rsid w:val="0012332C"/>
    <w:rsid w:val="00123CF0"/>
    <w:rsid w:val="00123FE8"/>
    <w:rsid w:val="00123FFE"/>
    <w:rsid w:val="001246F0"/>
    <w:rsid w:val="0012481C"/>
    <w:rsid w:val="00125847"/>
    <w:rsid w:val="00125B31"/>
    <w:rsid w:val="00125B77"/>
    <w:rsid w:val="00125F7E"/>
    <w:rsid w:val="001260A9"/>
    <w:rsid w:val="00126652"/>
    <w:rsid w:val="001272D6"/>
    <w:rsid w:val="001276B9"/>
    <w:rsid w:val="00127AD1"/>
    <w:rsid w:val="0012DDD0"/>
    <w:rsid w:val="00130423"/>
    <w:rsid w:val="001306BE"/>
    <w:rsid w:val="0013085B"/>
    <w:rsid w:val="001312DF"/>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B48"/>
    <w:rsid w:val="001467DF"/>
    <w:rsid w:val="00146926"/>
    <w:rsid w:val="0014707B"/>
    <w:rsid w:val="001470C2"/>
    <w:rsid w:val="001474F9"/>
    <w:rsid w:val="001509AB"/>
    <w:rsid w:val="00151001"/>
    <w:rsid w:val="0015126A"/>
    <w:rsid w:val="001522F2"/>
    <w:rsid w:val="001523AA"/>
    <w:rsid w:val="00152B4D"/>
    <w:rsid w:val="00152D01"/>
    <w:rsid w:val="00153CC9"/>
    <w:rsid w:val="00153EF3"/>
    <w:rsid w:val="001549CC"/>
    <w:rsid w:val="00154A35"/>
    <w:rsid w:val="0015532B"/>
    <w:rsid w:val="001558E1"/>
    <w:rsid w:val="001573C3"/>
    <w:rsid w:val="00157B7F"/>
    <w:rsid w:val="00160067"/>
    <w:rsid w:val="0016035B"/>
    <w:rsid w:val="0016045C"/>
    <w:rsid w:val="001612B0"/>
    <w:rsid w:val="001616CA"/>
    <w:rsid w:val="00161B90"/>
    <w:rsid w:val="00161F18"/>
    <w:rsid w:val="00162797"/>
    <w:rsid w:val="00162B74"/>
    <w:rsid w:val="00162CBF"/>
    <w:rsid w:val="00162F9B"/>
    <w:rsid w:val="00162FC9"/>
    <w:rsid w:val="00163A8C"/>
    <w:rsid w:val="00163B8E"/>
    <w:rsid w:val="00164084"/>
    <w:rsid w:val="00164488"/>
    <w:rsid w:val="0016457D"/>
    <w:rsid w:val="00165A18"/>
    <w:rsid w:val="00166DC4"/>
    <w:rsid w:val="00167084"/>
    <w:rsid w:val="00167735"/>
    <w:rsid w:val="0016791F"/>
    <w:rsid w:val="001701FE"/>
    <w:rsid w:val="00170AD6"/>
    <w:rsid w:val="00171096"/>
    <w:rsid w:val="001717B2"/>
    <w:rsid w:val="00171DF6"/>
    <w:rsid w:val="00171F61"/>
    <w:rsid w:val="00172C38"/>
    <w:rsid w:val="00172FA6"/>
    <w:rsid w:val="001734F3"/>
    <w:rsid w:val="001735D5"/>
    <w:rsid w:val="00173615"/>
    <w:rsid w:val="0017362E"/>
    <w:rsid w:val="00173D56"/>
    <w:rsid w:val="0017409A"/>
    <w:rsid w:val="001742F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60D"/>
    <w:rsid w:val="00183B5D"/>
    <w:rsid w:val="00183CDA"/>
    <w:rsid w:val="001840EE"/>
    <w:rsid w:val="00184439"/>
    <w:rsid w:val="00184A97"/>
    <w:rsid w:val="00184C44"/>
    <w:rsid w:val="001850D0"/>
    <w:rsid w:val="00185E50"/>
    <w:rsid w:val="00186162"/>
    <w:rsid w:val="00186472"/>
    <w:rsid w:val="0018688C"/>
    <w:rsid w:val="00186F7E"/>
    <w:rsid w:val="00187E13"/>
    <w:rsid w:val="00190201"/>
    <w:rsid w:val="00190606"/>
    <w:rsid w:val="00190BE3"/>
    <w:rsid w:val="00190CC8"/>
    <w:rsid w:val="001915F0"/>
    <w:rsid w:val="00191A85"/>
    <w:rsid w:val="00191D46"/>
    <w:rsid w:val="0019209D"/>
    <w:rsid w:val="001922FB"/>
    <w:rsid w:val="001929F5"/>
    <w:rsid w:val="00192DE2"/>
    <w:rsid w:val="001933EA"/>
    <w:rsid w:val="001939F4"/>
    <w:rsid w:val="00193E16"/>
    <w:rsid w:val="00193FAD"/>
    <w:rsid w:val="00194C54"/>
    <w:rsid w:val="001951B4"/>
    <w:rsid w:val="00195C84"/>
    <w:rsid w:val="00195FC3"/>
    <w:rsid w:val="00196105"/>
    <w:rsid w:val="001963A8"/>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8BB"/>
    <w:rsid w:val="001A73CF"/>
    <w:rsid w:val="001A74A6"/>
    <w:rsid w:val="001A7511"/>
    <w:rsid w:val="001A7E19"/>
    <w:rsid w:val="001B0352"/>
    <w:rsid w:val="001B18AD"/>
    <w:rsid w:val="001B1DCA"/>
    <w:rsid w:val="001B21CD"/>
    <w:rsid w:val="001B2AA2"/>
    <w:rsid w:val="001B2F87"/>
    <w:rsid w:val="001B3420"/>
    <w:rsid w:val="001B3EDB"/>
    <w:rsid w:val="001B437B"/>
    <w:rsid w:val="001B446C"/>
    <w:rsid w:val="001B4818"/>
    <w:rsid w:val="001B4AFA"/>
    <w:rsid w:val="001B4CC6"/>
    <w:rsid w:val="001B515F"/>
    <w:rsid w:val="001B57CA"/>
    <w:rsid w:val="001B5B2B"/>
    <w:rsid w:val="001B5CE7"/>
    <w:rsid w:val="001B695E"/>
    <w:rsid w:val="001C0084"/>
    <w:rsid w:val="001C164E"/>
    <w:rsid w:val="001C1EB8"/>
    <w:rsid w:val="001C1FBB"/>
    <w:rsid w:val="001C2122"/>
    <w:rsid w:val="001C26A7"/>
    <w:rsid w:val="001C3537"/>
    <w:rsid w:val="001C37C6"/>
    <w:rsid w:val="001C57A1"/>
    <w:rsid w:val="001C62E8"/>
    <w:rsid w:val="001C6495"/>
    <w:rsid w:val="001C7175"/>
    <w:rsid w:val="001C75BE"/>
    <w:rsid w:val="001C77D7"/>
    <w:rsid w:val="001CF05B"/>
    <w:rsid w:val="001D05CC"/>
    <w:rsid w:val="001D1246"/>
    <w:rsid w:val="001D1411"/>
    <w:rsid w:val="001D146C"/>
    <w:rsid w:val="001D1D85"/>
    <w:rsid w:val="001D2379"/>
    <w:rsid w:val="001D2433"/>
    <w:rsid w:val="001D28A9"/>
    <w:rsid w:val="001D303D"/>
    <w:rsid w:val="001D3283"/>
    <w:rsid w:val="001D37D6"/>
    <w:rsid w:val="001D3E88"/>
    <w:rsid w:val="001D44CD"/>
    <w:rsid w:val="001D4566"/>
    <w:rsid w:val="001D484F"/>
    <w:rsid w:val="001D4E5B"/>
    <w:rsid w:val="001D57CF"/>
    <w:rsid w:val="001D5882"/>
    <w:rsid w:val="001D5C24"/>
    <w:rsid w:val="001D5DC0"/>
    <w:rsid w:val="001D5E2E"/>
    <w:rsid w:val="001D6177"/>
    <w:rsid w:val="001D61FB"/>
    <w:rsid w:val="001D64D1"/>
    <w:rsid w:val="001D663B"/>
    <w:rsid w:val="001D689E"/>
    <w:rsid w:val="001D6FF7"/>
    <w:rsid w:val="001D75B1"/>
    <w:rsid w:val="001D7927"/>
    <w:rsid w:val="001D79EB"/>
    <w:rsid w:val="001D7DC8"/>
    <w:rsid w:val="001E032E"/>
    <w:rsid w:val="001E0E0E"/>
    <w:rsid w:val="001E1195"/>
    <w:rsid w:val="001E16CA"/>
    <w:rsid w:val="001E172D"/>
    <w:rsid w:val="001E1F05"/>
    <w:rsid w:val="001E32E2"/>
    <w:rsid w:val="001E381A"/>
    <w:rsid w:val="001E3820"/>
    <w:rsid w:val="001E3975"/>
    <w:rsid w:val="001E460F"/>
    <w:rsid w:val="001E4943"/>
    <w:rsid w:val="001E52B3"/>
    <w:rsid w:val="001E6653"/>
    <w:rsid w:val="001E68E8"/>
    <w:rsid w:val="001E7054"/>
    <w:rsid w:val="001E763C"/>
    <w:rsid w:val="001E7A20"/>
    <w:rsid w:val="001F0450"/>
    <w:rsid w:val="001F0FCE"/>
    <w:rsid w:val="001F110D"/>
    <w:rsid w:val="001F1545"/>
    <w:rsid w:val="001F1762"/>
    <w:rsid w:val="001F1855"/>
    <w:rsid w:val="001F2347"/>
    <w:rsid w:val="001F247D"/>
    <w:rsid w:val="001F3603"/>
    <w:rsid w:val="001F3795"/>
    <w:rsid w:val="001F3A86"/>
    <w:rsid w:val="001F4044"/>
    <w:rsid w:val="001F4921"/>
    <w:rsid w:val="001F55D9"/>
    <w:rsid w:val="001F5B43"/>
    <w:rsid w:val="001F67EA"/>
    <w:rsid w:val="001F67FA"/>
    <w:rsid w:val="001F6D78"/>
    <w:rsid w:val="001F6DB8"/>
    <w:rsid w:val="001F7DF1"/>
    <w:rsid w:val="00200B62"/>
    <w:rsid w:val="00200CB6"/>
    <w:rsid w:val="0020153D"/>
    <w:rsid w:val="0020182A"/>
    <w:rsid w:val="00201911"/>
    <w:rsid w:val="00201E35"/>
    <w:rsid w:val="0020245A"/>
    <w:rsid w:val="002024BB"/>
    <w:rsid w:val="00202617"/>
    <w:rsid w:val="00203039"/>
    <w:rsid w:val="002036EB"/>
    <w:rsid w:val="00203CD4"/>
    <w:rsid w:val="00204D2A"/>
    <w:rsid w:val="00205630"/>
    <w:rsid w:val="00205BAE"/>
    <w:rsid w:val="00205EC8"/>
    <w:rsid w:val="00207378"/>
    <w:rsid w:val="0021048A"/>
    <w:rsid w:val="002108B1"/>
    <w:rsid w:val="00211DBF"/>
    <w:rsid w:val="00211F3D"/>
    <w:rsid w:val="00212811"/>
    <w:rsid w:val="00212A6A"/>
    <w:rsid w:val="0021367E"/>
    <w:rsid w:val="002138BB"/>
    <w:rsid w:val="002151CD"/>
    <w:rsid w:val="002152F4"/>
    <w:rsid w:val="00215A0C"/>
    <w:rsid w:val="002161DA"/>
    <w:rsid w:val="00217524"/>
    <w:rsid w:val="0021796F"/>
    <w:rsid w:val="0022013F"/>
    <w:rsid w:val="00220456"/>
    <w:rsid w:val="00220461"/>
    <w:rsid w:val="002208A8"/>
    <w:rsid w:val="00221020"/>
    <w:rsid w:val="00221321"/>
    <w:rsid w:val="00221883"/>
    <w:rsid w:val="00221C2B"/>
    <w:rsid w:val="00221F33"/>
    <w:rsid w:val="0022255E"/>
    <w:rsid w:val="00222602"/>
    <w:rsid w:val="0022282C"/>
    <w:rsid w:val="00222A8C"/>
    <w:rsid w:val="00222ACC"/>
    <w:rsid w:val="00222D73"/>
    <w:rsid w:val="00222FCD"/>
    <w:rsid w:val="002231BC"/>
    <w:rsid w:val="00223E7F"/>
    <w:rsid w:val="00223F90"/>
    <w:rsid w:val="0022479C"/>
    <w:rsid w:val="00224A11"/>
    <w:rsid w:val="0022554C"/>
    <w:rsid w:val="00226073"/>
    <w:rsid w:val="002261A9"/>
    <w:rsid w:val="00226D52"/>
    <w:rsid w:val="0022708B"/>
    <w:rsid w:val="0022773B"/>
    <w:rsid w:val="00227C19"/>
    <w:rsid w:val="0023005D"/>
    <w:rsid w:val="002304A0"/>
    <w:rsid w:val="0023054E"/>
    <w:rsid w:val="002308C6"/>
    <w:rsid w:val="00231161"/>
    <w:rsid w:val="00231858"/>
    <w:rsid w:val="00232413"/>
    <w:rsid w:val="00232799"/>
    <w:rsid w:val="002329F5"/>
    <w:rsid w:val="0023329B"/>
    <w:rsid w:val="00233710"/>
    <w:rsid w:val="002340BA"/>
    <w:rsid w:val="002347C7"/>
    <w:rsid w:val="00234F0E"/>
    <w:rsid w:val="00236035"/>
    <w:rsid w:val="002362E6"/>
    <w:rsid w:val="00236445"/>
    <w:rsid w:val="002372B7"/>
    <w:rsid w:val="002379B9"/>
    <w:rsid w:val="00237C31"/>
    <w:rsid w:val="00237E55"/>
    <w:rsid w:val="0024026F"/>
    <w:rsid w:val="00240526"/>
    <w:rsid w:val="002406DC"/>
    <w:rsid w:val="002407E0"/>
    <w:rsid w:val="00240A83"/>
    <w:rsid w:val="00240AC5"/>
    <w:rsid w:val="00240BA5"/>
    <w:rsid w:val="00240EC8"/>
    <w:rsid w:val="00240F79"/>
    <w:rsid w:val="0024162D"/>
    <w:rsid w:val="00242A84"/>
    <w:rsid w:val="002430C0"/>
    <w:rsid w:val="00243908"/>
    <w:rsid w:val="002439CC"/>
    <w:rsid w:val="00243BBC"/>
    <w:rsid w:val="0024412A"/>
    <w:rsid w:val="00245339"/>
    <w:rsid w:val="00245486"/>
    <w:rsid w:val="00245ACE"/>
    <w:rsid w:val="00246204"/>
    <w:rsid w:val="00246269"/>
    <w:rsid w:val="002474EF"/>
    <w:rsid w:val="00247D47"/>
    <w:rsid w:val="00251166"/>
    <w:rsid w:val="0025348A"/>
    <w:rsid w:val="00253669"/>
    <w:rsid w:val="00253C35"/>
    <w:rsid w:val="00253E6F"/>
    <w:rsid w:val="00253F07"/>
    <w:rsid w:val="00254C6F"/>
    <w:rsid w:val="0025544E"/>
    <w:rsid w:val="002557A8"/>
    <w:rsid w:val="00255C09"/>
    <w:rsid w:val="00255FDD"/>
    <w:rsid w:val="002560A7"/>
    <w:rsid w:val="00256164"/>
    <w:rsid w:val="0025779A"/>
    <w:rsid w:val="00260088"/>
    <w:rsid w:val="0026049B"/>
    <w:rsid w:val="00260BBF"/>
    <w:rsid w:val="00260EC6"/>
    <w:rsid w:val="0026109F"/>
    <w:rsid w:val="00261340"/>
    <w:rsid w:val="002614F6"/>
    <w:rsid w:val="0026175D"/>
    <w:rsid w:val="002625A4"/>
    <w:rsid w:val="0026307C"/>
    <w:rsid w:val="00263154"/>
    <w:rsid w:val="00264378"/>
    <w:rsid w:val="00265284"/>
    <w:rsid w:val="002654FA"/>
    <w:rsid w:val="0026551A"/>
    <w:rsid w:val="002658D0"/>
    <w:rsid w:val="0026611F"/>
    <w:rsid w:val="00266571"/>
    <w:rsid w:val="0026671C"/>
    <w:rsid w:val="00266A72"/>
    <w:rsid w:val="00266AAB"/>
    <w:rsid w:val="00266D6D"/>
    <w:rsid w:val="0026709B"/>
    <w:rsid w:val="00267297"/>
    <w:rsid w:val="00267323"/>
    <w:rsid w:val="002702DF"/>
    <w:rsid w:val="0027076F"/>
    <w:rsid w:val="002707A4"/>
    <w:rsid w:val="00270AEF"/>
    <w:rsid w:val="0027263B"/>
    <w:rsid w:val="002727E3"/>
    <w:rsid w:val="00273219"/>
    <w:rsid w:val="0027346C"/>
    <w:rsid w:val="0027371C"/>
    <w:rsid w:val="0027398D"/>
    <w:rsid w:val="00273FFE"/>
    <w:rsid w:val="00274254"/>
    <w:rsid w:val="00274E5F"/>
    <w:rsid w:val="002755AC"/>
    <w:rsid w:val="002757A8"/>
    <w:rsid w:val="00275B2B"/>
    <w:rsid w:val="00275B55"/>
    <w:rsid w:val="0027678C"/>
    <w:rsid w:val="002768FC"/>
    <w:rsid w:val="00280368"/>
    <w:rsid w:val="002805E4"/>
    <w:rsid w:val="00280B0D"/>
    <w:rsid w:val="00281899"/>
    <w:rsid w:val="002819B0"/>
    <w:rsid w:val="00281E41"/>
    <w:rsid w:val="0028237D"/>
    <w:rsid w:val="002825A8"/>
    <w:rsid w:val="00282C17"/>
    <w:rsid w:val="00283D56"/>
    <w:rsid w:val="002848DE"/>
    <w:rsid w:val="00284BED"/>
    <w:rsid w:val="00284FB3"/>
    <w:rsid w:val="002850A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4E53"/>
    <w:rsid w:val="002B53BC"/>
    <w:rsid w:val="002B6779"/>
    <w:rsid w:val="002B6B92"/>
    <w:rsid w:val="002B6D7C"/>
    <w:rsid w:val="002B702F"/>
    <w:rsid w:val="002B71A1"/>
    <w:rsid w:val="002B72B9"/>
    <w:rsid w:val="002B757B"/>
    <w:rsid w:val="002B788D"/>
    <w:rsid w:val="002B7A83"/>
    <w:rsid w:val="002C020C"/>
    <w:rsid w:val="002C080E"/>
    <w:rsid w:val="002C0825"/>
    <w:rsid w:val="002C0B8B"/>
    <w:rsid w:val="002C1374"/>
    <w:rsid w:val="002C165E"/>
    <w:rsid w:val="002C1B04"/>
    <w:rsid w:val="002C1D98"/>
    <w:rsid w:val="002C27AA"/>
    <w:rsid w:val="002C35F6"/>
    <w:rsid w:val="002C3CC3"/>
    <w:rsid w:val="002C3FA4"/>
    <w:rsid w:val="002C4B40"/>
    <w:rsid w:val="002C553C"/>
    <w:rsid w:val="002C5643"/>
    <w:rsid w:val="002C6D50"/>
    <w:rsid w:val="002C72E7"/>
    <w:rsid w:val="002C7F51"/>
    <w:rsid w:val="002D02A8"/>
    <w:rsid w:val="002D038C"/>
    <w:rsid w:val="002D2410"/>
    <w:rsid w:val="002D2A8B"/>
    <w:rsid w:val="002D2DBD"/>
    <w:rsid w:val="002D34E9"/>
    <w:rsid w:val="002D3A9A"/>
    <w:rsid w:val="002D5696"/>
    <w:rsid w:val="002D6668"/>
    <w:rsid w:val="002D6CE4"/>
    <w:rsid w:val="002D6DA4"/>
    <w:rsid w:val="002D7355"/>
    <w:rsid w:val="002D75C0"/>
    <w:rsid w:val="002D7B60"/>
    <w:rsid w:val="002D8EC1"/>
    <w:rsid w:val="002E060E"/>
    <w:rsid w:val="002E164C"/>
    <w:rsid w:val="002E3314"/>
    <w:rsid w:val="002E3675"/>
    <w:rsid w:val="002E3A3B"/>
    <w:rsid w:val="002E3FF4"/>
    <w:rsid w:val="002E43D6"/>
    <w:rsid w:val="002E4415"/>
    <w:rsid w:val="002E4A76"/>
    <w:rsid w:val="002E507A"/>
    <w:rsid w:val="002E5537"/>
    <w:rsid w:val="002E596C"/>
    <w:rsid w:val="002E5981"/>
    <w:rsid w:val="002E59B0"/>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9C4"/>
    <w:rsid w:val="002F39A2"/>
    <w:rsid w:val="002F3C77"/>
    <w:rsid w:val="002F3F7F"/>
    <w:rsid w:val="002F40C4"/>
    <w:rsid w:val="002F4226"/>
    <w:rsid w:val="002F4947"/>
    <w:rsid w:val="002F496E"/>
    <w:rsid w:val="002F5008"/>
    <w:rsid w:val="002F5D92"/>
    <w:rsid w:val="002F6889"/>
    <w:rsid w:val="002F6F32"/>
    <w:rsid w:val="002F72DE"/>
    <w:rsid w:val="0030091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6467"/>
    <w:rsid w:val="003077CB"/>
    <w:rsid w:val="00307AC2"/>
    <w:rsid w:val="00307BA4"/>
    <w:rsid w:val="00307F84"/>
    <w:rsid w:val="00310824"/>
    <w:rsid w:val="00310E11"/>
    <w:rsid w:val="0031151F"/>
    <w:rsid w:val="00311EFE"/>
    <w:rsid w:val="003131F7"/>
    <w:rsid w:val="00313455"/>
    <w:rsid w:val="003137AC"/>
    <w:rsid w:val="00314251"/>
    <w:rsid w:val="003144C5"/>
    <w:rsid w:val="003154F7"/>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57A9"/>
    <w:rsid w:val="00336097"/>
    <w:rsid w:val="00336D57"/>
    <w:rsid w:val="003375D2"/>
    <w:rsid w:val="00337ADD"/>
    <w:rsid w:val="003403D3"/>
    <w:rsid w:val="003411DF"/>
    <w:rsid w:val="0034186D"/>
    <w:rsid w:val="00341DFA"/>
    <w:rsid w:val="00343D19"/>
    <w:rsid w:val="00343F4C"/>
    <w:rsid w:val="0034409E"/>
    <w:rsid w:val="0034430F"/>
    <w:rsid w:val="00344D0C"/>
    <w:rsid w:val="0034522D"/>
    <w:rsid w:val="00345821"/>
    <w:rsid w:val="00345D9F"/>
    <w:rsid w:val="00346995"/>
    <w:rsid w:val="003470DA"/>
    <w:rsid w:val="00347294"/>
    <w:rsid w:val="00347522"/>
    <w:rsid w:val="003475EE"/>
    <w:rsid w:val="003478E4"/>
    <w:rsid w:val="003501F8"/>
    <w:rsid w:val="00350294"/>
    <w:rsid w:val="00351059"/>
    <w:rsid w:val="00351069"/>
    <w:rsid w:val="00351954"/>
    <w:rsid w:val="00351BFE"/>
    <w:rsid w:val="00351EDD"/>
    <w:rsid w:val="00351FFE"/>
    <w:rsid w:val="003521AB"/>
    <w:rsid w:val="00352726"/>
    <w:rsid w:val="003534D8"/>
    <w:rsid w:val="0035382E"/>
    <w:rsid w:val="00353DDB"/>
    <w:rsid w:val="0035484A"/>
    <w:rsid w:val="00354B22"/>
    <w:rsid w:val="00354C4A"/>
    <w:rsid w:val="00354F22"/>
    <w:rsid w:val="00354FB1"/>
    <w:rsid w:val="00355922"/>
    <w:rsid w:val="003563FC"/>
    <w:rsid w:val="0035667E"/>
    <w:rsid w:val="0035676A"/>
    <w:rsid w:val="00356C00"/>
    <w:rsid w:val="00356D0E"/>
    <w:rsid w:val="003577B5"/>
    <w:rsid w:val="00360ABA"/>
    <w:rsid w:val="00361363"/>
    <w:rsid w:val="00361521"/>
    <w:rsid w:val="00362244"/>
    <w:rsid w:val="00362A8C"/>
    <w:rsid w:val="00363FEA"/>
    <w:rsid w:val="00364139"/>
    <w:rsid w:val="003644AE"/>
    <w:rsid w:val="00364E6F"/>
    <w:rsid w:val="003658FC"/>
    <w:rsid w:val="0036631D"/>
    <w:rsid w:val="003664E6"/>
    <w:rsid w:val="0036692F"/>
    <w:rsid w:val="003673F9"/>
    <w:rsid w:val="00367518"/>
    <w:rsid w:val="00367B85"/>
    <w:rsid w:val="00367D00"/>
    <w:rsid w:val="00367DA2"/>
    <w:rsid w:val="00370908"/>
    <w:rsid w:val="003711A2"/>
    <w:rsid w:val="00372262"/>
    <w:rsid w:val="00372E5C"/>
    <w:rsid w:val="0037368E"/>
    <w:rsid w:val="00373791"/>
    <w:rsid w:val="00373AE2"/>
    <w:rsid w:val="0037434B"/>
    <w:rsid w:val="003746C3"/>
    <w:rsid w:val="00374DB8"/>
    <w:rsid w:val="00375609"/>
    <w:rsid w:val="0037591F"/>
    <w:rsid w:val="00375C4D"/>
    <w:rsid w:val="003766CB"/>
    <w:rsid w:val="0037695F"/>
    <w:rsid w:val="00376DF2"/>
    <w:rsid w:val="0037705B"/>
    <w:rsid w:val="003778D5"/>
    <w:rsid w:val="00377B44"/>
    <w:rsid w:val="00377DC9"/>
    <w:rsid w:val="00380D5A"/>
    <w:rsid w:val="0038113D"/>
    <w:rsid w:val="00381B64"/>
    <w:rsid w:val="00382991"/>
    <w:rsid w:val="00382D9D"/>
    <w:rsid w:val="00382EBA"/>
    <w:rsid w:val="00383B8B"/>
    <w:rsid w:val="003842BD"/>
    <w:rsid w:val="003842E5"/>
    <w:rsid w:val="00384812"/>
    <w:rsid w:val="00385404"/>
    <w:rsid w:val="00385624"/>
    <w:rsid w:val="00386B5F"/>
    <w:rsid w:val="00387134"/>
    <w:rsid w:val="0038746B"/>
    <w:rsid w:val="003874DA"/>
    <w:rsid w:val="00387874"/>
    <w:rsid w:val="0038BF7E"/>
    <w:rsid w:val="00390AF4"/>
    <w:rsid w:val="0039109E"/>
    <w:rsid w:val="003919C6"/>
    <w:rsid w:val="00391BAB"/>
    <w:rsid w:val="00391F32"/>
    <w:rsid w:val="0039282B"/>
    <w:rsid w:val="00392F65"/>
    <w:rsid w:val="0039331C"/>
    <w:rsid w:val="003933ED"/>
    <w:rsid w:val="003935F6"/>
    <w:rsid w:val="00393E17"/>
    <w:rsid w:val="0039426C"/>
    <w:rsid w:val="003943F7"/>
    <w:rsid w:val="00394460"/>
    <w:rsid w:val="00394FC5"/>
    <w:rsid w:val="00394FE6"/>
    <w:rsid w:val="003955D5"/>
    <w:rsid w:val="0039569D"/>
    <w:rsid w:val="00395A73"/>
    <w:rsid w:val="00395B67"/>
    <w:rsid w:val="00396947"/>
    <w:rsid w:val="003A09EE"/>
    <w:rsid w:val="003A162B"/>
    <w:rsid w:val="003A2C9A"/>
    <w:rsid w:val="003A2D5C"/>
    <w:rsid w:val="003A3179"/>
    <w:rsid w:val="003A37F0"/>
    <w:rsid w:val="003A3BC1"/>
    <w:rsid w:val="003A3C23"/>
    <w:rsid w:val="003A3E1F"/>
    <w:rsid w:val="003A453F"/>
    <w:rsid w:val="003A574E"/>
    <w:rsid w:val="003A63B3"/>
    <w:rsid w:val="003A7085"/>
    <w:rsid w:val="003A743A"/>
    <w:rsid w:val="003A7491"/>
    <w:rsid w:val="003A75A8"/>
    <w:rsid w:val="003B092C"/>
    <w:rsid w:val="003B0C76"/>
    <w:rsid w:val="003B13F8"/>
    <w:rsid w:val="003B1B48"/>
    <w:rsid w:val="003B2118"/>
    <w:rsid w:val="003B3C48"/>
    <w:rsid w:val="003B4254"/>
    <w:rsid w:val="003B4304"/>
    <w:rsid w:val="003B4514"/>
    <w:rsid w:val="003B5979"/>
    <w:rsid w:val="003B5E42"/>
    <w:rsid w:val="003B6789"/>
    <w:rsid w:val="003B72E2"/>
    <w:rsid w:val="003B72ED"/>
    <w:rsid w:val="003B7831"/>
    <w:rsid w:val="003B7CB1"/>
    <w:rsid w:val="003C0358"/>
    <w:rsid w:val="003C0454"/>
    <w:rsid w:val="003C0976"/>
    <w:rsid w:val="003C0F02"/>
    <w:rsid w:val="003C2A99"/>
    <w:rsid w:val="003C358F"/>
    <w:rsid w:val="003C3782"/>
    <w:rsid w:val="003C436C"/>
    <w:rsid w:val="003C49F8"/>
    <w:rsid w:val="003C4F2D"/>
    <w:rsid w:val="003C57F5"/>
    <w:rsid w:val="003C58EC"/>
    <w:rsid w:val="003C5F26"/>
    <w:rsid w:val="003C6A41"/>
    <w:rsid w:val="003C6D32"/>
    <w:rsid w:val="003C6F68"/>
    <w:rsid w:val="003C6F91"/>
    <w:rsid w:val="003C7660"/>
    <w:rsid w:val="003C7C9C"/>
    <w:rsid w:val="003C7F4F"/>
    <w:rsid w:val="003D0ED1"/>
    <w:rsid w:val="003D1072"/>
    <w:rsid w:val="003D1AE8"/>
    <w:rsid w:val="003D1BFF"/>
    <w:rsid w:val="003D287C"/>
    <w:rsid w:val="003D391E"/>
    <w:rsid w:val="003D391F"/>
    <w:rsid w:val="003D3999"/>
    <w:rsid w:val="003D3F16"/>
    <w:rsid w:val="003D4BE0"/>
    <w:rsid w:val="003D4CAD"/>
    <w:rsid w:val="003D5C49"/>
    <w:rsid w:val="003D7134"/>
    <w:rsid w:val="003D7A7F"/>
    <w:rsid w:val="003D7CF2"/>
    <w:rsid w:val="003E0811"/>
    <w:rsid w:val="003E1371"/>
    <w:rsid w:val="003E1795"/>
    <w:rsid w:val="003E232F"/>
    <w:rsid w:val="003E23B4"/>
    <w:rsid w:val="003E27E8"/>
    <w:rsid w:val="003E2A75"/>
    <w:rsid w:val="003E2C7E"/>
    <w:rsid w:val="003E3922"/>
    <w:rsid w:val="003E44F4"/>
    <w:rsid w:val="003E45DF"/>
    <w:rsid w:val="003E4CB8"/>
    <w:rsid w:val="003E5358"/>
    <w:rsid w:val="003E551A"/>
    <w:rsid w:val="003E597C"/>
    <w:rsid w:val="003E5EF9"/>
    <w:rsid w:val="003E5F51"/>
    <w:rsid w:val="003E63D7"/>
    <w:rsid w:val="003E64BB"/>
    <w:rsid w:val="003E73B7"/>
    <w:rsid w:val="003F0057"/>
    <w:rsid w:val="003F06C4"/>
    <w:rsid w:val="003F0938"/>
    <w:rsid w:val="003F13A6"/>
    <w:rsid w:val="003F211B"/>
    <w:rsid w:val="003F2355"/>
    <w:rsid w:val="003F2B45"/>
    <w:rsid w:val="003F2DCE"/>
    <w:rsid w:val="003F369E"/>
    <w:rsid w:val="003F386C"/>
    <w:rsid w:val="003F3965"/>
    <w:rsid w:val="003F3E6C"/>
    <w:rsid w:val="003F414E"/>
    <w:rsid w:val="003F47FD"/>
    <w:rsid w:val="003F50CF"/>
    <w:rsid w:val="003F5604"/>
    <w:rsid w:val="003F61E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B62"/>
    <w:rsid w:val="0041102C"/>
    <w:rsid w:val="00411CB7"/>
    <w:rsid w:val="00412279"/>
    <w:rsid w:val="00414A50"/>
    <w:rsid w:val="004166DE"/>
    <w:rsid w:val="004167A1"/>
    <w:rsid w:val="0041691B"/>
    <w:rsid w:val="00416C6F"/>
    <w:rsid w:val="00416CC7"/>
    <w:rsid w:val="004217A0"/>
    <w:rsid w:val="00421FEB"/>
    <w:rsid w:val="004224F5"/>
    <w:rsid w:val="004225A0"/>
    <w:rsid w:val="0042273E"/>
    <w:rsid w:val="00422A6C"/>
    <w:rsid w:val="00423820"/>
    <w:rsid w:val="0042478D"/>
    <w:rsid w:val="004247F6"/>
    <w:rsid w:val="00424C1C"/>
    <w:rsid w:val="00425369"/>
    <w:rsid w:val="004256B2"/>
    <w:rsid w:val="00425901"/>
    <w:rsid w:val="00426B59"/>
    <w:rsid w:val="00426EC7"/>
    <w:rsid w:val="00427366"/>
    <w:rsid w:val="00430B66"/>
    <w:rsid w:val="00430C99"/>
    <w:rsid w:val="00432F49"/>
    <w:rsid w:val="004334BB"/>
    <w:rsid w:val="0043419D"/>
    <w:rsid w:val="00434A5B"/>
    <w:rsid w:val="00434B14"/>
    <w:rsid w:val="00434FE6"/>
    <w:rsid w:val="004351D7"/>
    <w:rsid w:val="0043524B"/>
    <w:rsid w:val="004352F7"/>
    <w:rsid w:val="00435BC8"/>
    <w:rsid w:val="00435DF4"/>
    <w:rsid w:val="004366AF"/>
    <w:rsid w:val="004368E7"/>
    <w:rsid w:val="00437041"/>
    <w:rsid w:val="004372CF"/>
    <w:rsid w:val="004375BA"/>
    <w:rsid w:val="00437839"/>
    <w:rsid w:val="00437DE2"/>
    <w:rsid w:val="00437EC1"/>
    <w:rsid w:val="00440CAA"/>
    <w:rsid w:val="00440CE9"/>
    <w:rsid w:val="004416D8"/>
    <w:rsid w:val="00441F78"/>
    <w:rsid w:val="00441FD2"/>
    <w:rsid w:val="00442330"/>
    <w:rsid w:val="0044265E"/>
    <w:rsid w:val="00442AF2"/>
    <w:rsid w:val="00442D28"/>
    <w:rsid w:val="00442E9E"/>
    <w:rsid w:val="00443701"/>
    <w:rsid w:val="00443939"/>
    <w:rsid w:val="00444839"/>
    <w:rsid w:val="00444F53"/>
    <w:rsid w:val="00444FCF"/>
    <w:rsid w:val="004450A4"/>
    <w:rsid w:val="004460B0"/>
    <w:rsid w:val="004463EC"/>
    <w:rsid w:val="00446884"/>
    <w:rsid w:val="00446B51"/>
    <w:rsid w:val="004475B0"/>
    <w:rsid w:val="0044775D"/>
    <w:rsid w:val="00450151"/>
    <w:rsid w:val="004503B7"/>
    <w:rsid w:val="00450A67"/>
    <w:rsid w:val="00451B9F"/>
    <w:rsid w:val="00451ECC"/>
    <w:rsid w:val="004524A5"/>
    <w:rsid w:val="0045329A"/>
    <w:rsid w:val="0045383B"/>
    <w:rsid w:val="00453CFC"/>
    <w:rsid w:val="00454469"/>
    <w:rsid w:val="00455DCD"/>
    <w:rsid w:val="00456BF5"/>
    <w:rsid w:val="0045788A"/>
    <w:rsid w:val="00457915"/>
    <w:rsid w:val="004603D8"/>
    <w:rsid w:val="00460832"/>
    <w:rsid w:val="004610CA"/>
    <w:rsid w:val="00461112"/>
    <w:rsid w:val="004611BE"/>
    <w:rsid w:val="0046187D"/>
    <w:rsid w:val="00461918"/>
    <w:rsid w:val="0046281C"/>
    <w:rsid w:val="0046287B"/>
    <w:rsid w:val="00463760"/>
    <w:rsid w:val="00463DB1"/>
    <w:rsid w:val="00463F19"/>
    <w:rsid w:val="004649EE"/>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4498"/>
    <w:rsid w:val="00474F8A"/>
    <w:rsid w:val="00475824"/>
    <w:rsid w:val="004760C1"/>
    <w:rsid w:val="00476489"/>
    <w:rsid w:val="00476509"/>
    <w:rsid w:val="0047688B"/>
    <w:rsid w:val="004772C9"/>
    <w:rsid w:val="0048014B"/>
    <w:rsid w:val="004804E2"/>
    <w:rsid w:val="00480D83"/>
    <w:rsid w:val="00480E3D"/>
    <w:rsid w:val="004810A9"/>
    <w:rsid w:val="00481281"/>
    <w:rsid w:val="00481716"/>
    <w:rsid w:val="00481AB9"/>
    <w:rsid w:val="00482395"/>
    <w:rsid w:val="004827A2"/>
    <w:rsid w:val="00482E6E"/>
    <w:rsid w:val="004843DF"/>
    <w:rsid w:val="00484922"/>
    <w:rsid w:val="00484DBC"/>
    <w:rsid w:val="004854D4"/>
    <w:rsid w:val="00485760"/>
    <w:rsid w:val="0048596C"/>
    <w:rsid w:val="00485BCF"/>
    <w:rsid w:val="00486675"/>
    <w:rsid w:val="00490747"/>
    <w:rsid w:val="00490D77"/>
    <w:rsid w:val="00491186"/>
    <w:rsid w:val="004914AC"/>
    <w:rsid w:val="00492518"/>
    <w:rsid w:val="00492821"/>
    <w:rsid w:val="00492DFB"/>
    <w:rsid w:val="0049436C"/>
    <w:rsid w:val="0049451F"/>
    <w:rsid w:val="00494712"/>
    <w:rsid w:val="00495413"/>
    <w:rsid w:val="00495AB0"/>
    <w:rsid w:val="00495CE1"/>
    <w:rsid w:val="00496463"/>
    <w:rsid w:val="00496F77"/>
    <w:rsid w:val="0049750D"/>
    <w:rsid w:val="00497B00"/>
    <w:rsid w:val="004A09C9"/>
    <w:rsid w:val="004A0D10"/>
    <w:rsid w:val="004A1639"/>
    <w:rsid w:val="004A16D7"/>
    <w:rsid w:val="004A1947"/>
    <w:rsid w:val="004A1B96"/>
    <w:rsid w:val="004A21DB"/>
    <w:rsid w:val="004A2880"/>
    <w:rsid w:val="004A2918"/>
    <w:rsid w:val="004A312F"/>
    <w:rsid w:val="004A3249"/>
    <w:rsid w:val="004A45EE"/>
    <w:rsid w:val="004A4638"/>
    <w:rsid w:val="004A4814"/>
    <w:rsid w:val="004A4899"/>
    <w:rsid w:val="004A615C"/>
    <w:rsid w:val="004A6429"/>
    <w:rsid w:val="004A64F9"/>
    <w:rsid w:val="004A6F5E"/>
    <w:rsid w:val="004A700B"/>
    <w:rsid w:val="004A707C"/>
    <w:rsid w:val="004A7699"/>
    <w:rsid w:val="004A772A"/>
    <w:rsid w:val="004B0724"/>
    <w:rsid w:val="004B0915"/>
    <w:rsid w:val="004B094F"/>
    <w:rsid w:val="004B0ACA"/>
    <w:rsid w:val="004B0C5F"/>
    <w:rsid w:val="004B1629"/>
    <w:rsid w:val="004B1F06"/>
    <w:rsid w:val="004B22CC"/>
    <w:rsid w:val="004B24CB"/>
    <w:rsid w:val="004B3203"/>
    <w:rsid w:val="004B3556"/>
    <w:rsid w:val="004B3FB4"/>
    <w:rsid w:val="004B44D9"/>
    <w:rsid w:val="004B4667"/>
    <w:rsid w:val="004B475E"/>
    <w:rsid w:val="004B4BD8"/>
    <w:rsid w:val="004B4E75"/>
    <w:rsid w:val="004B5207"/>
    <w:rsid w:val="004B5E31"/>
    <w:rsid w:val="004B6021"/>
    <w:rsid w:val="004B6212"/>
    <w:rsid w:val="004B691B"/>
    <w:rsid w:val="004B7446"/>
    <w:rsid w:val="004B7BD7"/>
    <w:rsid w:val="004C0190"/>
    <w:rsid w:val="004C0672"/>
    <w:rsid w:val="004C10EA"/>
    <w:rsid w:val="004C17FA"/>
    <w:rsid w:val="004C18E4"/>
    <w:rsid w:val="004C2236"/>
    <w:rsid w:val="004C24CD"/>
    <w:rsid w:val="004C26B5"/>
    <w:rsid w:val="004C27D3"/>
    <w:rsid w:val="004C37D0"/>
    <w:rsid w:val="004C4211"/>
    <w:rsid w:val="004C4AC5"/>
    <w:rsid w:val="004C529A"/>
    <w:rsid w:val="004C56A3"/>
    <w:rsid w:val="004C56F2"/>
    <w:rsid w:val="004C59DE"/>
    <w:rsid w:val="004C5A7C"/>
    <w:rsid w:val="004C61FD"/>
    <w:rsid w:val="004C68A1"/>
    <w:rsid w:val="004C6A1A"/>
    <w:rsid w:val="004C72D8"/>
    <w:rsid w:val="004C72F7"/>
    <w:rsid w:val="004C753C"/>
    <w:rsid w:val="004C75F7"/>
    <w:rsid w:val="004D09B4"/>
    <w:rsid w:val="004D0BE0"/>
    <w:rsid w:val="004D1581"/>
    <w:rsid w:val="004D17FE"/>
    <w:rsid w:val="004D18DE"/>
    <w:rsid w:val="004D22EA"/>
    <w:rsid w:val="004D26A6"/>
    <w:rsid w:val="004D2DF5"/>
    <w:rsid w:val="004D2E6B"/>
    <w:rsid w:val="004D31BE"/>
    <w:rsid w:val="004D3419"/>
    <w:rsid w:val="004D476A"/>
    <w:rsid w:val="004D4F55"/>
    <w:rsid w:val="004D5A76"/>
    <w:rsid w:val="004D5ADB"/>
    <w:rsid w:val="004D6C6F"/>
    <w:rsid w:val="004D7ECE"/>
    <w:rsid w:val="004E0B21"/>
    <w:rsid w:val="004E1D50"/>
    <w:rsid w:val="004E2692"/>
    <w:rsid w:val="004E2D60"/>
    <w:rsid w:val="004E31EE"/>
    <w:rsid w:val="004E3DD7"/>
    <w:rsid w:val="004E44C4"/>
    <w:rsid w:val="004E4E4C"/>
    <w:rsid w:val="004E5BEF"/>
    <w:rsid w:val="004E5C8C"/>
    <w:rsid w:val="004E62F8"/>
    <w:rsid w:val="004E6D45"/>
    <w:rsid w:val="004E739D"/>
    <w:rsid w:val="004E74A3"/>
    <w:rsid w:val="004E74CE"/>
    <w:rsid w:val="004E7A9C"/>
    <w:rsid w:val="004F005F"/>
    <w:rsid w:val="004F00A1"/>
    <w:rsid w:val="004F040F"/>
    <w:rsid w:val="004F08A4"/>
    <w:rsid w:val="004F0E8B"/>
    <w:rsid w:val="004F13A9"/>
    <w:rsid w:val="004F1608"/>
    <w:rsid w:val="004F19C8"/>
    <w:rsid w:val="004F2094"/>
    <w:rsid w:val="004F233D"/>
    <w:rsid w:val="004F2B1B"/>
    <w:rsid w:val="004F32B2"/>
    <w:rsid w:val="004F33A1"/>
    <w:rsid w:val="004F3457"/>
    <w:rsid w:val="004F3A23"/>
    <w:rsid w:val="004F4648"/>
    <w:rsid w:val="004F48B8"/>
    <w:rsid w:val="004F58B5"/>
    <w:rsid w:val="004F5BE1"/>
    <w:rsid w:val="004F6235"/>
    <w:rsid w:val="004F645A"/>
    <w:rsid w:val="004F648E"/>
    <w:rsid w:val="004F69A2"/>
    <w:rsid w:val="004F6EE9"/>
    <w:rsid w:val="004F7652"/>
    <w:rsid w:val="004F7750"/>
    <w:rsid w:val="004F7B15"/>
    <w:rsid w:val="004F7CA7"/>
    <w:rsid w:val="004F7E91"/>
    <w:rsid w:val="005001CE"/>
    <w:rsid w:val="005008BD"/>
    <w:rsid w:val="00500902"/>
    <w:rsid w:val="00500916"/>
    <w:rsid w:val="00500E21"/>
    <w:rsid w:val="00501AAA"/>
    <w:rsid w:val="00502003"/>
    <w:rsid w:val="00502914"/>
    <w:rsid w:val="0050292D"/>
    <w:rsid w:val="00502F28"/>
    <w:rsid w:val="0050316D"/>
    <w:rsid w:val="00503B65"/>
    <w:rsid w:val="00503DE5"/>
    <w:rsid w:val="00504D2B"/>
    <w:rsid w:val="00505D34"/>
    <w:rsid w:val="00506419"/>
    <w:rsid w:val="00506643"/>
    <w:rsid w:val="00506707"/>
    <w:rsid w:val="00506791"/>
    <w:rsid w:val="00507137"/>
    <w:rsid w:val="005074D6"/>
    <w:rsid w:val="00510469"/>
    <w:rsid w:val="00511135"/>
    <w:rsid w:val="00511453"/>
    <w:rsid w:val="00511C8F"/>
    <w:rsid w:val="00511D5D"/>
    <w:rsid w:val="005125FD"/>
    <w:rsid w:val="005128E2"/>
    <w:rsid w:val="00513808"/>
    <w:rsid w:val="00514819"/>
    <w:rsid w:val="0051487A"/>
    <w:rsid w:val="00514A8C"/>
    <w:rsid w:val="00514E5D"/>
    <w:rsid w:val="005150F2"/>
    <w:rsid w:val="00516423"/>
    <w:rsid w:val="00517047"/>
    <w:rsid w:val="005170C3"/>
    <w:rsid w:val="00517656"/>
    <w:rsid w:val="0051766B"/>
    <w:rsid w:val="00517BCD"/>
    <w:rsid w:val="00517D8B"/>
    <w:rsid w:val="00517F56"/>
    <w:rsid w:val="00517FAF"/>
    <w:rsid w:val="00519A1A"/>
    <w:rsid w:val="00520414"/>
    <w:rsid w:val="00520E0C"/>
    <w:rsid w:val="00521271"/>
    <w:rsid w:val="00521523"/>
    <w:rsid w:val="005219A7"/>
    <w:rsid w:val="00521D24"/>
    <w:rsid w:val="005222E3"/>
    <w:rsid w:val="005227A0"/>
    <w:rsid w:val="00522F6F"/>
    <w:rsid w:val="00522FE7"/>
    <w:rsid w:val="00523460"/>
    <w:rsid w:val="00523BCC"/>
    <w:rsid w:val="00523DBF"/>
    <w:rsid w:val="00524226"/>
    <w:rsid w:val="00524456"/>
    <w:rsid w:val="0052536C"/>
    <w:rsid w:val="0052571B"/>
    <w:rsid w:val="00525EC7"/>
    <w:rsid w:val="00526539"/>
    <w:rsid w:val="0052689A"/>
    <w:rsid w:val="00526F1C"/>
    <w:rsid w:val="00527231"/>
    <w:rsid w:val="00527CCB"/>
    <w:rsid w:val="00530929"/>
    <w:rsid w:val="00530932"/>
    <w:rsid w:val="00530990"/>
    <w:rsid w:val="00530AE9"/>
    <w:rsid w:val="00532735"/>
    <w:rsid w:val="00533DDE"/>
    <w:rsid w:val="005350C6"/>
    <w:rsid w:val="0053526E"/>
    <w:rsid w:val="005356F0"/>
    <w:rsid w:val="00535F53"/>
    <w:rsid w:val="005368D1"/>
    <w:rsid w:val="005369E0"/>
    <w:rsid w:val="00537013"/>
    <w:rsid w:val="005374D1"/>
    <w:rsid w:val="005375A7"/>
    <w:rsid w:val="005377B6"/>
    <w:rsid w:val="0053793E"/>
    <w:rsid w:val="00540203"/>
    <w:rsid w:val="0054056A"/>
    <w:rsid w:val="005405BD"/>
    <w:rsid w:val="00541278"/>
    <w:rsid w:val="0054132B"/>
    <w:rsid w:val="0054152A"/>
    <w:rsid w:val="00542059"/>
    <w:rsid w:val="00542CDD"/>
    <w:rsid w:val="00542CDF"/>
    <w:rsid w:val="00543DDF"/>
    <w:rsid w:val="00544062"/>
    <w:rsid w:val="005458B7"/>
    <w:rsid w:val="00546C50"/>
    <w:rsid w:val="0054727D"/>
    <w:rsid w:val="00547421"/>
    <w:rsid w:val="005478C8"/>
    <w:rsid w:val="00547997"/>
    <w:rsid w:val="00547C17"/>
    <w:rsid w:val="00547D33"/>
    <w:rsid w:val="005500E1"/>
    <w:rsid w:val="00550A8B"/>
    <w:rsid w:val="00550B90"/>
    <w:rsid w:val="00550BC4"/>
    <w:rsid w:val="00550CFB"/>
    <w:rsid w:val="00551789"/>
    <w:rsid w:val="00552148"/>
    <w:rsid w:val="00552308"/>
    <w:rsid w:val="005526F4"/>
    <w:rsid w:val="005527D0"/>
    <w:rsid w:val="00552CFD"/>
    <w:rsid w:val="005531CD"/>
    <w:rsid w:val="00553751"/>
    <w:rsid w:val="00553D15"/>
    <w:rsid w:val="00553DFB"/>
    <w:rsid w:val="0055428B"/>
    <w:rsid w:val="00554EA8"/>
    <w:rsid w:val="00554ECB"/>
    <w:rsid w:val="0055504A"/>
    <w:rsid w:val="005556C1"/>
    <w:rsid w:val="00555BA6"/>
    <w:rsid w:val="0055634E"/>
    <w:rsid w:val="0055651E"/>
    <w:rsid w:val="00556978"/>
    <w:rsid w:val="00556C14"/>
    <w:rsid w:val="00556D23"/>
    <w:rsid w:val="005570E2"/>
    <w:rsid w:val="00557313"/>
    <w:rsid w:val="0055798A"/>
    <w:rsid w:val="00557C6B"/>
    <w:rsid w:val="00557C8A"/>
    <w:rsid w:val="00560686"/>
    <w:rsid w:val="00560CF3"/>
    <w:rsid w:val="00561C7F"/>
    <w:rsid w:val="00561F2E"/>
    <w:rsid w:val="00561F54"/>
    <w:rsid w:val="0056220B"/>
    <w:rsid w:val="0056272A"/>
    <w:rsid w:val="00562C39"/>
    <w:rsid w:val="00562F83"/>
    <w:rsid w:val="00563428"/>
    <w:rsid w:val="005636F6"/>
    <w:rsid w:val="00564562"/>
    <w:rsid w:val="00564886"/>
    <w:rsid w:val="00564F8E"/>
    <w:rsid w:val="005650D2"/>
    <w:rsid w:val="00565309"/>
    <w:rsid w:val="00565D1B"/>
    <w:rsid w:val="005667E7"/>
    <w:rsid w:val="005669FC"/>
    <w:rsid w:val="00566D0C"/>
    <w:rsid w:val="00566F7E"/>
    <w:rsid w:val="00567DBB"/>
    <w:rsid w:val="00570364"/>
    <w:rsid w:val="00571CCC"/>
    <w:rsid w:val="0057463E"/>
    <w:rsid w:val="00574762"/>
    <w:rsid w:val="005752E5"/>
    <w:rsid w:val="00575506"/>
    <w:rsid w:val="00575C3B"/>
    <w:rsid w:val="00575C93"/>
    <w:rsid w:val="00575DC0"/>
    <w:rsid w:val="00577299"/>
    <w:rsid w:val="00577789"/>
    <w:rsid w:val="0057790B"/>
    <w:rsid w:val="005802C4"/>
    <w:rsid w:val="005805F6"/>
    <w:rsid w:val="0058100B"/>
    <w:rsid w:val="005817E2"/>
    <w:rsid w:val="005819F1"/>
    <w:rsid w:val="00581E53"/>
    <w:rsid w:val="0058256E"/>
    <w:rsid w:val="005827EA"/>
    <w:rsid w:val="0058283E"/>
    <w:rsid w:val="00582DB4"/>
    <w:rsid w:val="00583701"/>
    <w:rsid w:val="00583CC3"/>
    <w:rsid w:val="00583DBE"/>
    <w:rsid w:val="0058524C"/>
    <w:rsid w:val="0058669C"/>
    <w:rsid w:val="00586783"/>
    <w:rsid w:val="0059126B"/>
    <w:rsid w:val="00591B77"/>
    <w:rsid w:val="00591F63"/>
    <w:rsid w:val="00592DF8"/>
    <w:rsid w:val="00592E91"/>
    <w:rsid w:val="00592EAF"/>
    <w:rsid w:val="005930FB"/>
    <w:rsid w:val="005936A3"/>
    <w:rsid w:val="005940CB"/>
    <w:rsid w:val="00594C08"/>
    <w:rsid w:val="00594EF1"/>
    <w:rsid w:val="005950BF"/>
    <w:rsid w:val="0059562D"/>
    <w:rsid w:val="00595A00"/>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D0D"/>
    <w:rsid w:val="005A4F8A"/>
    <w:rsid w:val="005A5B67"/>
    <w:rsid w:val="005A5E37"/>
    <w:rsid w:val="005A61CE"/>
    <w:rsid w:val="005A69E2"/>
    <w:rsid w:val="005A6EC9"/>
    <w:rsid w:val="005A7861"/>
    <w:rsid w:val="005A7B5C"/>
    <w:rsid w:val="005A7B6D"/>
    <w:rsid w:val="005A7BF0"/>
    <w:rsid w:val="005A7EB9"/>
    <w:rsid w:val="005A7FDA"/>
    <w:rsid w:val="005B0EBA"/>
    <w:rsid w:val="005B1967"/>
    <w:rsid w:val="005B2298"/>
    <w:rsid w:val="005B2B20"/>
    <w:rsid w:val="005B31FC"/>
    <w:rsid w:val="005B34E2"/>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4F6"/>
    <w:rsid w:val="005C6D75"/>
    <w:rsid w:val="005C6E4D"/>
    <w:rsid w:val="005C6F40"/>
    <w:rsid w:val="005C6F76"/>
    <w:rsid w:val="005C70ED"/>
    <w:rsid w:val="005C773D"/>
    <w:rsid w:val="005C793E"/>
    <w:rsid w:val="005D00CC"/>
    <w:rsid w:val="005D01BF"/>
    <w:rsid w:val="005D0218"/>
    <w:rsid w:val="005D0C05"/>
    <w:rsid w:val="005D2B44"/>
    <w:rsid w:val="005D2DE2"/>
    <w:rsid w:val="005D38AF"/>
    <w:rsid w:val="005D3D9E"/>
    <w:rsid w:val="005D3EA2"/>
    <w:rsid w:val="005D3F42"/>
    <w:rsid w:val="005D4898"/>
    <w:rsid w:val="005D4DB5"/>
    <w:rsid w:val="005D59FF"/>
    <w:rsid w:val="005D6221"/>
    <w:rsid w:val="005D6257"/>
    <w:rsid w:val="005D65AE"/>
    <w:rsid w:val="005D66B7"/>
    <w:rsid w:val="005D7AD4"/>
    <w:rsid w:val="005DD12F"/>
    <w:rsid w:val="005E0CA8"/>
    <w:rsid w:val="005E0E7B"/>
    <w:rsid w:val="005E1234"/>
    <w:rsid w:val="005E1BCA"/>
    <w:rsid w:val="005E2069"/>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76AB"/>
    <w:rsid w:val="005E7D7D"/>
    <w:rsid w:val="005E7E5C"/>
    <w:rsid w:val="005F009D"/>
    <w:rsid w:val="005F0C73"/>
    <w:rsid w:val="005F121F"/>
    <w:rsid w:val="005F1354"/>
    <w:rsid w:val="005F28B0"/>
    <w:rsid w:val="005F2A30"/>
    <w:rsid w:val="005F31F7"/>
    <w:rsid w:val="005F3309"/>
    <w:rsid w:val="005F418C"/>
    <w:rsid w:val="005F41BF"/>
    <w:rsid w:val="005F4F70"/>
    <w:rsid w:val="005F5017"/>
    <w:rsid w:val="005F521A"/>
    <w:rsid w:val="005F523A"/>
    <w:rsid w:val="005F5B57"/>
    <w:rsid w:val="005F62DB"/>
    <w:rsid w:val="005F6BDA"/>
    <w:rsid w:val="005F6F11"/>
    <w:rsid w:val="005F77C2"/>
    <w:rsid w:val="00600A9C"/>
    <w:rsid w:val="00600C13"/>
    <w:rsid w:val="006014FF"/>
    <w:rsid w:val="00602286"/>
    <w:rsid w:val="00603F9A"/>
    <w:rsid w:val="006042D6"/>
    <w:rsid w:val="00604D6B"/>
    <w:rsid w:val="0060533F"/>
    <w:rsid w:val="006056DA"/>
    <w:rsid w:val="00605855"/>
    <w:rsid w:val="00605BD5"/>
    <w:rsid w:val="00606337"/>
    <w:rsid w:val="0060752D"/>
    <w:rsid w:val="0060788F"/>
    <w:rsid w:val="00610D5F"/>
    <w:rsid w:val="00612698"/>
    <w:rsid w:val="00612939"/>
    <w:rsid w:val="00612DA6"/>
    <w:rsid w:val="00614111"/>
    <w:rsid w:val="00614433"/>
    <w:rsid w:val="00614DB1"/>
    <w:rsid w:val="00614E0C"/>
    <w:rsid w:val="00614E12"/>
    <w:rsid w:val="006150CF"/>
    <w:rsid w:val="0061581C"/>
    <w:rsid w:val="00615A39"/>
    <w:rsid w:val="00616DF9"/>
    <w:rsid w:val="006172F7"/>
    <w:rsid w:val="00617573"/>
    <w:rsid w:val="00617B07"/>
    <w:rsid w:val="00620CD6"/>
    <w:rsid w:val="00621071"/>
    <w:rsid w:val="006210CD"/>
    <w:rsid w:val="00621D88"/>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B00"/>
    <w:rsid w:val="00626BFF"/>
    <w:rsid w:val="006274FF"/>
    <w:rsid w:val="006314DF"/>
    <w:rsid w:val="0063185C"/>
    <w:rsid w:val="00631915"/>
    <w:rsid w:val="0063259F"/>
    <w:rsid w:val="00632B70"/>
    <w:rsid w:val="00633118"/>
    <w:rsid w:val="00634127"/>
    <w:rsid w:val="00634BAB"/>
    <w:rsid w:val="006354E0"/>
    <w:rsid w:val="00636FE7"/>
    <w:rsid w:val="00637459"/>
    <w:rsid w:val="006376AA"/>
    <w:rsid w:val="0064092C"/>
    <w:rsid w:val="00640C7F"/>
    <w:rsid w:val="00641BCA"/>
    <w:rsid w:val="00642000"/>
    <w:rsid w:val="0064238F"/>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22F"/>
    <w:rsid w:val="00652852"/>
    <w:rsid w:val="00652F86"/>
    <w:rsid w:val="00652FAD"/>
    <w:rsid w:val="00653A85"/>
    <w:rsid w:val="00653B1D"/>
    <w:rsid w:val="00653FCF"/>
    <w:rsid w:val="0065450C"/>
    <w:rsid w:val="0065486E"/>
    <w:rsid w:val="00654A81"/>
    <w:rsid w:val="00654FB1"/>
    <w:rsid w:val="00655277"/>
    <w:rsid w:val="00655576"/>
    <w:rsid w:val="00655E2A"/>
    <w:rsid w:val="00655E4E"/>
    <w:rsid w:val="0065662E"/>
    <w:rsid w:val="0065689B"/>
    <w:rsid w:val="006570E4"/>
    <w:rsid w:val="00657526"/>
    <w:rsid w:val="006577CE"/>
    <w:rsid w:val="0065F9BE"/>
    <w:rsid w:val="00660B61"/>
    <w:rsid w:val="006613BE"/>
    <w:rsid w:val="00661EBD"/>
    <w:rsid w:val="006622C6"/>
    <w:rsid w:val="006624F3"/>
    <w:rsid w:val="0066279D"/>
    <w:rsid w:val="006633E9"/>
    <w:rsid w:val="006639D1"/>
    <w:rsid w:val="00664D84"/>
    <w:rsid w:val="00666284"/>
    <w:rsid w:val="0066654B"/>
    <w:rsid w:val="006673BE"/>
    <w:rsid w:val="0066758C"/>
    <w:rsid w:val="00667E82"/>
    <w:rsid w:val="00670318"/>
    <w:rsid w:val="00670409"/>
    <w:rsid w:val="006719F6"/>
    <w:rsid w:val="00671BE3"/>
    <w:rsid w:val="0067292F"/>
    <w:rsid w:val="00672F63"/>
    <w:rsid w:val="006736B9"/>
    <w:rsid w:val="0067384D"/>
    <w:rsid w:val="00674058"/>
    <w:rsid w:val="006749DE"/>
    <w:rsid w:val="00674A81"/>
    <w:rsid w:val="00674CD9"/>
    <w:rsid w:val="00675DAD"/>
    <w:rsid w:val="00676208"/>
    <w:rsid w:val="00677792"/>
    <w:rsid w:val="00677ACA"/>
    <w:rsid w:val="00677ED0"/>
    <w:rsid w:val="00680D2D"/>
    <w:rsid w:val="006814E7"/>
    <w:rsid w:val="006815D6"/>
    <w:rsid w:val="00681BEF"/>
    <w:rsid w:val="0068246C"/>
    <w:rsid w:val="00683B58"/>
    <w:rsid w:val="006841CE"/>
    <w:rsid w:val="006842BA"/>
    <w:rsid w:val="006848DD"/>
    <w:rsid w:val="00684BB2"/>
    <w:rsid w:val="00685A3A"/>
    <w:rsid w:val="00685FC1"/>
    <w:rsid w:val="0068622A"/>
    <w:rsid w:val="006862F5"/>
    <w:rsid w:val="006865EA"/>
    <w:rsid w:val="006867A1"/>
    <w:rsid w:val="006868FE"/>
    <w:rsid w:val="00686F26"/>
    <w:rsid w:val="006876F3"/>
    <w:rsid w:val="006903BC"/>
    <w:rsid w:val="00690625"/>
    <w:rsid w:val="00690DBD"/>
    <w:rsid w:val="006914CE"/>
    <w:rsid w:val="00691E5A"/>
    <w:rsid w:val="00692AFE"/>
    <w:rsid w:val="00695099"/>
    <w:rsid w:val="00695116"/>
    <w:rsid w:val="006972AA"/>
    <w:rsid w:val="0069741A"/>
    <w:rsid w:val="00697804"/>
    <w:rsid w:val="00697A96"/>
    <w:rsid w:val="006A02BC"/>
    <w:rsid w:val="006A0499"/>
    <w:rsid w:val="006A04C3"/>
    <w:rsid w:val="006A0536"/>
    <w:rsid w:val="006A0B03"/>
    <w:rsid w:val="006A0EEB"/>
    <w:rsid w:val="006A1783"/>
    <w:rsid w:val="006A27F6"/>
    <w:rsid w:val="006A2D8E"/>
    <w:rsid w:val="006A39BF"/>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FB7"/>
    <w:rsid w:val="006B53F5"/>
    <w:rsid w:val="006B5F53"/>
    <w:rsid w:val="006B639F"/>
    <w:rsid w:val="006B6426"/>
    <w:rsid w:val="006B6E6D"/>
    <w:rsid w:val="006B6EF9"/>
    <w:rsid w:val="006B7A7A"/>
    <w:rsid w:val="006B7E6E"/>
    <w:rsid w:val="006C0122"/>
    <w:rsid w:val="006C0462"/>
    <w:rsid w:val="006C08AF"/>
    <w:rsid w:val="006C1934"/>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6E93"/>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484"/>
    <w:rsid w:val="006D3665"/>
    <w:rsid w:val="006D3AC2"/>
    <w:rsid w:val="006D406D"/>
    <w:rsid w:val="006D426D"/>
    <w:rsid w:val="006D4699"/>
    <w:rsid w:val="006D48C6"/>
    <w:rsid w:val="006D4BC3"/>
    <w:rsid w:val="006D4F68"/>
    <w:rsid w:val="006D4F8C"/>
    <w:rsid w:val="006D5016"/>
    <w:rsid w:val="006D57EF"/>
    <w:rsid w:val="006D58F3"/>
    <w:rsid w:val="006D6263"/>
    <w:rsid w:val="006D63BF"/>
    <w:rsid w:val="006D6796"/>
    <w:rsid w:val="006D7829"/>
    <w:rsid w:val="006D7DDC"/>
    <w:rsid w:val="006E02A0"/>
    <w:rsid w:val="006E0D06"/>
    <w:rsid w:val="006E0FA9"/>
    <w:rsid w:val="006E1A2E"/>
    <w:rsid w:val="006E1C6D"/>
    <w:rsid w:val="006E1C93"/>
    <w:rsid w:val="006E1D3E"/>
    <w:rsid w:val="006E2181"/>
    <w:rsid w:val="006E26FA"/>
    <w:rsid w:val="006E39CA"/>
    <w:rsid w:val="006E3A31"/>
    <w:rsid w:val="006E3C46"/>
    <w:rsid w:val="006E486D"/>
    <w:rsid w:val="006E4FB6"/>
    <w:rsid w:val="006E528C"/>
    <w:rsid w:val="006E54BA"/>
    <w:rsid w:val="006E6458"/>
    <w:rsid w:val="006E6A37"/>
    <w:rsid w:val="006E73CF"/>
    <w:rsid w:val="006E78EA"/>
    <w:rsid w:val="006E7AC8"/>
    <w:rsid w:val="006F0B23"/>
    <w:rsid w:val="006F0EF5"/>
    <w:rsid w:val="006F1C30"/>
    <w:rsid w:val="006F1FEA"/>
    <w:rsid w:val="006F2688"/>
    <w:rsid w:val="006F3BA7"/>
    <w:rsid w:val="006F3D4F"/>
    <w:rsid w:val="006F43D8"/>
    <w:rsid w:val="006F45E5"/>
    <w:rsid w:val="006F530D"/>
    <w:rsid w:val="006F5745"/>
    <w:rsid w:val="006F5928"/>
    <w:rsid w:val="006F7606"/>
    <w:rsid w:val="006F7A7E"/>
    <w:rsid w:val="006F7BC8"/>
    <w:rsid w:val="006F7FE1"/>
    <w:rsid w:val="007001D4"/>
    <w:rsid w:val="00700C77"/>
    <w:rsid w:val="007010A7"/>
    <w:rsid w:val="00701924"/>
    <w:rsid w:val="00701BB8"/>
    <w:rsid w:val="00702945"/>
    <w:rsid w:val="00702A50"/>
    <w:rsid w:val="00702B10"/>
    <w:rsid w:val="00703D0D"/>
    <w:rsid w:val="00704C99"/>
    <w:rsid w:val="00706474"/>
    <w:rsid w:val="007064ED"/>
    <w:rsid w:val="007065FB"/>
    <w:rsid w:val="00706A7D"/>
    <w:rsid w:val="00706E9B"/>
    <w:rsid w:val="00706F6B"/>
    <w:rsid w:val="007076E3"/>
    <w:rsid w:val="00710215"/>
    <w:rsid w:val="00710ABF"/>
    <w:rsid w:val="00710FD3"/>
    <w:rsid w:val="007112E5"/>
    <w:rsid w:val="00711646"/>
    <w:rsid w:val="00711690"/>
    <w:rsid w:val="007117E2"/>
    <w:rsid w:val="00711BB0"/>
    <w:rsid w:val="00711C0E"/>
    <w:rsid w:val="00711D6E"/>
    <w:rsid w:val="00711D95"/>
    <w:rsid w:val="00712969"/>
    <w:rsid w:val="00713476"/>
    <w:rsid w:val="00713722"/>
    <w:rsid w:val="007141D3"/>
    <w:rsid w:val="007145BC"/>
    <w:rsid w:val="00714772"/>
    <w:rsid w:val="00714C2F"/>
    <w:rsid w:val="00714DB8"/>
    <w:rsid w:val="00714E9D"/>
    <w:rsid w:val="0071521A"/>
    <w:rsid w:val="00715596"/>
    <w:rsid w:val="007158FB"/>
    <w:rsid w:val="00715F3C"/>
    <w:rsid w:val="00716100"/>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26A"/>
    <w:rsid w:val="007244A4"/>
    <w:rsid w:val="00724E8F"/>
    <w:rsid w:val="00725176"/>
    <w:rsid w:val="007253B4"/>
    <w:rsid w:val="007257B1"/>
    <w:rsid w:val="00725D1B"/>
    <w:rsid w:val="00725F4A"/>
    <w:rsid w:val="00726EE7"/>
    <w:rsid w:val="00727836"/>
    <w:rsid w:val="00727AF6"/>
    <w:rsid w:val="00727DD5"/>
    <w:rsid w:val="00731794"/>
    <w:rsid w:val="007318FD"/>
    <w:rsid w:val="00731DFB"/>
    <w:rsid w:val="007320F0"/>
    <w:rsid w:val="007325D4"/>
    <w:rsid w:val="00732D97"/>
    <w:rsid w:val="007332D5"/>
    <w:rsid w:val="007336D1"/>
    <w:rsid w:val="00733763"/>
    <w:rsid w:val="00733A20"/>
    <w:rsid w:val="0073404B"/>
    <w:rsid w:val="00734447"/>
    <w:rsid w:val="007346BA"/>
    <w:rsid w:val="007348E2"/>
    <w:rsid w:val="00734B4D"/>
    <w:rsid w:val="00734CC5"/>
    <w:rsid w:val="0073536B"/>
    <w:rsid w:val="007364BB"/>
    <w:rsid w:val="0073690B"/>
    <w:rsid w:val="00736E95"/>
    <w:rsid w:val="00736F55"/>
    <w:rsid w:val="00737B25"/>
    <w:rsid w:val="00737C67"/>
    <w:rsid w:val="00737FED"/>
    <w:rsid w:val="0073FD70"/>
    <w:rsid w:val="00741551"/>
    <w:rsid w:val="00741665"/>
    <w:rsid w:val="00741843"/>
    <w:rsid w:val="00741ABD"/>
    <w:rsid w:val="00742386"/>
    <w:rsid w:val="00742AC7"/>
    <w:rsid w:val="00742C21"/>
    <w:rsid w:val="0074350D"/>
    <w:rsid w:val="00743623"/>
    <w:rsid w:val="00744888"/>
    <w:rsid w:val="007456EA"/>
    <w:rsid w:val="00745954"/>
    <w:rsid w:val="00746464"/>
    <w:rsid w:val="00746D57"/>
    <w:rsid w:val="00746D78"/>
    <w:rsid w:val="0074725F"/>
    <w:rsid w:val="00747278"/>
    <w:rsid w:val="0074742E"/>
    <w:rsid w:val="00747950"/>
    <w:rsid w:val="00747EAE"/>
    <w:rsid w:val="0075074C"/>
    <w:rsid w:val="007510DA"/>
    <w:rsid w:val="0075137E"/>
    <w:rsid w:val="007513EA"/>
    <w:rsid w:val="007517E1"/>
    <w:rsid w:val="0075246B"/>
    <w:rsid w:val="00752AF1"/>
    <w:rsid w:val="007535A5"/>
    <w:rsid w:val="007537AE"/>
    <w:rsid w:val="00753C2B"/>
    <w:rsid w:val="00754272"/>
    <w:rsid w:val="00754431"/>
    <w:rsid w:val="00754665"/>
    <w:rsid w:val="00755BB4"/>
    <w:rsid w:val="00756061"/>
    <w:rsid w:val="007561AC"/>
    <w:rsid w:val="007565A8"/>
    <w:rsid w:val="00756C46"/>
    <w:rsid w:val="00756D42"/>
    <w:rsid w:val="00757386"/>
    <w:rsid w:val="00757D8B"/>
    <w:rsid w:val="00757EB0"/>
    <w:rsid w:val="0076067B"/>
    <w:rsid w:val="007611ED"/>
    <w:rsid w:val="0076265A"/>
    <w:rsid w:val="00762C0A"/>
    <w:rsid w:val="00762FC6"/>
    <w:rsid w:val="00763206"/>
    <w:rsid w:val="00763917"/>
    <w:rsid w:val="00763C7B"/>
    <w:rsid w:val="007645D0"/>
    <w:rsid w:val="00764B3C"/>
    <w:rsid w:val="00764D10"/>
    <w:rsid w:val="00764F69"/>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A10"/>
    <w:rsid w:val="00777B94"/>
    <w:rsid w:val="00777C0B"/>
    <w:rsid w:val="00777EEF"/>
    <w:rsid w:val="00780653"/>
    <w:rsid w:val="007810F1"/>
    <w:rsid w:val="007814E6"/>
    <w:rsid w:val="00781573"/>
    <w:rsid w:val="00781A60"/>
    <w:rsid w:val="00781E29"/>
    <w:rsid w:val="007820AE"/>
    <w:rsid w:val="00782FC7"/>
    <w:rsid w:val="00783218"/>
    <w:rsid w:val="007833EC"/>
    <w:rsid w:val="0078385D"/>
    <w:rsid w:val="0078400E"/>
    <w:rsid w:val="0078485F"/>
    <w:rsid w:val="00785152"/>
    <w:rsid w:val="007859B8"/>
    <w:rsid w:val="00785F79"/>
    <w:rsid w:val="007863D7"/>
    <w:rsid w:val="007864F7"/>
    <w:rsid w:val="00786AF0"/>
    <w:rsid w:val="0078702A"/>
    <w:rsid w:val="007871E1"/>
    <w:rsid w:val="00787388"/>
    <w:rsid w:val="00787455"/>
    <w:rsid w:val="00787621"/>
    <w:rsid w:val="00787ECE"/>
    <w:rsid w:val="00790685"/>
    <w:rsid w:val="00790AC9"/>
    <w:rsid w:val="00790E0D"/>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7"/>
    <w:rsid w:val="0079780B"/>
    <w:rsid w:val="007979C2"/>
    <w:rsid w:val="00797BF0"/>
    <w:rsid w:val="007A0EF4"/>
    <w:rsid w:val="007A14A8"/>
    <w:rsid w:val="007A17B4"/>
    <w:rsid w:val="007A2729"/>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BF0"/>
    <w:rsid w:val="007A7DFE"/>
    <w:rsid w:val="007A7F7E"/>
    <w:rsid w:val="007B02F6"/>
    <w:rsid w:val="007B0589"/>
    <w:rsid w:val="007B1193"/>
    <w:rsid w:val="007B1CA9"/>
    <w:rsid w:val="007B201A"/>
    <w:rsid w:val="007B2232"/>
    <w:rsid w:val="007B2A27"/>
    <w:rsid w:val="007B3CEF"/>
    <w:rsid w:val="007B3F34"/>
    <w:rsid w:val="007B4EC7"/>
    <w:rsid w:val="007B59C2"/>
    <w:rsid w:val="007B5B35"/>
    <w:rsid w:val="007B6EBD"/>
    <w:rsid w:val="007B706D"/>
    <w:rsid w:val="007C07B4"/>
    <w:rsid w:val="007C1295"/>
    <w:rsid w:val="007C1A31"/>
    <w:rsid w:val="007C202E"/>
    <w:rsid w:val="007C265B"/>
    <w:rsid w:val="007C2844"/>
    <w:rsid w:val="007C2CB2"/>
    <w:rsid w:val="007C2D21"/>
    <w:rsid w:val="007C3100"/>
    <w:rsid w:val="007C41C5"/>
    <w:rsid w:val="007C4F6D"/>
    <w:rsid w:val="007C5991"/>
    <w:rsid w:val="007C610C"/>
    <w:rsid w:val="007C72B6"/>
    <w:rsid w:val="007C7504"/>
    <w:rsid w:val="007C7547"/>
    <w:rsid w:val="007D0553"/>
    <w:rsid w:val="007D0975"/>
    <w:rsid w:val="007D1F35"/>
    <w:rsid w:val="007D2D64"/>
    <w:rsid w:val="007D3600"/>
    <w:rsid w:val="007D3A54"/>
    <w:rsid w:val="007D3F4B"/>
    <w:rsid w:val="007D4137"/>
    <w:rsid w:val="007D44DF"/>
    <w:rsid w:val="007D48F9"/>
    <w:rsid w:val="007D49D2"/>
    <w:rsid w:val="007D4F56"/>
    <w:rsid w:val="007D573A"/>
    <w:rsid w:val="007D5791"/>
    <w:rsid w:val="007D6492"/>
    <w:rsid w:val="007D65A0"/>
    <w:rsid w:val="007D6DE4"/>
    <w:rsid w:val="007D740C"/>
    <w:rsid w:val="007D7950"/>
    <w:rsid w:val="007D79A9"/>
    <w:rsid w:val="007E0010"/>
    <w:rsid w:val="007E0B58"/>
    <w:rsid w:val="007E206F"/>
    <w:rsid w:val="007E2405"/>
    <w:rsid w:val="007E2443"/>
    <w:rsid w:val="007E2D93"/>
    <w:rsid w:val="007E313E"/>
    <w:rsid w:val="007E34AE"/>
    <w:rsid w:val="007E35D5"/>
    <w:rsid w:val="007E36FD"/>
    <w:rsid w:val="007E3995"/>
    <w:rsid w:val="007E47BA"/>
    <w:rsid w:val="007E4877"/>
    <w:rsid w:val="007E4AEA"/>
    <w:rsid w:val="007E4E92"/>
    <w:rsid w:val="007E530D"/>
    <w:rsid w:val="007E595C"/>
    <w:rsid w:val="007E5D61"/>
    <w:rsid w:val="007E6F83"/>
    <w:rsid w:val="007E7040"/>
    <w:rsid w:val="007E7396"/>
    <w:rsid w:val="007F0042"/>
    <w:rsid w:val="007F031D"/>
    <w:rsid w:val="007F091A"/>
    <w:rsid w:val="007F09BF"/>
    <w:rsid w:val="007F11A8"/>
    <w:rsid w:val="007F15CE"/>
    <w:rsid w:val="007F264F"/>
    <w:rsid w:val="007F2DF3"/>
    <w:rsid w:val="007F2FD0"/>
    <w:rsid w:val="007F3204"/>
    <w:rsid w:val="007F3704"/>
    <w:rsid w:val="007F3C55"/>
    <w:rsid w:val="007F51C5"/>
    <w:rsid w:val="007F5706"/>
    <w:rsid w:val="007F57F3"/>
    <w:rsid w:val="007F68AC"/>
    <w:rsid w:val="007F6EB6"/>
    <w:rsid w:val="007F749D"/>
    <w:rsid w:val="00800093"/>
    <w:rsid w:val="00800646"/>
    <w:rsid w:val="008006AF"/>
    <w:rsid w:val="00800F03"/>
    <w:rsid w:val="00800F16"/>
    <w:rsid w:val="00800FA1"/>
    <w:rsid w:val="00801178"/>
    <w:rsid w:val="008017F1"/>
    <w:rsid w:val="00801BD8"/>
    <w:rsid w:val="0080268E"/>
    <w:rsid w:val="00802881"/>
    <w:rsid w:val="00802B55"/>
    <w:rsid w:val="00803491"/>
    <w:rsid w:val="008035FA"/>
    <w:rsid w:val="00803687"/>
    <w:rsid w:val="00803A10"/>
    <w:rsid w:val="00803AA9"/>
    <w:rsid w:val="00804048"/>
    <w:rsid w:val="008048AB"/>
    <w:rsid w:val="008053EF"/>
    <w:rsid w:val="008055AC"/>
    <w:rsid w:val="0080568D"/>
    <w:rsid w:val="008056C9"/>
    <w:rsid w:val="008057A2"/>
    <w:rsid w:val="00805A1B"/>
    <w:rsid w:val="00806360"/>
    <w:rsid w:val="008067E6"/>
    <w:rsid w:val="00806C29"/>
    <w:rsid w:val="00806E02"/>
    <w:rsid w:val="00806ED7"/>
    <w:rsid w:val="00807C93"/>
    <w:rsid w:val="0080F46C"/>
    <w:rsid w:val="008102F0"/>
    <w:rsid w:val="008103B5"/>
    <w:rsid w:val="00810843"/>
    <w:rsid w:val="00810B7D"/>
    <w:rsid w:val="00811007"/>
    <w:rsid w:val="00811B27"/>
    <w:rsid w:val="00812780"/>
    <w:rsid w:val="00812D87"/>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554"/>
    <w:rsid w:val="008177D8"/>
    <w:rsid w:val="008179FB"/>
    <w:rsid w:val="00817A9A"/>
    <w:rsid w:val="00817E68"/>
    <w:rsid w:val="0081A2C5"/>
    <w:rsid w:val="00820399"/>
    <w:rsid w:val="0082057E"/>
    <w:rsid w:val="008206F6"/>
    <w:rsid w:val="00820E75"/>
    <w:rsid w:val="00820F48"/>
    <w:rsid w:val="00821126"/>
    <w:rsid w:val="00821C15"/>
    <w:rsid w:val="00822072"/>
    <w:rsid w:val="00822166"/>
    <w:rsid w:val="0082253E"/>
    <w:rsid w:val="00822B10"/>
    <w:rsid w:val="00822C87"/>
    <w:rsid w:val="008233F4"/>
    <w:rsid w:val="0082397A"/>
    <w:rsid w:val="00823D9A"/>
    <w:rsid w:val="00824237"/>
    <w:rsid w:val="008242CC"/>
    <w:rsid w:val="00825B54"/>
    <w:rsid w:val="00825DA2"/>
    <w:rsid w:val="008265D3"/>
    <w:rsid w:val="0082737E"/>
    <w:rsid w:val="008277BA"/>
    <w:rsid w:val="008300A0"/>
    <w:rsid w:val="00830932"/>
    <w:rsid w:val="00831088"/>
    <w:rsid w:val="00831A68"/>
    <w:rsid w:val="008324CD"/>
    <w:rsid w:val="00832881"/>
    <w:rsid w:val="00832D97"/>
    <w:rsid w:val="00833548"/>
    <w:rsid w:val="00833D53"/>
    <w:rsid w:val="008341BE"/>
    <w:rsid w:val="008349B5"/>
    <w:rsid w:val="00835BC2"/>
    <w:rsid w:val="00836C3D"/>
    <w:rsid w:val="00836C7C"/>
    <w:rsid w:val="00836C9E"/>
    <w:rsid w:val="0083731B"/>
    <w:rsid w:val="00840003"/>
    <w:rsid w:val="00840124"/>
    <w:rsid w:val="008403D3"/>
    <w:rsid w:val="0084087B"/>
    <w:rsid w:val="00841130"/>
    <w:rsid w:val="00841595"/>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6A80"/>
    <w:rsid w:val="008471D2"/>
    <w:rsid w:val="00847C80"/>
    <w:rsid w:val="0085004F"/>
    <w:rsid w:val="00852630"/>
    <w:rsid w:val="00852EA6"/>
    <w:rsid w:val="00855B24"/>
    <w:rsid w:val="00856455"/>
    <w:rsid w:val="00856A56"/>
    <w:rsid w:val="00857088"/>
    <w:rsid w:val="00857173"/>
    <w:rsid w:val="0085785F"/>
    <w:rsid w:val="00857AF7"/>
    <w:rsid w:val="00857D73"/>
    <w:rsid w:val="008601DD"/>
    <w:rsid w:val="00860239"/>
    <w:rsid w:val="00860A2A"/>
    <w:rsid w:val="008613C7"/>
    <w:rsid w:val="00861C60"/>
    <w:rsid w:val="0086245F"/>
    <w:rsid w:val="00862536"/>
    <w:rsid w:val="00863858"/>
    <w:rsid w:val="00863F08"/>
    <w:rsid w:val="00864B25"/>
    <w:rsid w:val="0086570B"/>
    <w:rsid w:val="008657F0"/>
    <w:rsid w:val="00865937"/>
    <w:rsid w:val="00866160"/>
    <w:rsid w:val="00866177"/>
    <w:rsid w:val="00866D89"/>
    <w:rsid w:val="008672A1"/>
    <w:rsid w:val="00870086"/>
    <w:rsid w:val="0087053E"/>
    <w:rsid w:val="00870601"/>
    <w:rsid w:val="00870E64"/>
    <w:rsid w:val="00871336"/>
    <w:rsid w:val="00872C3C"/>
    <w:rsid w:val="00872F12"/>
    <w:rsid w:val="00873A14"/>
    <w:rsid w:val="00873AC2"/>
    <w:rsid w:val="008745D7"/>
    <w:rsid w:val="00874918"/>
    <w:rsid w:val="0087503F"/>
    <w:rsid w:val="008754F1"/>
    <w:rsid w:val="00875906"/>
    <w:rsid w:val="00875A21"/>
    <w:rsid w:val="00875ADF"/>
    <w:rsid w:val="00876347"/>
    <w:rsid w:val="00876513"/>
    <w:rsid w:val="00876E1E"/>
    <w:rsid w:val="0087763C"/>
    <w:rsid w:val="00877C77"/>
    <w:rsid w:val="00877DA4"/>
    <w:rsid w:val="00880316"/>
    <w:rsid w:val="00880A72"/>
    <w:rsid w:val="00880ABD"/>
    <w:rsid w:val="00880EEE"/>
    <w:rsid w:val="008814B8"/>
    <w:rsid w:val="0088225B"/>
    <w:rsid w:val="00882935"/>
    <w:rsid w:val="00882EB6"/>
    <w:rsid w:val="008832C4"/>
    <w:rsid w:val="00883D58"/>
    <w:rsid w:val="008840BB"/>
    <w:rsid w:val="008848CA"/>
    <w:rsid w:val="00884E8F"/>
    <w:rsid w:val="008850A5"/>
    <w:rsid w:val="008852D7"/>
    <w:rsid w:val="00886436"/>
    <w:rsid w:val="008867CC"/>
    <w:rsid w:val="00886ED4"/>
    <w:rsid w:val="008876B5"/>
    <w:rsid w:val="00887B40"/>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7B"/>
    <w:rsid w:val="00897DCF"/>
    <w:rsid w:val="00897F4A"/>
    <w:rsid w:val="0089FC73"/>
    <w:rsid w:val="008A0214"/>
    <w:rsid w:val="008A0717"/>
    <w:rsid w:val="008A0786"/>
    <w:rsid w:val="008A10D0"/>
    <w:rsid w:val="008A3221"/>
    <w:rsid w:val="008A3A53"/>
    <w:rsid w:val="008A4A85"/>
    <w:rsid w:val="008A4E96"/>
    <w:rsid w:val="008A52AE"/>
    <w:rsid w:val="008A58C9"/>
    <w:rsid w:val="008A670B"/>
    <w:rsid w:val="008A687D"/>
    <w:rsid w:val="008A6984"/>
    <w:rsid w:val="008A7247"/>
    <w:rsid w:val="008A7BDA"/>
    <w:rsid w:val="008B04A4"/>
    <w:rsid w:val="008B0862"/>
    <w:rsid w:val="008B0AD5"/>
    <w:rsid w:val="008B10E1"/>
    <w:rsid w:val="008B170C"/>
    <w:rsid w:val="008B2134"/>
    <w:rsid w:val="008B23CF"/>
    <w:rsid w:val="008B247F"/>
    <w:rsid w:val="008B2655"/>
    <w:rsid w:val="008B2860"/>
    <w:rsid w:val="008B2B55"/>
    <w:rsid w:val="008B2BAA"/>
    <w:rsid w:val="008B2C73"/>
    <w:rsid w:val="008B3080"/>
    <w:rsid w:val="008B43A8"/>
    <w:rsid w:val="008B49D5"/>
    <w:rsid w:val="008B4A79"/>
    <w:rsid w:val="008B549C"/>
    <w:rsid w:val="008B5B6E"/>
    <w:rsid w:val="008B5E33"/>
    <w:rsid w:val="008B6638"/>
    <w:rsid w:val="008B6735"/>
    <w:rsid w:val="008B67C3"/>
    <w:rsid w:val="008B6B20"/>
    <w:rsid w:val="008B6C4E"/>
    <w:rsid w:val="008B784E"/>
    <w:rsid w:val="008B7B80"/>
    <w:rsid w:val="008C0432"/>
    <w:rsid w:val="008C052A"/>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8DE"/>
    <w:rsid w:val="008D3DD6"/>
    <w:rsid w:val="008D3EB3"/>
    <w:rsid w:val="008D400E"/>
    <w:rsid w:val="008D5A99"/>
    <w:rsid w:val="008D5ECF"/>
    <w:rsid w:val="008D6358"/>
    <w:rsid w:val="008D68AE"/>
    <w:rsid w:val="008D6D32"/>
    <w:rsid w:val="008D6F74"/>
    <w:rsid w:val="008D70C0"/>
    <w:rsid w:val="008D71CA"/>
    <w:rsid w:val="008D7CE6"/>
    <w:rsid w:val="008D7F4A"/>
    <w:rsid w:val="008E02C3"/>
    <w:rsid w:val="008E06D2"/>
    <w:rsid w:val="008E0743"/>
    <w:rsid w:val="008E0C80"/>
    <w:rsid w:val="008E154E"/>
    <w:rsid w:val="008E1558"/>
    <w:rsid w:val="008E19ED"/>
    <w:rsid w:val="008E216D"/>
    <w:rsid w:val="008E259C"/>
    <w:rsid w:val="008E2711"/>
    <w:rsid w:val="008E2E05"/>
    <w:rsid w:val="008E33BD"/>
    <w:rsid w:val="008E38F9"/>
    <w:rsid w:val="008E3C9F"/>
    <w:rsid w:val="008E3F04"/>
    <w:rsid w:val="008E415A"/>
    <w:rsid w:val="008E41ED"/>
    <w:rsid w:val="008E59D3"/>
    <w:rsid w:val="008E6294"/>
    <w:rsid w:val="008E64DA"/>
    <w:rsid w:val="008E6569"/>
    <w:rsid w:val="008E666A"/>
    <w:rsid w:val="008E79CB"/>
    <w:rsid w:val="008E7BAD"/>
    <w:rsid w:val="008F0A98"/>
    <w:rsid w:val="008F1579"/>
    <w:rsid w:val="008F1857"/>
    <w:rsid w:val="008F1FE8"/>
    <w:rsid w:val="008F21CD"/>
    <w:rsid w:val="008F2B32"/>
    <w:rsid w:val="008F3073"/>
    <w:rsid w:val="008F3348"/>
    <w:rsid w:val="008F337B"/>
    <w:rsid w:val="008F339A"/>
    <w:rsid w:val="008F3470"/>
    <w:rsid w:val="008F45CA"/>
    <w:rsid w:val="008F4F2D"/>
    <w:rsid w:val="008F52F2"/>
    <w:rsid w:val="008F5929"/>
    <w:rsid w:val="008F6506"/>
    <w:rsid w:val="008F6864"/>
    <w:rsid w:val="008F6C6C"/>
    <w:rsid w:val="008F6D33"/>
    <w:rsid w:val="008F71CB"/>
    <w:rsid w:val="008F7B28"/>
    <w:rsid w:val="0090023B"/>
    <w:rsid w:val="00900354"/>
    <w:rsid w:val="00901097"/>
    <w:rsid w:val="00901E2E"/>
    <w:rsid w:val="00901FEC"/>
    <w:rsid w:val="00902585"/>
    <w:rsid w:val="00902CDF"/>
    <w:rsid w:val="00902EBD"/>
    <w:rsid w:val="009032E6"/>
    <w:rsid w:val="00903651"/>
    <w:rsid w:val="0090472C"/>
    <w:rsid w:val="00904A3A"/>
    <w:rsid w:val="00904B02"/>
    <w:rsid w:val="0090517A"/>
    <w:rsid w:val="009056F4"/>
    <w:rsid w:val="00905880"/>
    <w:rsid w:val="009058FE"/>
    <w:rsid w:val="00905AC1"/>
    <w:rsid w:val="00905C59"/>
    <w:rsid w:val="0090613E"/>
    <w:rsid w:val="009063BA"/>
    <w:rsid w:val="00906542"/>
    <w:rsid w:val="00906DA7"/>
    <w:rsid w:val="00906EAC"/>
    <w:rsid w:val="00906FF6"/>
    <w:rsid w:val="0090786C"/>
    <w:rsid w:val="009107BF"/>
    <w:rsid w:val="00911872"/>
    <w:rsid w:val="00912C1B"/>
    <w:rsid w:val="00912C5D"/>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4823"/>
    <w:rsid w:val="00924834"/>
    <w:rsid w:val="009249D2"/>
    <w:rsid w:val="009255E8"/>
    <w:rsid w:val="00925686"/>
    <w:rsid w:val="00926017"/>
    <w:rsid w:val="009268D1"/>
    <w:rsid w:val="00926994"/>
    <w:rsid w:val="00926BB0"/>
    <w:rsid w:val="00926EE0"/>
    <w:rsid w:val="00926F76"/>
    <w:rsid w:val="0092756D"/>
    <w:rsid w:val="009306A3"/>
    <w:rsid w:val="00930811"/>
    <w:rsid w:val="00930DBE"/>
    <w:rsid w:val="00930F9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747F"/>
    <w:rsid w:val="00937A13"/>
    <w:rsid w:val="00937C65"/>
    <w:rsid w:val="0094014B"/>
    <w:rsid w:val="0094065D"/>
    <w:rsid w:val="00941C30"/>
    <w:rsid w:val="009423F8"/>
    <w:rsid w:val="00942698"/>
    <w:rsid w:val="00942920"/>
    <w:rsid w:val="00942A5B"/>
    <w:rsid w:val="00943E2F"/>
    <w:rsid w:val="00944353"/>
    <w:rsid w:val="00944699"/>
    <w:rsid w:val="00944AC8"/>
    <w:rsid w:val="00944C3F"/>
    <w:rsid w:val="00944CC3"/>
    <w:rsid w:val="00944CDE"/>
    <w:rsid w:val="00944E25"/>
    <w:rsid w:val="00944F8E"/>
    <w:rsid w:val="00944FDF"/>
    <w:rsid w:val="00945A8A"/>
    <w:rsid w:val="00945C0B"/>
    <w:rsid w:val="00945C99"/>
    <w:rsid w:val="00946506"/>
    <w:rsid w:val="009475FC"/>
    <w:rsid w:val="00947723"/>
    <w:rsid w:val="00947CAF"/>
    <w:rsid w:val="00947F8F"/>
    <w:rsid w:val="00950187"/>
    <w:rsid w:val="009504FA"/>
    <w:rsid w:val="0095060D"/>
    <w:rsid w:val="00950680"/>
    <w:rsid w:val="00951073"/>
    <w:rsid w:val="00951587"/>
    <w:rsid w:val="009517F3"/>
    <w:rsid w:val="00951BDC"/>
    <w:rsid w:val="00953137"/>
    <w:rsid w:val="00953322"/>
    <w:rsid w:val="00953607"/>
    <w:rsid w:val="009543E3"/>
    <w:rsid w:val="0095441F"/>
    <w:rsid w:val="00954B33"/>
    <w:rsid w:val="009551F8"/>
    <w:rsid w:val="0095568E"/>
    <w:rsid w:val="009561F9"/>
    <w:rsid w:val="00956DC4"/>
    <w:rsid w:val="00957B17"/>
    <w:rsid w:val="00960305"/>
    <w:rsid w:val="00960462"/>
    <w:rsid w:val="009609E5"/>
    <w:rsid w:val="00961D73"/>
    <w:rsid w:val="00963525"/>
    <w:rsid w:val="00963839"/>
    <w:rsid w:val="009648B2"/>
    <w:rsid w:val="00964D87"/>
    <w:rsid w:val="009650A7"/>
    <w:rsid w:val="00966407"/>
    <w:rsid w:val="00966DFC"/>
    <w:rsid w:val="00967657"/>
    <w:rsid w:val="009704B0"/>
    <w:rsid w:val="0097061B"/>
    <w:rsid w:val="009706A9"/>
    <w:rsid w:val="00970BC6"/>
    <w:rsid w:val="0097131F"/>
    <w:rsid w:val="00971466"/>
    <w:rsid w:val="009714F9"/>
    <w:rsid w:val="0097225F"/>
    <w:rsid w:val="009729AF"/>
    <w:rsid w:val="00972ABA"/>
    <w:rsid w:val="00972C31"/>
    <w:rsid w:val="00973C5F"/>
    <w:rsid w:val="00974C19"/>
    <w:rsid w:val="00974E77"/>
    <w:rsid w:val="009765F7"/>
    <w:rsid w:val="00976649"/>
    <w:rsid w:val="009775E8"/>
    <w:rsid w:val="00977BBA"/>
    <w:rsid w:val="00980EF8"/>
    <w:rsid w:val="00981051"/>
    <w:rsid w:val="00981391"/>
    <w:rsid w:val="009822D9"/>
    <w:rsid w:val="00982602"/>
    <w:rsid w:val="00983B35"/>
    <w:rsid w:val="00983F29"/>
    <w:rsid w:val="009844BE"/>
    <w:rsid w:val="00984503"/>
    <w:rsid w:val="00984674"/>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A43"/>
    <w:rsid w:val="0099292C"/>
    <w:rsid w:val="009930EB"/>
    <w:rsid w:val="009931F2"/>
    <w:rsid w:val="0099380C"/>
    <w:rsid w:val="00993F06"/>
    <w:rsid w:val="0099450E"/>
    <w:rsid w:val="0099470B"/>
    <w:rsid w:val="00994860"/>
    <w:rsid w:val="00994A4C"/>
    <w:rsid w:val="00994C6B"/>
    <w:rsid w:val="00994F4A"/>
    <w:rsid w:val="00995B0B"/>
    <w:rsid w:val="00995B73"/>
    <w:rsid w:val="00996302"/>
    <w:rsid w:val="00996344"/>
    <w:rsid w:val="009966D4"/>
    <w:rsid w:val="00996FBC"/>
    <w:rsid w:val="009973D3"/>
    <w:rsid w:val="00997A27"/>
    <w:rsid w:val="00997BD5"/>
    <w:rsid w:val="00997E84"/>
    <w:rsid w:val="009A0449"/>
    <w:rsid w:val="009A13A1"/>
    <w:rsid w:val="009A15DE"/>
    <w:rsid w:val="009A2983"/>
    <w:rsid w:val="009A29BF"/>
    <w:rsid w:val="009A2C3A"/>
    <w:rsid w:val="009A2CA7"/>
    <w:rsid w:val="009A30CC"/>
    <w:rsid w:val="009A30FC"/>
    <w:rsid w:val="009A37CE"/>
    <w:rsid w:val="009A3C72"/>
    <w:rsid w:val="009A4D0D"/>
    <w:rsid w:val="009A5546"/>
    <w:rsid w:val="009A5D78"/>
    <w:rsid w:val="009A62CC"/>
    <w:rsid w:val="009A63D4"/>
    <w:rsid w:val="009A67A5"/>
    <w:rsid w:val="009A68A9"/>
    <w:rsid w:val="009A7876"/>
    <w:rsid w:val="009A78CC"/>
    <w:rsid w:val="009A7A14"/>
    <w:rsid w:val="009A7B69"/>
    <w:rsid w:val="009B0710"/>
    <w:rsid w:val="009B081A"/>
    <w:rsid w:val="009B1938"/>
    <w:rsid w:val="009B1A07"/>
    <w:rsid w:val="009B23AF"/>
    <w:rsid w:val="009B28C0"/>
    <w:rsid w:val="009B2D76"/>
    <w:rsid w:val="009B2FB0"/>
    <w:rsid w:val="009B3412"/>
    <w:rsid w:val="009B3621"/>
    <w:rsid w:val="009B383F"/>
    <w:rsid w:val="009B396E"/>
    <w:rsid w:val="009B4A04"/>
    <w:rsid w:val="009B50F5"/>
    <w:rsid w:val="009B546F"/>
    <w:rsid w:val="009B5636"/>
    <w:rsid w:val="009B5B3A"/>
    <w:rsid w:val="009B5D73"/>
    <w:rsid w:val="009B5E09"/>
    <w:rsid w:val="009B6295"/>
    <w:rsid w:val="009B6826"/>
    <w:rsid w:val="009B6954"/>
    <w:rsid w:val="009B6D43"/>
    <w:rsid w:val="009B7A3D"/>
    <w:rsid w:val="009B7C4F"/>
    <w:rsid w:val="009C0162"/>
    <w:rsid w:val="009C05AA"/>
    <w:rsid w:val="009C080A"/>
    <w:rsid w:val="009C0B70"/>
    <w:rsid w:val="009C1ADE"/>
    <w:rsid w:val="009C274E"/>
    <w:rsid w:val="009C2FC9"/>
    <w:rsid w:val="009C34D2"/>
    <w:rsid w:val="009C54BD"/>
    <w:rsid w:val="009C62CD"/>
    <w:rsid w:val="009C66D7"/>
    <w:rsid w:val="009C7662"/>
    <w:rsid w:val="009C7888"/>
    <w:rsid w:val="009C7B28"/>
    <w:rsid w:val="009C7DE8"/>
    <w:rsid w:val="009C7EEC"/>
    <w:rsid w:val="009C7F3E"/>
    <w:rsid w:val="009D073E"/>
    <w:rsid w:val="009D0994"/>
    <w:rsid w:val="009D1191"/>
    <w:rsid w:val="009D1473"/>
    <w:rsid w:val="009D16EA"/>
    <w:rsid w:val="009D1AB0"/>
    <w:rsid w:val="009D1DD6"/>
    <w:rsid w:val="009D1F4C"/>
    <w:rsid w:val="009D2032"/>
    <w:rsid w:val="009D2108"/>
    <w:rsid w:val="009D276E"/>
    <w:rsid w:val="009D27CA"/>
    <w:rsid w:val="009D28E4"/>
    <w:rsid w:val="009D3529"/>
    <w:rsid w:val="009D40A6"/>
    <w:rsid w:val="009D49FF"/>
    <w:rsid w:val="009D4B60"/>
    <w:rsid w:val="009D4CAF"/>
    <w:rsid w:val="009D4DC3"/>
    <w:rsid w:val="009D502E"/>
    <w:rsid w:val="009D56E5"/>
    <w:rsid w:val="009D5B31"/>
    <w:rsid w:val="009D61F2"/>
    <w:rsid w:val="009D62B0"/>
    <w:rsid w:val="009D68A9"/>
    <w:rsid w:val="009D6ADB"/>
    <w:rsid w:val="009D7597"/>
    <w:rsid w:val="009D76D9"/>
    <w:rsid w:val="009D7B60"/>
    <w:rsid w:val="009D7E76"/>
    <w:rsid w:val="009DB68E"/>
    <w:rsid w:val="009E052D"/>
    <w:rsid w:val="009E0F45"/>
    <w:rsid w:val="009E0FA4"/>
    <w:rsid w:val="009E13BD"/>
    <w:rsid w:val="009E13FF"/>
    <w:rsid w:val="009E1D3C"/>
    <w:rsid w:val="009E1FB3"/>
    <w:rsid w:val="009E1FDF"/>
    <w:rsid w:val="009E21C0"/>
    <w:rsid w:val="009E2692"/>
    <w:rsid w:val="009E334C"/>
    <w:rsid w:val="009E3742"/>
    <w:rsid w:val="009E4AD5"/>
    <w:rsid w:val="009E4F48"/>
    <w:rsid w:val="009E4FE4"/>
    <w:rsid w:val="009E51B3"/>
    <w:rsid w:val="009E5606"/>
    <w:rsid w:val="009E59C4"/>
    <w:rsid w:val="009E5A5C"/>
    <w:rsid w:val="009E6C83"/>
    <w:rsid w:val="009E7D6E"/>
    <w:rsid w:val="009F000F"/>
    <w:rsid w:val="009F078F"/>
    <w:rsid w:val="009F0805"/>
    <w:rsid w:val="009F090B"/>
    <w:rsid w:val="009F0ED0"/>
    <w:rsid w:val="009F133B"/>
    <w:rsid w:val="009F18DE"/>
    <w:rsid w:val="009F1C78"/>
    <w:rsid w:val="009F1EEB"/>
    <w:rsid w:val="009F2756"/>
    <w:rsid w:val="009F2F6F"/>
    <w:rsid w:val="009F31CC"/>
    <w:rsid w:val="009F32DC"/>
    <w:rsid w:val="009F37C3"/>
    <w:rsid w:val="009F3A45"/>
    <w:rsid w:val="009F3B62"/>
    <w:rsid w:val="009F503A"/>
    <w:rsid w:val="009F579A"/>
    <w:rsid w:val="009F5E00"/>
    <w:rsid w:val="009F618A"/>
    <w:rsid w:val="009F6C5F"/>
    <w:rsid w:val="009F707E"/>
    <w:rsid w:val="009F7493"/>
    <w:rsid w:val="009F7E91"/>
    <w:rsid w:val="00A00D33"/>
    <w:rsid w:val="00A00DA5"/>
    <w:rsid w:val="00A00F82"/>
    <w:rsid w:val="00A013D7"/>
    <w:rsid w:val="00A019D4"/>
    <w:rsid w:val="00A02C4B"/>
    <w:rsid w:val="00A03939"/>
    <w:rsid w:val="00A041A2"/>
    <w:rsid w:val="00A043A9"/>
    <w:rsid w:val="00A057D8"/>
    <w:rsid w:val="00A058C2"/>
    <w:rsid w:val="00A06380"/>
    <w:rsid w:val="00A068AF"/>
    <w:rsid w:val="00A07F0F"/>
    <w:rsid w:val="00A07FDD"/>
    <w:rsid w:val="00A0DDA2"/>
    <w:rsid w:val="00A10285"/>
    <w:rsid w:val="00A10383"/>
    <w:rsid w:val="00A10796"/>
    <w:rsid w:val="00A10869"/>
    <w:rsid w:val="00A1094E"/>
    <w:rsid w:val="00A11479"/>
    <w:rsid w:val="00A114D1"/>
    <w:rsid w:val="00A119FD"/>
    <w:rsid w:val="00A11C69"/>
    <w:rsid w:val="00A11CD2"/>
    <w:rsid w:val="00A121CD"/>
    <w:rsid w:val="00A13174"/>
    <w:rsid w:val="00A131B4"/>
    <w:rsid w:val="00A13833"/>
    <w:rsid w:val="00A140AE"/>
    <w:rsid w:val="00A14311"/>
    <w:rsid w:val="00A14464"/>
    <w:rsid w:val="00A145FB"/>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7CF"/>
    <w:rsid w:val="00A23B5B"/>
    <w:rsid w:val="00A24B03"/>
    <w:rsid w:val="00A25383"/>
    <w:rsid w:val="00A25564"/>
    <w:rsid w:val="00A25833"/>
    <w:rsid w:val="00A25974"/>
    <w:rsid w:val="00A26628"/>
    <w:rsid w:val="00A26788"/>
    <w:rsid w:val="00A26F15"/>
    <w:rsid w:val="00A27503"/>
    <w:rsid w:val="00A2761F"/>
    <w:rsid w:val="00A28CB7"/>
    <w:rsid w:val="00A30981"/>
    <w:rsid w:val="00A309E8"/>
    <w:rsid w:val="00A3117B"/>
    <w:rsid w:val="00A318C9"/>
    <w:rsid w:val="00A31ED9"/>
    <w:rsid w:val="00A32412"/>
    <w:rsid w:val="00A3269D"/>
    <w:rsid w:val="00A32866"/>
    <w:rsid w:val="00A32E9A"/>
    <w:rsid w:val="00A3310B"/>
    <w:rsid w:val="00A338F0"/>
    <w:rsid w:val="00A3391C"/>
    <w:rsid w:val="00A33CCF"/>
    <w:rsid w:val="00A34393"/>
    <w:rsid w:val="00A344BA"/>
    <w:rsid w:val="00A3487E"/>
    <w:rsid w:val="00A34A67"/>
    <w:rsid w:val="00A3516B"/>
    <w:rsid w:val="00A35757"/>
    <w:rsid w:val="00A37135"/>
    <w:rsid w:val="00A403FE"/>
    <w:rsid w:val="00A4069E"/>
    <w:rsid w:val="00A40D78"/>
    <w:rsid w:val="00A411F3"/>
    <w:rsid w:val="00A4179E"/>
    <w:rsid w:val="00A420ED"/>
    <w:rsid w:val="00A422B2"/>
    <w:rsid w:val="00A43E4D"/>
    <w:rsid w:val="00A43FAC"/>
    <w:rsid w:val="00A445FD"/>
    <w:rsid w:val="00A44866"/>
    <w:rsid w:val="00A44932"/>
    <w:rsid w:val="00A46559"/>
    <w:rsid w:val="00A4679C"/>
    <w:rsid w:val="00A47936"/>
    <w:rsid w:val="00A47C87"/>
    <w:rsid w:val="00A50B0F"/>
    <w:rsid w:val="00A50B68"/>
    <w:rsid w:val="00A51138"/>
    <w:rsid w:val="00A51942"/>
    <w:rsid w:val="00A52513"/>
    <w:rsid w:val="00A52828"/>
    <w:rsid w:val="00A52C8C"/>
    <w:rsid w:val="00A53907"/>
    <w:rsid w:val="00A53FB5"/>
    <w:rsid w:val="00A54002"/>
    <w:rsid w:val="00A54FD0"/>
    <w:rsid w:val="00A55036"/>
    <w:rsid w:val="00A5534C"/>
    <w:rsid w:val="00A5581B"/>
    <w:rsid w:val="00A55CC9"/>
    <w:rsid w:val="00A55DFD"/>
    <w:rsid w:val="00A605C6"/>
    <w:rsid w:val="00A61145"/>
    <w:rsid w:val="00A616A5"/>
    <w:rsid w:val="00A617E4"/>
    <w:rsid w:val="00A61C35"/>
    <w:rsid w:val="00A624ED"/>
    <w:rsid w:val="00A62BA2"/>
    <w:rsid w:val="00A63186"/>
    <w:rsid w:val="00A633AB"/>
    <w:rsid w:val="00A63570"/>
    <w:rsid w:val="00A63EE5"/>
    <w:rsid w:val="00A654EE"/>
    <w:rsid w:val="00A6579B"/>
    <w:rsid w:val="00A65A60"/>
    <w:rsid w:val="00A65D10"/>
    <w:rsid w:val="00A661E7"/>
    <w:rsid w:val="00A66917"/>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5069"/>
    <w:rsid w:val="00A7578D"/>
    <w:rsid w:val="00A75B08"/>
    <w:rsid w:val="00A761CE"/>
    <w:rsid w:val="00A76539"/>
    <w:rsid w:val="00A77020"/>
    <w:rsid w:val="00A778F2"/>
    <w:rsid w:val="00A80849"/>
    <w:rsid w:val="00A814BA"/>
    <w:rsid w:val="00A8163B"/>
    <w:rsid w:val="00A81728"/>
    <w:rsid w:val="00A81F98"/>
    <w:rsid w:val="00A826A0"/>
    <w:rsid w:val="00A8306F"/>
    <w:rsid w:val="00A831AD"/>
    <w:rsid w:val="00A835E1"/>
    <w:rsid w:val="00A836EF"/>
    <w:rsid w:val="00A83ED6"/>
    <w:rsid w:val="00A84A05"/>
    <w:rsid w:val="00A8606C"/>
    <w:rsid w:val="00A87153"/>
    <w:rsid w:val="00A87154"/>
    <w:rsid w:val="00A87C18"/>
    <w:rsid w:val="00A90A65"/>
    <w:rsid w:val="00A90FD4"/>
    <w:rsid w:val="00A91462"/>
    <w:rsid w:val="00A9193E"/>
    <w:rsid w:val="00A91EB9"/>
    <w:rsid w:val="00A92BD7"/>
    <w:rsid w:val="00A92DBB"/>
    <w:rsid w:val="00A93287"/>
    <w:rsid w:val="00A9340D"/>
    <w:rsid w:val="00A93DA2"/>
    <w:rsid w:val="00A93E41"/>
    <w:rsid w:val="00A94A2C"/>
    <w:rsid w:val="00A95BB6"/>
    <w:rsid w:val="00A96CB7"/>
    <w:rsid w:val="00A970B9"/>
    <w:rsid w:val="00A973DA"/>
    <w:rsid w:val="00A97C0A"/>
    <w:rsid w:val="00AA14E4"/>
    <w:rsid w:val="00AA152B"/>
    <w:rsid w:val="00AA20DD"/>
    <w:rsid w:val="00AA27BF"/>
    <w:rsid w:val="00AA2AAF"/>
    <w:rsid w:val="00AA303B"/>
    <w:rsid w:val="00AA3E8E"/>
    <w:rsid w:val="00AA3FF0"/>
    <w:rsid w:val="00AA4838"/>
    <w:rsid w:val="00AA4A0C"/>
    <w:rsid w:val="00AA51DF"/>
    <w:rsid w:val="00AA5429"/>
    <w:rsid w:val="00AA5619"/>
    <w:rsid w:val="00AA58A5"/>
    <w:rsid w:val="00AA6169"/>
    <w:rsid w:val="00AA6459"/>
    <w:rsid w:val="00AA6678"/>
    <w:rsid w:val="00AA71A4"/>
    <w:rsid w:val="00AA728B"/>
    <w:rsid w:val="00AA7508"/>
    <w:rsid w:val="00AA7AFB"/>
    <w:rsid w:val="00AA9919"/>
    <w:rsid w:val="00AB03E4"/>
    <w:rsid w:val="00AB0A49"/>
    <w:rsid w:val="00AB0C00"/>
    <w:rsid w:val="00AB0E82"/>
    <w:rsid w:val="00AB1A77"/>
    <w:rsid w:val="00AB1C0A"/>
    <w:rsid w:val="00AB1CCD"/>
    <w:rsid w:val="00AB276E"/>
    <w:rsid w:val="00AB2856"/>
    <w:rsid w:val="00AB2B38"/>
    <w:rsid w:val="00AB30C8"/>
    <w:rsid w:val="00AB3276"/>
    <w:rsid w:val="00AB368D"/>
    <w:rsid w:val="00AB381B"/>
    <w:rsid w:val="00AB45E0"/>
    <w:rsid w:val="00AB46DF"/>
    <w:rsid w:val="00AB47DC"/>
    <w:rsid w:val="00AB5958"/>
    <w:rsid w:val="00AB5A16"/>
    <w:rsid w:val="00AB5C00"/>
    <w:rsid w:val="00AB5EFF"/>
    <w:rsid w:val="00AB649C"/>
    <w:rsid w:val="00AB76EE"/>
    <w:rsid w:val="00AC071B"/>
    <w:rsid w:val="00AC0B11"/>
    <w:rsid w:val="00AC0CA2"/>
    <w:rsid w:val="00AC154A"/>
    <w:rsid w:val="00AC1FCA"/>
    <w:rsid w:val="00AC2120"/>
    <w:rsid w:val="00AC233B"/>
    <w:rsid w:val="00AC3299"/>
    <w:rsid w:val="00AC3588"/>
    <w:rsid w:val="00AC3696"/>
    <w:rsid w:val="00AC3DC6"/>
    <w:rsid w:val="00AC3E8F"/>
    <w:rsid w:val="00AC40CE"/>
    <w:rsid w:val="00AC5789"/>
    <w:rsid w:val="00AC5867"/>
    <w:rsid w:val="00AC58E7"/>
    <w:rsid w:val="00AC595C"/>
    <w:rsid w:val="00AC5B82"/>
    <w:rsid w:val="00AC67DB"/>
    <w:rsid w:val="00AC7439"/>
    <w:rsid w:val="00AC748D"/>
    <w:rsid w:val="00AC74FF"/>
    <w:rsid w:val="00AC7690"/>
    <w:rsid w:val="00AC7E22"/>
    <w:rsid w:val="00AD0140"/>
    <w:rsid w:val="00AD0561"/>
    <w:rsid w:val="00AD0B43"/>
    <w:rsid w:val="00AD12AD"/>
    <w:rsid w:val="00AD17D0"/>
    <w:rsid w:val="00AD1BEF"/>
    <w:rsid w:val="00AD1CC9"/>
    <w:rsid w:val="00AD1F8D"/>
    <w:rsid w:val="00AD201C"/>
    <w:rsid w:val="00AD274D"/>
    <w:rsid w:val="00AD3633"/>
    <w:rsid w:val="00AD38A0"/>
    <w:rsid w:val="00AD38A7"/>
    <w:rsid w:val="00AD4567"/>
    <w:rsid w:val="00AD4BF7"/>
    <w:rsid w:val="00AD4CCE"/>
    <w:rsid w:val="00AD4F29"/>
    <w:rsid w:val="00AD5428"/>
    <w:rsid w:val="00AD5799"/>
    <w:rsid w:val="00AD5C1C"/>
    <w:rsid w:val="00AD6DAB"/>
    <w:rsid w:val="00AD7619"/>
    <w:rsid w:val="00AD7F43"/>
    <w:rsid w:val="00AE02C7"/>
    <w:rsid w:val="00AE0825"/>
    <w:rsid w:val="00AE0D0E"/>
    <w:rsid w:val="00AE0D37"/>
    <w:rsid w:val="00AE1032"/>
    <w:rsid w:val="00AE119D"/>
    <w:rsid w:val="00AE1C62"/>
    <w:rsid w:val="00AE2BDC"/>
    <w:rsid w:val="00AE2E8A"/>
    <w:rsid w:val="00AE3525"/>
    <w:rsid w:val="00AE3A44"/>
    <w:rsid w:val="00AE3EE2"/>
    <w:rsid w:val="00AE4660"/>
    <w:rsid w:val="00AE4783"/>
    <w:rsid w:val="00AE57A1"/>
    <w:rsid w:val="00AE5A53"/>
    <w:rsid w:val="00AE626F"/>
    <w:rsid w:val="00AE68BB"/>
    <w:rsid w:val="00AE779C"/>
    <w:rsid w:val="00AE7855"/>
    <w:rsid w:val="00AF01C2"/>
    <w:rsid w:val="00AF0B11"/>
    <w:rsid w:val="00AF0FCC"/>
    <w:rsid w:val="00AF128A"/>
    <w:rsid w:val="00AF16C1"/>
    <w:rsid w:val="00AF1AAA"/>
    <w:rsid w:val="00AF2051"/>
    <w:rsid w:val="00AF206C"/>
    <w:rsid w:val="00AF27F7"/>
    <w:rsid w:val="00AF4C36"/>
    <w:rsid w:val="00AF5299"/>
    <w:rsid w:val="00AF61D6"/>
    <w:rsid w:val="00AF6522"/>
    <w:rsid w:val="00AF673A"/>
    <w:rsid w:val="00AF682C"/>
    <w:rsid w:val="00AF69B0"/>
    <w:rsid w:val="00AF7024"/>
    <w:rsid w:val="00AF7747"/>
    <w:rsid w:val="00AF7831"/>
    <w:rsid w:val="00B0021E"/>
    <w:rsid w:val="00B020C7"/>
    <w:rsid w:val="00B026F9"/>
    <w:rsid w:val="00B03220"/>
    <w:rsid w:val="00B04563"/>
    <w:rsid w:val="00B04CE5"/>
    <w:rsid w:val="00B0514E"/>
    <w:rsid w:val="00B054F8"/>
    <w:rsid w:val="00B05DC5"/>
    <w:rsid w:val="00B05F43"/>
    <w:rsid w:val="00B06499"/>
    <w:rsid w:val="00B064E6"/>
    <w:rsid w:val="00B07F9A"/>
    <w:rsid w:val="00B1064C"/>
    <w:rsid w:val="00B115EA"/>
    <w:rsid w:val="00B117F6"/>
    <w:rsid w:val="00B11C2E"/>
    <w:rsid w:val="00B121FD"/>
    <w:rsid w:val="00B12AA4"/>
    <w:rsid w:val="00B12F00"/>
    <w:rsid w:val="00B13473"/>
    <w:rsid w:val="00B135AD"/>
    <w:rsid w:val="00B138DA"/>
    <w:rsid w:val="00B14558"/>
    <w:rsid w:val="00B15C01"/>
    <w:rsid w:val="00B15D84"/>
    <w:rsid w:val="00B15E55"/>
    <w:rsid w:val="00B16F37"/>
    <w:rsid w:val="00B17A19"/>
    <w:rsid w:val="00B205C4"/>
    <w:rsid w:val="00B206E0"/>
    <w:rsid w:val="00B2175E"/>
    <w:rsid w:val="00B23D60"/>
    <w:rsid w:val="00B23F01"/>
    <w:rsid w:val="00B24027"/>
    <w:rsid w:val="00B24A24"/>
    <w:rsid w:val="00B25300"/>
    <w:rsid w:val="00B265B2"/>
    <w:rsid w:val="00B265C9"/>
    <w:rsid w:val="00B267CC"/>
    <w:rsid w:val="00B26B64"/>
    <w:rsid w:val="00B26E2D"/>
    <w:rsid w:val="00B271D4"/>
    <w:rsid w:val="00B27F30"/>
    <w:rsid w:val="00B304C0"/>
    <w:rsid w:val="00B311E4"/>
    <w:rsid w:val="00B31341"/>
    <w:rsid w:val="00B31CD9"/>
    <w:rsid w:val="00B321DD"/>
    <w:rsid w:val="00B324BC"/>
    <w:rsid w:val="00B3255C"/>
    <w:rsid w:val="00B328FF"/>
    <w:rsid w:val="00B32AB9"/>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6E53"/>
    <w:rsid w:val="00B3745B"/>
    <w:rsid w:val="00B37B17"/>
    <w:rsid w:val="00B40723"/>
    <w:rsid w:val="00B4155D"/>
    <w:rsid w:val="00B418A7"/>
    <w:rsid w:val="00B41A04"/>
    <w:rsid w:val="00B41EB2"/>
    <w:rsid w:val="00B424C7"/>
    <w:rsid w:val="00B42D7D"/>
    <w:rsid w:val="00B42E24"/>
    <w:rsid w:val="00B42E40"/>
    <w:rsid w:val="00B43959"/>
    <w:rsid w:val="00B4463E"/>
    <w:rsid w:val="00B44B43"/>
    <w:rsid w:val="00B45552"/>
    <w:rsid w:val="00B46483"/>
    <w:rsid w:val="00B4660B"/>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2F07"/>
    <w:rsid w:val="00B63096"/>
    <w:rsid w:val="00B63488"/>
    <w:rsid w:val="00B639D0"/>
    <w:rsid w:val="00B642F9"/>
    <w:rsid w:val="00B652AA"/>
    <w:rsid w:val="00B653E5"/>
    <w:rsid w:val="00B65FB7"/>
    <w:rsid w:val="00B6672F"/>
    <w:rsid w:val="00B67BC5"/>
    <w:rsid w:val="00B703E8"/>
    <w:rsid w:val="00B70A57"/>
    <w:rsid w:val="00B70C0B"/>
    <w:rsid w:val="00B70DC8"/>
    <w:rsid w:val="00B718EF"/>
    <w:rsid w:val="00B71A6E"/>
    <w:rsid w:val="00B720F5"/>
    <w:rsid w:val="00B721F9"/>
    <w:rsid w:val="00B728C4"/>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C39"/>
    <w:rsid w:val="00B807E3"/>
    <w:rsid w:val="00B81863"/>
    <w:rsid w:val="00B81A00"/>
    <w:rsid w:val="00B81E94"/>
    <w:rsid w:val="00B82233"/>
    <w:rsid w:val="00B825A0"/>
    <w:rsid w:val="00B828D6"/>
    <w:rsid w:val="00B82907"/>
    <w:rsid w:val="00B83018"/>
    <w:rsid w:val="00B83267"/>
    <w:rsid w:val="00B83DF3"/>
    <w:rsid w:val="00B848B8"/>
    <w:rsid w:val="00B849AE"/>
    <w:rsid w:val="00B84B86"/>
    <w:rsid w:val="00B84CC2"/>
    <w:rsid w:val="00B8572D"/>
    <w:rsid w:val="00B85ED6"/>
    <w:rsid w:val="00B8672C"/>
    <w:rsid w:val="00B86795"/>
    <w:rsid w:val="00B87188"/>
    <w:rsid w:val="00B8761E"/>
    <w:rsid w:val="00B8777D"/>
    <w:rsid w:val="00B9087F"/>
    <w:rsid w:val="00B9088A"/>
    <w:rsid w:val="00B91132"/>
    <w:rsid w:val="00B9124A"/>
    <w:rsid w:val="00B913CD"/>
    <w:rsid w:val="00B91407"/>
    <w:rsid w:val="00B9168A"/>
    <w:rsid w:val="00B924EC"/>
    <w:rsid w:val="00B92518"/>
    <w:rsid w:val="00B925F0"/>
    <w:rsid w:val="00B92ABC"/>
    <w:rsid w:val="00B92EB2"/>
    <w:rsid w:val="00B92F76"/>
    <w:rsid w:val="00B939D2"/>
    <w:rsid w:val="00B939DD"/>
    <w:rsid w:val="00B93D18"/>
    <w:rsid w:val="00B93E23"/>
    <w:rsid w:val="00B941FC"/>
    <w:rsid w:val="00B94429"/>
    <w:rsid w:val="00B9471C"/>
    <w:rsid w:val="00B950B2"/>
    <w:rsid w:val="00B95618"/>
    <w:rsid w:val="00B9594B"/>
    <w:rsid w:val="00B95F1B"/>
    <w:rsid w:val="00BA0520"/>
    <w:rsid w:val="00BA083C"/>
    <w:rsid w:val="00BA161A"/>
    <w:rsid w:val="00BA18C0"/>
    <w:rsid w:val="00BA1DBF"/>
    <w:rsid w:val="00BA23C3"/>
    <w:rsid w:val="00BA4511"/>
    <w:rsid w:val="00BA4F83"/>
    <w:rsid w:val="00BA58DF"/>
    <w:rsid w:val="00BA5D74"/>
    <w:rsid w:val="00BA6006"/>
    <w:rsid w:val="00BA6346"/>
    <w:rsid w:val="00BA64CB"/>
    <w:rsid w:val="00BA6A12"/>
    <w:rsid w:val="00BA71BF"/>
    <w:rsid w:val="00BA787F"/>
    <w:rsid w:val="00BA7AAC"/>
    <w:rsid w:val="00BB01C3"/>
    <w:rsid w:val="00BB08CB"/>
    <w:rsid w:val="00BB0C28"/>
    <w:rsid w:val="00BB0F0E"/>
    <w:rsid w:val="00BB146A"/>
    <w:rsid w:val="00BB16B6"/>
    <w:rsid w:val="00BB2B43"/>
    <w:rsid w:val="00BB32ED"/>
    <w:rsid w:val="00BB3498"/>
    <w:rsid w:val="00BB36DE"/>
    <w:rsid w:val="00BB3E86"/>
    <w:rsid w:val="00BB3FE4"/>
    <w:rsid w:val="00BB494B"/>
    <w:rsid w:val="00BB50A4"/>
    <w:rsid w:val="00BB5D5F"/>
    <w:rsid w:val="00BB7195"/>
    <w:rsid w:val="00BB790E"/>
    <w:rsid w:val="00BC05B0"/>
    <w:rsid w:val="00BC05C3"/>
    <w:rsid w:val="00BC180F"/>
    <w:rsid w:val="00BC1E35"/>
    <w:rsid w:val="00BC21C7"/>
    <w:rsid w:val="00BC241E"/>
    <w:rsid w:val="00BC2E8E"/>
    <w:rsid w:val="00BC3412"/>
    <w:rsid w:val="00BC4DBE"/>
    <w:rsid w:val="00BC63F4"/>
    <w:rsid w:val="00BC63FC"/>
    <w:rsid w:val="00BC6961"/>
    <w:rsid w:val="00BC7183"/>
    <w:rsid w:val="00BC74DE"/>
    <w:rsid w:val="00BC7A0E"/>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602B"/>
    <w:rsid w:val="00BD7263"/>
    <w:rsid w:val="00BD78D7"/>
    <w:rsid w:val="00BD79CD"/>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EFB"/>
    <w:rsid w:val="00BF05A5"/>
    <w:rsid w:val="00BF1906"/>
    <w:rsid w:val="00BF1B97"/>
    <w:rsid w:val="00BF1C4E"/>
    <w:rsid w:val="00BF1DA4"/>
    <w:rsid w:val="00BF1DBC"/>
    <w:rsid w:val="00BF1FAE"/>
    <w:rsid w:val="00BF2B6C"/>
    <w:rsid w:val="00BF3192"/>
    <w:rsid w:val="00BF361E"/>
    <w:rsid w:val="00BF53FC"/>
    <w:rsid w:val="00BF556F"/>
    <w:rsid w:val="00BF5C20"/>
    <w:rsid w:val="00BF608C"/>
    <w:rsid w:val="00BF655D"/>
    <w:rsid w:val="00BF6641"/>
    <w:rsid w:val="00BF6ADF"/>
    <w:rsid w:val="00C00351"/>
    <w:rsid w:val="00C006D6"/>
    <w:rsid w:val="00C00D44"/>
    <w:rsid w:val="00C01060"/>
    <w:rsid w:val="00C0136B"/>
    <w:rsid w:val="00C01781"/>
    <w:rsid w:val="00C02059"/>
    <w:rsid w:val="00C028EB"/>
    <w:rsid w:val="00C02BA5"/>
    <w:rsid w:val="00C0348A"/>
    <w:rsid w:val="00C042D8"/>
    <w:rsid w:val="00C044BB"/>
    <w:rsid w:val="00C045DF"/>
    <w:rsid w:val="00C045E4"/>
    <w:rsid w:val="00C05306"/>
    <w:rsid w:val="00C055A1"/>
    <w:rsid w:val="00C05906"/>
    <w:rsid w:val="00C06A41"/>
    <w:rsid w:val="00C0702C"/>
    <w:rsid w:val="00C0750A"/>
    <w:rsid w:val="00C078FC"/>
    <w:rsid w:val="00C07ADD"/>
    <w:rsid w:val="00C07F02"/>
    <w:rsid w:val="00C10A70"/>
    <w:rsid w:val="00C112A7"/>
    <w:rsid w:val="00C11D64"/>
    <w:rsid w:val="00C120CE"/>
    <w:rsid w:val="00C126BB"/>
    <w:rsid w:val="00C127A3"/>
    <w:rsid w:val="00C127AC"/>
    <w:rsid w:val="00C1302F"/>
    <w:rsid w:val="00C13044"/>
    <w:rsid w:val="00C1307F"/>
    <w:rsid w:val="00C13A65"/>
    <w:rsid w:val="00C13CDF"/>
    <w:rsid w:val="00C1509B"/>
    <w:rsid w:val="00C156BF"/>
    <w:rsid w:val="00C15B03"/>
    <w:rsid w:val="00C16528"/>
    <w:rsid w:val="00C166F5"/>
    <w:rsid w:val="00C16D6D"/>
    <w:rsid w:val="00C17449"/>
    <w:rsid w:val="00C176EB"/>
    <w:rsid w:val="00C17A6B"/>
    <w:rsid w:val="00C20886"/>
    <w:rsid w:val="00C209DB"/>
    <w:rsid w:val="00C20E48"/>
    <w:rsid w:val="00C21470"/>
    <w:rsid w:val="00C21DEA"/>
    <w:rsid w:val="00C2330D"/>
    <w:rsid w:val="00C2368A"/>
    <w:rsid w:val="00C23A39"/>
    <w:rsid w:val="00C23B7C"/>
    <w:rsid w:val="00C23ECA"/>
    <w:rsid w:val="00C24245"/>
    <w:rsid w:val="00C2443C"/>
    <w:rsid w:val="00C25232"/>
    <w:rsid w:val="00C262A4"/>
    <w:rsid w:val="00C26540"/>
    <w:rsid w:val="00C2664A"/>
    <w:rsid w:val="00C266AF"/>
    <w:rsid w:val="00C26B21"/>
    <w:rsid w:val="00C27601"/>
    <w:rsid w:val="00C302BB"/>
    <w:rsid w:val="00C30A2D"/>
    <w:rsid w:val="00C30D51"/>
    <w:rsid w:val="00C317F1"/>
    <w:rsid w:val="00C31C55"/>
    <w:rsid w:val="00C31EFB"/>
    <w:rsid w:val="00C324B0"/>
    <w:rsid w:val="00C333C6"/>
    <w:rsid w:val="00C34150"/>
    <w:rsid w:val="00C34497"/>
    <w:rsid w:val="00C34A08"/>
    <w:rsid w:val="00C353C6"/>
    <w:rsid w:val="00C35762"/>
    <w:rsid w:val="00C358C0"/>
    <w:rsid w:val="00C35EA7"/>
    <w:rsid w:val="00C364C5"/>
    <w:rsid w:val="00C36541"/>
    <w:rsid w:val="00C36606"/>
    <w:rsid w:val="00C36C6A"/>
    <w:rsid w:val="00C37937"/>
    <w:rsid w:val="00C37B51"/>
    <w:rsid w:val="00C4024A"/>
    <w:rsid w:val="00C40617"/>
    <w:rsid w:val="00C40643"/>
    <w:rsid w:val="00C40835"/>
    <w:rsid w:val="00C413D4"/>
    <w:rsid w:val="00C41844"/>
    <w:rsid w:val="00C41F12"/>
    <w:rsid w:val="00C421E5"/>
    <w:rsid w:val="00C428F6"/>
    <w:rsid w:val="00C43767"/>
    <w:rsid w:val="00C4398D"/>
    <w:rsid w:val="00C44935"/>
    <w:rsid w:val="00C44979"/>
    <w:rsid w:val="00C44E5F"/>
    <w:rsid w:val="00C44F0F"/>
    <w:rsid w:val="00C457B7"/>
    <w:rsid w:val="00C45F27"/>
    <w:rsid w:val="00C46519"/>
    <w:rsid w:val="00C47398"/>
    <w:rsid w:val="00C47424"/>
    <w:rsid w:val="00C47C61"/>
    <w:rsid w:val="00C50295"/>
    <w:rsid w:val="00C50298"/>
    <w:rsid w:val="00C50F53"/>
    <w:rsid w:val="00C50FDC"/>
    <w:rsid w:val="00C512FB"/>
    <w:rsid w:val="00C51DA1"/>
    <w:rsid w:val="00C5295F"/>
    <w:rsid w:val="00C52B71"/>
    <w:rsid w:val="00C53DC0"/>
    <w:rsid w:val="00C53FD7"/>
    <w:rsid w:val="00C53FE3"/>
    <w:rsid w:val="00C540C4"/>
    <w:rsid w:val="00C542D7"/>
    <w:rsid w:val="00C54534"/>
    <w:rsid w:val="00C551DC"/>
    <w:rsid w:val="00C5526F"/>
    <w:rsid w:val="00C554B2"/>
    <w:rsid w:val="00C55FFB"/>
    <w:rsid w:val="00C5642D"/>
    <w:rsid w:val="00C56B9A"/>
    <w:rsid w:val="00C57B5C"/>
    <w:rsid w:val="00C57CE8"/>
    <w:rsid w:val="00C6023D"/>
    <w:rsid w:val="00C60AD3"/>
    <w:rsid w:val="00C60D77"/>
    <w:rsid w:val="00C61087"/>
    <w:rsid w:val="00C61E86"/>
    <w:rsid w:val="00C62DAE"/>
    <w:rsid w:val="00C63115"/>
    <w:rsid w:val="00C63A6F"/>
    <w:rsid w:val="00C643AC"/>
    <w:rsid w:val="00C647CD"/>
    <w:rsid w:val="00C65FF3"/>
    <w:rsid w:val="00C66094"/>
    <w:rsid w:val="00C6618F"/>
    <w:rsid w:val="00C66639"/>
    <w:rsid w:val="00C669FF"/>
    <w:rsid w:val="00C66AF4"/>
    <w:rsid w:val="00C66F16"/>
    <w:rsid w:val="00C67C99"/>
    <w:rsid w:val="00C67F68"/>
    <w:rsid w:val="00C704DF"/>
    <w:rsid w:val="00C704FB"/>
    <w:rsid w:val="00C7067B"/>
    <w:rsid w:val="00C70E5F"/>
    <w:rsid w:val="00C71A97"/>
    <w:rsid w:val="00C71D9E"/>
    <w:rsid w:val="00C728F5"/>
    <w:rsid w:val="00C72B9B"/>
    <w:rsid w:val="00C73620"/>
    <w:rsid w:val="00C73C48"/>
    <w:rsid w:val="00C744BE"/>
    <w:rsid w:val="00C74947"/>
    <w:rsid w:val="00C75023"/>
    <w:rsid w:val="00C754C3"/>
    <w:rsid w:val="00C75856"/>
    <w:rsid w:val="00C75A2C"/>
    <w:rsid w:val="00C75A64"/>
    <w:rsid w:val="00C75AAC"/>
    <w:rsid w:val="00C75CB1"/>
    <w:rsid w:val="00C76656"/>
    <w:rsid w:val="00C76C17"/>
    <w:rsid w:val="00C7782F"/>
    <w:rsid w:val="00C77A26"/>
    <w:rsid w:val="00C77B84"/>
    <w:rsid w:val="00C77E27"/>
    <w:rsid w:val="00C804D9"/>
    <w:rsid w:val="00C80A90"/>
    <w:rsid w:val="00C81726"/>
    <w:rsid w:val="00C81818"/>
    <w:rsid w:val="00C81F4C"/>
    <w:rsid w:val="00C82719"/>
    <w:rsid w:val="00C83452"/>
    <w:rsid w:val="00C83C55"/>
    <w:rsid w:val="00C842E1"/>
    <w:rsid w:val="00C84617"/>
    <w:rsid w:val="00C846FD"/>
    <w:rsid w:val="00C849C9"/>
    <w:rsid w:val="00C84AC0"/>
    <w:rsid w:val="00C85107"/>
    <w:rsid w:val="00C8568F"/>
    <w:rsid w:val="00C857BF"/>
    <w:rsid w:val="00C85831"/>
    <w:rsid w:val="00C85BBC"/>
    <w:rsid w:val="00C86881"/>
    <w:rsid w:val="00C86B94"/>
    <w:rsid w:val="00C86D82"/>
    <w:rsid w:val="00C86E6F"/>
    <w:rsid w:val="00C86EC6"/>
    <w:rsid w:val="00C86F57"/>
    <w:rsid w:val="00C87047"/>
    <w:rsid w:val="00C8711F"/>
    <w:rsid w:val="00C8777E"/>
    <w:rsid w:val="00C87808"/>
    <w:rsid w:val="00C90817"/>
    <w:rsid w:val="00C9114B"/>
    <w:rsid w:val="00C9156D"/>
    <w:rsid w:val="00C918C5"/>
    <w:rsid w:val="00C91BB2"/>
    <w:rsid w:val="00C9216A"/>
    <w:rsid w:val="00C923ED"/>
    <w:rsid w:val="00C9243C"/>
    <w:rsid w:val="00C934B5"/>
    <w:rsid w:val="00C93BF1"/>
    <w:rsid w:val="00C95D80"/>
    <w:rsid w:val="00C9623F"/>
    <w:rsid w:val="00C96BD9"/>
    <w:rsid w:val="00C971B1"/>
    <w:rsid w:val="00C97CC3"/>
    <w:rsid w:val="00C97FC7"/>
    <w:rsid w:val="00CA018B"/>
    <w:rsid w:val="00CA1663"/>
    <w:rsid w:val="00CA24D8"/>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B000E"/>
    <w:rsid w:val="00CB0022"/>
    <w:rsid w:val="00CB06C3"/>
    <w:rsid w:val="00CB11B8"/>
    <w:rsid w:val="00CB158E"/>
    <w:rsid w:val="00CB1656"/>
    <w:rsid w:val="00CB1B6E"/>
    <w:rsid w:val="00CB1DC4"/>
    <w:rsid w:val="00CB220F"/>
    <w:rsid w:val="00CB28EE"/>
    <w:rsid w:val="00CB2E81"/>
    <w:rsid w:val="00CB3044"/>
    <w:rsid w:val="00CB3C6D"/>
    <w:rsid w:val="00CB446A"/>
    <w:rsid w:val="00CB5900"/>
    <w:rsid w:val="00CB5CEC"/>
    <w:rsid w:val="00CB5E9E"/>
    <w:rsid w:val="00CB6355"/>
    <w:rsid w:val="00CB6710"/>
    <w:rsid w:val="00CB6F6D"/>
    <w:rsid w:val="00CB7CA6"/>
    <w:rsid w:val="00CB7E72"/>
    <w:rsid w:val="00CC005F"/>
    <w:rsid w:val="00CC02DC"/>
    <w:rsid w:val="00CC040A"/>
    <w:rsid w:val="00CC11E8"/>
    <w:rsid w:val="00CC1210"/>
    <w:rsid w:val="00CC1257"/>
    <w:rsid w:val="00CC12BB"/>
    <w:rsid w:val="00CC21F0"/>
    <w:rsid w:val="00CC230C"/>
    <w:rsid w:val="00CC255D"/>
    <w:rsid w:val="00CC2FA8"/>
    <w:rsid w:val="00CC3FEB"/>
    <w:rsid w:val="00CC409C"/>
    <w:rsid w:val="00CC44B0"/>
    <w:rsid w:val="00CC57A7"/>
    <w:rsid w:val="00CC6B7C"/>
    <w:rsid w:val="00CD087B"/>
    <w:rsid w:val="00CD131D"/>
    <w:rsid w:val="00CD1D4D"/>
    <w:rsid w:val="00CD1F13"/>
    <w:rsid w:val="00CD262C"/>
    <w:rsid w:val="00CD2DB8"/>
    <w:rsid w:val="00CD3171"/>
    <w:rsid w:val="00CD3254"/>
    <w:rsid w:val="00CD3E6C"/>
    <w:rsid w:val="00CD4BEE"/>
    <w:rsid w:val="00CD4CD3"/>
    <w:rsid w:val="00CD54F0"/>
    <w:rsid w:val="00CD56E5"/>
    <w:rsid w:val="00CD5D9A"/>
    <w:rsid w:val="00CD6589"/>
    <w:rsid w:val="00CD6B31"/>
    <w:rsid w:val="00CD7071"/>
    <w:rsid w:val="00CD7E35"/>
    <w:rsid w:val="00CE05E0"/>
    <w:rsid w:val="00CE06AC"/>
    <w:rsid w:val="00CE0B57"/>
    <w:rsid w:val="00CE0D5E"/>
    <w:rsid w:val="00CE11D1"/>
    <w:rsid w:val="00CE14F4"/>
    <w:rsid w:val="00CE2B0B"/>
    <w:rsid w:val="00CE2E84"/>
    <w:rsid w:val="00CE3A07"/>
    <w:rsid w:val="00CE3FB9"/>
    <w:rsid w:val="00CE4072"/>
    <w:rsid w:val="00CE41F9"/>
    <w:rsid w:val="00CE4BBD"/>
    <w:rsid w:val="00CE52D2"/>
    <w:rsid w:val="00CE5EB5"/>
    <w:rsid w:val="00CE5F97"/>
    <w:rsid w:val="00CE62A6"/>
    <w:rsid w:val="00CE63AE"/>
    <w:rsid w:val="00CE734A"/>
    <w:rsid w:val="00CE735B"/>
    <w:rsid w:val="00CE7D8A"/>
    <w:rsid w:val="00CF00DE"/>
    <w:rsid w:val="00CF0C4D"/>
    <w:rsid w:val="00CF104A"/>
    <w:rsid w:val="00CF13F6"/>
    <w:rsid w:val="00CF1C02"/>
    <w:rsid w:val="00CF26A3"/>
    <w:rsid w:val="00CF2E4C"/>
    <w:rsid w:val="00CF310C"/>
    <w:rsid w:val="00CF39DA"/>
    <w:rsid w:val="00CF5B41"/>
    <w:rsid w:val="00CF5ED6"/>
    <w:rsid w:val="00CF608D"/>
    <w:rsid w:val="00CF756B"/>
    <w:rsid w:val="00CF7CC5"/>
    <w:rsid w:val="00D002A7"/>
    <w:rsid w:val="00D003AA"/>
    <w:rsid w:val="00D0059B"/>
    <w:rsid w:val="00D01973"/>
    <w:rsid w:val="00D01F74"/>
    <w:rsid w:val="00D0240D"/>
    <w:rsid w:val="00D028C1"/>
    <w:rsid w:val="00D02B93"/>
    <w:rsid w:val="00D030CB"/>
    <w:rsid w:val="00D03EC7"/>
    <w:rsid w:val="00D03EFD"/>
    <w:rsid w:val="00D040DB"/>
    <w:rsid w:val="00D057C9"/>
    <w:rsid w:val="00D057FA"/>
    <w:rsid w:val="00D06928"/>
    <w:rsid w:val="00D07139"/>
    <w:rsid w:val="00D0714C"/>
    <w:rsid w:val="00D07D35"/>
    <w:rsid w:val="00D10AB6"/>
    <w:rsid w:val="00D12F39"/>
    <w:rsid w:val="00D13EC8"/>
    <w:rsid w:val="00D14E37"/>
    <w:rsid w:val="00D14EF1"/>
    <w:rsid w:val="00D151BE"/>
    <w:rsid w:val="00D154E0"/>
    <w:rsid w:val="00D17854"/>
    <w:rsid w:val="00D17C4E"/>
    <w:rsid w:val="00D203F0"/>
    <w:rsid w:val="00D20961"/>
    <w:rsid w:val="00D20C7E"/>
    <w:rsid w:val="00D2114C"/>
    <w:rsid w:val="00D21805"/>
    <w:rsid w:val="00D222BC"/>
    <w:rsid w:val="00D229B3"/>
    <w:rsid w:val="00D22FF8"/>
    <w:rsid w:val="00D234B2"/>
    <w:rsid w:val="00D23789"/>
    <w:rsid w:val="00D23A17"/>
    <w:rsid w:val="00D245DE"/>
    <w:rsid w:val="00D24EFF"/>
    <w:rsid w:val="00D26176"/>
    <w:rsid w:val="00D264C1"/>
    <w:rsid w:val="00D26CE8"/>
    <w:rsid w:val="00D26DD0"/>
    <w:rsid w:val="00D27B2E"/>
    <w:rsid w:val="00D30BEE"/>
    <w:rsid w:val="00D31960"/>
    <w:rsid w:val="00D319CD"/>
    <w:rsid w:val="00D31FEB"/>
    <w:rsid w:val="00D32529"/>
    <w:rsid w:val="00D32595"/>
    <w:rsid w:val="00D334FB"/>
    <w:rsid w:val="00D337C9"/>
    <w:rsid w:val="00D3488D"/>
    <w:rsid w:val="00D34FC1"/>
    <w:rsid w:val="00D354E8"/>
    <w:rsid w:val="00D3563F"/>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2EFF"/>
    <w:rsid w:val="00D43276"/>
    <w:rsid w:val="00D4332E"/>
    <w:rsid w:val="00D439FE"/>
    <w:rsid w:val="00D4412D"/>
    <w:rsid w:val="00D44E73"/>
    <w:rsid w:val="00D4518C"/>
    <w:rsid w:val="00D4526C"/>
    <w:rsid w:val="00D453DA"/>
    <w:rsid w:val="00D454FF"/>
    <w:rsid w:val="00D45545"/>
    <w:rsid w:val="00D4610B"/>
    <w:rsid w:val="00D46426"/>
    <w:rsid w:val="00D466B8"/>
    <w:rsid w:val="00D47541"/>
    <w:rsid w:val="00D47D17"/>
    <w:rsid w:val="00D47E8F"/>
    <w:rsid w:val="00D5099E"/>
    <w:rsid w:val="00D50FCB"/>
    <w:rsid w:val="00D51034"/>
    <w:rsid w:val="00D51229"/>
    <w:rsid w:val="00D51494"/>
    <w:rsid w:val="00D518BE"/>
    <w:rsid w:val="00D52602"/>
    <w:rsid w:val="00D52792"/>
    <w:rsid w:val="00D52BFE"/>
    <w:rsid w:val="00D53497"/>
    <w:rsid w:val="00D5375C"/>
    <w:rsid w:val="00D537BD"/>
    <w:rsid w:val="00D53ACC"/>
    <w:rsid w:val="00D53DFB"/>
    <w:rsid w:val="00D544D2"/>
    <w:rsid w:val="00D5490E"/>
    <w:rsid w:val="00D54A3A"/>
    <w:rsid w:val="00D54E6F"/>
    <w:rsid w:val="00D5584E"/>
    <w:rsid w:val="00D55E0C"/>
    <w:rsid w:val="00D560C8"/>
    <w:rsid w:val="00D563D4"/>
    <w:rsid w:val="00D56652"/>
    <w:rsid w:val="00D5674B"/>
    <w:rsid w:val="00D56BBA"/>
    <w:rsid w:val="00D57889"/>
    <w:rsid w:val="00D57E96"/>
    <w:rsid w:val="00D60506"/>
    <w:rsid w:val="00D60E0B"/>
    <w:rsid w:val="00D610C0"/>
    <w:rsid w:val="00D614BE"/>
    <w:rsid w:val="00D61B9B"/>
    <w:rsid w:val="00D61DFD"/>
    <w:rsid w:val="00D627E3"/>
    <w:rsid w:val="00D62982"/>
    <w:rsid w:val="00D62B7D"/>
    <w:rsid w:val="00D62C19"/>
    <w:rsid w:val="00D6311C"/>
    <w:rsid w:val="00D63E51"/>
    <w:rsid w:val="00D645C2"/>
    <w:rsid w:val="00D64601"/>
    <w:rsid w:val="00D647CB"/>
    <w:rsid w:val="00D65AD9"/>
    <w:rsid w:val="00D66DCD"/>
    <w:rsid w:val="00D67E80"/>
    <w:rsid w:val="00D71D56"/>
    <w:rsid w:val="00D722E5"/>
    <w:rsid w:val="00D72F06"/>
    <w:rsid w:val="00D730E0"/>
    <w:rsid w:val="00D7343B"/>
    <w:rsid w:val="00D745F9"/>
    <w:rsid w:val="00D747D7"/>
    <w:rsid w:val="00D74AD1"/>
    <w:rsid w:val="00D7580A"/>
    <w:rsid w:val="00D760DE"/>
    <w:rsid w:val="00D762FF"/>
    <w:rsid w:val="00D77D1C"/>
    <w:rsid w:val="00D77F6C"/>
    <w:rsid w:val="00D80249"/>
    <w:rsid w:val="00D8075B"/>
    <w:rsid w:val="00D80C71"/>
    <w:rsid w:val="00D81411"/>
    <w:rsid w:val="00D815BB"/>
    <w:rsid w:val="00D81B66"/>
    <w:rsid w:val="00D81CF5"/>
    <w:rsid w:val="00D81F9E"/>
    <w:rsid w:val="00D8201D"/>
    <w:rsid w:val="00D825D5"/>
    <w:rsid w:val="00D829E9"/>
    <w:rsid w:val="00D833E8"/>
    <w:rsid w:val="00D84754"/>
    <w:rsid w:val="00D84BC9"/>
    <w:rsid w:val="00D85135"/>
    <w:rsid w:val="00D852EE"/>
    <w:rsid w:val="00D85629"/>
    <w:rsid w:val="00D85799"/>
    <w:rsid w:val="00D85CEF"/>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A8D"/>
    <w:rsid w:val="00DA4F7A"/>
    <w:rsid w:val="00DA57F3"/>
    <w:rsid w:val="00DA676E"/>
    <w:rsid w:val="00DA6886"/>
    <w:rsid w:val="00DA690F"/>
    <w:rsid w:val="00DA6DDE"/>
    <w:rsid w:val="00DA7092"/>
    <w:rsid w:val="00DA709C"/>
    <w:rsid w:val="00DA746F"/>
    <w:rsid w:val="00DA774E"/>
    <w:rsid w:val="00DA7C2F"/>
    <w:rsid w:val="00DA7C36"/>
    <w:rsid w:val="00DB0148"/>
    <w:rsid w:val="00DB040A"/>
    <w:rsid w:val="00DB0A3B"/>
    <w:rsid w:val="00DB16C8"/>
    <w:rsid w:val="00DB1A04"/>
    <w:rsid w:val="00DB1D4E"/>
    <w:rsid w:val="00DB2109"/>
    <w:rsid w:val="00DB27C5"/>
    <w:rsid w:val="00DB29B1"/>
    <w:rsid w:val="00DB33F9"/>
    <w:rsid w:val="00DB42F8"/>
    <w:rsid w:val="00DB5089"/>
    <w:rsid w:val="00DB5166"/>
    <w:rsid w:val="00DB5211"/>
    <w:rsid w:val="00DB5AE0"/>
    <w:rsid w:val="00DB620E"/>
    <w:rsid w:val="00DB63CE"/>
    <w:rsid w:val="00DB6732"/>
    <w:rsid w:val="00DB71A2"/>
    <w:rsid w:val="00DB7C1D"/>
    <w:rsid w:val="00DC093E"/>
    <w:rsid w:val="00DC1122"/>
    <w:rsid w:val="00DC1314"/>
    <w:rsid w:val="00DC14E1"/>
    <w:rsid w:val="00DC1697"/>
    <w:rsid w:val="00DC1BB0"/>
    <w:rsid w:val="00DC203F"/>
    <w:rsid w:val="00DC26BE"/>
    <w:rsid w:val="00DC27D9"/>
    <w:rsid w:val="00DC2AFF"/>
    <w:rsid w:val="00DC2E00"/>
    <w:rsid w:val="00DC3758"/>
    <w:rsid w:val="00DC39A1"/>
    <w:rsid w:val="00DC4131"/>
    <w:rsid w:val="00DC4454"/>
    <w:rsid w:val="00DC44B1"/>
    <w:rsid w:val="00DC45DD"/>
    <w:rsid w:val="00DC4652"/>
    <w:rsid w:val="00DC4A23"/>
    <w:rsid w:val="00DC5606"/>
    <w:rsid w:val="00DC5654"/>
    <w:rsid w:val="00DC6D15"/>
    <w:rsid w:val="00DC6DDD"/>
    <w:rsid w:val="00DC6EEE"/>
    <w:rsid w:val="00DD00AA"/>
    <w:rsid w:val="00DD02C2"/>
    <w:rsid w:val="00DD02F6"/>
    <w:rsid w:val="00DD0369"/>
    <w:rsid w:val="00DD0563"/>
    <w:rsid w:val="00DD0D1E"/>
    <w:rsid w:val="00DD13C7"/>
    <w:rsid w:val="00DD304C"/>
    <w:rsid w:val="00DD338E"/>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1AA"/>
    <w:rsid w:val="00DE04AF"/>
    <w:rsid w:val="00DE0C0F"/>
    <w:rsid w:val="00DE0F1C"/>
    <w:rsid w:val="00DE137E"/>
    <w:rsid w:val="00DE1DB0"/>
    <w:rsid w:val="00DE1EEA"/>
    <w:rsid w:val="00DE3216"/>
    <w:rsid w:val="00DE3D89"/>
    <w:rsid w:val="00DE411A"/>
    <w:rsid w:val="00DE59D5"/>
    <w:rsid w:val="00DE5A00"/>
    <w:rsid w:val="00DE5DE7"/>
    <w:rsid w:val="00DE5EAF"/>
    <w:rsid w:val="00DE5EDE"/>
    <w:rsid w:val="00DE6771"/>
    <w:rsid w:val="00DE6F2D"/>
    <w:rsid w:val="00DE704E"/>
    <w:rsid w:val="00DE7272"/>
    <w:rsid w:val="00DE737E"/>
    <w:rsid w:val="00DE7E15"/>
    <w:rsid w:val="00DEF06F"/>
    <w:rsid w:val="00DF0C7D"/>
    <w:rsid w:val="00DF0F04"/>
    <w:rsid w:val="00DF10FD"/>
    <w:rsid w:val="00DF13B7"/>
    <w:rsid w:val="00DF1457"/>
    <w:rsid w:val="00DF150E"/>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BA3"/>
    <w:rsid w:val="00E001A3"/>
    <w:rsid w:val="00E009DF"/>
    <w:rsid w:val="00E00A62"/>
    <w:rsid w:val="00E01191"/>
    <w:rsid w:val="00E0163F"/>
    <w:rsid w:val="00E019F3"/>
    <w:rsid w:val="00E01B93"/>
    <w:rsid w:val="00E01D6F"/>
    <w:rsid w:val="00E024E9"/>
    <w:rsid w:val="00E02CFB"/>
    <w:rsid w:val="00E037CB"/>
    <w:rsid w:val="00E04751"/>
    <w:rsid w:val="00E047D7"/>
    <w:rsid w:val="00E04AF7"/>
    <w:rsid w:val="00E05039"/>
    <w:rsid w:val="00E0533D"/>
    <w:rsid w:val="00E0570A"/>
    <w:rsid w:val="00E05917"/>
    <w:rsid w:val="00E05EA8"/>
    <w:rsid w:val="00E06A98"/>
    <w:rsid w:val="00E07A46"/>
    <w:rsid w:val="00E07B32"/>
    <w:rsid w:val="00E11679"/>
    <w:rsid w:val="00E1232A"/>
    <w:rsid w:val="00E127A9"/>
    <w:rsid w:val="00E12AB4"/>
    <w:rsid w:val="00E12C7A"/>
    <w:rsid w:val="00E12DDB"/>
    <w:rsid w:val="00E12E8F"/>
    <w:rsid w:val="00E1339A"/>
    <w:rsid w:val="00E1440C"/>
    <w:rsid w:val="00E1496B"/>
    <w:rsid w:val="00E14C7A"/>
    <w:rsid w:val="00E14FA2"/>
    <w:rsid w:val="00E15901"/>
    <w:rsid w:val="00E15A7A"/>
    <w:rsid w:val="00E15B89"/>
    <w:rsid w:val="00E1650C"/>
    <w:rsid w:val="00E17473"/>
    <w:rsid w:val="00E17548"/>
    <w:rsid w:val="00E17C6F"/>
    <w:rsid w:val="00E203B1"/>
    <w:rsid w:val="00E20725"/>
    <w:rsid w:val="00E209A2"/>
    <w:rsid w:val="00E20BB5"/>
    <w:rsid w:val="00E20C80"/>
    <w:rsid w:val="00E21109"/>
    <w:rsid w:val="00E215AC"/>
    <w:rsid w:val="00E21D2E"/>
    <w:rsid w:val="00E21FDF"/>
    <w:rsid w:val="00E229F2"/>
    <w:rsid w:val="00E22A77"/>
    <w:rsid w:val="00E22EDE"/>
    <w:rsid w:val="00E2367E"/>
    <w:rsid w:val="00E23C8E"/>
    <w:rsid w:val="00E25FE9"/>
    <w:rsid w:val="00E2621C"/>
    <w:rsid w:val="00E26330"/>
    <w:rsid w:val="00E27FDF"/>
    <w:rsid w:val="00E2D5F4"/>
    <w:rsid w:val="00E3019A"/>
    <w:rsid w:val="00E30350"/>
    <w:rsid w:val="00E308F8"/>
    <w:rsid w:val="00E31577"/>
    <w:rsid w:val="00E316AC"/>
    <w:rsid w:val="00E31790"/>
    <w:rsid w:val="00E31AFA"/>
    <w:rsid w:val="00E3261E"/>
    <w:rsid w:val="00E3280D"/>
    <w:rsid w:val="00E32E34"/>
    <w:rsid w:val="00E33129"/>
    <w:rsid w:val="00E33945"/>
    <w:rsid w:val="00E33E40"/>
    <w:rsid w:val="00E345AB"/>
    <w:rsid w:val="00E34A1A"/>
    <w:rsid w:val="00E35C11"/>
    <w:rsid w:val="00E36E06"/>
    <w:rsid w:val="00E372E1"/>
    <w:rsid w:val="00E373C6"/>
    <w:rsid w:val="00E408B8"/>
    <w:rsid w:val="00E40DB4"/>
    <w:rsid w:val="00E412E0"/>
    <w:rsid w:val="00E415E6"/>
    <w:rsid w:val="00E4160C"/>
    <w:rsid w:val="00E418A4"/>
    <w:rsid w:val="00E41DAC"/>
    <w:rsid w:val="00E42E69"/>
    <w:rsid w:val="00E43B86"/>
    <w:rsid w:val="00E43C5F"/>
    <w:rsid w:val="00E43F52"/>
    <w:rsid w:val="00E4447C"/>
    <w:rsid w:val="00E446EF"/>
    <w:rsid w:val="00E44E4C"/>
    <w:rsid w:val="00E45988"/>
    <w:rsid w:val="00E45A28"/>
    <w:rsid w:val="00E45E23"/>
    <w:rsid w:val="00E46C35"/>
    <w:rsid w:val="00E4723B"/>
    <w:rsid w:val="00E4759B"/>
    <w:rsid w:val="00E47791"/>
    <w:rsid w:val="00E47A31"/>
    <w:rsid w:val="00E519E2"/>
    <w:rsid w:val="00E52280"/>
    <w:rsid w:val="00E5238F"/>
    <w:rsid w:val="00E52840"/>
    <w:rsid w:val="00E52A1C"/>
    <w:rsid w:val="00E52BC9"/>
    <w:rsid w:val="00E53AD7"/>
    <w:rsid w:val="00E5409A"/>
    <w:rsid w:val="00E54ACA"/>
    <w:rsid w:val="00E54B6A"/>
    <w:rsid w:val="00E54C6A"/>
    <w:rsid w:val="00E56595"/>
    <w:rsid w:val="00E56B3F"/>
    <w:rsid w:val="00E57987"/>
    <w:rsid w:val="00E57D4F"/>
    <w:rsid w:val="00E60676"/>
    <w:rsid w:val="00E613A3"/>
    <w:rsid w:val="00E61DC8"/>
    <w:rsid w:val="00E62303"/>
    <w:rsid w:val="00E623C2"/>
    <w:rsid w:val="00E628AF"/>
    <w:rsid w:val="00E6390C"/>
    <w:rsid w:val="00E639CA"/>
    <w:rsid w:val="00E6434B"/>
    <w:rsid w:val="00E648D4"/>
    <w:rsid w:val="00E64E03"/>
    <w:rsid w:val="00E65A59"/>
    <w:rsid w:val="00E65F70"/>
    <w:rsid w:val="00E66273"/>
    <w:rsid w:val="00E6656B"/>
    <w:rsid w:val="00E67F0E"/>
    <w:rsid w:val="00E701D4"/>
    <w:rsid w:val="00E70725"/>
    <w:rsid w:val="00E70920"/>
    <w:rsid w:val="00E71202"/>
    <w:rsid w:val="00E71386"/>
    <w:rsid w:val="00E71642"/>
    <w:rsid w:val="00E71D30"/>
    <w:rsid w:val="00E72487"/>
    <w:rsid w:val="00E72A52"/>
    <w:rsid w:val="00E7352E"/>
    <w:rsid w:val="00E73814"/>
    <w:rsid w:val="00E73912"/>
    <w:rsid w:val="00E73927"/>
    <w:rsid w:val="00E73B19"/>
    <w:rsid w:val="00E7442E"/>
    <w:rsid w:val="00E74F57"/>
    <w:rsid w:val="00E75301"/>
    <w:rsid w:val="00E75ECC"/>
    <w:rsid w:val="00E760C7"/>
    <w:rsid w:val="00E76479"/>
    <w:rsid w:val="00E7647D"/>
    <w:rsid w:val="00E77091"/>
    <w:rsid w:val="00E770E6"/>
    <w:rsid w:val="00E773C5"/>
    <w:rsid w:val="00E80C90"/>
    <w:rsid w:val="00E811C2"/>
    <w:rsid w:val="00E81287"/>
    <w:rsid w:val="00E812A9"/>
    <w:rsid w:val="00E815A2"/>
    <w:rsid w:val="00E815BC"/>
    <w:rsid w:val="00E8224C"/>
    <w:rsid w:val="00E83269"/>
    <w:rsid w:val="00E83D5B"/>
    <w:rsid w:val="00E83F06"/>
    <w:rsid w:val="00E85D14"/>
    <w:rsid w:val="00E867FE"/>
    <w:rsid w:val="00E869ED"/>
    <w:rsid w:val="00E86E56"/>
    <w:rsid w:val="00E87322"/>
    <w:rsid w:val="00E9000D"/>
    <w:rsid w:val="00E900CB"/>
    <w:rsid w:val="00E907CE"/>
    <w:rsid w:val="00E911AF"/>
    <w:rsid w:val="00E9132A"/>
    <w:rsid w:val="00E913BE"/>
    <w:rsid w:val="00E9198B"/>
    <w:rsid w:val="00E91F41"/>
    <w:rsid w:val="00E92245"/>
    <w:rsid w:val="00E9253C"/>
    <w:rsid w:val="00E927CB"/>
    <w:rsid w:val="00E9307C"/>
    <w:rsid w:val="00E938E9"/>
    <w:rsid w:val="00E93BAA"/>
    <w:rsid w:val="00E93E0E"/>
    <w:rsid w:val="00E94B99"/>
    <w:rsid w:val="00E95BA1"/>
    <w:rsid w:val="00E960C5"/>
    <w:rsid w:val="00E9661F"/>
    <w:rsid w:val="00E976D4"/>
    <w:rsid w:val="00E97AA2"/>
    <w:rsid w:val="00E97C62"/>
    <w:rsid w:val="00E97DC4"/>
    <w:rsid w:val="00EA063C"/>
    <w:rsid w:val="00EA0858"/>
    <w:rsid w:val="00EA0943"/>
    <w:rsid w:val="00EA118E"/>
    <w:rsid w:val="00EA1A89"/>
    <w:rsid w:val="00EA2288"/>
    <w:rsid w:val="00EA2E7B"/>
    <w:rsid w:val="00EA2F5A"/>
    <w:rsid w:val="00EA3043"/>
    <w:rsid w:val="00EA3AC9"/>
    <w:rsid w:val="00EA473B"/>
    <w:rsid w:val="00EA4C21"/>
    <w:rsid w:val="00EA6723"/>
    <w:rsid w:val="00EA76DA"/>
    <w:rsid w:val="00EA78D7"/>
    <w:rsid w:val="00EA7C69"/>
    <w:rsid w:val="00EA7D28"/>
    <w:rsid w:val="00EB0456"/>
    <w:rsid w:val="00EB0A50"/>
    <w:rsid w:val="00EB11DC"/>
    <w:rsid w:val="00EB12B8"/>
    <w:rsid w:val="00EB1BEB"/>
    <w:rsid w:val="00EB22F5"/>
    <w:rsid w:val="00EB23ED"/>
    <w:rsid w:val="00EB31F4"/>
    <w:rsid w:val="00EB3318"/>
    <w:rsid w:val="00EB36E6"/>
    <w:rsid w:val="00EB3FB6"/>
    <w:rsid w:val="00EB5280"/>
    <w:rsid w:val="00EB5425"/>
    <w:rsid w:val="00EB5B9B"/>
    <w:rsid w:val="00EB6F7A"/>
    <w:rsid w:val="00EB728D"/>
    <w:rsid w:val="00EB76B7"/>
    <w:rsid w:val="00EB7898"/>
    <w:rsid w:val="00EB7BAB"/>
    <w:rsid w:val="00EC0049"/>
    <w:rsid w:val="00EC0141"/>
    <w:rsid w:val="00EC0638"/>
    <w:rsid w:val="00EC0FBC"/>
    <w:rsid w:val="00EC1A78"/>
    <w:rsid w:val="00EC20CF"/>
    <w:rsid w:val="00EC21AF"/>
    <w:rsid w:val="00EC3124"/>
    <w:rsid w:val="00EC3171"/>
    <w:rsid w:val="00EC3327"/>
    <w:rsid w:val="00EC36D5"/>
    <w:rsid w:val="00EC39A7"/>
    <w:rsid w:val="00EC3B85"/>
    <w:rsid w:val="00EC53E4"/>
    <w:rsid w:val="00EC670E"/>
    <w:rsid w:val="00EC68F3"/>
    <w:rsid w:val="00EC6A56"/>
    <w:rsid w:val="00EC6DF7"/>
    <w:rsid w:val="00EC7940"/>
    <w:rsid w:val="00ED0180"/>
    <w:rsid w:val="00ED0BF3"/>
    <w:rsid w:val="00ED0CFF"/>
    <w:rsid w:val="00ED1059"/>
    <w:rsid w:val="00ED114F"/>
    <w:rsid w:val="00ED16CF"/>
    <w:rsid w:val="00ED1F9F"/>
    <w:rsid w:val="00ED21D1"/>
    <w:rsid w:val="00ED23DE"/>
    <w:rsid w:val="00ED2536"/>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D69"/>
    <w:rsid w:val="00ED6F9A"/>
    <w:rsid w:val="00ED76BD"/>
    <w:rsid w:val="00ED7C5F"/>
    <w:rsid w:val="00EE0213"/>
    <w:rsid w:val="00EE099B"/>
    <w:rsid w:val="00EE0C98"/>
    <w:rsid w:val="00EE1650"/>
    <w:rsid w:val="00EE19C5"/>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FB5"/>
    <w:rsid w:val="00EF21AD"/>
    <w:rsid w:val="00EF223D"/>
    <w:rsid w:val="00EF22E5"/>
    <w:rsid w:val="00EF2616"/>
    <w:rsid w:val="00EF2A36"/>
    <w:rsid w:val="00EF305A"/>
    <w:rsid w:val="00EF3A8E"/>
    <w:rsid w:val="00EF3B3A"/>
    <w:rsid w:val="00EF49B4"/>
    <w:rsid w:val="00EF543D"/>
    <w:rsid w:val="00EF6526"/>
    <w:rsid w:val="00EF70FE"/>
    <w:rsid w:val="00EF75E3"/>
    <w:rsid w:val="00EF7AE8"/>
    <w:rsid w:val="00EF7B41"/>
    <w:rsid w:val="00F000C6"/>
    <w:rsid w:val="00F00110"/>
    <w:rsid w:val="00F00E03"/>
    <w:rsid w:val="00F010D3"/>
    <w:rsid w:val="00F01B8E"/>
    <w:rsid w:val="00F01D57"/>
    <w:rsid w:val="00F01E2A"/>
    <w:rsid w:val="00F01FF8"/>
    <w:rsid w:val="00F02F67"/>
    <w:rsid w:val="00F0315A"/>
    <w:rsid w:val="00F03747"/>
    <w:rsid w:val="00F03818"/>
    <w:rsid w:val="00F04192"/>
    <w:rsid w:val="00F04A3C"/>
    <w:rsid w:val="00F04D73"/>
    <w:rsid w:val="00F058F1"/>
    <w:rsid w:val="00F06BF7"/>
    <w:rsid w:val="00F07775"/>
    <w:rsid w:val="00F07800"/>
    <w:rsid w:val="00F0791A"/>
    <w:rsid w:val="00F10801"/>
    <w:rsid w:val="00F10898"/>
    <w:rsid w:val="00F11584"/>
    <w:rsid w:val="00F11EE1"/>
    <w:rsid w:val="00F120F1"/>
    <w:rsid w:val="00F12224"/>
    <w:rsid w:val="00F122EF"/>
    <w:rsid w:val="00F13672"/>
    <w:rsid w:val="00F15105"/>
    <w:rsid w:val="00F1519B"/>
    <w:rsid w:val="00F153CE"/>
    <w:rsid w:val="00F157BD"/>
    <w:rsid w:val="00F15B22"/>
    <w:rsid w:val="00F1603B"/>
    <w:rsid w:val="00F1605F"/>
    <w:rsid w:val="00F16399"/>
    <w:rsid w:val="00F164B3"/>
    <w:rsid w:val="00F167ED"/>
    <w:rsid w:val="00F16DD8"/>
    <w:rsid w:val="00F1736E"/>
    <w:rsid w:val="00F175A1"/>
    <w:rsid w:val="00F17932"/>
    <w:rsid w:val="00F2075B"/>
    <w:rsid w:val="00F213E3"/>
    <w:rsid w:val="00F22649"/>
    <w:rsid w:val="00F22707"/>
    <w:rsid w:val="00F24054"/>
    <w:rsid w:val="00F24731"/>
    <w:rsid w:val="00F24775"/>
    <w:rsid w:val="00F25390"/>
    <w:rsid w:val="00F26EB8"/>
    <w:rsid w:val="00F30794"/>
    <w:rsid w:val="00F3122A"/>
    <w:rsid w:val="00F319E3"/>
    <w:rsid w:val="00F321FC"/>
    <w:rsid w:val="00F32CCE"/>
    <w:rsid w:val="00F34C75"/>
    <w:rsid w:val="00F34E53"/>
    <w:rsid w:val="00F3577D"/>
    <w:rsid w:val="00F35EB7"/>
    <w:rsid w:val="00F36A43"/>
    <w:rsid w:val="00F37C1C"/>
    <w:rsid w:val="00F37C5E"/>
    <w:rsid w:val="00F37D25"/>
    <w:rsid w:val="00F40562"/>
    <w:rsid w:val="00F41573"/>
    <w:rsid w:val="00F43A8C"/>
    <w:rsid w:val="00F43D08"/>
    <w:rsid w:val="00F442C8"/>
    <w:rsid w:val="00F44669"/>
    <w:rsid w:val="00F44814"/>
    <w:rsid w:val="00F44DB5"/>
    <w:rsid w:val="00F45126"/>
    <w:rsid w:val="00F457F8"/>
    <w:rsid w:val="00F45C5B"/>
    <w:rsid w:val="00F46708"/>
    <w:rsid w:val="00F473F7"/>
    <w:rsid w:val="00F47841"/>
    <w:rsid w:val="00F50572"/>
    <w:rsid w:val="00F505DD"/>
    <w:rsid w:val="00F5075E"/>
    <w:rsid w:val="00F51354"/>
    <w:rsid w:val="00F52350"/>
    <w:rsid w:val="00F5318C"/>
    <w:rsid w:val="00F531D2"/>
    <w:rsid w:val="00F53CAD"/>
    <w:rsid w:val="00F548D5"/>
    <w:rsid w:val="00F54AA2"/>
    <w:rsid w:val="00F54D6E"/>
    <w:rsid w:val="00F56269"/>
    <w:rsid w:val="00F572DD"/>
    <w:rsid w:val="00F57814"/>
    <w:rsid w:val="00F5791A"/>
    <w:rsid w:val="00F57AAC"/>
    <w:rsid w:val="00F57AEA"/>
    <w:rsid w:val="00F603F7"/>
    <w:rsid w:val="00F6099D"/>
    <w:rsid w:val="00F60A68"/>
    <w:rsid w:val="00F62129"/>
    <w:rsid w:val="00F62669"/>
    <w:rsid w:val="00F64143"/>
    <w:rsid w:val="00F64169"/>
    <w:rsid w:val="00F641E2"/>
    <w:rsid w:val="00F64BAC"/>
    <w:rsid w:val="00F651B7"/>
    <w:rsid w:val="00F6552A"/>
    <w:rsid w:val="00F65531"/>
    <w:rsid w:val="00F656CA"/>
    <w:rsid w:val="00F65BF8"/>
    <w:rsid w:val="00F65DD7"/>
    <w:rsid w:val="00F663CF"/>
    <w:rsid w:val="00F6640E"/>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D1A"/>
    <w:rsid w:val="00F77068"/>
    <w:rsid w:val="00F770CE"/>
    <w:rsid w:val="00F7751D"/>
    <w:rsid w:val="00F806E7"/>
    <w:rsid w:val="00F8080A"/>
    <w:rsid w:val="00F81437"/>
    <w:rsid w:val="00F82024"/>
    <w:rsid w:val="00F82588"/>
    <w:rsid w:val="00F82E31"/>
    <w:rsid w:val="00F82E50"/>
    <w:rsid w:val="00F8311E"/>
    <w:rsid w:val="00F83377"/>
    <w:rsid w:val="00F83AB5"/>
    <w:rsid w:val="00F83D85"/>
    <w:rsid w:val="00F84074"/>
    <w:rsid w:val="00F84A15"/>
    <w:rsid w:val="00F84B4A"/>
    <w:rsid w:val="00F8627D"/>
    <w:rsid w:val="00F867B5"/>
    <w:rsid w:val="00F87393"/>
    <w:rsid w:val="00F87527"/>
    <w:rsid w:val="00F8762E"/>
    <w:rsid w:val="00F87BA0"/>
    <w:rsid w:val="00F87F20"/>
    <w:rsid w:val="00F8A7BE"/>
    <w:rsid w:val="00F91713"/>
    <w:rsid w:val="00F92890"/>
    <w:rsid w:val="00F930ED"/>
    <w:rsid w:val="00F93645"/>
    <w:rsid w:val="00F94C04"/>
    <w:rsid w:val="00F9538C"/>
    <w:rsid w:val="00F9567C"/>
    <w:rsid w:val="00F95F30"/>
    <w:rsid w:val="00F96021"/>
    <w:rsid w:val="00F962FF"/>
    <w:rsid w:val="00F96981"/>
    <w:rsid w:val="00F96A4D"/>
    <w:rsid w:val="00F97620"/>
    <w:rsid w:val="00F97834"/>
    <w:rsid w:val="00F9783B"/>
    <w:rsid w:val="00FA0264"/>
    <w:rsid w:val="00FA03AB"/>
    <w:rsid w:val="00FA144F"/>
    <w:rsid w:val="00FA149F"/>
    <w:rsid w:val="00FA17B6"/>
    <w:rsid w:val="00FA2548"/>
    <w:rsid w:val="00FA281E"/>
    <w:rsid w:val="00FA2847"/>
    <w:rsid w:val="00FA2AB7"/>
    <w:rsid w:val="00FA380C"/>
    <w:rsid w:val="00FA3A35"/>
    <w:rsid w:val="00FA3CAB"/>
    <w:rsid w:val="00FA4592"/>
    <w:rsid w:val="00FA4D65"/>
    <w:rsid w:val="00FA52B2"/>
    <w:rsid w:val="00FA5CF7"/>
    <w:rsid w:val="00FA6C92"/>
    <w:rsid w:val="00FA7657"/>
    <w:rsid w:val="00FA7688"/>
    <w:rsid w:val="00FA7C4D"/>
    <w:rsid w:val="00FA7EDE"/>
    <w:rsid w:val="00FB06E8"/>
    <w:rsid w:val="00FB1092"/>
    <w:rsid w:val="00FB12A2"/>
    <w:rsid w:val="00FB148C"/>
    <w:rsid w:val="00FB20E3"/>
    <w:rsid w:val="00FB27C1"/>
    <w:rsid w:val="00FB27FB"/>
    <w:rsid w:val="00FB3171"/>
    <w:rsid w:val="00FB3482"/>
    <w:rsid w:val="00FB37B6"/>
    <w:rsid w:val="00FB3861"/>
    <w:rsid w:val="00FB39D7"/>
    <w:rsid w:val="00FB5CE7"/>
    <w:rsid w:val="00FB6378"/>
    <w:rsid w:val="00FB67F5"/>
    <w:rsid w:val="00FB6FBD"/>
    <w:rsid w:val="00FB7401"/>
    <w:rsid w:val="00FB7C1F"/>
    <w:rsid w:val="00FC109B"/>
    <w:rsid w:val="00FC180C"/>
    <w:rsid w:val="00FC1AEE"/>
    <w:rsid w:val="00FC2006"/>
    <w:rsid w:val="00FC2473"/>
    <w:rsid w:val="00FC2538"/>
    <w:rsid w:val="00FC278D"/>
    <w:rsid w:val="00FC2A54"/>
    <w:rsid w:val="00FC2FFC"/>
    <w:rsid w:val="00FC3133"/>
    <w:rsid w:val="00FC33A3"/>
    <w:rsid w:val="00FC39CC"/>
    <w:rsid w:val="00FC3F0C"/>
    <w:rsid w:val="00FC46D5"/>
    <w:rsid w:val="00FC477A"/>
    <w:rsid w:val="00FC5060"/>
    <w:rsid w:val="00FC51F3"/>
    <w:rsid w:val="00FC52DD"/>
    <w:rsid w:val="00FC562D"/>
    <w:rsid w:val="00FC5AF5"/>
    <w:rsid w:val="00FC5EC7"/>
    <w:rsid w:val="00FC6846"/>
    <w:rsid w:val="00FC76C3"/>
    <w:rsid w:val="00FC79D1"/>
    <w:rsid w:val="00FC7AC5"/>
    <w:rsid w:val="00FCFE53"/>
    <w:rsid w:val="00FD10F1"/>
    <w:rsid w:val="00FD1FAE"/>
    <w:rsid w:val="00FD2384"/>
    <w:rsid w:val="00FD273A"/>
    <w:rsid w:val="00FD2D48"/>
    <w:rsid w:val="00FD3A6D"/>
    <w:rsid w:val="00FD458B"/>
    <w:rsid w:val="00FD4CC5"/>
    <w:rsid w:val="00FD513E"/>
    <w:rsid w:val="00FD582B"/>
    <w:rsid w:val="00FD5E06"/>
    <w:rsid w:val="00FD5E7D"/>
    <w:rsid w:val="00FD61C8"/>
    <w:rsid w:val="00FD69A3"/>
    <w:rsid w:val="00FD6F6D"/>
    <w:rsid w:val="00FD70F5"/>
    <w:rsid w:val="00FD77D2"/>
    <w:rsid w:val="00FD7F1E"/>
    <w:rsid w:val="00FE0B22"/>
    <w:rsid w:val="00FE0C1C"/>
    <w:rsid w:val="00FE0D5F"/>
    <w:rsid w:val="00FE0D6B"/>
    <w:rsid w:val="00FE0F98"/>
    <w:rsid w:val="00FE1779"/>
    <w:rsid w:val="00FE2388"/>
    <w:rsid w:val="00FE2538"/>
    <w:rsid w:val="00FE2563"/>
    <w:rsid w:val="00FE26E7"/>
    <w:rsid w:val="00FE2EE0"/>
    <w:rsid w:val="00FE3FFE"/>
    <w:rsid w:val="00FE4107"/>
    <w:rsid w:val="00FE411D"/>
    <w:rsid w:val="00FE417E"/>
    <w:rsid w:val="00FE49A0"/>
    <w:rsid w:val="00FE4B76"/>
    <w:rsid w:val="00FE5B3A"/>
    <w:rsid w:val="00FE5EFF"/>
    <w:rsid w:val="00FE6D4D"/>
    <w:rsid w:val="00FE72FF"/>
    <w:rsid w:val="00FE7774"/>
    <w:rsid w:val="00FE7C0D"/>
    <w:rsid w:val="00FE7CAE"/>
    <w:rsid w:val="00FE7E09"/>
    <w:rsid w:val="00FE7EEB"/>
    <w:rsid w:val="00FEDF88"/>
    <w:rsid w:val="00FF1B15"/>
    <w:rsid w:val="00FF2C9D"/>
    <w:rsid w:val="00FF3907"/>
    <w:rsid w:val="00FF3C72"/>
    <w:rsid w:val="00FF51B1"/>
    <w:rsid w:val="00FF5815"/>
    <w:rsid w:val="00FF6508"/>
    <w:rsid w:val="00FF6DE5"/>
    <w:rsid w:val="00FF763F"/>
    <w:rsid w:val="00FF7684"/>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A2868"/>
  <w15:docId w15:val="{6487BF48-3A28-449B-B212-05E885A2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rPr>
  </w:style>
  <w:style w:type="paragraph" w:styleId="Heading1">
    <w:name w:val="heading 1"/>
    <w:basedOn w:val="Normal"/>
    <w:next w:val="Heading2"/>
    <w:link w:val="Heading1Char"/>
    <w:uiPriority w:val="9"/>
    <w:qFormat/>
    <w:rsid w:val="006814E7"/>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814E7"/>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814E7"/>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814E7"/>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814E7"/>
    <w:pPr>
      <w:keepNext/>
      <w:widowControl w:val="0"/>
      <w:numPr>
        <w:ilvl w:val="8"/>
        <w:numId w:val="3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6814E7"/>
    <w:rPr>
      <w:vertAlign w:val="superscript"/>
      <w:lang w:val="ru-RU"/>
    </w:rPr>
  </w:style>
  <w:style w:type="paragraph" w:styleId="FootnoteText">
    <w:name w:val="footnote text"/>
    <w:basedOn w:val="Normal"/>
    <w:link w:val="FootnoteTextChar"/>
    <w:uiPriority w:val="99"/>
    <w:unhideWhenUsed/>
    <w:rsid w:val="006814E7"/>
    <w:pPr>
      <w:jc w:val="left"/>
    </w:pPr>
    <w:rPr>
      <w:sz w:val="18"/>
      <w:szCs w:val="20"/>
    </w:rPr>
  </w:style>
  <w:style w:type="character" w:customStyle="1" w:styleId="FootnoteTextChar">
    <w:name w:val="Footnote Text Char"/>
    <w:basedOn w:val="DefaultParagraphFont"/>
    <w:link w:val="FootnoteText"/>
    <w:uiPriority w:val="99"/>
    <w:rsid w:val="006814E7"/>
    <w:rPr>
      <w:rFonts w:ascii="Times New Roman" w:eastAsia="SimSun" w:hAnsi="Times New Roman" w:cs="Times New Roman"/>
      <w:sz w:val="18"/>
      <w:szCs w:val="20"/>
      <w:lang w:val="ru-RU"/>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SimSun" w:hAnsi="Times New Roman" w:cs="Times New Roman"/>
      <w:lang w:val="ru-RU"/>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eastAsia="de-CH"/>
    </w:rPr>
  </w:style>
  <w:style w:type="character" w:customStyle="1" w:styleId="Heading2Char">
    <w:name w:val="Heading 2 Char"/>
    <w:basedOn w:val="DefaultParagraphFont"/>
    <w:link w:val="Heading2"/>
    <w:uiPriority w:val="9"/>
    <w:rsid w:val="006814E7"/>
    <w:rPr>
      <w:rFonts w:ascii="Times New Roman Bold" w:eastAsiaTheme="majorEastAsia" w:hAnsi="Times New Roman Bold" w:cstheme="majorBidi"/>
      <w:b/>
      <w:sz w:val="24"/>
      <w:szCs w:val="26"/>
      <w:lang w:val="ru-RU"/>
    </w:rPr>
  </w:style>
  <w:style w:type="paragraph" w:styleId="ListParagraph">
    <w:name w:val="List Paragraph"/>
    <w:basedOn w:val="Normal"/>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BodyText">
    <w:name w:val="Body Text"/>
    <w:basedOn w:val="Normal"/>
    <w:link w:val="BodyTextChar"/>
    <w:uiPriority w:val="99"/>
    <w:unhideWhenUsed/>
    <w:rsid w:val="006814E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814E7"/>
    <w:rPr>
      <w:rFonts w:eastAsiaTheme="minorHAnsi"/>
      <w:kern w:val="2"/>
      <w:lang w:val="ru-RU"/>
      <w14:ligatures w14:val="standardContextual"/>
    </w:rPr>
  </w:style>
  <w:style w:type="character" w:styleId="CommentReference">
    <w:name w:val="annotation reference"/>
    <w:basedOn w:val="DefaultParagraphFont"/>
    <w:uiPriority w:val="99"/>
    <w:semiHidden/>
    <w:unhideWhenUsed/>
    <w:rsid w:val="006814E7"/>
    <w:rPr>
      <w:sz w:val="16"/>
      <w:szCs w:val="16"/>
      <w:lang w:val="ru-RU"/>
    </w:rPr>
  </w:style>
  <w:style w:type="paragraph" w:styleId="CommentText">
    <w:name w:val="annotation text"/>
    <w:basedOn w:val="Normal"/>
    <w:link w:val="CommentTextChar"/>
    <w:uiPriority w:val="99"/>
    <w:semiHidden/>
    <w:rsid w:val="006814E7"/>
    <w:rPr>
      <w:sz w:val="20"/>
      <w:szCs w:val="20"/>
    </w:rPr>
  </w:style>
  <w:style w:type="character" w:customStyle="1" w:styleId="CommentTextChar">
    <w:name w:val="Comment Text Char"/>
    <w:basedOn w:val="DefaultParagraphFont"/>
    <w:link w:val="CommentText"/>
    <w:uiPriority w:val="99"/>
    <w:semiHidden/>
    <w:rsid w:val="006814E7"/>
    <w:rPr>
      <w:rFonts w:ascii="Times New Roman" w:eastAsia="SimSun" w:hAnsi="Times New Roman" w:cs="Times New Roman"/>
      <w:sz w:val="20"/>
      <w:szCs w:val="20"/>
      <w:lang w:val="ru-RU"/>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SimSun" w:hAnsi="Lucida Grande" w:cs="Lucida Grande"/>
      <w:sz w:val="18"/>
      <w:szCs w:val="18"/>
      <w:lang w:val="ru-RU"/>
    </w:rPr>
  </w:style>
  <w:style w:type="paragraph" w:styleId="NoSpacing">
    <w:name w:val="No Spacing"/>
    <w:link w:val="NoSpacingChar"/>
    <w:uiPriority w:val="1"/>
    <w:qFormat/>
    <w:rsid w:val="00E1232A"/>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E1232A"/>
    <w:rPr>
      <w:rFonts w:ascii="Calibri" w:eastAsia="Calibri" w:hAnsi="Calibri" w:cs="Times New Roman"/>
      <w:lang w:val="ru-RU"/>
    </w:rPr>
  </w:style>
  <w:style w:type="table" w:styleId="TableGrid">
    <w:name w:val="Table Grid"/>
    <w:basedOn w:val="Table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lang w:val="ru-RU"/>
    </w:rPr>
  </w:style>
  <w:style w:type="paragraph" w:styleId="Header">
    <w:name w:val="header"/>
    <w:basedOn w:val="Normal"/>
    <w:link w:val="HeaderChar"/>
    <w:rsid w:val="006814E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814E7"/>
    <w:rPr>
      <w:rFonts w:ascii="Times New Roman" w:eastAsia="SimSun" w:hAnsi="Times New Roman" w:cs="Times New Roman"/>
      <w:sz w:val="20"/>
      <w:lang w:val="ru-RU"/>
    </w:rPr>
  </w:style>
  <w:style w:type="paragraph" w:styleId="Footer">
    <w:name w:val="footer"/>
    <w:basedOn w:val="Normal"/>
    <w:link w:val="FooterChar"/>
    <w:uiPriority w:val="99"/>
    <w:rsid w:val="006814E7"/>
    <w:pPr>
      <w:tabs>
        <w:tab w:val="center" w:pos="4680"/>
        <w:tab w:val="right" w:pos="9360"/>
      </w:tabs>
    </w:pPr>
    <w:rPr>
      <w:sz w:val="20"/>
    </w:rPr>
  </w:style>
  <w:style w:type="character" w:customStyle="1" w:styleId="FooterChar">
    <w:name w:val="Footer Char"/>
    <w:basedOn w:val="DefaultParagraphFont"/>
    <w:link w:val="Footer"/>
    <w:uiPriority w:val="99"/>
    <w:rsid w:val="006814E7"/>
    <w:rPr>
      <w:rFonts w:ascii="Times New Roman" w:eastAsia="SimSun" w:hAnsi="Times New Roman" w:cs="Times New Roman"/>
      <w:sz w:val="20"/>
      <w:lang w:val="ru-RU"/>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006814E7"/>
    <w:rPr>
      <w:b/>
      <w:bCs/>
    </w:rPr>
  </w:style>
  <w:style w:type="character" w:customStyle="1" w:styleId="CommentSubjectChar">
    <w:name w:val="Comment Subject Char"/>
    <w:basedOn w:val="CommentTextChar"/>
    <w:link w:val="CommentSubject"/>
    <w:uiPriority w:val="99"/>
    <w:semiHidden/>
    <w:rsid w:val="006814E7"/>
    <w:rPr>
      <w:rFonts w:ascii="Times New Roman" w:eastAsia="SimSun" w:hAnsi="Times New Roman" w:cs="Times New Roman"/>
      <w:b/>
      <w:bCs/>
      <w:sz w:val="20"/>
      <w:szCs w:val="20"/>
      <w:lang w:val="ru-RU"/>
    </w:rPr>
  </w:style>
  <w:style w:type="paragraph" w:styleId="Revision">
    <w:name w:val="Revision"/>
    <w:hidden/>
    <w:uiPriority w:val="99"/>
    <w:semiHidden/>
    <w:rsid w:val="006814E7"/>
    <w:pPr>
      <w:spacing w:after="0" w:line="240" w:lineRule="auto"/>
    </w:pPr>
    <w:rPr>
      <w:rFonts w:ascii="Simplified Arabic" w:eastAsia="Times New Roman" w:hAnsi="Simplified Arabic" w:cs="Simplified Arabic"/>
      <w:noProof/>
      <w:sz w:val="24"/>
      <w:szCs w:val="24"/>
    </w:rPr>
  </w:style>
  <w:style w:type="character" w:styleId="Hyperlink">
    <w:name w:val="Hyperlink"/>
    <w:basedOn w:val="DefaultParagraphFont"/>
    <w:uiPriority w:val="99"/>
    <w:unhideWhenUsed/>
    <w:rsid w:val="006814E7"/>
    <w:rPr>
      <w:rFonts w:ascii="Times New Roman" w:hAnsi="Times New Roman"/>
      <w:color w:val="0563C1" w:themeColor="hyperlink"/>
      <w:u w:val="single"/>
      <w:lang w:val="ru-RU"/>
    </w:rPr>
  </w:style>
  <w:style w:type="character" w:styleId="FollowedHyperlink">
    <w:name w:val="FollowedHyperlink"/>
    <w:rsid w:val="00482395"/>
    <w:rPr>
      <w:color w:val="800080"/>
      <w:u w:val="single"/>
      <w:lang w:val="ru-RU"/>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lang w:val="ru-RU"/>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rPr>
  </w:style>
  <w:style w:type="character" w:customStyle="1" w:styleId="PlainTextChar">
    <w:name w:val="Plain Text Char"/>
    <w:basedOn w:val="DefaultParagraphFont"/>
    <w:link w:val="PlainText"/>
    <w:uiPriority w:val="99"/>
    <w:semiHidden/>
    <w:rsid w:val="519665D8"/>
    <w:rPr>
      <w:rFonts w:ascii="Calibri" w:hAnsi="Calibri" w:cs="Calibri"/>
      <w:lang w:val="ru-RU"/>
    </w:rPr>
  </w:style>
  <w:style w:type="table" w:customStyle="1" w:styleId="TableGrid1">
    <w:name w:val="Table Grid1"/>
    <w:basedOn w:val="TableNormal"/>
    <w:next w:val="TableGrid"/>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14E7"/>
    <w:rPr>
      <w:rFonts w:ascii="Times New Roman" w:eastAsiaTheme="majorEastAsia" w:hAnsi="Times New Roman" w:cstheme="majorBidi"/>
      <w:b/>
      <w:bCs/>
      <w:kern w:val="2"/>
      <w:sz w:val="28"/>
      <w:szCs w:val="32"/>
      <w:lang w:val="ru-RU"/>
      <w14:ligatures w14:val="standardContextual"/>
    </w:rPr>
  </w:style>
  <w:style w:type="table" w:styleId="ListTable6Colorful">
    <w:name w:val="List Table 6 Colorful"/>
    <w:basedOn w:val="TableNormal"/>
    <w:uiPriority w:val="51"/>
    <w:rsid w:val="00D454FF"/>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uiPriority w:val="1"/>
    <w:qFormat/>
    <w:rsid w:val="519665D8"/>
    <w:rPr>
      <w:i/>
      <w:iCs/>
      <w:sz w:val="18"/>
      <w:szCs w:val="18"/>
    </w:rPr>
  </w:style>
  <w:style w:type="character" w:customStyle="1" w:styleId="Heading9Char">
    <w:name w:val="Heading 9 Char"/>
    <w:basedOn w:val="DefaultParagraphFont"/>
    <w:link w:val="Heading9"/>
    <w:rsid w:val="006814E7"/>
    <w:rPr>
      <w:rFonts w:ascii="Times New Roman" w:eastAsia="SimSun" w:hAnsi="Times New Roman" w:cs="Times New Roman"/>
      <w:snapToGrid w:val="0"/>
      <w:u w:val="single"/>
      <w:lang w:val="ru-RU"/>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SimSun" w:hAnsi="Times New Roman" w:cs="Times New Roman"/>
      <w:lang w:val="ru-RU"/>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ru-RU"/>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lang w:val="ru-RU"/>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SimSun" w:hAnsi="Courier New" w:cs="Times New Roman"/>
      <w:lang w:val="ru-RU"/>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pPr>
  </w:style>
  <w:style w:type="paragraph" w:customStyle="1" w:styleId="Heading1multiline">
    <w:name w:val="Heading 1 (multiline)"/>
    <w:basedOn w:val="Heading1"/>
    <w:uiPriority w:val="1"/>
    <w:rsid w:val="519665D8"/>
    <w:pPr>
      <w:ind w:left="1843" w:right="996"/>
    </w:pPr>
  </w:style>
  <w:style w:type="paragraph" w:customStyle="1" w:styleId="Heading2multiline">
    <w:name w:val="Heading 2 (multiline)"/>
    <w:basedOn w:val="Heading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9"/>
    <w:rsid w:val="006814E7"/>
    <w:rPr>
      <w:rFonts w:ascii="Times New Roman" w:eastAsiaTheme="majorEastAsia" w:hAnsi="Times New Roman" w:cs="Times New Roman"/>
      <w:b/>
      <w:bCs/>
      <w:lang w:val="ru-RU"/>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pPr>
  </w:style>
  <w:style w:type="character" w:customStyle="1" w:styleId="Heading4Char">
    <w:name w:val="Heading 4 Char"/>
    <w:basedOn w:val="DefaultParagraphFont"/>
    <w:link w:val="Heading4"/>
    <w:uiPriority w:val="9"/>
    <w:rsid w:val="006814E7"/>
    <w:rPr>
      <w:rFonts w:ascii="Times New Roman" w:eastAsiaTheme="majorEastAsia" w:hAnsi="Times New Roman" w:cs="Times New Roman"/>
      <w:b/>
      <w:bCs/>
      <w:lang w:val="ru-RU"/>
    </w:rPr>
  </w:style>
  <w:style w:type="paragraph" w:customStyle="1" w:styleId="Heading4indent">
    <w:name w:val="Heading 4 indent"/>
    <w:basedOn w:val="Heading4"/>
    <w:uiPriority w:val="1"/>
    <w:rsid w:val="519665D8"/>
    <w:pPr>
      <w:ind w:left="720"/>
    </w:pPr>
  </w:style>
  <w:style w:type="character" w:customStyle="1" w:styleId="Heading5Char">
    <w:name w:val="Heading 5 Char"/>
    <w:basedOn w:val="DefaultParagraphFont"/>
    <w:link w:val="Heading5"/>
    <w:uiPriority w:val="9"/>
    <w:rsid w:val="006814E7"/>
    <w:rPr>
      <w:rFonts w:ascii="Times New Roman" w:eastAsiaTheme="majorEastAsia" w:hAnsi="Times New Roman" w:cs="Times New Roman"/>
      <w:i/>
      <w:iCs/>
      <w:lang w:val="ru-RU"/>
    </w:rPr>
  </w:style>
  <w:style w:type="character" w:customStyle="1" w:styleId="Heading6Char">
    <w:name w:val="Heading 6 Char"/>
    <w:basedOn w:val="DefaultParagraphFont"/>
    <w:link w:val="Heading6"/>
    <w:rsid w:val="006814E7"/>
    <w:rPr>
      <w:rFonts w:ascii="Times New Roman" w:eastAsia="SimSun" w:hAnsi="Times New Roman" w:cs="Times New Roman"/>
      <w:bCs/>
      <w:sz w:val="24"/>
      <w:lang w:val="ru-RU"/>
    </w:rPr>
  </w:style>
  <w:style w:type="character" w:customStyle="1" w:styleId="Heading7Char">
    <w:name w:val="Heading 7 Char"/>
    <w:basedOn w:val="DefaultParagraphFont"/>
    <w:link w:val="Heading7"/>
    <w:rsid w:val="006814E7"/>
    <w:rPr>
      <w:rFonts w:ascii="Times New Roman" w:eastAsia="SimSun" w:hAnsi="Times New Roman" w:cs="Times New Roman"/>
      <w:b/>
      <w:snapToGrid w:val="0"/>
      <w:u w:val="single"/>
      <w:lang w:val="ru-RU"/>
    </w:rPr>
  </w:style>
  <w:style w:type="character" w:customStyle="1" w:styleId="Heading8Char">
    <w:name w:val="Heading 8 Char"/>
    <w:basedOn w:val="DefaultParagraphFont"/>
    <w:link w:val="Heading8"/>
    <w:rsid w:val="006814E7"/>
    <w:rPr>
      <w:rFonts w:ascii="Times New Roman" w:eastAsia="SimSun" w:hAnsi="Times New Roman" w:cs="Times New Roman"/>
      <w:b/>
      <w:snapToGrid w:val="0"/>
      <w:u w:val="single"/>
      <w:lang w:val="ru-RU"/>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lang w:val="ru-RU"/>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ru-RU"/>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color w:val="4472C4" w:themeColor="accent1"/>
      <w:sz w:val="24"/>
      <w:szCs w:val="24"/>
      <w:lang w:val="ru-RU"/>
    </w:rPr>
  </w:style>
  <w:style w:type="paragraph" w:customStyle="1" w:styleId="tabletitle">
    <w:name w:val="table title"/>
    <w:basedOn w:val="Heading2"/>
    <w:uiPriority w:val="1"/>
    <w:qFormat/>
    <w:rsid w:val="519665D8"/>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color w:val="323E4F" w:themeColor="text2" w:themeShade="BF"/>
      <w:sz w:val="52"/>
      <w:szCs w:val="52"/>
      <w:lang w:val="ru-RU"/>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lang w:val="ru-RU"/>
    </w:rPr>
  </w:style>
  <w:style w:type="character" w:styleId="Strong">
    <w:name w:val="Strong"/>
    <w:basedOn w:val="DefaultParagraphFont"/>
    <w:uiPriority w:val="22"/>
    <w:qFormat/>
    <w:rsid w:val="00006597"/>
    <w:rPr>
      <w:b/>
      <w:bCs/>
      <w:lang w:val="ru-RU"/>
    </w:rPr>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rPr>
      <w:lang w:val="ru-RU"/>
    </w:rPr>
  </w:style>
  <w:style w:type="character" w:customStyle="1" w:styleId="tabchar">
    <w:name w:val="tabchar"/>
    <w:basedOn w:val="DefaultParagraphFont"/>
    <w:rsid w:val="00081DFD"/>
    <w:rPr>
      <w:lang w:val="ru-RU"/>
    </w:rPr>
  </w:style>
  <w:style w:type="paragraph" w:styleId="Quote">
    <w:name w:val="Quote"/>
    <w:basedOn w:val="Normal"/>
    <w:next w:val="Normal"/>
    <w:link w:val="QuoteChar"/>
    <w:uiPriority w:val="29"/>
    <w:qFormat/>
    <w:rsid w:val="519665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rFonts w:ascii="Times New Roman" w:eastAsia="SimSun" w:hAnsi="Times New Roman" w:cs="Times New Roman"/>
      <w:i/>
      <w:iCs/>
      <w:color w:val="404040" w:themeColor="text1" w:themeTint="BF"/>
      <w:lang w:val="ru-RU"/>
    </w:rPr>
  </w:style>
  <w:style w:type="character" w:customStyle="1" w:styleId="IntenseQuoteChar">
    <w:name w:val="Intense Quote Char"/>
    <w:basedOn w:val="DefaultParagraphFont"/>
    <w:link w:val="IntenseQuote"/>
    <w:uiPriority w:val="30"/>
    <w:rsid w:val="519665D8"/>
    <w:rPr>
      <w:rFonts w:ascii="Times New Roman" w:eastAsia="SimSun" w:hAnsi="Times New Roman" w:cs="Times New Roman"/>
      <w:i/>
      <w:iCs/>
      <w:color w:val="4472C4" w:themeColor="accent1"/>
      <w:lang w:val="ru-RU"/>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DefaultParagraphFont"/>
    <w:rsid w:val="00873AC2"/>
    <w:rPr>
      <w:lang w:val="ru-RU"/>
    </w:rPr>
  </w:style>
  <w:style w:type="character" w:customStyle="1" w:styleId="markrg7dsa8il">
    <w:name w:val="markrg7dsa8il"/>
    <w:basedOn w:val="DefaultParagraphFont"/>
    <w:rsid w:val="00873AC2"/>
    <w:rPr>
      <w:lang w:val="ru-RU"/>
    </w:rPr>
  </w:style>
  <w:style w:type="character" w:customStyle="1" w:styleId="mark6henrkujc">
    <w:name w:val="mark6henrkujc"/>
    <w:basedOn w:val="DefaultParagraphFont"/>
    <w:rsid w:val="00873AC2"/>
    <w:rPr>
      <w:lang w:val="ru-RU"/>
    </w:rPr>
  </w:style>
  <w:style w:type="paragraph" w:customStyle="1" w:styleId="Venuedate">
    <w:name w:val="Venue&amp;date"/>
    <w:basedOn w:val="Cornernotation"/>
    <w:qFormat/>
    <w:rsid w:val="002B757B"/>
    <w:rPr>
      <w:bCs/>
    </w:rPr>
  </w:style>
  <w:style w:type="paragraph" w:customStyle="1" w:styleId="Footnote">
    <w:name w:val="Footnote"/>
    <w:basedOn w:val="FootnoteText"/>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numPr>
        <w:numId w:val="85"/>
      </w:numPr>
      <w:tabs>
        <w:tab w:val="left" w:pos="3969"/>
      </w:tabs>
      <w:spacing w:before="120" w:after="120"/>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rPr>
  </w:style>
  <w:style w:type="paragraph" w:styleId="List">
    <w:name w:val="List"/>
    <w:basedOn w:val="Normal"/>
    <w:semiHidden/>
    <w:rsid w:val="006814E7"/>
    <w:pPr>
      <w:contextualSpacing/>
    </w:pPr>
  </w:style>
  <w:style w:type="numbering" w:customStyle="1" w:styleId="ListCBD">
    <w:name w:val="ListCBD"/>
    <w:basedOn w:val="NoList"/>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phy">
    <w:name w:val="Bibliography"/>
    <w:basedOn w:val="Normal"/>
    <w:next w:val="Normal"/>
    <w:uiPriority w:val="37"/>
    <w:semiHidden/>
    <w:unhideWhenUsed/>
    <w:rsid w:val="006814E7"/>
  </w:style>
  <w:style w:type="paragraph" w:styleId="BlockText">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814E7"/>
    <w:pPr>
      <w:spacing w:after="120" w:line="480" w:lineRule="auto"/>
    </w:pPr>
  </w:style>
  <w:style w:type="character" w:customStyle="1" w:styleId="BodyText2Char">
    <w:name w:val="Body Text 2 Char"/>
    <w:basedOn w:val="DefaultParagraphFont"/>
    <w:link w:val="BodyText2"/>
    <w:uiPriority w:val="99"/>
    <w:semiHidden/>
    <w:rsid w:val="006814E7"/>
    <w:rPr>
      <w:rFonts w:ascii="Times New Roman" w:eastAsia="SimSun" w:hAnsi="Times New Roman" w:cs="Times New Roman"/>
      <w:lang w:val="ru-RU"/>
    </w:rPr>
  </w:style>
  <w:style w:type="paragraph" w:styleId="BodyText3">
    <w:name w:val="Body Text 3"/>
    <w:basedOn w:val="Normal"/>
    <w:link w:val="BodyText3Char"/>
    <w:uiPriority w:val="99"/>
    <w:semiHidden/>
    <w:unhideWhenUsed/>
    <w:rsid w:val="006814E7"/>
    <w:pPr>
      <w:spacing w:after="120"/>
    </w:pPr>
    <w:rPr>
      <w:sz w:val="16"/>
      <w:szCs w:val="16"/>
    </w:rPr>
  </w:style>
  <w:style w:type="character" w:customStyle="1" w:styleId="BodyText3Char">
    <w:name w:val="Body Text 3 Char"/>
    <w:basedOn w:val="DefaultParagraphFont"/>
    <w:link w:val="BodyText3"/>
    <w:uiPriority w:val="99"/>
    <w:semiHidden/>
    <w:rsid w:val="006814E7"/>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6814E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814E7"/>
    <w:rPr>
      <w:rFonts w:ascii="Times New Roman" w:eastAsia="SimSun" w:hAnsi="Times New Roman" w:cs="Times New Roman"/>
      <w:kern w:val="2"/>
      <w:lang w:val="ru-RU"/>
      <w14:ligatures w14:val="standardContextual"/>
    </w:rPr>
  </w:style>
  <w:style w:type="paragraph" w:styleId="BodyTextFirstIndent2">
    <w:name w:val="Body Text First Indent 2"/>
    <w:basedOn w:val="BodyTextIndent"/>
    <w:link w:val="BodyTextFirstIndent2Char"/>
    <w:uiPriority w:val="99"/>
    <w:semiHidden/>
    <w:unhideWhenUsed/>
    <w:rsid w:val="006814E7"/>
    <w:pPr>
      <w:ind w:left="360" w:firstLine="360"/>
      <w:jc w:val="both"/>
    </w:pPr>
  </w:style>
  <w:style w:type="character" w:customStyle="1" w:styleId="BodyTextFirstIndent2Char">
    <w:name w:val="Body Text First Indent 2 Char"/>
    <w:basedOn w:val="BodyTextIndentChar"/>
    <w:link w:val="BodyTextFirstIndent2"/>
    <w:uiPriority w:val="99"/>
    <w:semiHidden/>
    <w:rsid w:val="006814E7"/>
    <w:rPr>
      <w:rFonts w:ascii="Times New Roman" w:eastAsia="SimSun" w:hAnsi="Times New Roman" w:cs="Times New Roman"/>
      <w:lang w:val="ru-RU"/>
    </w:rPr>
  </w:style>
  <w:style w:type="paragraph" w:styleId="BodyTextIndent2">
    <w:name w:val="Body Text Indent 2"/>
    <w:basedOn w:val="Normal"/>
    <w:link w:val="BodyTextIndent2Char"/>
    <w:uiPriority w:val="99"/>
    <w:semiHidden/>
    <w:unhideWhenUsed/>
    <w:rsid w:val="006814E7"/>
    <w:pPr>
      <w:spacing w:after="120" w:line="480" w:lineRule="auto"/>
      <w:ind w:left="283"/>
    </w:pPr>
  </w:style>
  <w:style w:type="character" w:customStyle="1" w:styleId="BodyTextIndent2Char">
    <w:name w:val="Body Text Indent 2 Char"/>
    <w:basedOn w:val="DefaultParagraphFont"/>
    <w:link w:val="BodyTextIndent2"/>
    <w:uiPriority w:val="99"/>
    <w:semiHidden/>
    <w:rsid w:val="006814E7"/>
    <w:rPr>
      <w:rFonts w:ascii="Times New Roman" w:eastAsia="SimSun" w:hAnsi="Times New Roman" w:cs="Times New Roman"/>
      <w:lang w:val="ru-RU"/>
    </w:rPr>
  </w:style>
  <w:style w:type="paragraph" w:styleId="BodyTextIndent3">
    <w:name w:val="Body Text Indent 3"/>
    <w:basedOn w:val="Normal"/>
    <w:link w:val="BodyTextIndent3Char"/>
    <w:uiPriority w:val="99"/>
    <w:semiHidden/>
    <w:unhideWhenUsed/>
    <w:rsid w:val="006814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14E7"/>
    <w:rPr>
      <w:rFonts w:ascii="Times New Roman" w:eastAsia="SimSun" w:hAnsi="Times New Roman" w:cs="Times New Roman"/>
      <w:sz w:val="16"/>
      <w:szCs w:val="16"/>
      <w:lang w:val="ru-RU"/>
    </w:rPr>
  </w:style>
  <w:style w:type="character" w:styleId="BookTitle">
    <w:name w:val="Book Title"/>
    <w:basedOn w:val="DefaultParagraphFont"/>
    <w:uiPriority w:val="33"/>
    <w:qFormat/>
    <w:rsid w:val="006814E7"/>
    <w:rPr>
      <w:b/>
      <w:bCs/>
      <w:i/>
      <w:iCs/>
      <w:spacing w:val="5"/>
      <w:lang w:val="ru-RU"/>
    </w:rPr>
  </w:style>
  <w:style w:type="paragraph" w:styleId="Closing">
    <w:name w:val="Closing"/>
    <w:basedOn w:val="Normal"/>
    <w:link w:val="ClosingChar"/>
    <w:uiPriority w:val="99"/>
    <w:semiHidden/>
    <w:unhideWhenUsed/>
    <w:rsid w:val="006814E7"/>
    <w:pPr>
      <w:ind w:left="4252"/>
    </w:pPr>
  </w:style>
  <w:style w:type="character" w:customStyle="1" w:styleId="ClosingChar">
    <w:name w:val="Closing Char"/>
    <w:basedOn w:val="DefaultParagraphFont"/>
    <w:link w:val="Closing"/>
    <w:uiPriority w:val="99"/>
    <w:semiHidden/>
    <w:rsid w:val="006814E7"/>
    <w:rPr>
      <w:rFonts w:ascii="Times New Roman" w:eastAsia="SimSun" w:hAnsi="Times New Roman" w:cs="Times New Roman"/>
      <w:lang w:val="ru-RU"/>
    </w:rPr>
  </w:style>
  <w:style w:type="table" w:styleId="ColorfulGrid">
    <w:name w:val="Colorful Grid"/>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814E7"/>
  </w:style>
  <w:style w:type="character" w:customStyle="1" w:styleId="DateChar">
    <w:name w:val="Date Char"/>
    <w:basedOn w:val="DefaultParagraphFont"/>
    <w:link w:val="Date"/>
    <w:uiPriority w:val="99"/>
    <w:semiHidden/>
    <w:rsid w:val="006814E7"/>
    <w:rPr>
      <w:rFonts w:ascii="Times New Roman" w:eastAsia="SimSun" w:hAnsi="Times New Roman" w:cs="Times New Roman"/>
      <w:lang w:val="ru-RU"/>
    </w:rPr>
  </w:style>
  <w:style w:type="paragraph" w:styleId="DocumentMap">
    <w:name w:val="Document Map"/>
    <w:basedOn w:val="Normal"/>
    <w:link w:val="DocumentMapChar"/>
    <w:uiPriority w:val="99"/>
    <w:semiHidden/>
    <w:unhideWhenUsed/>
    <w:rsid w:val="006814E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14E7"/>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6814E7"/>
  </w:style>
  <w:style w:type="character" w:customStyle="1" w:styleId="E-mailSignatureChar">
    <w:name w:val="E-mail Signature Char"/>
    <w:basedOn w:val="DefaultParagraphFont"/>
    <w:link w:val="E-mailSignature"/>
    <w:uiPriority w:val="99"/>
    <w:semiHidden/>
    <w:rsid w:val="006814E7"/>
    <w:rPr>
      <w:rFonts w:ascii="Times New Roman" w:eastAsia="SimSun" w:hAnsi="Times New Roman" w:cs="Times New Roman"/>
      <w:lang w:val="ru-RU"/>
    </w:rPr>
  </w:style>
  <w:style w:type="character" w:styleId="Emphasis">
    <w:name w:val="Emphasis"/>
    <w:basedOn w:val="DefaultParagraphFont"/>
    <w:uiPriority w:val="20"/>
    <w:qFormat/>
    <w:rsid w:val="006814E7"/>
    <w:rPr>
      <w:i/>
      <w:iCs/>
      <w:lang w:val="ru-RU"/>
    </w:rPr>
  </w:style>
  <w:style w:type="paragraph" w:styleId="EnvelopeAddress">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14E7"/>
    <w:rPr>
      <w:rFonts w:asciiTheme="majorHAnsi" w:eastAsiaTheme="majorEastAsia" w:hAnsiTheme="majorHAnsi" w:cstheme="majorBidi"/>
      <w:sz w:val="20"/>
      <w:szCs w:val="20"/>
    </w:rPr>
  </w:style>
  <w:style w:type="table" w:styleId="GridTable1Light">
    <w:name w:val="Grid Table 1 Light"/>
    <w:basedOn w:val="TableNormal"/>
    <w:uiPriority w:val="46"/>
    <w:rsid w:val="006814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81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814E7"/>
    <w:rPr>
      <w:color w:val="2B579A"/>
      <w:shd w:val="clear" w:color="auto" w:fill="E1DFDD"/>
      <w:lang w:val="ru-RU"/>
    </w:rPr>
  </w:style>
  <w:style w:type="character" w:styleId="HTMLAcronym">
    <w:name w:val="HTML Acronym"/>
    <w:basedOn w:val="DefaultParagraphFont"/>
    <w:uiPriority w:val="99"/>
    <w:semiHidden/>
    <w:unhideWhenUsed/>
    <w:rsid w:val="006814E7"/>
    <w:rPr>
      <w:lang w:val="ru-RU"/>
    </w:rPr>
  </w:style>
  <w:style w:type="paragraph" w:styleId="HTMLAddress">
    <w:name w:val="HTML Address"/>
    <w:basedOn w:val="Normal"/>
    <w:link w:val="HTMLAddressChar"/>
    <w:uiPriority w:val="99"/>
    <w:semiHidden/>
    <w:unhideWhenUsed/>
    <w:rsid w:val="006814E7"/>
    <w:rPr>
      <w:i/>
      <w:iCs/>
    </w:rPr>
  </w:style>
  <w:style w:type="character" w:customStyle="1" w:styleId="HTMLAddressChar">
    <w:name w:val="HTML Address Char"/>
    <w:basedOn w:val="DefaultParagraphFont"/>
    <w:link w:val="HTMLAddress"/>
    <w:uiPriority w:val="99"/>
    <w:semiHidden/>
    <w:rsid w:val="006814E7"/>
    <w:rPr>
      <w:rFonts w:ascii="Times New Roman" w:eastAsia="SimSun" w:hAnsi="Times New Roman" w:cs="Times New Roman"/>
      <w:i/>
      <w:iCs/>
      <w:lang w:val="ru-RU"/>
    </w:rPr>
  </w:style>
  <w:style w:type="character" w:styleId="HTMLCite">
    <w:name w:val="HTML Cite"/>
    <w:basedOn w:val="DefaultParagraphFont"/>
    <w:uiPriority w:val="99"/>
    <w:semiHidden/>
    <w:unhideWhenUsed/>
    <w:rsid w:val="006814E7"/>
    <w:rPr>
      <w:i/>
      <w:iCs/>
      <w:lang w:val="ru-RU"/>
    </w:rPr>
  </w:style>
  <w:style w:type="character" w:styleId="HTMLCode">
    <w:name w:val="HTML Code"/>
    <w:basedOn w:val="DefaultParagraphFont"/>
    <w:uiPriority w:val="99"/>
    <w:semiHidden/>
    <w:unhideWhenUsed/>
    <w:rsid w:val="006814E7"/>
    <w:rPr>
      <w:rFonts w:ascii="Consolas" w:hAnsi="Consolas"/>
      <w:sz w:val="20"/>
      <w:szCs w:val="20"/>
      <w:lang w:val="ru-RU"/>
    </w:rPr>
  </w:style>
  <w:style w:type="character" w:styleId="HTMLDefinition">
    <w:name w:val="HTML Definition"/>
    <w:basedOn w:val="DefaultParagraphFont"/>
    <w:uiPriority w:val="99"/>
    <w:semiHidden/>
    <w:unhideWhenUsed/>
    <w:rsid w:val="006814E7"/>
    <w:rPr>
      <w:i/>
      <w:iCs/>
      <w:lang w:val="ru-RU"/>
    </w:rPr>
  </w:style>
  <w:style w:type="character" w:styleId="HTMLKeyboard">
    <w:name w:val="HTML Keyboard"/>
    <w:basedOn w:val="DefaultParagraphFont"/>
    <w:uiPriority w:val="99"/>
    <w:semiHidden/>
    <w:unhideWhenUsed/>
    <w:rsid w:val="006814E7"/>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6814E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14E7"/>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6814E7"/>
    <w:rPr>
      <w:rFonts w:ascii="Consolas" w:hAnsi="Consolas"/>
      <w:sz w:val="24"/>
      <w:szCs w:val="24"/>
      <w:lang w:val="ru-RU"/>
    </w:rPr>
  </w:style>
  <w:style w:type="character" w:styleId="HTMLTypewriter">
    <w:name w:val="HTML Typewriter"/>
    <w:basedOn w:val="DefaultParagraphFont"/>
    <w:uiPriority w:val="99"/>
    <w:semiHidden/>
    <w:unhideWhenUsed/>
    <w:rsid w:val="006814E7"/>
    <w:rPr>
      <w:rFonts w:ascii="Consolas" w:hAnsi="Consolas"/>
      <w:sz w:val="20"/>
      <w:szCs w:val="20"/>
      <w:lang w:val="ru-RU"/>
    </w:rPr>
  </w:style>
  <w:style w:type="character" w:styleId="HTMLVariable">
    <w:name w:val="HTML Variable"/>
    <w:basedOn w:val="DefaultParagraphFont"/>
    <w:uiPriority w:val="99"/>
    <w:semiHidden/>
    <w:unhideWhenUsed/>
    <w:rsid w:val="006814E7"/>
    <w:rPr>
      <w:i/>
      <w:iCs/>
      <w:lang w:val="ru-RU"/>
    </w:rPr>
  </w:style>
  <w:style w:type="paragraph" w:styleId="Index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814E7"/>
    <w:rPr>
      <w:rFonts w:asciiTheme="majorHAnsi" w:eastAsiaTheme="majorEastAsia" w:hAnsiTheme="majorHAnsi" w:cstheme="majorBidi"/>
      <w:b/>
      <w:bCs/>
    </w:rPr>
  </w:style>
  <w:style w:type="character" w:styleId="IntenseEmphasis">
    <w:name w:val="Intense Emphasis"/>
    <w:basedOn w:val="DefaultParagraphFont"/>
    <w:uiPriority w:val="21"/>
    <w:qFormat/>
    <w:rsid w:val="006814E7"/>
    <w:rPr>
      <w:i/>
      <w:iCs/>
      <w:color w:val="4472C4" w:themeColor="accent1"/>
      <w:lang w:val="ru-RU"/>
    </w:rPr>
  </w:style>
  <w:style w:type="character" w:styleId="IntenseReference">
    <w:name w:val="Intense Reference"/>
    <w:basedOn w:val="DefaultParagraphFont"/>
    <w:uiPriority w:val="32"/>
    <w:qFormat/>
    <w:rsid w:val="006814E7"/>
    <w:rPr>
      <w:b/>
      <w:bCs/>
      <w:smallCaps/>
      <w:color w:val="4472C4" w:themeColor="accent1"/>
      <w:spacing w:val="5"/>
      <w:lang w:val="ru-RU"/>
    </w:rPr>
  </w:style>
  <w:style w:type="table" w:styleId="LightGrid">
    <w:name w:val="Light Grid"/>
    <w:basedOn w:val="TableNormal"/>
    <w:uiPriority w:val="62"/>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814E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814E7"/>
    <w:rPr>
      <w:lang w:val="ru-RU"/>
    </w:rPr>
  </w:style>
  <w:style w:type="paragraph" w:styleId="List2">
    <w:name w:val="List 2"/>
    <w:basedOn w:val="Normal"/>
    <w:uiPriority w:val="99"/>
    <w:semiHidden/>
    <w:unhideWhenUsed/>
    <w:rsid w:val="006814E7"/>
    <w:pPr>
      <w:ind w:left="566" w:hanging="283"/>
      <w:contextualSpacing/>
    </w:pPr>
  </w:style>
  <w:style w:type="paragraph" w:styleId="List3">
    <w:name w:val="List 3"/>
    <w:basedOn w:val="Normal"/>
    <w:uiPriority w:val="99"/>
    <w:semiHidden/>
    <w:unhideWhenUsed/>
    <w:rsid w:val="006814E7"/>
    <w:pPr>
      <w:ind w:left="849" w:hanging="283"/>
      <w:contextualSpacing/>
    </w:pPr>
  </w:style>
  <w:style w:type="paragraph" w:styleId="List4">
    <w:name w:val="List 4"/>
    <w:basedOn w:val="Normal"/>
    <w:uiPriority w:val="99"/>
    <w:semiHidden/>
    <w:unhideWhenUsed/>
    <w:rsid w:val="006814E7"/>
    <w:pPr>
      <w:ind w:left="1132" w:hanging="283"/>
      <w:contextualSpacing/>
    </w:pPr>
  </w:style>
  <w:style w:type="paragraph" w:styleId="List5">
    <w:name w:val="List 5"/>
    <w:basedOn w:val="Normal"/>
    <w:uiPriority w:val="99"/>
    <w:semiHidden/>
    <w:unhideWhenUsed/>
    <w:rsid w:val="006814E7"/>
    <w:pPr>
      <w:ind w:left="1415" w:hanging="283"/>
      <w:contextualSpacing/>
    </w:pPr>
  </w:style>
  <w:style w:type="paragraph" w:styleId="ListBullet">
    <w:name w:val="List Bullet"/>
    <w:basedOn w:val="Normal"/>
    <w:uiPriority w:val="99"/>
    <w:semiHidden/>
    <w:unhideWhenUsed/>
    <w:rsid w:val="006814E7"/>
    <w:pPr>
      <w:numPr>
        <w:numId w:val="38"/>
      </w:numPr>
      <w:contextualSpacing/>
    </w:pPr>
  </w:style>
  <w:style w:type="paragraph" w:styleId="ListBullet2">
    <w:name w:val="List Bullet 2"/>
    <w:basedOn w:val="Normal"/>
    <w:uiPriority w:val="99"/>
    <w:semiHidden/>
    <w:unhideWhenUsed/>
    <w:rsid w:val="006814E7"/>
    <w:pPr>
      <w:numPr>
        <w:numId w:val="39"/>
      </w:numPr>
      <w:contextualSpacing/>
    </w:pPr>
  </w:style>
  <w:style w:type="paragraph" w:styleId="ListBullet3">
    <w:name w:val="List Bullet 3"/>
    <w:basedOn w:val="Normal"/>
    <w:uiPriority w:val="99"/>
    <w:semiHidden/>
    <w:unhideWhenUsed/>
    <w:rsid w:val="006814E7"/>
    <w:pPr>
      <w:numPr>
        <w:numId w:val="40"/>
      </w:numPr>
      <w:contextualSpacing/>
    </w:pPr>
  </w:style>
  <w:style w:type="paragraph" w:styleId="ListBullet4">
    <w:name w:val="List Bullet 4"/>
    <w:basedOn w:val="Normal"/>
    <w:uiPriority w:val="99"/>
    <w:semiHidden/>
    <w:unhideWhenUsed/>
    <w:rsid w:val="006814E7"/>
    <w:pPr>
      <w:numPr>
        <w:numId w:val="41"/>
      </w:numPr>
      <w:contextualSpacing/>
    </w:pPr>
  </w:style>
  <w:style w:type="paragraph" w:styleId="ListBullet5">
    <w:name w:val="List Bullet 5"/>
    <w:basedOn w:val="Normal"/>
    <w:uiPriority w:val="99"/>
    <w:semiHidden/>
    <w:unhideWhenUsed/>
    <w:rsid w:val="006814E7"/>
    <w:pPr>
      <w:numPr>
        <w:numId w:val="42"/>
      </w:numPr>
      <w:contextualSpacing/>
    </w:pPr>
  </w:style>
  <w:style w:type="paragraph" w:styleId="ListContinue">
    <w:name w:val="List Continue"/>
    <w:basedOn w:val="Normal"/>
    <w:uiPriority w:val="99"/>
    <w:semiHidden/>
    <w:unhideWhenUsed/>
    <w:rsid w:val="006814E7"/>
    <w:pPr>
      <w:spacing w:after="120"/>
      <w:ind w:left="283"/>
      <w:contextualSpacing/>
    </w:pPr>
  </w:style>
  <w:style w:type="paragraph" w:styleId="ListContinue2">
    <w:name w:val="List Continue 2"/>
    <w:basedOn w:val="Normal"/>
    <w:uiPriority w:val="99"/>
    <w:semiHidden/>
    <w:unhideWhenUsed/>
    <w:rsid w:val="006814E7"/>
    <w:pPr>
      <w:spacing w:after="120"/>
      <w:ind w:left="566"/>
      <w:contextualSpacing/>
    </w:pPr>
  </w:style>
  <w:style w:type="paragraph" w:styleId="ListContinue3">
    <w:name w:val="List Continue 3"/>
    <w:basedOn w:val="Normal"/>
    <w:uiPriority w:val="99"/>
    <w:semiHidden/>
    <w:unhideWhenUsed/>
    <w:rsid w:val="006814E7"/>
    <w:pPr>
      <w:spacing w:after="120"/>
      <w:ind w:left="849"/>
      <w:contextualSpacing/>
    </w:pPr>
  </w:style>
  <w:style w:type="paragraph" w:styleId="ListContinue4">
    <w:name w:val="List Continue 4"/>
    <w:basedOn w:val="Normal"/>
    <w:uiPriority w:val="99"/>
    <w:semiHidden/>
    <w:unhideWhenUsed/>
    <w:rsid w:val="006814E7"/>
    <w:pPr>
      <w:spacing w:after="120"/>
      <w:ind w:left="1132"/>
      <w:contextualSpacing/>
    </w:pPr>
  </w:style>
  <w:style w:type="paragraph" w:styleId="ListContinue5">
    <w:name w:val="List Continue 5"/>
    <w:basedOn w:val="Normal"/>
    <w:uiPriority w:val="99"/>
    <w:semiHidden/>
    <w:unhideWhenUsed/>
    <w:rsid w:val="006814E7"/>
    <w:pPr>
      <w:spacing w:after="120"/>
      <w:ind w:left="1415"/>
      <w:contextualSpacing/>
    </w:pPr>
  </w:style>
  <w:style w:type="paragraph" w:styleId="ListNumber">
    <w:name w:val="List Number"/>
    <w:basedOn w:val="Normal"/>
    <w:uiPriority w:val="99"/>
    <w:semiHidden/>
    <w:unhideWhenUsed/>
    <w:rsid w:val="006814E7"/>
    <w:pPr>
      <w:numPr>
        <w:numId w:val="86"/>
      </w:numPr>
      <w:contextualSpacing/>
    </w:pPr>
  </w:style>
  <w:style w:type="paragraph" w:styleId="ListNumber2">
    <w:name w:val="List Number 2"/>
    <w:basedOn w:val="Normal"/>
    <w:uiPriority w:val="99"/>
    <w:semiHidden/>
    <w:unhideWhenUsed/>
    <w:rsid w:val="006814E7"/>
    <w:pPr>
      <w:numPr>
        <w:numId w:val="87"/>
      </w:numPr>
      <w:contextualSpacing/>
    </w:pPr>
  </w:style>
  <w:style w:type="paragraph" w:styleId="ListNumber3">
    <w:name w:val="List Number 3"/>
    <w:basedOn w:val="Normal"/>
    <w:uiPriority w:val="99"/>
    <w:semiHidden/>
    <w:unhideWhenUsed/>
    <w:rsid w:val="006814E7"/>
    <w:pPr>
      <w:numPr>
        <w:numId w:val="88"/>
      </w:numPr>
      <w:contextualSpacing/>
    </w:pPr>
  </w:style>
  <w:style w:type="paragraph" w:styleId="ListNumber4">
    <w:name w:val="List Number 4"/>
    <w:basedOn w:val="Normal"/>
    <w:uiPriority w:val="99"/>
    <w:semiHidden/>
    <w:unhideWhenUsed/>
    <w:rsid w:val="006814E7"/>
    <w:pPr>
      <w:numPr>
        <w:numId w:val="89"/>
      </w:numPr>
      <w:contextualSpacing/>
    </w:pPr>
  </w:style>
  <w:style w:type="paragraph" w:styleId="ListNumber5">
    <w:name w:val="List Number 5"/>
    <w:basedOn w:val="Normal"/>
    <w:uiPriority w:val="99"/>
    <w:semiHidden/>
    <w:unhideWhenUsed/>
    <w:rsid w:val="006814E7"/>
    <w:pPr>
      <w:numPr>
        <w:numId w:val="90"/>
      </w:numPr>
      <w:contextualSpacing/>
    </w:pPr>
  </w:style>
  <w:style w:type="table" w:styleId="ListTable1Light">
    <w:name w:val="List Table 1 Light"/>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814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814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814E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814E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6814E7"/>
    <w:rPr>
      <w:rFonts w:ascii="Consolas" w:eastAsia="SimSun" w:hAnsi="Consolas" w:cs="Times New Roman"/>
      <w:sz w:val="20"/>
      <w:szCs w:val="20"/>
      <w:lang w:val="ru-RU"/>
    </w:rPr>
  </w:style>
  <w:style w:type="table" w:styleId="MediumGrid1">
    <w:name w:val="Medium Grid 1"/>
    <w:basedOn w:val="TableNormal"/>
    <w:uiPriority w:val="67"/>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814E7"/>
    <w:rPr>
      <w:color w:val="2B579A"/>
      <w:shd w:val="clear" w:color="auto" w:fill="E1DFDD"/>
      <w:lang w:val="ru-RU"/>
    </w:rPr>
  </w:style>
  <w:style w:type="paragraph" w:styleId="MessageHeader">
    <w:name w:val="Message Header"/>
    <w:basedOn w:val="Normal"/>
    <w:link w:val="MessageHeaderCh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14E7"/>
    <w:rPr>
      <w:rFonts w:asciiTheme="majorHAnsi" w:eastAsiaTheme="majorEastAsia" w:hAnsiTheme="majorHAnsi" w:cstheme="majorBidi"/>
      <w:sz w:val="24"/>
      <w:szCs w:val="24"/>
      <w:shd w:val="pct20" w:color="auto" w:fill="auto"/>
      <w:lang w:val="ru-RU"/>
    </w:rPr>
  </w:style>
  <w:style w:type="paragraph" w:styleId="NormalIndent">
    <w:name w:val="Normal Indent"/>
    <w:basedOn w:val="Normal"/>
    <w:uiPriority w:val="99"/>
    <w:semiHidden/>
    <w:unhideWhenUsed/>
    <w:rsid w:val="006814E7"/>
    <w:pPr>
      <w:ind w:left="720"/>
    </w:pPr>
  </w:style>
  <w:style w:type="paragraph" w:styleId="NoteHeading">
    <w:name w:val="Note Heading"/>
    <w:basedOn w:val="Normal"/>
    <w:next w:val="Normal"/>
    <w:link w:val="NoteHeadingChar"/>
    <w:uiPriority w:val="99"/>
    <w:semiHidden/>
    <w:unhideWhenUsed/>
    <w:rsid w:val="006814E7"/>
  </w:style>
  <w:style w:type="character" w:customStyle="1" w:styleId="NoteHeadingChar">
    <w:name w:val="Note Heading Char"/>
    <w:basedOn w:val="DefaultParagraphFont"/>
    <w:link w:val="NoteHeading"/>
    <w:uiPriority w:val="99"/>
    <w:semiHidden/>
    <w:rsid w:val="006814E7"/>
    <w:rPr>
      <w:rFonts w:ascii="Times New Roman" w:eastAsia="SimSun" w:hAnsi="Times New Roman" w:cs="Times New Roman"/>
      <w:lang w:val="ru-RU"/>
    </w:rPr>
  </w:style>
  <w:style w:type="table" w:styleId="PlainTable1">
    <w:name w:val="Plain Table 1"/>
    <w:basedOn w:val="Table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814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814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814E7"/>
  </w:style>
  <w:style w:type="character" w:customStyle="1" w:styleId="SalutationChar">
    <w:name w:val="Salutation Char"/>
    <w:basedOn w:val="DefaultParagraphFont"/>
    <w:link w:val="Salutation"/>
    <w:uiPriority w:val="99"/>
    <w:semiHidden/>
    <w:rsid w:val="006814E7"/>
    <w:rPr>
      <w:rFonts w:ascii="Times New Roman" w:eastAsia="SimSun" w:hAnsi="Times New Roman" w:cs="Times New Roman"/>
      <w:lang w:val="ru-RU"/>
    </w:rPr>
  </w:style>
  <w:style w:type="paragraph" w:styleId="Signature">
    <w:name w:val="Signature"/>
    <w:basedOn w:val="Normal"/>
    <w:link w:val="SignatureChar"/>
    <w:uiPriority w:val="99"/>
    <w:semiHidden/>
    <w:unhideWhenUsed/>
    <w:rsid w:val="006814E7"/>
    <w:pPr>
      <w:ind w:left="4252"/>
    </w:pPr>
  </w:style>
  <w:style w:type="character" w:customStyle="1" w:styleId="SignatureChar">
    <w:name w:val="Signature Char"/>
    <w:basedOn w:val="DefaultParagraphFont"/>
    <w:link w:val="Signature"/>
    <w:uiPriority w:val="99"/>
    <w:semiHidden/>
    <w:rsid w:val="006814E7"/>
    <w:rPr>
      <w:rFonts w:ascii="Times New Roman" w:eastAsia="SimSun" w:hAnsi="Times New Roman" w:cs="Times New Roman"/>
      <w:lang w:val="ru-RU"/>
    </w:rPr>
  </w:style>
  <w:style w:type="character" w:styleId="SmartHyperlink">
    <w:name w:val="Smart Hyperlink"/>
    <w:basedOn w:val="DefaultParagraphFont"/>
    <w:uiPriority w:val="99"/>
    <w:semiHidden/>
    <w:unhideWhenUsed/>
    <w:rsid w:val="006814E7"/>
    <w:rPr>
      <w:u w:val="dotted"/>
      <w:lang w:val="ru-RU"/>
    </w:rPr>
  </w:style>
  <w:style w:type="character" w:styleId="SmartLink">
    <w:name w:val="Smart Link"/>
    <w:basedOn w:val="DefaultParagraphFont"/>
    <w:uiPriority w:val="99"/>
    <w:semiHidden/>
    <w:unhideWhenUsed/>
    <w:rsid w:val="006814E7"/>
    <w:rPr>
      <w:color w:val="0000FF"/>
      <w:u w:val="single"/>
      <w:shd w:val="clear" w:color="auto" w:fill="F3F2F1"/>
      <w:lang w:val="ru-RU"/>
    </w:rPr>
  </w:style>
  <w:style w:type="character" w:styleId="SubtleEmphasis">
    <w:name w:val="Subtle Emphasis"/>
    <w:basedOn w:val="DefaultParagraphFont"/>
    <w:uiPriority w:val="19"/>
    <w:qFormat/>
    <w:rsid w:val="006814E7"/>
    <w:rPr>
      <w:i/>
      <w:iCs/>
      <w:color w:val="404040" w:themeColor="text1" w:themeTint="BF"/>
      <w:lang w:val="ru-RU"/>
    </w:rPr>
  </w:style>
  <w:style w:type="character" w:styleId="SubtleReference">
    <w:name w:val="Subtle Reference"/>
    <w:basedOn w:val="DefaultParagraphFont"/>
    <w:uiPriority w:val="31"/>
    <w:qFormat/>
    <w:rsid w:val="006814E7"/>
    <w:rPr>
      <w:smallCaps/>
      <w:color w:val="5A5A5A" w:themeColor="text1" w:themeTint="A5"/>
      <w:lang w:val="ru-RU"/>
    </w:rPr>
  </w:style>
  <w:style w:type="table" w:styleId="Table3Deffects1">
    <w:name w:val="Table 3D effects 1"/>
    <w:basedOn w:val="Table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6664576">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573561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2.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3.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4010</Words>
  <Characters>26364</Characters>
  <Application>Microsoft Office Word</Application>
  <DocSecurity>0</DocSecurity>
  <Lines>219</Lines>
  <Paragraphs>60</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REPORT OF THE EXECUTIVE SECRETARY ON THE INCOME AND BUDGET PERFORMANCE FOR THE CONVENTION ON BIOLOGICAL DIVERSITY, THE CARTAGENA PROTOCOL ON BIOSAFETY AND THE NAGOYA PROTOCOL ON ACCESS AND BENEFIT-SHARING FOR THE BIENNIUM 2019-2020, 2021 AND 2022</vt:lpstr>
      <vt:lpstr>REPORT OF THE EXECUTIVE SECRETARY ON THE INCOME AND BUDGET PERFORMANCE FOR THE CONVENTION ON BIOLOGICAL DIVERSITY, THE CARTAGENA PROTOCOL ON BIOSAFETY AND THE NAGOYA PROTOCOL ON ACCESS AND BENEFIT-SHARING FOR THE BIENNIUM 2019-2020, 2021 AND 2022</vt: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30314</CharactersWithSpaces>
  <SharedDoc>false</SharedDoc>
  <HLinks>
    <vt:vector size="6" baseType="variant">
      <vt:variant>
        <vt:i4>1179717</vt:i4>
      </vt:variant>
      <vt:variant>
        <vt:i4>0</vt:i4>
      </vt:variant>
      <vt:variant>
        <vt:i4>0</vt:i4>
      </vt:variant>
      <vt:variant>
        <vt:i4>5</vt:i4>
      </vt:variant>
      <vt:variant>
        <vt:lpwstr>https://www.cbd.int/information/adm-fin/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EXECUTIVE SECRETARY ON THE INCOME AND BUDGET PERFORMANCE FOR THE CONVENTION ON BIOLOGICAL DIVERSITY, THE CARTAGENA PROTOCOL ON BIOSAFETY AND THE NAGOYA PROTOCOL ON ACCESS AND BENEFIT-SHARING FOR THE BIENNIUM 2019-2020, 2021 AND 2022</dc:title>
  <dc:subject>CBD/COP/16/3</dc:subject>
  <dc:creator>COP 14</dc:creator>
  <cp:keywords>Conference of the Parties to the Convention on Biologial Diversity, fifteenth meeting</cp:keywords>
  <dc:description/>
  <cp:lastModifiedBy>Tatiana Zavarzina</cp:lastModifiedBy>
  <cp:revision>16</cp:revision>
  <cp:lastPrinted>2024-10-06T20:12:00Z</cp:lastPrinted>
  <dcterms:created xsi:type="dcterms:W3CDTF">2024-10-13T14:08:00Z</dcterms:created>
  <dcterms:modified xsi:type="dcterms:W3CDTF">2024-10-13T22:27:00Z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