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B4839" w:rsidRPr="00EA66E5" w14:paraId="667B87FB" w14:textId="77777777" w:rsidTr="001065E9">
        <w:trPr>
          <w:trHeight w:val="850"/>
        </w:trPr>
        <w:tc>
          <w:tcPr>
            <w:tcW w:w="975" w:type="dxa"/>
            <w:vAlign w:val="bottom"/>
          </w:tcPr>
          <w:p w14:paraId="573DFE4A" w14:textId="77777777" w:rsidR="005012FC" w:rsidRPr="00EA66E5" w:rsidRDefault="005012FC" w:rsidP="00142001">
            <w:pPr>
              <w:pStyle w:val="AASmallLogo"/>
              <w:ind w:left="567" w:hanging="567"/>
              <w:rPr>
                <w:color w:val="000000" w:themeColor="text1"/>
              </w:rPr>
            </w:pPr>
            <w:r w:rsidRPr="00EA66E5">
              <w:rPr>
                <w:noProof/>
                <w:color w:val="000000" w:themeColor="text1"/>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A66E5">
              <w:rPr>
                <w:color w:val="000000" w:themeColor="text1"/>
              </w:rPr>
              <w:t xml:space="preserve"> </w:t>
            </w:r>
          </w:p>
          <w:p w14:paraId="00514EB4" w14:textId="77777777" w:rsidR="001065E9" w:rsidRPr="00EA66E5" w:rsidRDefault="001065E9" w:rsidP="005012FC">
            <w:pPr>
              <w:pStyle w:val="AASmallLogo"/>
              <w:rPr>
                <w:color w:val="000000" w:themeColor="text1"/>
              </w:rPr>
            </w:pPr>
          </w:p>
        </w:tc>
        <w:tc>
          <w:tcPr>
            <w:tcW w:w="1434" w:type="dxa"/>
            <w:noWrap/>
            <w:vAlign w:val="bottom"/>
          </w:tcPr>
          <w:p w14:paraId="4A44FF7F" w14:textId="450BD913" w:rsidR="005012FC" w:rsidRPr="00EA66E5" w:rsidRDefault="001F2281" w:rsidP="005012FC">
            <w:pPr>
              <w:pStyle w:val="AASmallLogo"/>
              <w:rPr>
                <w:color w:val="000000" w:themeColor="text1"/>
              </w:rPr>
            </w:pPr>
            <w:r w:rsidRPr="00EA66E5">
              <w:rPr>
                <w:noProof/>
              </w:rPr>
              <w:drawing>
                <wp:inline distT="0" distB="0" distL="0" distR="0" wp14:anchorId="72938B69" wp14:editId="442A993F">
                  <wp:extent cx="498475" cy="284480"/>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a:stretch>
                            <a:fillRect/>
                          </a:stretch>
                        </pic:blipFill>
                        <pic:spPr>
                          <a:xfrm>
                            <a:off x="0" y="0"/>
                            <a:ext cx="499425" cy="285022"/>
                          </a:xfrm>
                          <a:prstGeom prst="rect">
                            <a:avLst/>
                          </a:prstGeom>
                        </pic:spPr>
                      </pic:pic>
                    </a:graphicData>
                  </a:graphic>
                </wp:inline>
              </w:drawing>
            </w:r>
            <w:r w:rsidR="005012FC" w:rsidRPr="00EA66E5">
              <w:rPr>
                <w:color w:val="000000" w:themeColor="text1"/>
              </w:rPr>
              <w:t xml:space="preserve"> </w:t>
            </w:r>
          </w:p>
          <w:p w14:paraId="540A7624" w14:textId="77777777" w:rsidR="001065E9" w:rsidRPr="00EA66E5" w:rsidRDefault="001065E9" w:rsidP="005012FC">
            <w:pPr>
              <w:pStyle w:val="AASmallLogo"/>
              <w:rPr>
                <w:color w:val="000000" w:themeColor="text1"/>
              </w:rPr>
            </w:pPr>
          </w:p>
        </w:tc>
        <w:tc>
          <w:tcPr>
            <w:tcW w:w="8073" w:type="dxa"/>
            <w:vAlign w:val="bottom"/>
          </w:tcPr>
          <w:p w14:paraId="3063247C" w14:textId="0957D332" w:rsidR="001065E9" w:rsidRPr="00EA66E5" w:rsidRDefault="001F2281" w:rsidP="00695EE0">
            <w:pPr>
              <w:pStyle w:val="ABSymbol"/>
              <w:rPr>
                <w:color w:val="000000" w:themeColor="text1"/>
              </w:rPr>
            </w:pPr>
            <w:r w:rsidRPr="00EA66E5">
              <w:rPr>
                <w:color w:val="000000" w:themeColor="text1"/>
                <w:sz w:val="40"/>
              </w:rPr>
              <w:t>CBD</w:t>
            </w:r>
            <w:r w:rsidRPr="00EA66E5">
              <w:rPr>
                <w:color w:val="000000" w:themeColor="text1"/>
              </w:rPr>
              <w:t>/SBSTTA/28/6/Rev.1</w:t>
            </w:r>
          </w:p>
        </w:tc>
      </w:tr>
    </w:tbl>
    <w:p w14:paraId="2C1C8758" w14:textId="77777777" w:rsidR="009F67EB" w:rsidRPr="00EA66E5" w:rsidRDefault="009F67EB" w:rsidP="001065E9">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F2281" w:rsidRPr="00EA66E5" w14:paraId="2096BD03" w14:textId="77777777" w:rsidTr="00471A5E">
        <w:trPr>
          <w:trHeight w:val="1814"/>
        </w:trPr>
        <w:tc>
          <w:tcPr>
            <w:tcW w:w="7370" w:type="dxa"/>
          </w:tcPr>
          <w:p w14:paraId="28DB4B5D" w14:textId="6CD8574F" w:rsidR="001F2281" w:rsidRPr="00EA66E5" w:rsidRDefault="001F2281" w:rsidP="00471A5E">
            <w:pPr>
              <w:pStyle w:val="ACLargeLogo"/>
              <w:rPr>
                <w:color w:val="000000" w:themeColor="text1"/>
              </w:rPr>
            </w:pPr>
            <w:r w:rsidRPr="00EA66E5">
              <w:rPr>
                <w:noProof/>
              </w:rPr>
              <w:drawing>
                <wp:inline distT="0" distB="0" distL="0" distR="0" wp14:anchorId="429A6311" wp14:editId="37D75646">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stretch>
                            <a:fillRect/>
                          </a:stretch>
                        </pic:blipFill>
                        <pic:spPr>
                          <a:xfrm>
                            <a:off x="0" y="0"/>
                            <a:ext cx="2755631" cy="1013099"/>
                          </a:xfrm>
                          <a:prstGeom prst="rect">
                            <a:avLst/>
                          </a:prstGeom>
                        </pic:spPr>
                      </pic:pic>
                    </a:graphicData>
                  </a:graphic>
                </wp:inline>
              </w:drawing>
            </w:r>
            <w:r w:rsidRPr="00EA66E5">
              <w:rPr>
                <w:color w:val="000000" w:themeColor="text1"/>
              </w:rPr>
              <w:t xml:space="preserve"> </w:t>
            </w:r>
          </w:p>
          <w:p w14:paraId="7FE6EC5F" w14:textId="77777777" w:rsidR="001F2281" w:rsidRPr="00EA66E5" w:rsidRDefault="001F2281" w:rsidP="00471A5E">
            <w:pPr>
              <w:pStyle w:val="ACLargeLogo"/>
              <w:rPr>
                <w:color w:val="000000" w:themeColor="text1"/>
              </w:rPr>
            </w:pPr>
          </w:p>
        </w:tc>
        <w:tc>
          <w:tcPr>
            <w:tcW w:w="3112" w:type="dxa"/>
          </w:tcPr>
          <w:p w14:paraId="5907048D" w14:textId="432B8F38" w:rsidR="001F2281" w:rsidRPr="00EA66E5" w:rsidRDefault="001F2281" w:rsidP="00471A5E">
            <w:pPr>
              <w:pStyle w:val="AEDistrNormal"/>
              <w:rPr>
                <w:color w:val="000000" w:themeColor="text1"/>
              </w:rPr>
            </w:pPr>
            <w:r w:rsidRPr="00EA66E5">
              <w:rPr>
                <w:color w:val="000000" w:themeColor="text1"/>
              </w:rPr>
              <w:t>Distr.: general</w:t>
            </w:r>
          </w:p>
          <w:p w14:paraId="7D4681CA" w14:textId="128B4D6A" w:rsidR="001F2281" w:rsidRPr="00EA66E5" w:rsidRDefault="001F2281" w:rsidP="00471A5E">
            <w:pPr>
              <w:pStyle w:val="AEDistrNormal"/>
              <w:rPr>
                <w:color w:val="000000" w:themeColor="text1"/>
              </w:rPr>
            </w:pPr>
            <w:r w:rsidRPr="00EA66E5">
              <w:rPr>
                <w:color w:val="000000" w:themeColor="text1"/>
              </w:rPr>
              <w:t>18 de junio de 2026</w:t>
            </w:r>
          </w:p>
          <w:p w14:paraId="14EE2A28" w14:textId="77777777" w:rsidR="001F2281" w:rsidRPr="00EA66E5" w:rsidRDefault="001F2281" w:rsidP="00471A5E">
            <w:pPr>
              <w:pStyle w:val="AEDistrNormal"/>
              <w:rPr>
                <w:color w:val="000000" w:themeColor="text1"/>
              </w:rPr>
            </w:pPr>
          </w:p>
          <w:p w14:paraId="6E48A5DC" w14:textId="77777777" w:rsidR="001F2281" w:rsidRPr="00EA66E5" w:rsidRDefault="001F2281" w:rsidP="00471A5E">
            <w:pPr>
              <w:pStyle w:val="AEDistrNormal"/>
              <w:rPr>
                <w:color w:val="000000" w:themeColor="text1"/>
              </w:rPr>
            </w:pPr>
            <w:r w:rsidRPr="00EA66E5">
              <w:rPr>
                <w:color w:val="000000" w:themeColor="text1"/>
              </w:rPr>
              <w:t>Español</w:t>
            </w:r>
          </w:p>
          <w:p w14:paraId="0FD3F91B" w14:textId="227F4252" w:rsidR="001F2281" w:rsidRPr="00EA66E5" w:rsidRDefault="001F2281" w:rsidP="00471A5E">
            <w:pPr>
              <w:pStyle w:val="AEDistrNormal"/>
              <w:rPr>
                <w:color w:val="000000" w:themeColor="text1"/>
              </w:rPr>
            </w:pPr>
            <w:r w:rsidRPr="00EA66E5">
              <w:rPr>
                <w:color w:val="000000" w:themeColor="text1"/>
              </w:rPr>
              <w:t xml:space="preserve">Original: inglés </w:t>
            </w:r>
          </w:p>
          <w:p w14:paraId="5208399A" w14:textId="77777777" w:rsidR="001F2281" w:rsidRPr="00EA66E5" w:rsidRDefault="001F2281" w:rsidP="00471A5E">
            <w:pPr>
              <w:pStyle w:val="AEDistrNormal6pt"/>
              <w:rPr>
                <w:color w:val="000000" w:themeColor="text1"/>
              </w:rPr>
            </w:pPr>
          </w:p>
        </w:tc>
      </w:tr>
    </w:tbl>
    <w:p w14:paraId="51DDDD6D" w14:textId="77777777" w:rsidR="001F2281" w:rsidRPr="00EA66E5" w:rsidRDefault="001F2281" w:rsidP="001F2281">
      <w:pPr>
        <w:pStyle w:val="AISpacer"/>
        <w:rPr>
          <w:color w:val="000000" w:themeColor="text1"/>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F2281" w:rsidRPr="00EA66E5" w14:paraId="4403EA13" w14:textId="77777777" w:rsidTr="00471A5E">
        <w:trPr>
          <w:trHeight w:val="57"/>
        </w:trPr>
        <w:tc>
          <w:tcPr>
            <w:tcW w:w="6094" w:type="dxa"/>
          </w:tcPr>
          <w:p w14:paraId="055BAD66" w14:textId="77777777" w:rsidR="001F2281" w:rsidRPr="00EA66E5" w:rsidRDefault="001F2281" w:rsidP="001F2281">
            <w:pPr>
              <w:pStyle w:val="AFCorN12Bold"/>
              <w:rPr>
                <w:color w:val="000000" w:themeColor="text1"/>
              </w:rPr>
            </w:pPr>
            <w:r w:rsidRPr="00EA66E5">
              <w:rPr>
                <w:color w:val="000000" w:themeColor="text1"/>
              </w:rPr>
              <w:t>Órgano Subsidiario de Asesoramiento</w:t>
            </w:r>
            <w:r w:rsidRPr="00EA66E5">
              <w:rPr>
                <w:color w:val="000000" w:themeColor="text1"/>
              </w:rPr>
              <w:br/>
              <w:t>Científico, Técnico y Tecnológico</w:t>
            </w:r>
          </w:p>
          <w:p w14:paraId="2917CC2B" w14:textId="77777777" w:rsidR="001F2281" w:rsidRPr="00EA66E5" w:rsidRDefault="001F2281" w:rsidP="001F2281">
            <w:pPr>
              <w:pStyle w:val="AFCorNBold"/>
              <w:rPr>
                <w:color w:val="000000" w:themeColor="text1"/>
              </w:rPr>
            </w:pPr>
            <w:r w:rsidRPr="00EA66E5">
              <w:rPr>
                <w:color w:val="000000" w:themeColor="text1"/>
              </w:rPr>
              <w:t xml:space="preserve">28ª reunión </w:t>
            </w:r>
          </w:p>
          <w:p w14:paraId="1100443F" w14:textId="77777777" w:rsidR="001F2281" w:rsidRPr="00EA66E5" w:rsidRDefault="001F2281" w:rsidP="001F2281">
            <w:pPr>
              <w:pStyle w:val="AFCorNNormal"/>
              <w:rPr>
                <w:color w:val="000000" w:themeColor="text1"/>
              </w:rPr>
            </w:pPr>
            <w:r w:rsidRPr="00EA66E5">
              <w:rPr>
                <w:color w:val="000000" w:themeColor="text1"/>
              </w:rPr>
              <w:t xml:space="preserve">Nairobi, 27 de julio a 1 de agosto de 2026 </w:t>
            </w:r>
          </w:p>
          <w:p w14:paraId="5246E852" w14:textId="77777777" w:rsidR="001F2281" w:rsidRPr="00EA66E5" w:rsidRDefault="001F2281" w:rsidP="001F2281">
            <w:pPr>
              <w:pStyle w:val="AFCorNNormal"/>
              <w:rPr>
                <w:color w:val="000000" w:themeColor="text1"/>
              </w:rPr>
            </w:pPr>
            <w:r w:rsidRPr="00EA66E5">
              <w:rPr>
                <w:color w:val="000000" w:themeColor="text1"/>
              </w:rPr>
              <w:t>Tema 7 del programa provisional</w:t>
            </w:r>
            <w:r w:rsidRPr="00EA66E5">
              <w:rPr>
                <w:rStyle w:val="FootnoteReference"/>
                <w:color w:val="000000" w:themeColor="text1"/>
              </w:rPr>
              <w:footnoteReference w:customMarkFollows="1" w:id="1"/>
              <w:t>*</w:t>
            </w:r>
          </w:p>
          <w:p w14:paraId="4397F3EF" w14:textId="3270E689" w:rsidR="001F2281" w:rsidRPr="00EA66E5" w:rsidRDefault="001F2281" w:rsidP="001F2281">
            <w:pPr>
              <w:pStyle w:val="AFCorNBold"/>
              <w:spacing w:after="120"/>
              <w:rPr>
                <w:color w:val="000000" w:themeColor="text1"/>
              </w:rPr>
            </w:pPr>
            <w:r w:rsidRPr="00EA66E5">
              <w:rPr>
                <w:color w:val="000000" w:themeColor="text1"/>
              </w:rPr>
              <w:t xml:space="preserve">Necesidades científicas y técnicas para apoyar la aplicación del Marco Mundial de Biodiversidad de Kunming-Montreal: revisión estratégica y actualización del </w:t>
            </w:r>
            <w:r w:rsidR="00736AD0">
              <w:rPr>
                <w:color w:val="000000" w:themeColor="text1"/>
              </w:rPr>
              <w:t>programa de trabajo sobre áreas protegidas</w:t>
            </w:r>
          </w:p>
        </w:tc>
        <w:tc>
          <w:tcPr>
            <w:tcW w:w="4388" w:type="dxa"/>
          </w:tcPr>
          <w:p w14:paraId="3775F9FB" w14:textId="77777777" w:rsidR="001F2281" w:rsidRPr="00EA66E5" w:rsidRDefault="001F2281" w:rsidP="00471A5E">
            <w:pPr>
              <w:pStyle w:val="CBDNormal"/>
              <w:jc w:val="left"/>
              <w:rPr>
                <w:color w:val="000000" w:themeColor="text1"/>
              </w:rPr>
            </w:pPr>
          </w:p>
        </w:tc>
      </w:tr>
    </w:tbl>
    <w:p w14:paraId="3AABE338" w14:textId="52760154" w:rsidR="00DB380C" w:rsidRPr="00EA66E5" w:rsidRDefault="00DB380C"/>
    <w:p w14:paraId="2092005E" w14:textId="7850EE86" w:rsidR="001065E9" w:rsidRPr="00EA66E5" w:rsidRDefault="00000000" w:rsidP="0043244F">
      <w:pPr>
        <w:pStyle w:val="CBDTitle"/>
        <w:rPr>
          <w:color w:val="000000" w:themeColor="text1"/>
        </w:rPr>
      </w:pPr>
      <w:sdt>
        <w:sdtPr>
          <w:rPr>
            <w:color w:val="000000" w:themeColor="text1"/>
            <w:szCs w:val="28"/>
            <w:shd w:val="clear" w:color="auto" w:fill="FFFFFF"/>
          </w:rPr>
          <w:alias w:val="Título"/>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1F2281" w:rsidRPr="00EA66E5">
            <w:rPr>
              <w:color w:val="000000" w:themeColor="text1"/>
              <w:szCs w:val="28"/>
              <w:shd w:val="clear" w:color="auto" w:fill="FFFFFF"/>
            </w:rPr>
            <w:t xml:space="preserve">Necesidades científicas y técnicas para apoyar la aplicación del Marco Mundial de Biodiversidad de Kunming-Montreal: revisión estratégica y actualización del </w:t>
          </w:r>
          <w:r w:rsidR="00736AD0">
            <w:rPr>
              <w:color w:val="000000" w:themeColor="text1"/>
              <w:szCs w:val="28"/>
              <w:shd w:val="clear" w:color="auto" w:fill="FFFFFF"/>
            </w:rPr>
            <w:t>programa de trabajo sobre áreas protegidas</w:t>
          </w:r>
        </w:sdtContent>
      </w:sdt>
      <w:r w:rsidR="001F2281" w:rsidRPr="00EA66E5">
        <w:rPr>
          <w:color w:val="000000" w:themeColor="text1"/>
          <w:shd w:val="clear" w:color="auto" w:fill="FFFFFF"/>
        </w:rPr>
        <w:t xml:space="preserve"> </w:t>
      </w:r>
    </w:p>
    <w:p w14:paraId="1C24D3E4" w14:textId="77777777" w:rsidR="008A2F70" w:rsidRPr="00EA66E5" w:rsidRDefault="008A2F70" w:rsidP="00E32BCE">
      <w:pPr>
        <w:pStyle w:val="CBDSubTitle"/>
      </w:pPr>
      <w:r w:rsidRPr="00EA66E5">
        <w:t>Nota de la Secretaría</w:t>
      </w:r>
    </w:p>
    <w:p w14:paraId="4BE19F14" w14:textId="77777777" w:rsidR="008F38AC" w:rsidRPr="00EA66E5" w:rsidRDefault="00D65D44" w:rsidP="00695EE0">
      <w:pPr>
        <w:pStyle w:val="CBDH1"/>
        <w:rPr>
          <w:color w:val="000000" w:themeColor="text1"/>
          <w:sz w:val="24"/>
          <w:szCs w:val="21"/>
        </w:rPr>
      </w:pPr>
      <w:r w:rsidRPr="00EA66E5">
        <w:rPr>
          <w:color w:val="000000" w:themeColor="text1"/>
          <w:sz w:val="24"/>
        </w:rPr>
        <w:t xml:space="preserve">I. </w:t>
      </w:r>
      <w:r w:rsidRPr="00EA66E5">
        <w:rPr>
          <w:color w:val="000000" w:themeColor="text1"/>
          <w:sz w:val="24"/>
        </w:rPr>
        <w:tab/>
        <w:t>Introducción</w:t>
      </w:r>
    </w:p>
    <w:p w14:paraId="29A0A685" w14:textId="3B5D8D82" w:rsidR="00B718AF" w:rsidRPr="00EA66E5" w:rsidRDefault="00B718AF" w:rsidP="00E32BCE">
      <w:pPr>
        <w:pStyle w:val="CBDNormalNumber"/>
      </w:pPr>
      <w:r w:rsidRPr="00EA66E5">
        <w:t>En el párrafo 4 de su decisión </w:t>
      </w:r>
      <w:hyperlink r:id="rId14" w:history="1">
        <w:r w:rsidRPr="00EA66E5">
          <w:rPr>
            <w:rStyle w:val="Hyperlink"/>
          </w:rPr>
          <w:t>16/12,</w:t>
        </w:r>
      </w:hyperlink>
      <w:r w:rsidRPr="00EA66E5">
        <w:t xml:space="preserve"> la Conferencia de las Partes en el Convenio sobre la Diversidad Biológica, recordando el párrafo 9 de la decisión </w:t>
      </w:r>
      <w:hyperlink r:id="rId15" w:history="1">
        <w:r w:rsidRPr="00EA66E5">
          <w:rPr>
            <w:rStyle w:val="Hyperlink"/>
          </w:rPr>
          <w:t>15/4</w:t>
        </w:r>
      </w:hyperlink>
      <w:r w:rsidRPr="00EA66E5">
        <w:t xml:space="preserve">, pidió a la Secretaría que realizara una revisión y análisis estratégicos de los programas de trabajo del Convenio en el contexto del Marco Mundial de Biodiversidad de Kunming-Montreal para facilitar su </w:t>
      </w:r>
      <w:r w:rsidR="00E319C9">
        <w:t>implementación</w:t>
      </w:r>
      <w:r w:rsidRPr="00EA66E5">
        <w:t>, y que preparara proyectos de actualización de esos programas para someterlos a la consideración del Órgano Subsidiario de Asesoramiento Científico, Técnico y Tecnológico.</w:t>
      </w:r>
    </w:p>
    <w:p w14:paraId="13211782" w14:textId="26358B67" w:rsidR="00FA0260" w:rsidRPr="00EA66E5" w:rsidRDefault="00FA0260" w:rsidP="00E32BCE">
      <w:pPr>
        <w:pStyle w:val="CBDNormalNumber"/>
      </w:pPr>
      <w:r w:rsidRPr="00EA66E5">
        <w:t>De conformidad con esa solicitud y mediante la notificación núm. </w:t>
      </w:r>
      <w:hyperlink r:id="rId16" w:history="1">
        <w:r w:rsidRPr="00EA66E5">
          <w:rPr>
            <w:rStyle w:val="Hyperlink"/>
            <w:color w:val="000000" w:themeColor="text1"/>
            <w:u w:val="none"/>
          </w:rPr>
          <w:t>2025-135</w:t>
        </w:r>
      </w:hyperlink>
      <w:r w:rsidRPr="00EA66E5">
        <w:t xml:space="preserve">, la Secretaria Ejecutiva del Convenio invitó a las Partes, otros Gobiernos, los pueblos indígenas, las comunidades locales y las organizaciones pertinentes a que presentaran sus opiniones e información sobre la revisión y análisis estratégicos del </w:t>
      </w:r>
      <w:r w:rsidR="00736AD0">
        <w:t>programa de trabajo sobre áreas protegidas</w:t>
      </w:r>
      <w:r w:rsidR="00F20E41" w:rsidRPr="00EA66E5">
        <w:rPr>
          <w:rStyle w:val="FootnoteReference"/>
          <w:color w:val="000000" w:themeColor="text1"/>
        </w:rPr>
        <w:footnoteReference w:id="2"/>
      </w:r>
      <w:r w:rsidRPr="00EA66E5">
        <w:t xml:space="preserve"> el contexto del Marco. Se recibieron 29 comunicaciones en total (13 de Partes</w:t>
      </w:r>
      <w:r w:rsidR="006C759F" w:rsidRPr="00EA66E5">
        <w:rPr>
          <w:rStyle w:val="FootnoteReference"/>
          <w:color w:val="000000" w:themeColor="text1"/>
        </w:rPr>
        <w:footnoteReference w:id="3"/>
      </w:r>
      <w:r w:rsidRPr="00EA66E5">
        <w:t xml:space="preserve"> y 16 de organizaciones pertinentes</w:t>
      </w:r>
      <w:r w:rsidR="006C759F" w:rsidRPr="00EA66E5">
        <w:rPr>
          <w:rStyle w:val="FootnoteReference"/>
          <w:color w:val="000000" w:themeColor="text1"/>
        </w:rPr>
        <w:footnoteReference w:id="4"/>
      </w:r>
      <w:r w:rsidRPr="00EA66E5">
        <w:t>).</w:t>
      </w:r>
    </w:p>
    <w:p w14:paraId="778F8BDF" w14:textId="49AA0411" w:rsidR="00B30A86" w:rsidRPr="00EA66E5" w:rsidRDefault="003639FC" w:rsidP="00E32BCE">
      <w:pPr>
        <w:pStyle w:val="CBDNormalNumber"/>
      </w:pPr>
      <w:r w:rsidRPr="00EA66E5">
        <w:lastRenderedPageBreak/>
        <w:t xml:space="preserve">La Secretaría llevó a cabo una revisión estratégica del programa de trabajo y un análisis </w:t>
      </w:r>
      <w:r w:rsidR="00C235AD" w:rsidRPr="00EA66E5">
        <w:t xml:space="preserve">estratégico </w:t>
      </w:r>
      <w:r w:rsidR="00C235AD">
        <w:t xml:space="preserve">de sus </w:t>
      </w:r>
      <w:r w:rsidRPr="00EA66E5">
        <w:t>deficiencias en relación con el Marco a partir de las respuestas a la notificación, las decisiones pertinentes de la Conferencia de las Partes y la información de otras fuentes</w:t>
      </w:r>
      <w:r w:rsidR="0047647D" w:rsidRPr="00EA66E5">
        <w:rPr>
          <w:rStyle w:val="FootnoteReference"/>
          <w:color w:val="000000" w:themeColor="text1"/>
        </w:rPr>
        <w:footnoteReference w:id="5"/>
      </w:r>
      <w:r w:rsidRPr="00EA66E5">
        <w:t>. El proyecto de revisión y análisis estratégicos se dio a conocer para su revisión por pares mediante la notificación</w:t>
      </w:r>
      <w:r w:rsidR="00C235AD">
        <w:t xml:space="preserve"> núm. </w:t>
      </w:r>
      <w:hyperlink r:id="rId17" w:history="1">
        <w:r w:rsidRPr="00EA66E5">
          <w:rPr>
            <w:rStyle w:val="Hyperlink"/>
          </w:rPr>
          <w:t>2026-023</w:t>
        </w:r>
      </w:hyperlink>
      <w:r w:rsidRPr="00EA66E5">
        <w:t>, lo que dio lugar a un total de 3</w:t>
      </w:r>
      <w:r w:rsidR="001F2281" w:rsidRPr="00EA66E5">
        <w:t>2</w:t>
      </w:r>
      <w:r w:rsidRPr="00EA66E5">
        <w:t> comunicaciones (15 de Partes</w:t>
      </w:r>
      <w:r w:rsidR="00A94A7E" w:rsidRPr="00EA66E5">
        <w:rPr>
          <w:rStyle w:val="FootnoteReference"/>
          <w:color w:val="000000" w:themeColor="text1"/>
        </w:rPr>
        <w:footnoteReference w:id="6"/>
      </w:r>
      <w:r w:rsidRPr="00EA66E5">
        <w:t xml:space="preserve"> y 1</w:t>
      </w:r>
      <w:r w:rsidR="001F2281" w:rsidRPr="00EA66E5">
        <w:t>7 </w:t>
      </w:r>
      <w:r w:rsidRPr="00EA66E5">
        <w:t>de organizaciones</w:t>
      </w:r>
      <w:r w:rsidR="00D36D64" w:rsidRPr="00EA66E5">
        <w:rPr>
          <w:rStyle w:val="FootnoteReference"/>
          <w:color w:val="000000" w:themeColor="text1"/>
        </w:rPr>
        <w:footnoteReference w:id="7"/>
      </w:r>
      <w:r w:rsidR="001F2281" w:rsidRPr="00EA66E5">
        <w:t>)</w:t>
      </w:r>
      <w:r w:rsidRPr="00EA66E5">
        <w:t>, y la revisión y análisis finales se publicarán como documento de información.</w:t>
      </w:r>
    </w:p>
    <w:p w14:paraId="58F5EC50" w14:textId="77777777" w:rsidR="00260A49" w:rsidRPr="00EA66E5" w:rsidRDefault="007978C4" w:rsidP="00695EE0">
      <w:pPr>
        <w:pStyle w:val="CBDH1"/>
        <w:rPr>
          <w:color w:val="000000" w:themeColor="text1"/>
          <w:sz w:val="24"/>
          <w:szCs w:val="21"/>
        </w:rPr>
      </w:pPr>
      <w:r w:rsidRPr="00EA66E5">
        <w:rPr>
          <w:color w:val="000000" w:themeColor="text1"/>
          <w:sz w:val="24"/>
        </w:rPr>
        <w:t>II.</w:t>
      </w:r>
      <w:r w:rsidRPr="00EA66E5">
        <w:rPr>
          <w:color w:val="000000" w:themeColor="text1"/>
          <w:sz w:val="24"/>
        </w:rPr>
        <w:tab/>
        <w:t>Contexto</w:t>
      </w:r>
    </w:p>
    <w:p w14:paraId="6D778E1B" w14:textId="77777777" w:rsidR="000343AE" w:rsidRPr="00EA66E5" w:rsidRDefault="00A24DF2" w:rsidP="00E32BCE">
      <w:pPr>
        <w:pStyle w:val="CBDNormalNumber"/>
        <w:rPr>
          <w:color w:val="000000" w:themeColor="text1"/>
        </w:rPr>
      </w:pPr>
      <w:r w:rsidRPr="00EA66E5">
        <w:rPr>
          <w:color w:val="000000" w:themeColor="text1"/>
        </w:rPr>
        <w:t xml:space="preserve">Los artículos del 8 a) al d) del Convenio disponen que las Partes, en la medida de lo posible y según proceda, deben establecer un sistema de áreas protegidas o áreas donde haya que tomar medidas especiales para conservar la diversidad biológica; elaborar, cuando sea necesario, directrices para la selección, el establecimiento y la ordenación de esas </w:t>
      </w:r>
      <w:r w:rsidRPr="00EA66E5">
        <w:t>áreas</w:t>
      </w:r>
      <w:r w:rsidRPr="00EA66E5">
        <w:rPr>
          <w:color w:val="000000" w:themeColor="text1"/>
        </w:rPr>
        <w:t xml:space="preserve">; reglamentar o administrar los recursos biológicos importantes para la conservación de la diversidad biológica, ya sea dentro o fuera de las áreas protegidas, para garantizar su conservación y utilización sostenible; y promover la protección de ecosistemas y hábitats naturales y el mantenimiento de poblaciones viables de especies en entornos naturales. </w:t>
      </w:r>
    </w:p>
    <w:p w14:paraId="1E9381DE" w14:textId="61109DD9" w:rsidR="00716D52" w:rsidRPr="00EA66E5" w:rsidRDefault="007D5AE7" w:rsidP="00E32BCE">
      <w:pPr>
        <w:pStyle w:val="CBDNormalNumber"/>
        <w:rPr>
          <w:color w:val="000000" w:themeColor="text1"/>
        </w:rPr>
      </w:pPr>
      <w:r w:rsidRPr="00EA66E5">
        <w:rPr>
          <w:color w:val="000000" w:themeColor="text1"/>
        </w:rPr>
        <w:t xml:space="preserve">A través del </w:t>
      </w:r>
      <w:r w:rsidR="00736AD0">
        <w:rPr>
          <w:color w:val="000000" w:themeColor="text1"/>
        </w:rPr>
        <w:t>programa de trabajo sobre áreas protegidas</w:t>
      </w:r>
      <w:r w:rsidRPr="00EA66E5">
        <w:rPr>
          <w:color w:val="000000" w:themeColor="text1"/>
        </w:rPr>
        <w:t xml:space="preserve"> adoptado </w:t>
      </w:r>
      <w:r w:rsidRPr="00EA66E5">
        <w:t xml:space="preserve">mediante la decisión </w:t>
      </w:r>
      <w:hyperlink r:id="rId18" w:history="1">
        <w:r w:rsidRPr="00EA66E5">
          <w:rPr>
            <w:rStyle w:val="Hyperlink"/>
          </w:rPr>
          <w:t>VII/28</w:t>
        </w:r>
      </w:hyperlink>
      <w:r w:rsidRPr="00EA66E5">
        <w:rPr>
          <w:color w:val="000000" w:themeColor="text1"/>
        </w:rPr>
        <w:t xml:space="preserve"> en 2004, la Conferencia de las Partes reconoció el papel central de las áreas protegidas en la conservación y la utilización sostenible de la diversidad biológica. El programa tiene </w:t>
      </w:r>
      <w:r w:rsidRPr="00EA66E5">
        <w:t>por objeto</w:t>
      </w:r>
      <w:r w:rsidRPr="00EA66E5">
        <w:rPr>
          <w:color w:val="000000" w:themeColor="text1"/>
        </w:rPr>
        <w:t xml:space="preserve"> promover medidas para establecer sistemas nacionales y regionales completos, eficazmente gestionados y ecológicamente representativos de áreas protegidas para 2010 en el caso de las áreas terrestres y para 2012 en el caso de las marinas.</w:t>
      </w:r>
    </w:p>
    <w:p w14:paraId="1BE9F665" w14:textId="4CD774BB" w:rsidR="00716D52" w:rsidRPr="00EA66E5" w:rsidRDefault="00716D52" w:rsidP="00E32BCE">
      <w:pPr>
        <w:pStyle w:val="CBDNormalNumber"/>
        <w:rPr>
          <w:color w:val="000000" w:themeColor="text1"/>
        </w:rPr>
      </w:pPr>
      <w:r w:rsidRPr="00EA66E5">
        <w:rPr>
          <w:color w:val="000000" w:themeColor="text1"/>
        </w:rPr>
        <w:t>El programa de trabajo está estructurado en torno a cuatro elementos vinculados entre sí y que se refuerzan mutuamente</w:t>
      </w:r>
      <w:r w:rsidR="00D448EE">
        <w:rPr>
          <w:color w:val="000000" w:themeColor="text1"/>
        </w:rPr>
        <w:t>,</w:t>
      </w:r>
      <w:r w:rsidRPr="00EA66E5">
        <w:rPr>
          <w:color w:val="000000" w:themeColor="text1"/>
        </w:rPr>
        <w:t xml:space="preserve"> diseñados para ayudar a las Partes a establecer programas de trabajo nacionales con objetivos, medidas, calendarios, aportes y resultados mensurables previstos. Los elementos son: a) acciones </w:t>
      </w:r>
      <w:r w:rsidR="005B5FE4">
        <w:rPr>
          <w:color w:val="000000" w:themeColor="text1"/>
        </w:rPr>
        <w:t xml:space="preserve">directas </w:t>
      </w:r>
      <w:r w:rsidRPr="00EA66E5">
        <w:rPr>
          <w:color w:val="000000" w:themeColor="text1"/>
        </w:rPr>
        <w:t>para la planificación, selección,</w:t>
      </w:r>
      <w:r w:rsidR="001F2281" w:rsidRPr="00EA66E5">
        <w:rPr>
          <w:color w:val="000000" w:themeColor="text1"/>
        </w:rPr>
        <w:t xml:space="preserve"> </w:t>
      </w:r>
      <w:r w:rsidRPr="00EA66E5">
        <w:rPr>
          <w:color w:val="000000" w:themeColor="text1"/>
        </w:rPr>
        <w:t xml:space="preserve">creación, fortalecimiento y gestión de sistemas y sitios de áreas protegidas; b) gobernabilidad, participación, equidad y participación en los beneficios; c) actividades favorables, y d) normas, evaluación y supervisión. </w:t>
      </w:r>
    </w:p>
    <w:p w14:paraId="799E44DF" w14:textId="77777777" w:rsidR="00EE135E" w:rsidRPr="00EA66E5" w:rsidRDefault="00716D52" w:rsidP="00E32BCE">
      <w:pPr>
        <w:pStyle w:val="CBDNormalNumber"/>
      </w:pPr>
      <w:r w:rsidRPr="00EA66E5">
        <w:t>Aunque no se ha actualizado oficialmente el programa de trabajo desde su adopción en 2004, se ha revisado y fortalecido progresivamente su aplicación mediante decisiones sucesivas de la Conferencia de las Partes</w:t>
      </w:r>
      <w:r w:rsidR="00275EFB" w:rsidRPr="00EA66E5">
        <w:rPr>
          <w:rStyle w:val="FootnoteReference"/>
          <w:color w:val="000000" w:themeColor="text1"/>
        </w:rPr>
        <w:footnoteReference w:id="8"/>
      </w:r>
      <w:r w:rsidRPr="00EA66E5">
        <w:t xml:space="preserve">. </w:t>
      </w:r>
    </w:p>
    <w:p w14:paraId="47C52A74" w14:textId="77777777" w:rsidR="009B11E4" w:rsidRPr="00EA66E5" w:rsidRDefault="00922C20" w:rsidP="00E32BCE">
      <w:pPr>
        <w:pStyle w:val="CBDNormalNumber"/>
        <w:rPr>
          <w:color w:val="000000" w:themeColor="text1"/>
        </w:rPr>
      </w:pPr>
      <w:r w:rsidRPr="00EA66E5">
        <w:rPr>
          <w:color w:val="000000" w:themeColor="text1"/>
        </w:rPr>
        <w:lastRenderedPageBreak/>
        <w:t xml:space="preserve">En su 15ª reunión, mediante su </w:t>
      </w:r>
      <w:hyperlink r:id="rId19" w:history="1">
        <w:r w:rsidRPr="00EA66E5">
          <w:t>decisión 15/4</w:t>
        </w:r>
      </w:hyperlink>
      <w:r w:rsidRPr="00EA66E5">
        <w:t>,</w:t>
      </w:r>
      <w:r w:rsidRPr="00EA66E5">
        <w:rPr>
          <w:color w:val="000000" w:themeColor="text1"/>
        </w:rPr>
        <w:t xml:space="preserve"> la Conferencia de las Partes adoptó el Marco Mundial de Biodiversidad de Kunming-Montreal, cuya meta 3 tiene por objeto garantizar y hacer posible que, para 2030, al menos un 30 % de las zonas terrestres, de aguas continentales y zonas marinas y costeras, especialmente las zonas de particular importancia para la biodiversidad y las funciones y los servicios de los ecosistemas, se conserven y gestionen eficazmente mediante sistemas de áreas protegidas ecológicamente representativos, bien conectados y gobernados equitativamente y otras medidas de conservación eficaces basadas en áreas, reconociendo, cuando proceda, los territorios indígenas y tradicionales, y que estén integradas en paisajes terrestres, marinos y oceánicos más amplios, garantizando al mismo tiempo que toda utilización sostenible, cuando proceda en dichas zonas, sea plenamente coherente con la obtención de resultados de conservación, reconociendo y respetando los derechos de los pueblos indígenas y las comunidades locales, incluidos aquellos relativos a sus territorios tradicionales.</w:t>
      </w:r>
    </w:p>
    <w:p w14:paraId="71FA7F53" w14:textId="77777777" w:rsidR="00AC2C4A" w:rsidRPr="00EA66E5" w:rsidRDefault="008231C2" w:rsidP="00E32BCE">
      <w:pPr>
        <w:pStyle w:val="CBDNormalNumber"/>
      </w:pPr>
      <w:r w:rsidRPr="00EA66E5">
        <w:t xml:space="preserve">En el artículo 2 del Convenio, se define “área protegida” como “un área definida geográficamente que haya sido designada o regulada y administrada a fin de alcanzar objetivos específicos de conservación”. </w:t>
      </w:r>
    </w:p>
    <w:p w14:paraId="31F39587" w14:textId="77777777" w:rsidR="00AC2C4A" w:rsidRPr="00EA66E5" w:rsidRDefault="00470375" w:rsidP="00E32BCE">
      <w:pPr>
        <w:pStyle w:val="CBDNormalNumber"/>
        <w:rPr>
          <w:color w:val="000000" w:themeColor="text1"/>
        </w:rPr>
      </w:pPr>
      <w:r w:rsidRPr="00EA66E5">
        <w:t xml:space="preserve">En su </w:t>
      </w:r>
      <w:hyperlink r:id="rId20" w:history="1">
        <w:r w:rsidRPr="00EA66E5">
          <w:rPr>
            <w:rStyle w:val="Hyperlink"/>
            <w:color w:val="000000" w:themeColor="text1"/>
            <w:u w:val="none"/>
          </w:rPr>
          <w:t xml:space="preserve">decisión </w:t>
        </w:r>
        <w:r w:rsidRPr="00EA66E5">
          <w:rPr>
            <w:rStyle w:val="Hyperlink"/>
          </w:rPr>
          <w:t>14/8</w:t>
        </w:r>
      </w:hyperlink>
      <w:r w:rsidRPr="00EA66E5">
        <w:t xml:space="preserve">, la Conferencia de las Partes, definió “otra medida eficaz de conservación basada en áreas” como “un área definida geográficamente diferente de un área protegida, que esté gobernada y gestionada de maneras que logren resultados positivos y sostenidos a largo plazo para la conservación de la diversidad biológica </w:t>
      </w:r>
      <w:r w:rsidRPr="00EA66E5">
        <w:rPr>
          <w:color w:val="000000" w:themeColor="text1"/>
        </w:rPr>
        <w:t>in situ</w:t>
      </w:r>
      <w:r w:rsidRPr="00EA66E5">
        <w:t>, con las funciones y servicios asociados de los ecosistemas y, donde proceda, valores culturales, espirituales, socioeconómicos y otros valores pertinentes a nivel local”.</w:t>
      </w:r>
      <w:r w:rsidRPr="00EA66E5">
        <w:rPr>
          <w:color w:val="000000" w:themeColor="text1"/>
        </w:rPr>
        <w:t xml:space="preserve"> </w:t>
      </w:r>
    </w:p>
    <w:p w14:paraId="68BC37FA" w14:textId="7CB676A9" w:rsidR="00716D52" w:rsidRPr="00EA66E5" w:rsidRDefault="00AC2C4A" w:rsidP="00E32BCE">
      <w:pPr>
        <w:pStyle w:val="CBDNormalNumber"/>
      </w:pPr>
      <w:r w:rsidRPr="00EA66E5">
        <w:t>Los territorios indígenas y tradicionales, cuando proceda, pueden contribuir significativamente a la meta 3 del Marco. Los derechos de los pueblos indígenas y las comunidades locales deben ser reconocidos y respetados en todas las decisiones relativas a esos territorios, de conformidad con el programa de trabajo sobre el artículo 8</w:t>
      </w:r>
      <w:r w:rsidR="00993425">
        <w:t> </w:t>
      </w:r>
      <w:r w:rsidRPr="00EA66E5">
        <w:t>j) y otras disposiciones del Convenio relativas a los pueblos indígenas y las comunidades locales hasta 2030, y deben estar sujetos a su consentimiento libre, previo e informado.</w:t>
      </w:r>
    </w:p>
    <w:p w14:paraId="17BC6D28" w14:textId="77777777" w:rsidR="003B506C" w:rsidRPr="00EA66E5" w:rsidRDefault="003B506C" w:rsidP="00E32BCE">
      <w:pPr>
        <w:pStyle w:val="CBDNormalNumber"/>
      </w:pPr>
      <w:r w:rsidRPr="00EA66E5">
        <w:t>A los efectos de la presente revisión estratégica, y en el contexto de la meta 3 del Marco, se utiliza “áreas protegidas y conservadas” como término general que hace referencia colectivamente a las áreas protegidas, otras medidas eficaces de conservación basadas en áreas y los territorios indígenas y tradicionales, cuando proceda y reconociendo y respetando los derechos de los pueblos indígenas y las comunidades locales, entre otros sobre sus territorios tradicionales.</w:t>
      </w:r>
    </w:p>
    <w:p w14:paraId="32B44A42" w14:textId="57C89245" w:rsidR="001065E9" w:rsidRPr="00EA66E5" w:rsidRDefault="007978C4" w:rsidP="00695EE0">
      <w:pPr>
        <w:pStyle w:val="CBDH1"/>
        <w:rPr>
          <w:color w:val="000000" w:themeColor="text1"/>
          <w:sz w:val="24"/>
          <w:szCs w:val="21"/>
        </w:rPr>
      </w:pPr>
      <w:r w:rsidRPr="00EA66E5">
        <w:rPr>
          <w:color w:val="000000" w:themeColor="text1"/>
          <w:sz w:val="24"/>
        </w:rPr>
        <w:t>III.</w:t>
      </w:r>
      <w:r w:rsidRPr="00EA66E5">
        <w:rPr>
          <w:color w:val="000000" w:themeColor="text1"/>
          <w:sz w:val="24"/>
        </w:rPr>
        <w:tab/>
        <w:t>Resumen de la revisión y análisis estratégicos</w:t>
      </w:r>
      <w:r w:rsidR="008472A7" w:rsidRPr="00EA66E5">
        <w:rPr>
          <w:color w:val="000000" w:themeColor="text1"/>
          <w:sz w:val="24"/>
        </w:rPr>
        <w:t xml:space="preserve"> </w:t>
      </w:r>
      <w:r w:rsidRPr="00EA66E5">
        <w:rPr>
          <w:color w:val="000000" w:themeColor="text1"/>
          <w:sz w:val="24"/>
        </w:rPr>
        <w:t xml:space="preserve">del </w:t>
      </w:r>
      <w:r w:rsidR="00736AD0">
        <w:rPr>
          <w:color w:val="000000" w:themeColor="text1"/>
          <w:sz w:val="24"/>
        </w:rPr>
        <w:t>programa de trabajo sobre áreas protegidas</w:t>
      </w:r>
      <w:r w:rsidRPr="00EA66E5">
        <w:rPr>
          <w:color w:val="000000" w:themeColor="text1"/>
          <w:sz w:val="24"/>
        </w:rPr>
        <w:t xml:space="preserve"> </w:t>
      </w:r>
    </w:p>
    <w:p w14:paraId="49919EB1" w14:textId="1E7BDD98" w:rsidR="00F61941" w:rsidRPr="00EA66E5" w:rsidRDefault="00D91B46" w:rsidP="00E32BCE">
      <w:pPr>
        <w:pStyle w:val="CBDNormalNumber"/>
      </w:pPr>
      <w:r w:rsidRPr="00EA66E5">
        <w:t xml:space="preserve">Para evaluar el grado de armonización del </w:t>
      </w:r>
      <w:r w:rsidR="00736AD0">
        <w:t>programa de trabajo sobre áreas protegidas</w:t>
      </w:r>
      <w:r w:rsidRPr="00EA66E5">
        <w:t xml:space="preserve"> con las metas del Marco, la Secretaría llevó a cabo un análisis en el que se establecieron sistemáticamente correspondencias entre los elementos, objetivos y actividades del programa con las 23 metas del Marco. El análisis se complementó con una revisión de las comunicaciones presentadas por Partes e interesados pertinentes en respuesta a las notificaciones núm. </w:t>
      </w:r>
      <w:hyperlink r:id="rId21" w:history="1">
        <w:r w:rsidRPr="00EA66E5">
          <w:rPr>
            <w:rStyle w:val="Hyperlink"/>
          </w:rPr>
          <w:t>2025-135</w:t>
        </w:r>
      </w:hyperlink>
      <w:r w:rsidRPr="00EA66E5">
        <w:t xml:space="preserve"> y </w:t>
      </w:r>
      <w:hyperlink r:id="rId22" w:history="1">
        <w:r w:rsidRPr="00EA66E5">
          <w:rPr>
            <w:rStyle w:val="Hyperlink"/>
          </w:rPr>
          <w:t>2026-023</w:t>
        </w:r>
      </w:hyperlink>
      <w:r w:rsidRPr="00EA66E5">
        <w:t>, decisiones pertinentes de la Conferencia de las Partes y otras fuentes disponibles, incluido el análisis rápido de programas de trabajo establecido</w:t>
      </w:r>
      <w:r w:rsidR="00217176">
        <w:t>s</w:t>
      </w:r>
      <w:r w:rsidRPr="00EA66E5">
        <w:t xml:space="preserve"> en el marco del Convenio con respecto a las metas del Marco. </w:t>
      </w:r>
    </w:p>
    <w:p w14:paraId="7281C889" w14:textId="77777777" w:rsidR="00961A85" w:rsidRPr="00EA66E5" w:rsidRDefault="00961A85" w:rsidP="00E32BCE">
      <w:pPr>
        <w:pStyle w:val="CBDNormalNumber"/>
        <w:rPr>
          <w:color w:val="000000" w:themeColor="text1"/>
        </w:rPr>
      </w:pPr>
      <w:r w:rsidRPr="00EA66E5">
        <w:rPr>
          <w:color w:val="000000" w:themeColor="text1"/>
        </w:rPr>
        <w:t xml:space="preserve">Los remitentes de las comunicaciones coincidieron en indicar que el programa de trabajo seguía siendo una referencia ampliamente utilizada y pertinente para la planificación nacional y la </w:t>
      </w:r>
      <w:r w:rsidRPr="00EA66E5">
        <w:t>implementación de</w:t>
      </w:r>
      <w:r w:rsidRPr="00EA66E5">
        <w:rPr>
          <w:color w:val="000000" w:themeColor="text1"/>
        </w:rPr>
        <w:t xml:space="preserve"> áreas protegidas y conservadas, y que seguía proporcionando un marco práctico que apoyaba los progresos hacia los objetivos y metas del Marco.</w:t>
      </w:r>
    </w:p>
    <w:p w14:paraId="77F7209C" w14:textId="77777777" w:rsidR="00604D23" w:rsidRPr="00EA66E5" w:rsidRDefault="000C0733" w:rsidP="00E32BCE">
      <w:pPr>
        <w:pStyle w:val="CBDNormalNumber"/>
        <w:rPr>
          <w:color w:val="000000" w:themeColor="text1"/>
        </w:rPr>
      </w:pPr>
      <w:r w:rsidRPr="00EA66E5">
        <w:rPr>
          <w:color w:val="000000" w:themeColor="text1"/>
        </w:rPr>
        <w:t xml:space="preserve">Algunos remitentes hicieron hincapié en la necesidad de armonizar más el programa de trabajo con el Marco reforzando los vínculos entre los elementos existentes y las metas del Marco y subsanando las deficiencias detectadas, en lugar de emprender una revisión exhaustiva del programa. </w:t>
      </w:r>
      <w:r w:rsidRPr="00EA66E5">
        <w:rPr>
          <w:color w:val="000000" w:themeColor="text1"/>
        </w:rPr>
        <w:lastRenderedPageBreak/>
        <w:t xml:space="preserve">Sin embargo, algunos de los remitentes de las comunicaciones sugirieron que se realizara una revisión completa del programa. </w:t>
      </w:r>
    </w:p>
    <w:p w14:paraId="5EAAEFCA" w14:textId="77777777" w:rsidR="00314236" w:rsidRPr="00EA66E5" w:rsidRDefault="00604D23" w:rsidP="00E32BCE">
      <w:pPr>
        <w:pStyle w:val="CBDNormalNumber"/>
        <w:rPr>
          <w:color w:val="000000" w:themeColor="text1"/>
        </w:rPr>
      </w:pPr>
      <w:r w:rsidRPr="00EA66E5">
        <w:rPr>
          <w:color w:val="000000" w:themeColor="text1"/>
        </w:rPr>
        <w:t>Los remitentes también indicaron que las actividades encaminadas a actualizar y aplicar el programa de trabajo deberían centrarse principalmente en fortalecer la orientación en apoyo de la meta 3 del Marco, habida cuenta de su papel central y de su gran armonización con el mandato y el alcance del programa.</w:t>
      </w:r>
    </w:p>
    <w:p w14:paraId="5EBE009B" w14:textId="318EA8F4" w:rsidR="00431B03" w:rsidRPr="00EA66E5" w:rsidRDefault="00431B03" w:rsidP="00E32BCE">
      <w:pPr>
        <w:pStyle w:val="CBDNormalNumber"/>
        <w:rPr>
          <w:color w:val="000000" w:themeColor="text1"/>
        </w:rPr>
      </w:pPr>
      <w:r w:rsidRPr="00EA66E5">
        <w:rPr>
          <w:color w:val="000000" w:themeColor="text1"/>
        </w:rPr>
        <w:t xml:space="preserve">El programa de trabajo proporciona una orientación sustancial para un conjunto básico de metas del Marco, especialmente la metas 1, 3, 19, 20 y 22. En relación con esas metas, el programa ofrece orientación exhaustiva sobre </w:t>
      </w:r>
      <w:r w:rsidRPr="00EA66E5">
        <w:t>la planificación de sistemas de áreas protegidas</w:t>
      </w:r>
      <w:r w:rsidRPr="00EA66E5">
        <w:rPr>
          <w:color w:val="000000" w:themeColor="text1"/>
        </w:rPr>
        <w:t xml:space="preserve"> así como sobre mecanismos de gobernanza, la participación, consideraciones de equidad y la eficacia de la gestión. </w:t>
      </w:r>
      <w:r w:rsidR="00BE03C7" w:rsidRPr="00BE03C7">
        <w:rPr>
          <w:color w:val="000000" w:themeColor="text1"/>
        </w:rPr>
        <w:t xml:space="preserve">A pesar de la armonización general, se podrían fortalecer más las disposiciones relacionadas con esas metas y se podrían actualizar de </w:t>
      </w:r>
      <w:r w:rsidRPr="00EA66E5">
        <w:rPr>
          <w:color w:val="000000" w:themeColor="text1"/>
        </w:rPr>
        <w:t xml:space="preserve">manera que reflejen la evolución de los enfoques normativos, los conocimientos científicos y la terminología. </w:t>
      </w:r>
    </w:p>
    <w:p w14:paraId="3A2A2D8D" w14:textId="7CDC5942" w:rsidR="00431B03" w:rsidRPr="00EA66E5" w:rsidRDefault="00431B03" w:rsidP="00E32BCE">
      <w:pPr>
        <w:pStyle w:val="CBDNormalNumber"/>
        <w:rPr>
          <w:color w:val="000000" w:themeColor="text1"/>
        </w:rPr>
      </w:pPr>
      <w:r w:rsidRPr="00EA66E5">
        <w:rPr>
          <w:color w:val="000000" w:themeColor="text1"/>
        </w:rPr>
        <w:t xml:space="preserve">Para un conjunto más amplio de metas del Marco, a saber, las metas 2 a 7, 9, 11, 14, 15, 21 y 23, el programa de trabajo proporciona orientación parcial o indirecta o aborda esferas temáticas que han evolucionado considerablemente desde su adopción en 2004. Si bien algunos elementos siguen siendo pertinentes, la actualización y aclaración de las disposiciones mejorarían la coherencia con el alcance, la ambición y las modalidades de </w:t>
      </w:r>
      <w:r w:rsidR="00E319C9">
        <w:rPr>
          <w:color w:val="000000" w:themeColor="text1"/>
        </w:rPr>
        <w:t>implementación</w:t>
      </w:r>
      <w:r w:rsidRPr="00EA66E5">
        <w:rPr>
          <w:color w:val="000000" w:themeColor="text1"/>
        </w:rPr>
        <w:t xml:space="preserve"> del Marco. Sobre todo con respecto a la meta 3, los remitentes de las comunicaciones destacaron que la forma de redactarla debía abarcar clara y explícitamente otras medidas eficaces de conservación basadas en áreas y los territorios tradicionales indígenas junto con las áreas protegidas, reflejar todos los elementos cualitativos pertinentes de la meta y alinear los plazos para garantizar la coherencia con el horizonte de 2030 del Marco.</w:t>
      </w:r>
    </w:p>
    <w:p w14:paraId="7F223BA2" w14:textId="77777777" w:rsidR="00E85071" w:rsidRPr="00EA66E5" w:rsidRDefault="00431B03" w:rsidP="00E32BCE">
      <w:pPr>
        <w:pStyle w:val="CBDNormalNumber"/>
        <w:rPr>
          <w:color w:val="000000" w:themeColor="text1"/>
        </w:rPr>
      </w:pPr>
      <w:r w:rsidRPr="00EA66E5">
        <w:rPr>
          <w:color w:val="000000" w:themeColor="text1"/>
        </w:rPr>
        <w:t>El análisis también muestra que la orientación que contiene el programa para las metas 8, 10, 12 y 16, que abordan el cambio climático, la utilización sostenible en los sectores de producción, la diversidad biológica urbana, la planificación urbana y periurbana y las pautas de consumo, respectivamente, o es escasa o no es explícita.</w:t>
      </w:r>
    </w:p>
    <w:p w14:paraId="5F56A5A5" w14:textId="77777777" w:rsidR="00616359" w:rsidRPr="00EA66E5" w:rsidRDefault="00616359" w:rsidP="00E32BCE">
      <w:pPr>
        <w:pStyle w:val="CBDNormalNumber"/>
        <w:rPr>
          <w:color w:val="000000" w:themeColor="text1"/>
        </w:rPr>
      </w:pPr>
      <w:r w:rsidRPr="00EA66E5">
        <w:rPr>
          <w:color w:val="000000" w:themeColor="text1"/>
        </w:rPr>
        <w:t>De la revisión se desprenden varias observaciones generales:</w:t>
      </w:r>
    </w:p>
    <w:p w14:paraId="1A1D8515" w14:textId="77777777" w:rsidR="00616359" w:rsidRPr="00EA66E5" w:rsidRDefault="00317637" w:rsidP="008472A7">
      <w:pPr>
        <w:pStyle w:val="CBDNormalNumber"/>
        <w:numPr>
          <w:ilvl w:val="1"/>
          <w:numId w:val="9"/>
        </w:numPr>
        <w:rPr>
          <w:color w:val="000000" w:themeColor="text1"/>
        </w:rPr>
      </w:pPr>
      <w:r w:rsidRPr="00EA66E5">
        <w:rPr>
          <w:color w:val="000000" w:themeColor="text1"/>
        </w:rPr>
        <w:t xml:space="preserve">Se reconoce ampliamente que el programa de trabajo sigue siendo pertinente, sobre todo en lo que respecta a la meta 3 del Marco, al tiempo que se han ampliado el alcance y la ambición de los sistemas de áreas protegidas y conservadas; </w:t>
      </w:r>
    </w:p>
    <w:p w14:paraId="79873DCF" w14:textId="77777777" w:rsidR="00616359" w:rsidRPr="00EA66E5" w:rsidRDefault="00616359" w:rsidP="00E32BCE">
      <w:pPr>
        <w:pStyle w:val="CBDNormalNumber"/>
        <w:numPr>
          <w:ilvl w:val="1"/>
          <w:numId w:val="9"/>
        </w:numPr>
        <w:rPr>
          <w:color w:val="000000" w:themeColor="text1"/>
        </w:rPr>
      </w:pPr>
      <w:r w:rsidRPr="00EA66E5">
        <w:t xml:space="preserve">Hace falta </w:t>
      </w:r>
      <w:r w:rsidRPr="00EA66E5">
        <w:rPr>
          <w:color w:val="000000" w:themeColor="text1"/>
        </w:rPr>
        <w:t xml:space="preserve">una mayor integración de las áreas protegidas y conservadas en sistemas socioecológicos más amplios, entre otras formas </w:t>
      </w:r>
      <w:r w:rsidRPr="00EA66E5">
        <w:t>mediante</w:t>
      </w:r>
      <w:r w:rsidRPr="00EA66E5">
        <w:rPr>
          <w:color w:val="000000" w:themeColor="text1"/>
        </w:rPr>
        <w:t xml:space="preserve"> vínculos más estrechos con políticas y medidas sectoriales que aborden los factores directos e indirectos de la pérdida de diversidad biológica;</w:t>
      </w:r>
    </w:p>
    <w:p w14:paraId="545B1D78" w14:textId="77777777" w:rsidR="00616359" w:rsidRPr="00EA66E5" w:rsidRDefault="003A7AE0" w:rsidP="00E32BCE">
      <w:pPr>
        <w:pStyle w:val="CBDNormalNumber"/>
        <w:numPr>
          <w:ilvl w:val="1"/>
          <w:numId w:val="9"/>
        </w:numPr>
        <w:rPr>
          <w:color w:val="000000" w:themeColor="text1"/>
        </w:rPr>
      </w:pPr>
      <w:r w:rsidRPr="00EA66E5">
        <w:rPr>
          <w:color w:val="000000" w:themeColor="text1"/>
        </w:rPr>
        <w:t>Hay que fortalecer los enfoques de la gobernanza incluyendo consideraciones de equidad y reconociendo los derechos de los pueblos indígenas y las comunidades locales, cuando proceda;</w:t>
      </w:r>
    </w:p>
    <w:p w14:paraId="46865464" w14:textId="77777777" w:rsidR="009468D5" w:rsidRPr="00EA66E5" w:rsidRDefault="003A7AE0" w:rsidP="00E32BCE">
      <w:pPr>
        <w:pStyle w:val="CBDNormalNumber"/>
        <w:numPr>
          <w:ilvl w:val="1"/>
          <w:numId w:val="9"/>
        </w:numPr>
        <w:rPr>
          <w:color w:val="000000" w:themeColor="text1"/>
        </w:rPr>
      </w:pPr>
      <w:r w:rsidRPr="00EA66E5">
        <w:rPr>
          <w:color w:val="000000" w:themeColor="text1"/>
        </w:rPr>
        <w:t>Es importante mejorar la coherencia con los procesos existentes y evitar la duplicación.</w:t>
      </w:r>
    </w:p>
    <w:p w14:paraId="2A606B54" w14:textId="77777777" w:rsidR="00F90483" w:rsidRPr="00EA66E5" w:rsidRDefault="00F90483" w:rsidP="00E32BCE">
      <w:pPr>
        <w:pStyle w:val="CBDNormalNumber"/>
        <w:rPr>
          <w:color w:val="000000" w:themeColor="text1"/>
        </w:rPr>
      </w:pPr>
      <w:r w:rsidRPr="00EA66E5">
        <w:rPr>
          <w:color w:val="000000" w:themeColor="text1"/>
        </w:rPr>
        <w:t>La revisión y el análisis muestran además que actualizar el nombre del programa de trabajo para refleje el alcance más amplio del término “áreas protegidas y conservadas”, de manera coherente con el Marco, podría mejorar la claridad y la coherencia, manteniendo al mismo tiempo la estructura y el mandato del programa actual.</w:t>
      </w:r>
    </w:p>
    <w:p w14:paraId="500237AD" w14:textId="77777777" w:rsidR="00616359" w:rsidRPr="00EA66E5" w:rsidRDefault="00EC3620" w:rsidP="00E32BCE">
      <w:pPr>
        <w:pStyle w:val="CBDNormalNumber"/>
        <w:rPr>
          <w:color w:val="000000" w:themeColor="text1"/>
        </w:rPr>
      </w:pPr>
      <w:r w:rsidRPr="00EA66E5">
        <w:rPr>
          <w:color w:val="000000" w:themeColor="text1"/>
        </w:rPr>
        <w:t xml:space="preserve">Con el análisis se ha detectado una serie de deficiencias generales en el programa de trabajo que reflejan la evolución de las políticas, la ciencia </w:t>
      </w:r>
      <w:r w:rsidRPr="00EA66E5">
        <w:t>y</w:t>
      </w:r>
      <w:r w:rsidRPr="00EA66E5">
        <w:rPr>
          <w:color w:val="000000" w:themeColor="text1"/>
        </w:rPr>
        <w:t xml:space="preserve"> la práctica desde la adopción del programa, entre ellas:</w:t>
      </w:r>
    </w:p>
    <w:p w14:paraId="001ED09A" w14:textId="4D2C5801" w:rsidR="00616359" w:rsidRPr="00EA66E5" w:rsidRDefault="000F6FA8" w:rsidP="00E32BCE">
      <w:pPr>
        <w:pStyle w:val="CBDNormalNumber"/>
        <w:numPr>
          <w:ilvl w:val="1"/>
          <w:numId w:val="9"/>
        </w:numPr>
        <w:rPr>
          <w:color w:val="000000" w:themeColor="text1"/>
        </w:rPr>
      </w:pPr>
      <w:r w:rsidRPr="00EA66E5">
        <w:rPr>
          <w:color w:val="000000" w:themeColor="text1"/>
        </w:rPr>
        <w:lastRenderedPageBreak/>
        <w:t xml:space="preserve">Terminología, conceptos y enfoques que han surgido desde 2004, entre ellos la integridad ecológica, la conectividad ecológica, otras medidas eficaces de conservación basadas en áreas, los territorios indígenas y tradicionales, la mitigación del cambio climático y la adaptación a este, los conflictos entre </w:t>
      </w:r>
      <w:r w:rsidR="009D124D" w:rsidRPr="00EA66E5">
        <w:rPr>
          <w:color w:val="000000" w:themeColor="text1"/>
        </w:rPr>
        <w:t xml:space="preserve">los </w:t>
      </w:r>
      <w:r w:rsidRPr="00EA66E5">
        <w:rPr>
          <w:color w:val="000000" w:themeColor="text1"/>
        </w:rPr>
        <w:t>seres humanos y la fauna y flora silvestres, la reducción del riesgo de desastres y el enfoque de “Una sola salud”;</w:t>
      </w:r>
    </w:p>
    <w:p w14:paraId="393554E0" w14:textId="77777777" w:rsidR="00616359" w:rsidRPr="00EA66E5" w:rsidRDefault="000F6FA8" w:rsidP="00E32BCE">
      <w:pPr>
        <w:pStyle w:val="CBDNormalNumber"/>
        <w:numPr>
          <w:ilvl w:val="1"/>
          <w:numId w:val="9"/>
        </w:numPr>
        <w:rPr>
          <w:color w:val="000000" w:themeColor="text1"/>
        </w:rPr>
      </w:pPr>
      <w:r w:rsidRPr="00EA66E5">
        <w:t>Escasa coherencia</w:t>
      </w:r>
      <w:r w:rsidRPr="00EA66E5">
        <w:rPr>
          <w:color w:val="000000" w:themeColor="text1"/>
        </w:rPr>
        <w:t xml:space="preserve"> con el marco de seguimiento del Marco Mundial de Biodiversidad de Kunming-Montreal, con carencias en lo que respecta a indicadores relacionados con los resultados ecológicos, la eficacia y el uso y tenencia de la tierra;</w:t>
      </w:r>
    </w:p>
    <w:p w14:paraId="4E05E04E" w14:textId="77777777" w:rsidR="006000F8" w:rsidRPr="00EA66E5" w:rsidRDefault="002115D1" w:rsidP="00E32BCE">
      <w:pPr>
        <w:pStyle w:val="CBDNormalNumber"/>
        <w:numPr>
          <w:ilvl w:val="1"/>
          <w:numId w:val="9"/>
        </w:numPr>
        <w:rPr>
          <w:color w:val="000000" w:themeColor="text1"/>
        </w:rPr>
      </w:pPr>
      <w:r w:rsidRPr="00EA66E5">
        <w:rPr>
          <w:color w:val="000000" w:themeColor="text1"/>
        </w:rPr>
        <w:t xml:space="preserve">La necesidad de seguir poniendo en práctica un enfoque basado en los derechos humanos que incluya la gobernanza equitativa; el papel de los jóvenes </w:t>
      </w:r>
      <w:r w:rsidRPr="00EA66E5">
        <w:t>y</w:t>
      </w:r>
      <w:r w:rsidRPr="00EA66E5">
        <w:rPr>
          <w:color w:val="000000" w:themeColor="text1"/>
        </w:rPr>
        <w:t xml:space="preserve"> las generaciones futuras; el reconocimiento de los derechos de los pueblos indígenas y las comunidades locales; la promoción de la igualdad entre los géneros y los derechos de la mujer, según proceda; la participación efectiva de los titulares de derechos en la toma de decisiones; y la aplicación del consentimiento libre, previo e informado, cuando proceda, de acuerdo con el programa de trabajo sobre el artículo 8 j) y otras disposiciones del Convenio relativas a los pueblos indígenas y las comunidades locales y las decisiones conexas;</w:t>
      </w:r>
    </w:p>
    <w:p w14:paraId="527AEAC6" w14:textId="77777777" w:rsidR="000F6FA8" w:rsidRPr="00EA66E5" w:rsidRDefault="000F6FA8" w:rsidP="00E32BCE">
      <w:pPr>
        <w:pStyle w:val="CBDNormalNumber"/>
        <w:numPr>
          <w:ilvl w:val="1"/>
          <w:numId w:val="9"/>
        </w:numPr>
        <w:rPr>
          <w:color w:val="000000" w:themeColor="text1"/>
        </w:rPr>
      </w:pPr>
      <w:r w:rsidRPr="00EA66E5">
        <w:rPr>
          <w:color w:val="000000" w:themeColor="text1"/>
        </w:rPr>
        <w:t xml:space="preserve">Deficiencias a la hora de abordar </w:t>
      </w:r>
      <w:r w:rsidRPr="00EA66E5">
        <w:t>consideraciones relativas a la equidad, como</w:t>
      </w:r>
      <w:r w:rsidRPr="00EA66E5">
        <w:rPr>
          <w:color w:val="000000" w:themeColor="text1"/>
        </w:rPr>
        <w:t xml:space="preserve"> la perspectiva de género y la inclusión de los jóvenes y las personas con discapacidad. </w:t>
      </w:r>
    </w:p>
    <w:p w14:paraId="508D90FC" w14:textId="77777777" w:rsidR="00822667" w:rsidRPr="00EA66E5" w:rsidRDefault="00EE7BA2" w:rsidP="00E32BCE">
      <w:pPr>
        <w:pStyle w:val="CBDNormalNumber"/>
        <w:rPr>
          <w:color w:val="000000" w:themeColor="text1"/>
        </w:rPr>
      </w:pPr>
      <w:r w:rsidRPr="00EA66E5">
        <w:rPr>
          <w:color w:val="000000" w:themeColor="text1"/>
        </w:rPr>
        <w:t>Es importante señalar que el alcance de la revisión estratégica no incluía una evaluación a fondo de la eficacia de la aplicación del programa de trabajo. Sin embargo, las comunicaciones indican que las deficiencias en la aplicación siguen siendo una consideración importante para acelerar el progreso hacia las metas del Marco.</w:t>
      </w:r>
    </w:p>
    <w:p w14:paraId="61FFF254" w14:textId="77777777" w:rsidR="00FA2307" w:rsidRPr="00EA66E5" w:rsidRDefault="00850729" w:rsidP="00850729">
      <w:pPr>
        <w:pStyle w:val="CBDH1"/>
        <w:rPr>
          <w:color w:val="000000" w:themeColor="text1"/>
          <w:sz w:val="24"/>
          <w:szCs w:val="21"/>
        </w:rPr>
      </w:pPr>
      <w:bookmarkStart w:id="0" w:name="_Toc200723376"/>
      <w:bookmarkStart w:id="1" w:name="_Toc223766801"/>
      <w:r w:rsidRPr="00EA66E5">
        <w:rPr>
          <w:color w:val="000000" w:themeColor="text1"/>
          <w:sz w:val="24"/>
        </w:rPr>
        <w:t>IV.</w:t>
      </w:r>
      <w:r w:rsidRPr="00EA66E5">
        <w:rPr>
          <w:color w:val="000000" w:themeColor="text1"/>
          <w:sz w:val="24"/>
        </w:rPr>
        <w:tab/>
        <w:t>Posibles enfoques para abordar las deficiencias detectadas</w:t>
      </w:r>
      <w:bookmarkEnd w:id="0"/>
      <w:bookmarkEnd w:id="1"/>
    </w:p>
    <w:p w14:paraId="3300781A" w14:textId="77777777" w:rsidR="00735488" w:rsidRPr="00EA66E5" w:rsidRDefault="00850729" w:rsidP="00E32BCE">
      <w:pPr>
        <w:pStyle w:val="CBDNormalNumber"/>
        <w:rPr>
          <w:color w:val="000000" w:themeColor="text1"/>
        </w:rPr>
      </w:pPr>
      <w:r w:rsidRPr="00EA66E5">
        <w:rPr>
          <w:color w:val="000000" w:themeColor="text1"/>
        </w:rPr>
        <w:t xml:space="preserve">A partir de las conclusiones de la revisión y de las comunicaciones recibidas, el análisis de la Secretaría indica que las actualizaciones del programa de trabajo podrían guiarse por las prioridades determinadas por las Partes y los interesados directos en sus comunicaciones, así como por el grado en que los elementos y actividades existentes requieren una mayor armonización con el Marco, prestando especial atención al apoyo al logro de la meta 3 del Marco en el ámbito nacional. </w:t>
      </w:r>
    </w:p>
    <w:p w14:paraId="340C5364" w14:textId="77777777" w:rsidR="009510BD" w:rsidRPr="00EA66E5" w:rsidRDefault="00960122" w:rsidP="00E32BCE">
      <w:pPr>
        <w:pStyle w:val="CBDNormalNumber"/>
        <w:rPr>
          <w:color w:val="000000" w:themeColor="text1"/>
        </w:rPr>
      </w:pPr>
      <w:r w:rsidRPr="00EA66E5">
        <w:rPr>
          <w:color w:val="000000" w:themeColor="text1"/>
        </w:rPr>
        <w:t xml:space="preserve">En consonancia con las prioridades </w:t>
      </w:r>
      <w:r w:rsidRPr="00EA66E5">
        <w:t>determinadas</w:t>
      </w:r>
      <w:r w:rsidRPr="00EA66E5">
        <w:rPr>
          <w:color w:val="000000" w:themeColor="text1"/>
        </w:rPr>
        <w:t>, podría prestarse especial atención al fortalecimiento de la armonización de los elementos y actividades existentes con la meta 3 del Marco, por ejemplo:</w:t>
      </w:r>
    </w:p>
    <w:p w14:paraId="57E7E3EA" w14:textId="77777777" w:rsidR="006F50DB" w:rsidRPr="00EA66E5" w:rsidRDefault="009F7ED4" w:rsidP="00E32BCE">
      <w:pPr>
        <w:pStyle w:val="CBDNormalNumber"/>
        <w:numPr>
          <w:ilvl w:val="1"/>
          <w:numId w:val="9"/>
        </w:numPr>
        <w:rPr>
          <w:color w:val="000000" w:themeColor="text1"/>
        </w:rPr>
      </w:pPr>
      <w:r w:rsidRPr="00EA66E5">
        <w:rPr>
          <w:color w:val="000000" w:themeColor="text1"/>
        </w:rPr>
        <w:t>Incluyendo otras medidas eficaces de conservación basadas en áreas y los territorios indígenas y tradicionales;</w:t>
      </w:r>
    </w:p>
    <w:p w14:paraId="761F77DF" w14:textId="77777777" w:rsidR="00735488" w:rsidRPr="00EA66E5" w:rsidRDefault="008E00E0" w:rsidP="00E32BCE">
      <w:pPr>
        <w:pStyle w:val="CBDNormalNumber"/>
        <w:numPr>
          <w:ilvl w:val="1"/>
          <w:numId w:val="9"/>
        </w:numPr>
        <w:rPr>
          <w:color w:val="000000" w:themeColor="text1"/>
        </w:rPr>
      </w:pPr>
      <w:r w:rsidRPr="00EA66E5">
        <w:rPr>
          <w:color w:val="000000" w:themeColor="text1"/>
        </w:rPr>
        <w:t>Armonizando los correspondientes calendarios con el Marco;</w:t>
      </w:r>
    </w:p>
    <w:p w14:paraId="3046AD7C" w14:textId="77777777" w:rsidR="00A45FF6" w:rsidRPr="00EA66E5" w:rsidRDefault="008E00E0" w:rsidP="00E32BCE">
      <w:pPr>
        <w:pStyle w:val="CBDNormalNumber"/>
        <w:numPr>
          <w:ilvl w:val="1"/>
          <w:numId w:val="9"/>
        </w:numPr>
        <w:rPr>
          <w:color w:val="000000" w:themeColor="text1"/>
        </w:rPr>
      </w:pPr>
      <w:r w:rsidRPr="00EA66E5">
        <w:rPr>
          <w:color w:val="000000" w:themeColor="text1"/>
        </w:rPr>
        <w:t xml:space="preserve">Prestando más apoyo para poner en práctica y adoptar enfoques de la gobernanza que estén basados en los derechos humanos y sean equitativos, con un cambio de enfoque que pase de los pueblos indígenas y las comunidades locales como beneficiarios a su reconocimiento como titulares de derechos con capacidades y responsabilidades; </w:t>
      </w:r>
    </w:p>
    <w:p w14:paraId="227A311C" w14:textId="77777777" w:rsidR="002576CC" w:rsidRPr="00EA66E5" w:rsidRDefault="008E00E0" w:rsidP="00E32BCE">
      <w:pPr>
        <w:pStyle w:val="CBDNormalNumber"/>
        <w:numPr>
          <w:ilvl w:val="1"/>
          <w:numId w:val="9"/>
        </w:numPr>
        <w:rPr>
          <w:color w:val="000000" w:themeColor="text1"/>
        </w:rPr>
      </w:pPr>
      <w:r w:rsidRPr="00EA66E5">
        <w:rPr>
          <w:color w:val="000000" w:themeColor="text1"/>
        </w:rPr>
        <w:t>Haciendo mayor hincapié en la integridad ecológica, la resiliencia de los ecosistemas, la conectividad ecológica, la eficacia de la conservación y los resultados mensurables en materia de diversidad biológica, entre otros en el contexto del cambio climático en los sistemas tanto terrestres como de agua dulce y marinos;</w:t>
      </w:r>
    </w:p>
    <w:p w14:paraId="44BAC874" w14:textId="10DDE760" w:rsidR="009510BD" w:rsidRPr="00EA66E5" w:rsidRDefault="0019390A" w:rsidP="00E32BCE">
      <w:pPr>
        <w:pStyle w:val="CBDNormalNumber"/>
        <w:numPr>
          <w:ilvl w:val="1"/>
          <w:numId w:val="9"/>
        </w:numPr>
        <w:rPr>
          <w:color w:val="000000" w:themeColor="text1"/>
        </w:rPr>
      </w:pPr>
      <w:r w:rsidRPr="00EA66E5">
        <w:rPr>
          <w:color w:val="000000" w:themeColor="text1"/>
        </w:rPr>
        <w:t xml:space="preserve">Mejorando </w:t>
      </w:r>
      <w:r w:rsidRPr="00EA66E5">
        <w:t>la orientación</w:t>
      </w:r>
      <w:r w:rsidRPr="00EA66E5">
        <w:rPr>
          <w:color w:val="000000" w:themeColor="text1"/>
        </w:rPr>
        <w:t xml:space="preserve"> relacionada con el reconocimiento de los territorios indígenas y tradicionales, de manera coherente con el programa de trabajo sobre el artículo 8</w:t>
      </w:r>
      <w:r w:rsidR="00DE4959">
        <w:rPr>
          <w:color w:val="000000" w:themeColor="text1"/>
        </w:rPr>
        <w:t> </w:t>
      </w:r>
      <w:r w:rsidRPr="00EA66E5">
        <w:rPr>
          <w:color w:val="000000" w:themeColor="text1"/>
        </w:rPr>
        <w:t>j) y otras disposiciones del Convenio relativas a los pueblos indígenas y las comunidades locales. Eso comprende enfoques diferenciados para garantizar una protección integral que incluya a los pueblos indígenas en situación de aislamiento voluntario y contacto inicial;</w:t>
      </w:r>
    </w:p>
    <w:p w14:paraId="4CA8D658" w14:textId="77777777" w:rsidR="52044842" w:rsidRPr="00EA66E5" w:rsidRDefault="0019390A" w:rsidP="00E32BCE">
      <w:pPr>
        <w:pStyle w:val="CBDNormalNumber"/>
        <w:numPr>
          <w:ilvl w:val="1"/>
          <w:numId w:val="9"/>
        </w:numPr>
        <w:rPr>
          <w:color w:val="000000" w:themeColor="text1"/>
        </w:rPr>
      </w:pPr>
      <w:r w:rsidRPr="00EA66E5">
        <w:rPr>
          <w:color w:val="000000" w:themeColor="text1"/>
        </w:rPr>
        <w:lastRenderedPageBreak/>
        <w:t xml:space="preserve">Facilitando la recopilación y difusión de ejemplos, estudios de casos y las mejores prácticas para ayudar a </w:t>
      </w:r>
      <w:r w:rsidRPr="00EA66E5">
        <w:t>distinguir</w:t>
      </w:r>
      <w:r w:rsidRPr="00EA66E5">
        <w:rPr>
          <w:color w:val="000000" w:themeColor="text1"/>
        </w:rPr>
        <w:t xml:space="preserve"> claramente entre los resultados en materia de diversidad biológica derivados de paisajes de producción gestionados de manera sostenible (meta 10 del Marco) y las contribuciones a la meta 3, por ejemplo, mediante otras medidas eficaces de conservación basadas en áreas;</w:t>
      </w:r>
    </w:p>
    <w:p w14:paraId="0433BD66" w14:textId="77777777" w:rsidR="009510BD" w:rsidRPr="00EA66E5" w:rsidRDefault="00A01F01" w:rsidP="00E32BCE">
      <w:pPr>
        <w:pStyle w:val="CBDNormalNumber"/>
        <w:numPr>
          <w:ilvl w:val="1"/>
          <w:numId w:val="9"/>
        </w:numPr>
        <w:rPr>
          <w:color w:val="000000" w:themeColor="text1"/>
        </w:rPr>
      </w:pPr>
      <w:r w:rsidRPr="00EA66E5">
        <w:rPr>
          <w:color w:val="000000" w:themeColor="text1"/>
        </w:rPr>
        <w:t xml:space="preserve">Fortaleciendo la integración de la igualdad entre los géneros y de enfoques con perspectiva de género en la planificación, </w:t>
      </w:r>
      <w:r w:rsidRPr="00EA66E5">
        <w:t>la gobernanza</w:t>
      </w:r>
      <w:r w:rsidRPr="00EA66E5">
        <w:rPr>
          <w:color w:val="000000" w:themeColor="text1"/>
        </w:rPr>
        <w:t xml:space="preserve"> y la gestión de áreas protegidas y conservadas; </w:t>
      </w:r>
    </w:p>
    <w:p w14:paraId="4FF593D9" w14:textId="77777777" w:rsidR="009510BD" w:rsidRPr="00EA66E5" w:rsidRDefault="00A01F01" w:rsidP="00E32BCE">
      <w:pPr>
        <w:pStyle w:val="CBDNormalNumber"/>
        <w:numPr>
          <w:ilvl w:val="1"/>
          <w:numId w:val="9"/>
        </w:numPr>
        <w:rPr>
          <w:color w:val="000000" w:themeColor="text1"/>
        </w:rPr>
      </w:pPr>
      <w:r w:rsidRPr="00EA66E5">
        <w:rPr>
          <w:color w:val="000000" w:themeColor="text1"/>
        </w:rPr>
        <w:t xml:space="preserve">Fortaleciendo </w:t>
      </w:r>
      <w:r w:rsidRPr="00EA66E5">
        <w:t>la</w:t>
      </w:r>
      <w:r w:rsidRPr="00EA66E5">
        <w:rPr>
          <w:color w:val="000000" w:themeColor="text1"/>
        </w:rPr>
        <w:t xml:space="preserve"> integración de las áreas protegidas y conservadas en procesos de ordenación territorial y en paisajes terrestres y marinos más amplios;</w:t>
      </w:r>
    </w:p>
    <w:p w14:paraId="1B35C29A" w14:textId="77777777" w:rsidR="00C90371" w:rsidRPr="00EA66E5" w:rsidRDefault="00A01F01" w:rsidP="00E32BCE">
      <w:pPr>
        <w:pStyle w:val="CBDNormalNumber"/>
        <w:numPr>
          <w:ilvl w:val="1"/>
          <w:numId w:val="9"/>
        </w:numPr>
        <w:rPr>
          <w:color w:val="000000" w:themeColor="text1"/>
        </w:rPr>
      </w:pPr>
      <w:r w:rsidRPr="00EA66E5">
        <w:rPr>
          <w:color w:val="000000" w:themeColor="text1"/>
        </w:rPr>
        <w:t>Promoviendo medidas para definir y priorizar áreas de especial importancia para la diversidad biológica,</w:t>
      </w:r>
      <w:r w:rsidRPr="00EA66E5">
        <w:t xml:space="preserve"> funciones de los ecosistemas</w:t>
      </w:r>
      <w:r w:rsidRPr="00EA66E5">
        <w:rPr>
          <w:color w:val="000000" w:themeColor="text1"/>
        </w:rPr>
        <w:t xml:space="preserve"> y servicios de los ecosistemas, con especial atención a los ecosistemas insuficientemente representados, como los que actualmente no están cubiertos por áreas protegidas y conservadas;</w:t>
      </w:r>
    </w:p>
    <w:p w14:paraId="78774E75" w14:textId="77777777" w:rsidR="00C90371" w:rsidRPr="00EA66E5" w:rsidRDefault="00A01F01" w:rsidP="00E32BCE">
      <w:pPr>
        <w:pStyle w:val="CBDNormalNumber"/>
        <w:numPr>
          <w:ilvl w:val="1"/>
          <w:numId w:val="9"/>
        </w:numPr>
        <w:rPr>
          <w:color w:val="000000" w:themeColor="text1"/>
        </w:rPr>
      </w:pPr>
      <w:r w:rsidRPr="00EA66E5">
        <w:rPr>
          <w:color w:val="000000" w:themeColor="text1"/>
        </w:rPr>
        <w:t>Promoviendo el seguimiento de normas y de las mejores prácticas de planificación, gestión y gobernanza de áreas protegidas y conservadas;</w:t>
      </w:r>
    </w:p>
    <w:p w14:paraId="1409C768" w14:textId="77777777" w:rsidR="00FC26AA" w:rsidRPr="00EA66E5" w:rsidRDefault="00A01F01" w:rsidP="00E32BCE">
      <w:pPr>
        <w:pStyle w:val="CBDNormalNumber"/>
        <w:numPr>
          <w:ilvl w:val="1"/>
          <w:numId w:val="9"/>
        </w:numPr>
        <w:rPr>
          <w:color w:val="000000" w:themeColor="text1"/>
        </w:rPr>
      </w:pPr>
      <w:r w:rsidRPr="00EA66E5">
        <w:rPr>
          <w:color w:val="000000" w:themeColor="text1"/>
        </w:rPr>
        <w:t xml:space="preserve">Facilitando la recopilación y difusión de directrices prácticas, herramientas y estudios de casos a través del mecanismo de facilitación. </w:t>
      </w:r>
      <w:r w:rsidRPr="00EA66E5">
        <w:t>Entre l</w:t>
      </w:r>
      <w:r w:rsidRPr="00EA66E5">
        <w:rPr>
          <w:color w:val="000000" w:themeColor="text1"/>
        </w:rPr>
        <w:t xml:space="preserve">os temas se podrían incluir la integridad ecológica, </w:t>
      </w:r>
      <w:r w:rsidRPr="00EA66E5">
        <w:t>la conectividad ecológica</w:t>
      </w:r>
      <w:r w:rsidRPr="00EA66E5">
        <w:rPr>
          <w:color w:val="000000" w:themeColor="text1"/>
        </w:rPr>
        <w:t xml:space="preserve">, el diseño de corredores basados en el clima y otras medidas eficaces de conservación basadas en áreas. Otras esferas importantes que hay que cubrir son el apoyo legislativo e institucional para la coordinación de las áreas de conservación transfronterizas y para la designación y protección de corredores de fauna y flora silvestres; </w:t>
      </w:r>
    </w:p>
    <w:p w14:paraId="56339FA5" w14:textId="77777777" w:rsidR="343F115F" w:rsidRPr="00EA66E5" w:rsidRDefault="001A2F00" w:rsidP="00E32BCE">
      <w:pPr>
        <w:pStyle w:val="CBDNormalNumber"/>
        <w:numPr>
          <w:ilvl w:val="1"/>
          <w:numId w:val="9"/>
        </w:numPr>
        <w:rPr>
          <w:color w:val="000000" w:themeColor="text1"/>
        </w:rPr>
      </w:pPr>
      <w:r w:rsidRPr="00EA66E5">
        <w:rPr>
          <w:color w:val="000000" w:themeColor="text1"/>
        </w:rPr>
        <w:t xml:space="preserve">Fortaleciendo los sistemas de seguimiento y evaluación de ecosistemas terrestres, de aguas continentales, costeros y marinos; así como facilitando la utilización de nuevas técnicas para captar mejor </w:t>
      </w:r>
      <w:r w:rsidRPr="00EA66E5">
        <w:t>la eficacia de la gestión</w:t>
      </w:r>
      <w:r w:rsidRPr="00EA66E5">
        <w:rPr>
          <w:color w:val="000000" w:themeColor="text1"/>
        </w:rPr>
        <w:t>, la calidad de la gobernanza, los resultados socioeconómicos, las consideraciones de equidad y los resultados en materia de diversidad biológica;</w:t>
      </w:r>
    </w:p>
    <w:p w14:paraId="158065FE" w14:textId="77777777" w:rsidR="00C90371" w:rsidRPr="00EA66E5" w:rsidRDefault="001A2F00" w:rsidP="00E32BCE">
      <w:pPr>
        <w:pStyle w:val="CBDNormalNumber"/>
        <w:numPr>
          <w:ilvl w:val="1"/>
          <w:numId w:val="9"/>
        </w:numPr>
        <w:rPr>
          <w:color w:val="000000" w:themeColor="text1"/>
        </w:rPr>
      </w:pPr>
      <w:r w:rsidRPr="00EA66E5">
        <w:rPr>
          <w:color w:val="000000" w:themeColor="text1"/>
        </w:rPr>
        <w:t>Reforzando la labor de creación de capacidad, por ejemplo, en lo que respecta a nuevas tecnologías, la capacidad institucional y la profesionalización de la mano de obra que trabaja en la conservación;</w:t>
      </w:r>
    </w:p>
    <w:p w14:paraId="79D58E12" w14:textId="77777777" w:rsidR="00FF6BB5" w:rsidRPr="00EA66E5" w:rsidRDefault="001A2F00" w:rsidP="00E32BCE">
      <w:pPr>
        <w:pStyle w:val="CBDNormalNumber"/>
        <w:numPr>
          <w:ilvl w:val="1"/>
          <w:numId w:val="9"/>
        </w:numPr>
        <w:rPr>
          <w:color w:val="000000" w:themeColor="text1"/>
        </w:rPr>
      </w:pPr>
      <w:r w:rsidRPr="00EA66E5">
        <w:rPr>
          <w:color w:val="000000" w:themeColor="text1"/>
        </w:rPr>
        <w:t>Aumentando el apoyo para identificar y movilizar fuentes de financiación, aplicar enfoques financieros sostenibles y promover la utilización de mecanismos financieros innovadores;</w:t>
      </w:r>
    </w:p>
    <w:p w14:paraId="10B84FB7" w14:textId="77777777" w:rsidR="00C90371" w:rsidRPr="00EA66E5" w:rsidRDefault="00FF6BB5" w:rsidP="00E32BCE">
      <w:pPr>
        <w:pStyle w:val="CBDNormalNumber"/>
        <w:numPr>
          <w:ilvl w:val="1"/>
          <w:numId w:val="9"/>
        </w:numPr>
        <w:rPr>
          <w:color w:val="000000" w:themeColor="text1"/>
        </w:rPr>
      </w:pPr>
      <w:r w:rsidRPr="00EA66E5">
        <w:rPr>
          <w:color w:val="000000" w:themeColor="text1"/>
        </w:rPr>
        <w:t xml:space="preserve">Promoviendo la financiación directa y accesible para pueblos indígenas y comunidades locales. </w:t>
      </w:r>
    </w:p>
    <w:p w14:paraId="09D6C6AC" w14:textId="77777777" w:rsidR="00CA4809" w:rsidRPr="00EA66E5" w:rsidRDefault="00960122" w:rsidP="00E32BCE">
      <w:pPr>
        <w:pStyle w:val="CBDNormalNumber"/>
        <w:keepNext/>
        <w:rPr>
          <w:color w:val="000000" w:themeColor="text1"/>
        </w:rPr>
      </w:pPr>
      <w:r w:rsidRPr="00EA66E5">
        <w:rPr>
          <w:color w:val="000000" w:themeColor="text1"/>
        </w:rPr>
        <w:t xml:space="preserve">Otras esferas prioritarias </w:t>
      </w:r>
      <w:r w:rsidRPr="00EA66E5">
        <w:t>podrían</w:t>
      </w:r>
      <w:r w:rsidRPr="00EA66E5">
        <w:rPr>
          <w:color w:val="000000" w:themeColor="text1"/>
        </w:rPr>
        <w:t xml:space="preserve"> ser el fortalecimiento de la orientación relativa a las metas del Marco que actualmente solo se abordan parcialmente o no se abordan explícitamente, por ejemplo:</w:t>
      </w:r>
    </w:p>
    <w:p w14:paraId="0F9067E3" w14:textId="403210E0" w:rsidR="001F69F5" w:rsidRPr="00EA66E5" w:rsidRDefault="00BB311F" w:rsidP="00E32BCE">
      <w:pPr>
        <w:pStyle w:val="CBDNormalNumber"/>
        <w:numPr>
          <w:ilvl w:val="1"/>
          <w:numId w:val="9"/>
        </w:numPr>
        <w:rPr>
          <w:color w:val="000000" w:themeColor="text1"/>
        </w:rPr>
      </w:pPr>
      <w:r w:rsidRPr="00EA66E5">
        <w:rPr>
          <w:color w:val="000000" w:themeColor="text1"/>
        </w:rPr>
        <w:t xml:space="preserve">Reforzando la integración de consideraciones relativas al cambio climático en la planificación y la gestión (meta 8 del Marco), mediante el diseño de áreas protegidas </w:t>
      </w:r>
      <w:r w:rsidR="00142001">
        <w:rPr>
          <w:color w:val="000000" w:themeColor="text1"/>
        </w:rPr>
        <w:t>fundamentado</w:t>
      </w:r>
      <w:r w:rsidRPr="00EA66E5">
        <w:rPr>
          <w:color w:val="000000" w:themeColor="text1"/>
        </w:rPr>
        <w:t xml:space="preserve"> en el clima, soluciones basadas en la naturaleza y planteamientos basados en los ecosistemas para enfocar la mitigación, la adaptación y la reducción del riesgo de desastres;</w:t>
      </w:r>
    </w:p>
    <w:p w14:paraId="31EE3A2B" w14:textId="77777777" w:rsidR="00CA4809" w:rsidRPr="00EA66E5" w:rsidRDefault="000133B9" w:rsidP="00E32BCE">
      <w:pPr>
        <w:pStyle w:val="CBDNormalNumber"/>
        <w:numPr>
          <w:ilvl w:val="1"/>
          <w:numId w:val="9"/>
        </w:numPr>
        <w:rPr>
          <w:color w:val="000000" w:themeColor="text1"/>
        </w:rPr>
      </w:pPr>
      <w:r w:rsidRPr="00EA66E5">
        <w:rPr>
          <w:color w:val="000000" w:themeColor="text1"/>
        </w:rPr>
        <w:t>Aumentando las contribuciones a la diversidad biológica urbana (meta 12 del Marco), mediante el fortalecimiento del papel de las áreas protegidas y conservadas en contextos urbanos y periurbanos, la promoción de la conectividad ecológica y el reconocimiento de sus contribuciones a la salud y el bienestar humanos;</w:t>
      </w:r>
    </w:p>
    <w:p w14:paraId="1B3A6122" w14:textId="77777777" w:rsidR="00C90371" w:rsidRPr="00EA66E5" w:rsidRDefault="000133B9" w:rsidP="00E32BCE">
      <w:pPr>
        <w:pStyle w:val="CBDNormalNumber"/>
        <w:numPr>
          <w:ilvl w:val="1"/>
          <w:numId w:val="9"/>
        </w:numPr>
        <w:rPr>
          <w:color w:val="000000" w:themeColor="text1"/>
        </w:rPr>
      </w:pPr>
      <w:r w:rsidRPr="00EA66E5">
        <w:rPr>
          <w:color w:val="000000" w:themeColor="text1"/>
        </w:rPr>
        <w:lastRenderedPageBreak/>
        <w:t xml:space="preserve">Fortaleciendo la intervención del sector privado en el cumplimiento de las metas del Marco relacionadas con el consumo (en particular la meta 16) mediante la promoción de pautas de consumo más sostenibles que preserven las áreas protegidas y conservadas; </w:t>
      </w:r>
    </w:p>
    <w:p w14:paraId="29AD2334" w14:textId="77777777" w:rsidR="008A1CF1" w:rsidRPr="00EA66E5" w:rsidRDefault="00C06E9A" w:rsidP="00E32BCE">
      <w:pPr>
        <w:pStyle w:val="CBDNormalNumber"/>
        <w:numPr>
          <w:ilvl w:val="1"/>
          <w:numId w:val="9"/>
        </w:numPr>
        <w:rPr>
          <w:color w:val="000000" w:themeColor="text1"/>
        </w:rPr>
      </w:pPr>
      <w:r w:rsidRPr="00EA66E5">
        <w:rPr>
          <w:color w:val="000000" w:themeColor="text1"/>
        </w:rPr>
        <w:t xml:space="preserve">Ampliando la orientación relativa a la restauración, las especies exóticas invasoras y la contaminación (metas 2, 6, 7 y 10 del Marco), </w:t>
      </w:r>
      <w:r w:rsidRPr="00EA66E5">
        <w:t xml:space="preserve">mediante la integración de </w:t>
      </w:r>
      <w:r w:rsidRPr="00EA66E5">
        <w:rPr>
          <w:color w:val="000000" w:themeColor="text1"/>
        </w:rPr>
        <w:t>tales consideraciones en la planificación, la ordenación y la evaluación de áreas protegidas y conservadas;</w:t>
      </w:r>
    </w:p>
    <w:p w14:paraId="722C5129" w14:textId="77777777" w:rsidR="00CA4809" w:rsidRPr="00EA66E5" w:rsidRDefault="00C06E9A" w:rsidP="00E32BCE">
      <w:pPr>
        <w:pStyle w:val="CBDNormalNumber"/>
        <w:numPr>
          <w:ilvl w:val="1"/>
          <w:numId w:val="9"/>
        </w:numPr>
        <w:rPr>
          <w:color w:val="000000" w:themeColor="text1"/>
        </w:rPr>
      </w:pPr>
      <w:r w:rsidRPr="00EA66E5">
        <w:rPr>
          <w:color w:val="000000" w:themeColor="text1"/>
        </w:rPr>
        <w:t>Mejorando la integración en dimensiones socioeconómicas más amplias (metas 14, 15 y 23 del Marco), mediante el fortalecimiento de la gobernanza inclusiva y equitativa y la promoción de enfoques que tengan en cuenta las cuestiones de género;</w:t>
      </w:r>
    </w:p>
    <w:p w14:paraId="293298D8" w14:textId="77777777" w:rsidR="00735488" w:rsidRPr="00EA66E5" w:rsidRDefault="00C06E9A" w:rsidP="00E32BCE">
      <w:pPr>
        <w:pStyle w:val="CBDNormalNumber"/>
        <w:numPr>
          <w:ilvl w:val="1"/>
          <w:numId w:val="9"/>
        </w:numPr>
        <w:rPr>
          <w:color w:val="000000" w:themeColor="text1"/>
        </w:rPr>
      </w:pPr>
      <w:r w:rsidRPr="00EA66E5">
        <w:rPr>
          <w:color w:val="000000" w:themeColor="text1"/>
        </w:rPr>
        <w:t>Fortaleciendo las capacidades de seguimiento, gestión de los conocimientos y presentación de informes (meta 21 del Marco), mediante la mejora de la recopilación de datos, la utilización de indicadores, la presentación de informes sobre consideraciones de gobernanza y equidad, y la aplicación de nuevas tecnologías y plataformas de intercambio de conocimientos.</w:t>
      </w:r>
    </w:p>
    <w:p w14:paraId="151E4F31" w14:textId="77777777" w:rsidR="00492B2D" w:rsidRPr="00EA66E5" w:rsidRDefault="00735488" w:rsidP="00E32BCE">
      <w:pPr>
        <w:pStyle w:val="CBDNormalNumber"/>
      </w:pPr>
      <w:r w:rsidRPr="00EA66E5">
        <w:t>Ese enfoque contribuiría a una armonización más centrada del programa de trabajo con el Marco, teniendo en cuenta el plazo hasta 2030 para el cumplimiento de las metas, y podría ayudar a las Partes y a la Secretaría a establecer prioridades y organizar la labor de manera coherente y eficiente.</w:t>
      </w:r>
    </w:p>
    <w:p w14:paraId="46D0D188" w14:textId="738B5AD3" w:rsidR="00FA07FD" w:rsidRPr="00EA66E5" w:rsidRDefault="00FC26AA" w:rsidP="00F324F1">
      <w:pPr>
        <w:pStyle w:val="CBDH1"/>
        <w:spacing w:before="0" w:after="0"/>
        <w:rPr>
          <w:bCs/>
          <w:color w:val="000000" w:themeColor="text1"/>
        </w:rPr>
      </w:pPr>
      <w:r w:rsidRPr="00EA66E5">
        <w:rPr>
          <w:color w:val="000000" w:themeColor="text1"/>
          <w:sz w:val="24"/>
        </w:rPr>
        <w:t>V.</w:t>
      </w:r>
      <w:r w:rsidRPr="00EA66E5">
        <w:rPr>
          <w:color w:val="000000" w:themeColor="text1"/>
          <w:sz w:val="24"/>
        </w:rPr>
        <w:tab/>
        <w:t>Actividades realizadas por la Secretaría en apoyo de la meta 3 del Marco Mundial de Biodiversidad de Kunming-Montreal</w:t>
      </w:r>
    </w:p>
    <w:p w14:paraId="54033A3A" w14:textId="5C84B595" w:rsidR="007F6D9F" w:rsidRPr="00EA66E5" w:rsidRDefault="00811D14" w:rsidP="00E32BCE">
      <w:pPr>
        <w:pStyle w:val="CBDNormalNumber"/>
        <w:rPr>
          <w:color w:val="000000" w:themeColor="text1"/>
        </w:rPr>
      </w:pPr>
      <w:r w:rsidRPr="00EA66E5">
        <w:rPr>
          <w:color w:val="000000" w:themeColor="text1"/>
        </w:rPr>
        <w:t xml:space="preserve">Desde la adopción del Marco, la Secretaría ha apoyado a las Partes a través de una serie de actividades encaminadas a alcanzar la meta 3 del Marco y aplicar el </w:t>
      </w:r>
      <w:r w:rsidR="00736AD0">
        <w:rPr>
          <w:color w:val="000000" w:themeColor="text1"/>
        </w:rPr>
        <w:t>programa de trabajo sobre áreas protegidas</w:t>
      </w:r>
      <w:r w:rsidRPr="00EA66E5">
        <w:rPr>
          <w:color w:val="000000" w:themeColor="text1"/>
        </w:rPr>
        <w:t>, por ejemplo:</w:t>
      </w:r>
    </w:p>
    <w:p w14:paraId="1ADDAB86" w14:textId="59018BB0" w:rsidR="00197BDC" w:rsidRPr="00EA66E5" w:rsidRDefault="00992069" w:rsidP="00E32BCE">
      <w:pPr>
        <w:pStyle w:val="CBDNormalNumber"/>
        <w:numPr>
          <w:ilvl w:val="1"/>
          <w:numId w:val="9"/>
        </w:numPr>
        <w:rPr>
          <w:color w:val="000000" w:themeColor="text1"/>
        </w:rPr>
      </w:pPr>
      <w:r w:rsidRPr="00EA66E5">
        <w:rPr>
          <w:color w:val="000000" w:themeColor="text1"/>
        </w:rPr>
        <w:t xml:space="preserve">Implementar la Iniciativa de Diálogo sobre Paz y Biodiversidad, para ayudar a las Partes a cumplir el objetivo 1.3 del </w:t>
      </w:r>
      <w:r w:rsidR="00736AD0">
        <w:rPr>
          <w:color w:val="000000" w:themeColor="text1"/>
        </w:rPr>
        <w:t>programa de trabajo sobre áreas protegidas</w:t>
      </w:r>
      <w:r w:rsidRPr="00EA66E5">
        <w:rPr>
          <w:color w:val="000000" w:themeColor="text1"/>
        </w:rPr>
        <w:t>, es decir, a establecer y fortalecer redes regionales, áreas protegidas transfronterizas y colaboración entre áreas protegidas vecinas a través de las fronteras nacionales. Mediante la Iniciativa, la Secretaría ha ayudado a las Partes a mejorar la conectividad ecológica, fortalecer las alianzas y crear capacidad para la conservación transfronteriza</w:t>
      </w:r>
      <w:r w:rsidR="00197BDC" w:rsidRPr="00EA66E5">
        <w:rPr>
          <w:rStyle w:val="FootnoteReference"/>
          <w:color w:val="000000" w:themeColor="text1"/>
        </w:rPr>
        <w:footnoteReference w:id="9"/>
      </w:r>
      <w:r w:rsidRPr="00EA66E5">
        <w:rPr>
          <w:color w:val="000000" w:themeColor="text1"/>
        </w:rPr>
        <w:t xml:space="preserve">; </w:t>
      </w:r>
    </w:p>
    <w:p w14:paraId="4509EF19" w14:textId="77777777" w:rsidR="00FE69B0" w:rsidRPr="00EA66E5" w:rsidRDefault="002A01E5" w:rsidP="00E32BCE">
      <w:pPr>
        <w:pStyle w:val="CBDNormalNumber"/>
        <w:numPr>
          <w:ilvl w:val="1"/>
          <w:numId w:val="9"/>
        </w:numPr>
        <w:rPr>
          <w:color w:val="000000" w:themeColor="text1"/>
        </w:rPr>
      </w:pPr>
      <w:r w:rsidRPr="00EA66E5">
        <w:rPr>
          <w:color w:val="000000" w:themeColor="text1"/>
        </w:rPr>
        <w:t>Aprovechar la experiencia de la Alianza para el Logro de la Meta 11 de Aichi para la Diversidad Biológica y, en colaboración con la Comisión Mundial de Áreas Protegidas de la Unión Internacional para la Conservación de la Naturaleza, prestar apoyo a la Comunidad de Práctica de la Meta 3, que proporciona una plataforma para la coordinación, el intercambio de conocimientos y la creación de capacidad en apoyo de las Partes</w:t>
      </w:r>
      <w:r w:rsidRPr="00EA66E5">
        <w:rPr>
          <w:rStyle w:val="FootnoteReference"/>
          <w:color w:val="000000" w:themeColor="text1"/>
        </w:rPr>
        <w:footnoteReference w:id="10"/>
      </w:r>
      <w:r w:rsidRPr="00EA66E5">
        <w:rPr>
          <w:color w:val="000000" w:themeColor="text1"/>
        </w:rPr>
        <w:t>;</w:t>
      </w:r>
    </w:p>
    <w:p w14:paraId="29266D7F" w14:textId="77777777" w:rsidR="0074062C" w:rsidRPr="00EA66E5" w:rsidRDefault="00FB59D7" w:rsidP="00E32BCE">
      <w:pPr>
        <w:pStyle w:val="CBDNormalNumber"/>
        <w:numPr>
          <w:ilvl w:val="1"/>
          <w:numId w:val="9"/>
        </w:numPr>
        <w:rPr>
          <w:color w:val="000000" w:themeColor="text1"/>
        </w:rPr>
      </w:pPr>
      <w:r w:rsidRPr="00EA66E5">
        <w:rPr>
          <w:color w:val="000000" w:themeColor="text1"/>
        </w:rPr>
        <w:t>Llevar a cabo siete talleres regionales y subregionales de creación de capacidad específicamente dedicados a la meta 3 del Marco</w:t>
      </w:r>
      <w:r w:rsidR="0074062C" w:rsidRPr="00EA66E5">
        <w:rPr>
          <w:rStyle w:val="FootnoteReference"/>
          <w:color w:val="000000" w:themeColor="text1"/>
        </w:rPr>
        <w:footnoteReference w:id="11"/>
      </w:r>
      <w:r w:rsidRPr="00EA66E5">
        <w:rPr>
          <w:color w:val="000000" w:themeColor="text1"/>
        </w:rPr>
        <w:t>, en colaboración con la Coalición de Alta Ambición por la Naturaleza y las Personas, la Comisión Mundial de Áreas Protegidas, NatureXPairs y la</w:t>
      </w:r>
      <w:r w:rsidRPr="00EA66E5">
        <w:rPr>
          <w:rFonts w:ascii="Arial" w:hAnsi="Arial"/>
          <w:color w:val="3A3A3A"/>
          <w:shd w:val="clear" w:color="auto" w:fill="F5F5FE"/>
        </w:rPr>
        <w:t xml:space="preserve"> </w:t>
      </w:r>
      <w:r w:rsidRPr="00EA66E5">
        <w:t>Office français de la biodiversité</w:t>
      </w:r>
      <w:r w:rsidR="00FD5B09" w:rsidRPr="00EA66E5">
        <w:rPr>
          <w:rStyle w:val="FootnoteReference"/>
          <w:color w:val="000000" w:themeColor="text1"/>
        </w:rPr>
        <w:footnoteReference w:id="12"/>
      </w:r>
      <w:r w:rsidRPr="00EA66E5">
        <w:rPr>
          <w:color w:val="000000" w:themeColor="text1"/>
        </w:rPr>
        <w:t xml:space="preserve">, que incluyeron debates sobre </w:t>
      </w:r>
      <w:r w:rsidRPr="00EA66E5">
        <w:rPr>
          <w:color w:val="000000" w:themeColor="text1"/>
        </w:rPr>
        <w:lastRenderedPageBreak/>
        <w:t>elementos cuantitativos y cualitativos, la detección de deficiencias y dificultades y la preparación de medidas prioritarias;</w:t>
      </w:r>
    </w:p>
    <w:p w14:paraId="42436BB1" w14:textId="77777777" w:rsidR="009C2072" w:rsidRPr="00EA66E5" w:rsidRDefault="00256A61" w:rsidP="00E32BCE">
      <w:pPr>
        <w:pStyle w:val="CBDNormalNumber"/>
        <w:numPr>
          <w:ilvl w:val="1"/>
          <w:numId w:val="9"/>
        </w:numPr>
        <w:rPr>
          <w:color w:val="000000" w:themeColor="text1"/>
        </w:rPr>
      </w:pPr>
      <w:r w:rsidRPr="00EA66E5">
        <w:rPr>
          <w:color w:val="000000" w:themeColor="text1"/>
        </w:rPr>
        <w:t>Lanzar una iniciativa experimental para elaborar tres hojas de ruta subregionales, en colaboración con centros de apoyo a la cooperación técnica y científica</w:t>
      </w:r>
      <w:r w:rsidR="009C2072" w:rsidRPr="00EA66E5">
        <w:rPr>
          <w:rStyle w:val="FootnoteReference"/>
          <w:color w:val="000000" w:themeColor="text1"/>
        </w:rPr>
        <w:footnoteReference w:id="13"/>
      </w:r>
      <w:r w:rsidRPr="00EA66E5">
        <w:rPr>
          <w:color w:val="000000" w:themeColor="text1"/>
        </w:rPr>
        <w:t xml:space="preserve">. </w:t>
      </w:r>
    </w:p>
    <w:p w14:paraId="2F8734E0" w14:textId="77777777" w:rsidR="00256885" w:rsidRPr="00EA66E5" w:rsidRDefault="007F1D38" w:rsidP="00E32BCE">
      <w:pPr>
        <w:pStyle w:val="CBDNormalNumber"/>
        <w:rPr>
          <w:color w:val="000000" w:themeColor="text1"/>
        </w:rPr>
      </w:pPr>
      <w:r w:rsidRPr="00EA66E5">
        <w:rPr>
          <w:color w:val="000000" w:themeColor="text1"/>
        </w:rPr>
        <w:t xml:space="preserve">La Secretaría también promueve la coherencia y la coordinación entre los acuerdos ambientales multilaterales, procesos internacionales y marcos pertinentes. Los remitentes de las comunicaciones recalcaron la importancia de fortalecer las sinergias con </w:t>
      </w:r>
      <w:r w:rsidRPr="00EA66E5">
        <w:t>los procesos</w:t>
      </w:r>
      <w:r w:rsidRPr="00EA66E5">
        <w:rPr>
          <w:color w:val="000000" w:themeColor="text1"/>
        </w:rPr>
        <w:t xml:space="preserve"> que se llevan a cabo en el marco de la Convención de las Naciones Unidas sobre el Derecho del Mar, entre ellos el del Acuerdo en el marco de la Convención de las Naciones Unidas sobre el Derecho del Mar relativo a la Conservación y el Uso Sostenible de la Diversidad Biológica Marina de las Zonas Situadas Fuera de la Jurisdicción Nacional</w:t>
      </w:r>
      <w:r w:rsidR="00212AAC" w:rsidRPr="00EA66E5">
        <w:rPr>
          <w:rStyle w:val="FootnoteReference"/>
          <w:color w:val="000000" w:themeColor="text1"/>
        </w:rPr>
        <w:footnoteReference w:id="14"/>
      </w:r>
      <w:r w:rsidRPr="00EA66E5">
        <w:rPr>
          <w:color w:val="000000" w:themeColor="text1"/>
        </w:rPr>
        <w:t xml:space="preserve">. </w:t>
      </w:r>
    </w:p>
    <w:p w14:paraId="71044B77" w14:textId="77777777" w:rsidR="00434CED" w:rsidRPr="00EA66E5" w:rsidRDefault="00256885" w:rsidP="00E32BCE">
      <w:pPr>
        <w:pStyle w:val="CBDNormalNumber"/>
        <w:rPr>
          <w:color w:val="000000" w:themeColor="text1"/>
        </w:rPr>
      </w:pPr>
      <w:r w:rsidRPr="00EA66E5">
        <w:rPr>
          <w:color w:val="000000" w:themeColor="text1"/>
        </w:rPr>
        <w:t xml:space="preserve">Además, muchos de </w:t>
      </w:r>
      <w:r w:rsidRPr="00EA66E5">
        <w:t xml:space="preserve">los </w:t>
      </w:r>
      <w:r w:rsidRPr="00EA66E5">
        <w:rPr>
          <w:color w:val="000000" w:themeColor="text1"/>
        </w:rPr>
        <w:t xml:space="preserve">remitentes pidieron coherencia y coordinación con las otras convenciones de Río y otros acuerdos relacionados con la diversidad biológica, como los relacionados con los humedales, las especies migratorias y el comercio de flora y fauna silvestres, con el fin de mejorar la complementariedad y evitar la duplicación de esfuerzos. </w:t>
      </w:r>
    </w:p>
    <w:p w14:paraId="4CD0091E" w14:textId="35E8D556" w:rsidR="0064760C" w:rsidRPr="00EA66E5" w:rsidRDefault="007F1D38" w:rsidP="00E32BCE">
      <w:pPr>
        <w:pStyle w:val="CBDNormalNumber"/>
        <w:rPr>
          <w:color w:val="000000" w:themeColor="text1"/>
        </w:rPr>
      </w:pPr>
      <w:r w:rsidRPr="00EA66E5">
        <w:rPr>
          <w:color w:val="000000" w:themeColor="text1"/>
        </w:rPr>
        <w:t xml:space="preserve">Una cooperación reforzada en este sentido puede apoyar enfoques más integrados de la </w:t>
      </w:r>
      <w:r w:rsidR="00E319C9">
        <w:rPr>
          <w:color w:val="000000" w:themeColor="text1"/>
        </w:rPr>
        <w:t>implementación</w:t>
      </w:r>
      <w:r w:rsidRPr="00EA66E5">
        <w:rPr>
          <w:color w:val="000000" w:themeColor="text1"/>
        </w:rPr>
        <w:t xml:space="preserve"> del </w:t>
      </w:r>
      <w:r w:rsidRPr="00EA66E5">
        <w:t>Marco</w:t>
      </w:r>
      <w:r w:rsidRPr="00EA66E5">
        <w:rPr>
          <w:color w:val="000000" w:themeColor="text1"/>
        </w:rPr>
        <w:t>, por ejemplo, mediante una mejor armonización de los procesos de planificación, seguimiento, presentación de informes y revisión, y mediante actividades coordinadas de creación de capacidad, intercambio de conocimientos y apoyo técnico.</w:t>
      </w:r>
      <w:bookmarkStart w:id="2" w:name="_Hlk205224374"/>
    </w:p>
    <w:p w14:paraId="63FAAB86" w14:textId="77777777" w:rsidR="00BA0C62" w:rsidRPr="00EA66E5" w:rsidRDefault="00992069" w:rsidP="00E32BCE">
      <w:pPr>
        <w:pStyle w:val="CBDNormalNumber"/>
        <w:spacing w:before="100" w:beforeAutospacing="1" w:after="100" w:afterAutospacing="1"/>
        <w:rPr>
          <w:color w:val="000000" w:themeColor="text1"/>
        </w:rPr>
      </w:pPr>
      <w:r w:rsidRPr="00EA66E5">
        <w:rPr>
          <w:color w:val="000000" w:themeColor="text1"/>
        </w:rPr>
        <w:t>A este respecto, la Secretaría colabora con la Global Partnership on Ecological Connectivity, la cual, tras su lanzamiento en la 14ª reunión de la Conferencia de las Partes en la Convención sobre la Conservación de las Especies Migratorias de Animales Silvestres, proporciona una plataforma de colaboración para apoyar la ampliación de la conectividad ecológica mediante el intercambio de conocimientos, el apoyo técnico y normativo y la coordinación de las acciones sobre el terreno.</w:t>
      </w:r>
    </w:p>
    <w:bookmarkEnd w:id="2"/>
    <w:p w14:paraId="2293158A" w14:textId="77777777" w:rsidR="00270588" w:rsidRPr="00EA66E5" w:rsidRDefault="00066A5B" w:rsidP="006A7E3D">
      <w:pPr>
        <w:pStyle w:val="CBDH1"/>
      </w:pPr>
      <w:r w:rsidRPr="00EA66E5">
        <w:t>VI.</w:t>
      </w:r>
      <w:r w:rsidRPr="00EA66E5">
        <w:tab/>
        <w:t>Recomendación</w:t>
      </w:r>
    </w:p>
    <w:p w14:paraId="7FAE0B26" w14:textId="77777777" w:rsidR="00F950E9" w:rsidRPr="00EA66E5" w:rsidRDefault="00F950E9" w:rsidP="00E32BCE">
      <w:pPr>
        <w:pStyle w:val="CBDNormalNumber"/>
        <w:keepNext/>
        <w:rPr>
          <w:color w:val="000000" w:themeColor="text1"/>
        </w:rPr>
      </w:pPr>
      <w:r w:rsidRPr="00EA66E5">
        <w:t>El Órgano Subsidiario de Asesoramiento Científico, Técnico y Tecnológico podría estimar oportuno recomendar que la Conferencia de las Partes tome una decisión</w:t>
      </w:r>
      <w:r w:rsidR="005C0FF4" w:rsidRPr="00EA66E5">
        <w:rPr>
          <w:rStyle w:val="FootnoteReference"/>
          <w:color w:val="000000" w:themeColor="text1"/>
        </w:rPr>
        <w:footnoteReference w:id="15"/>
      </w:r>
      <w:r w:rsidRPr="00EA66E5">
        <w:t xml:space="preserve"> del siguiente tenor en su 17ª reunión:</w:t>
      </w:r>
    </w:p>
    <w:p w14:paraId="52EE9D9A" w14:textId="77777777" w:rsidR="00F950E9" w:rsidRPr="00EA66E5" w:rsidRDefault="002B67A6" w:rsidP="00D83DB8">
      <w:pPr>
        <w:pStyle w:val="CBDNormalNumber"/>
        <w:keepNext/>
        <w:numPr>
          <w:ilvl w:val="0"/>
          <w:numId w:val="0"/>
        </w:numPr>
        <w:tabs>
          <w:tab w:val="clear" w:pos="567"/>
        </w:tabs>
        <w:ind w:left="1134"/>
        <w:rPr>
          <w:i/>
          <w:iCs/>
          <w:color w:val="000000" w:themeColor="text1"/>
        </w:rPr>
      </w:pPr>
      <w:r w:rsidRPr="00EA66E5">
        <w:rPr>
          <w:i/>
          <w:color w:val="000000" w:themeColor="text1"/>
        </w:rPr>
        <w:tab/>
        <w:t>La Conferencia de las Partes,</w:t>
      </w:r>
    </w:p>
    <w:p w14:paraId="2720ECE5" w14:textId="77777777" w:rsidR="00C617DE" w:rsidRPr="00EA66E5" w:rsidRDefault="00C617DE" w:rsidP="00D83DB8">
      <w:pPr>
        <w:pStyle w:val="CBDNormalNumber"/>
        <w:numPr>
          <w:ilvl w:val="0"/>
          <w:numId w:val="0"/>
        </w:numPr>
        <w:tabs>
          <w:tab w:val="clear" w:pos="567"/>
          <w:tab w:val="clear" w:pos="1134"/>
        </w:tabs>
        <w:ind w:left="1134" w:firstLine="567"/>
        <w:rPr>
          <w:color w:val="000000" w:themeColor="text1"/>
        </w:rPr>
      </w:pPr>
      <w:r w:rsidRPr="00EA66E5">
        <w:rPr>
          <w:i/>
          <w:color w:val="000000" w:themeColor="text1"/>
        </w:rPr>
        <w:t>Recordando</w:t>
      </w:r>
      <w:r w:rsidRPr="00EA66E5">
        <w:rPr>
          <w:color w:val="000000" w:themeColor="text1"/>
        </w:rPr>
        <w:t xml:space="preserve"> sus decisiones </w:t>
      </w:r>
      <w:hyperlink r:id="rId23" w:history="1">
        <w:r w:rsidRPr="00EA66E5">
          <w:rPr>
            <w:rStyle w:val="Hyperlink"/>
          </w:rPr>
          <w:t>VII/28</w:t>
        </w:r>
      </w:hyperlink>
      <w:r w:rsidRPr="00EA66E5">
        <w:rPr>
          <w:color w:val="000000" w:themeColor="text1"/>
        </w:rPr>
        <w:t xml:space="preserve"> de 20 de febrero de 2004,</w:t>
      </w:r>
      <w:hyperlink r:id="rId24" w:history="1">
        <w:r w:rsidRPr="00EA66E5">
          <w:rPr>
            <w:rStyle w:val="Hyperlink"/>
            <w:color w:val="000000" w:themeColor="text1"/>
          </w:rPr>
          <w:t xml:space="preserve"> </w:t>
        </w:r>
        <w:r w:rsidRPr="00EA66E5">
          <w:rPr>
            <w:rStyle w:val="Hyperlink"/>
          </w:rPr>
          <w:t>VIII/24</w:t>
        </w:r>
      </w:hyperlink>
      <w:r w:rsidRPr="00EA66E5">
        <w:rPr>
          <w:color w:val="000000" w:themeColor="text1"/>
        </w:rPr>
        <w:t xml:space="preserve"> de 31 de marzo de 2006, </w:t>
      </w:r>
      <w:hyperlink r:id="rId25" w:history="1">
        <w:r w:rsidRPr="00EA66E5">
          <w:rPr>
            <w:rStyle w:val="Hyperlink"/>
          </w:rPr>
          <w:t>IX/18</w:t>
        </w:r>
      </w:hyperlink>
      <w:r w:rsidRPr="00EA66E5">
        <w:rPr>
          <w:color w:val="000000" w:themeColor="text1"/>
        </w:rPr>
        <w:t xml:space="preserve"> de 30 de mayo de 2008, </w:t>
      </w:r>
      <w:hyperlink r:id="rId26" w:history="1">
        <w:r w:rsidRPr="00EA66E5">
          <w:rPr>
            <w:rStyle w:val="Hyperlink"/>
          </w:rPr>
          <w:t>X/31</w:t>
        </w:r>
      </w:hyperlink>
      <w:r w:rsidRPr="00EA66E5">
        <w:rPr>
          <w:color w:val="000000" w:themeColor="text1"/>
        </w:rPr>
        <w:t xml:space="preserve"> de 29 de octubre de 2010, </w:t>
      </w:r>
      <w:hyperlink r:id="rId27" w:history="1">
        <w:r w:rsidRPr="00EA66E5">
          <w:rPr>
            <w:rStyle w:val="Hyperlink"/>
          </w:rPr>
          <w:t>14/8</w:t>
        </w:r>
      </w:hyperlink>
      <w:r w:rsidRPr="00EA66E5">
        <w:rPr>
          <w:color w:val="000000" w:themeColor="text1"/>
        </w:rPr>
        <w:t xml:space="preserve"> de 29 de noviembre de 2018 y </w:t>
      </w:r>
      <w:hyperlink r:id="rId28" w:history="1">
        <w:r w:rsidRPr="00EA66E5">
          <w:rPr>
            <w:rStyle w:val="Hyperlink"/>
          </w:rPr>
          <w:t>16/12</w:t>
        </w:r>
      </w:hyperlink>
      <w:r w:rsidRPr="00EA66E5">
        <w:rPr>
          <w:color w:val="000000" w:themeColor="text1"/>
        </w:rPr>
        <w:t xml:space="preserve"> de 1 de noviembre de 2024, </w:t>
      </w:r>
    </w:p>
    <w:p w14:paraId="352CDFC3" w14:textId="2DE78DDF" w:rsidR="00BC2A97" w:rsidRPr="00EA66E5" w:rsidRDefault="00EF0E33" w:rsidP="00D83DB8">
      <w:pPr>
        <w:pStyle w:val="CBDNormalNoNumber"/>
        <w:tabs>
          <w:tab w:val="clear" w:pos="567"/>
          <w:tab w:val="clear" w:pos="1134"/>
        </w:tabs>
        <w:ind w:left="1134" w:firstLine="567"/>
        <w:rPr>
          <w:color w:val="000000" w:themeColor="text1"/>
        </w:rPr>
      </w:pPr>
      <w:r w:rsidRPr="00EA66E5">
        <w:rPr>
          <w:i/>
          <w:color w:val="000000" w:themeColor="text1"/>
        </w:rPr>
        <w:t>Reconociendo</w:t>
      </w:r>
      <w:r w:rsidRPr="00EA66E5">
        <w:rPr>
          <w:color w:val="000000" w:themeColor="text1"/>
        </w:rPr>
        <w:t xml:space="preserve"> que el </w:t>
      </w:r>
      <w:r w:rsidR="00736AD0">
        <w:rPr>
          <w:color w:val="000000" w:themeColor="text1"/>
        </w:rPr>
        <w:t>programa de trabajo sobre áreas protegidas</w:t>
      </w:r>
      <w:r w:rsidR="00010457" w:rsidRPr="00EA66E5">
        <w:rPr>
          <w:rStyle w:val="FootnoteReference"/>
          <w:color w:val="000000" w:themeColor="text1"/>
        </w:rPr>
        <w:footnoteReference w:id="16"/>
      </w:r>
      <w:r w:rsidRPr="00EA66E5">
        <w:rPr>
          <w:color w:val="000000" w:themeColor="text1"/>
        </w:rPr>
        <w:t xml:space="preserve"> y las decisiones conexas de la Conferencia de las Partes en el Convenio sobre la Diversidad Biológica</w:t>
      </w:r>
      <w:r w:rsidR="00901A95" w:rsidRPr="00EA66E5">
        <w:rPr>
          <w:rStyle w:val="FootnoteReference"/>
          <w:color w:val="000000" w:themeColor="text1"/>
        </w:rPr>
        <w:footnoteReference w:id="17"/>
      </w:r>
      <w:r w:rsidRPr="00EA66E5">
        <w:rPr>
          <w:color w:val="000000" w:themeColor="text1"/>
        </w:rPr>
        <w:t xml:space="preserve"> siguen </w:t>
      </w:r>
      <w:r w:rsidRPr="00EA66E5">
        <w:rPr>
          <w:color w:val="000000" w:themeColor="text1"/>
        </w:rPr>
        <w:lastRenderedPageBreak/>
        <w:t xml:space="preserve">proporcionando un marco estratégico para la </w:t>
      </w:r>
      <w:r w:rsidR="00E319C9">
        <w:rPr>
          <w:color w:val="000000" w:themeColor="text1"/>
        </w:rPr>
        <w:t>implementación</w:t>
      </w:r>
      <w:r w:rsidRPr="00EA66E5">
        <w:rPr>
          <w:color w:val="000000" w:themeColor="text1"/>
        </w:rPr>
        <w:t xml:space="preserve"> del Marco Mundial de Biodiversidad de Kunming-Montreal</w:t>
      </w:r>
      <w:r w:rsidR="00664AB8" w:rsidRPr="00EA66E5">
        <w:rPr>
          <w:rStyle w:val="FootnoteReference"/>
          <w:color w:val="000000" w:themeColor="text1"/>
        </w:rPr>
        <w:footnoteReference w:id="18"/>
      </w:r>
      <w:r w:rsidRPr="00EA66E5">
        <w:rPr>
          <w:color w:val="000000" w:themeColor="text1"/>
        </w:rPr>
        <w:t>, en especial la meta 3, y observando al mismo tiempo que se necesita orientación complementaria para mejorar la armonización con el Marco y subsanar las deficiencias detectadas,</w:t>
      </w:r>
    </w:p>
    <w:p w14:paraId="15911C20" w14:textId="4EF909DF" w:rsidR="00900B7A" w:rsidRPr="00EA66E5" w:rsidRDefault="00900B7A" w:rsidP="00D83DB8">
      <w:pPr>
        <w:pStyle w:val="CBDNormalNoNumber"/>
        <w:tabs>
          <w:tab w:val="clear" w:pos="567"/>
          <w:tab w:val="clear" w:pos="1134"/>
        </w:tabs>
        <w:ind w:left="1134" w:firstLine="567"/>
      </w:pPr>
      <w:r w:rsidRPr="00EA66E5">
        <w:t>1.</w:t>
      </w:r>
      <w:r w:rsidRPr="00EA66E5">
        <w:tab/>
      </w:r>
      <w:r w:rsidRPr="00EA66E5">
        <w:rPr>
          <w:i/>
        </w:rPr>
        <w:t>Decide</w:t>
      </w:r>
      <w:r w:rsidRPr="00EA66E5">
        <w:t xml:space="preserve"> cambiar el nombre de </w:t>
      </w:r>
      <w:r w:rsidR="00736AD0">
        <w:t>programa de trabajo sobre áreas protegidas</w:t>
      </w:r>
      <w:r w:rsidRPr="00EA66E5">
        <w:t xml:space="preserve"> por </w:t>
      </w:r>
      <w:r w:rsidR="00736AD0">
        <w:t>programa de trabajo sobre áreas protegidas y conservadas</w:t>
      </w:r>
      <w:r w:rsidRPr="00EA66E5">
        <w:t>, con el fin de reflejar el alcance de las “áreas protegidas y conservadas”, que es más amplio, de manera coherente con el Marco, y con el fin de aumentar la claridad y coherencia;</w:t>
      </w:r>
    </w:p>
    <w:p w14:paraId="7AF0BAC2" w14:textId="70F01772" w:rsidR="00166A21" w:rsidRPr="00EA66E5" w:rsidRDefault="00900B7A" w:rsidP="00D83DB8">
      <w:pPr>
        <w:pStyle w:val="CBDNormalNoNumber"/>
        <w:tabs>
          <w:tab w:val="clear" w:pos="567"/>
          <w:tab w:val="clear" w:pos="1134"/>
        </w:tabs>
        <w:ind w:left="1134" w:firstLine="567"/>
      </w:pPr>
      <w:r w:rsidRPr="00EA66E5">
        <w:t>2.</w:t>
      </w:r>
      <w:r w:rsidRPr="00EA66E5">
        <w:rPr>
          <w:i/>
        </w:rPr>
        <w:tab/>
        <w:t>Hace suyas</w:t>
      </w:r>
      <w:r w:rsidRPr="00EA66E5">
        <w:t xml:space="preserve"> las actividades complementarias para ampliar o mejorar la orientación que figura</w:t>
      </w:r>
      <w:r w:rsidR="0062246E">
        <w:t>n</w:t>
      </w:r>
      <w:r w:rsidRPr="00EA66E5">
        <w:t xml:space="preserve"> en el anexo de la presente decisión, como actualización del </w:t>
      </w:r>
      <w:r w:rsidR="00736AD0">
        <w:t>programa de trabajo sobre áreas protegidas y conservadas</w:t>
      </w:r>
      <w:r w:rsidRPr="00EA66E5">
        <w:t xml:space="preserve">, con el fin de apoyar la </w:t>
      </w:r>
      <w:r w:rsidR="00E319C9">
        <w:t>implementación</w:t>
      </w:r>
      <w:r w:rsidRPr="00EA66E5">
        <w:t xml:space="preserve"> del Marco Mundial de Biodiversidad de Kunming-Montreal, prestando especial atención a la meta 3;</w:t>
      </w:r>
    </w:p>
    <w:p w14:paraId="00399B18" w14:textId="0142FF72" w:rsidR="00F90483" w:rsidRPr="00EA66E5" w:rsidRDefault="00900B7A" w:rsidP="00D83DB8">
      <w:pPr>
        <w:pStyle w:val="CBDNormalNoNumber"/>
        <w:tabs>
          <w:tab w:val="clear" w:pos="567"/>
          <w:tab w:val="clear" w:pos="1134"/>
        </w:tabs>
        <w:ind w:left="1134" w:firstLine="567"/>
      </w:pPr>
      <w:r w:rsidRPr="00EA66E5">
        <w:t>3.</w:t>
      </w:r>
      <w:r w:rsidRPr="00EA66E5">
        <w:rPr>
          <w:i/>
        </w:rPr>
        <w:tab/>
        <w:t xml:space="preserve">Invita </w:t>
      </w:r>
      <w:r w:rsidRPr="00EA66E5">
        <w:t xml:space="preserve">a las Partes y a otros Gobiernos a que tengan en cuenta la versión actualizada del </w:t>
      </w:r>
      <w:r w:rsidR="00736AD0">
        <w:t>programa de trabajo sobre áreas protegidas y conservadas</w:t>
      </w:r>
      <w:r w:rsidRPr="00EA66E5">
        <w:t xml:space="preserve"> al preparar y poner en práctica medidas para alcanzar las metas del Marco, en particular la meta 3;</w:t>
      </w:r>
    </w:p>
    <w:p w14:paraId="3CFF8983" w14:textId="13DBCF08" w:rsidR="00587AC1" w:rsidRPr="00EA66E5" w:rsidRDefault="00900B7A" w:rsidP="00D83DB8">
      <w:pPr>
        <w:pStyle w:val="CBDNormalNoNumber"/>
        <w:tabs>
          <w:tab w:val="clear" w:pos="567"/>
          <w:tab w:val="clear" w:pos="1134"/>
        </w:tabs>
        <w:ind w:left="1134" w:firstLine="567"/>
      </w:pPr>
      <w:r w:rsidRPr="00EA66E5">
        <w:t>4.</w:t>
      </w:r>
      <w:r w:rsidRPr="00EA66E5">
        <w:rPr>
          <w:i/>
        </w:rPr>
        <w:tab/>
        <w:t>Invita</w:t>
      </w:r>
      <w:r w:rsidRPr="00EA66E5">
        <w:t xml:space="preserve"> a las secretarías de los acuerdos ambientales multilaterales, las organizaciones internacionales y las entidades de las Naciones Unidas pertinentes, así como a los pueblos indígenas, las comunidades locales, los interesados pertinentes, incluidos el sector privado, las instituciones académicas, las mujeres y los jóvenes, a que contribuyan a la </w:t>
      </w:r>
      <w:r w:rsidR="007E7C05">
        <w:t>implementación</w:t>
      </w:r>
      <w:r w:rsidRPr="00EA66E5">
        <w:t xml:space="preserve"> del Marco apoyando la aplicación de la versión actualizada del </w:t>
      </w:r>
      <w:r w:rsidR="00736AD0">
        <w:t>programa de trabajo sobre áreas protegidas y conservadas</w:t>
      </w:r>
      <w:r w:rsidRPr="00EA66E5">
        <w:t>;</w:t>
      </w:r>
    </w:p>
    <w:p w14:paraId="324B3D5C" w14:textId="52A14D95" w:rsidR="00B92065" w:rsidRPr="00EA66E5" w:rsidRDefault="00900B7A" w:rsidP="00D83DB8">
      <w:pPr>
        <w:pStyle w:val="CBDNormalNoNumber"/>
        <w:tabs>
          <w:tab w:val="clear" w:pos="567"/>
          <w:tab w:val="clear" w:pos="1134"/>
        </w:tabs>
        <w:ind w:left="1134" w:firstLine="567"/>
      </w:pPr>
      <w:r w:rsidRPr="00EA66E5">
        <w:t>5.</w:t>
      </w:r>
      <w:r w:rsidRPr="00EA66E5">
        <w:rPr>
          <w:i/>
        </w:rPr>
        <w:tab/>
        <w:t>Alienta</w:t>
      </w:r>
      <w:r w:rsidRPr="00EA66E5">
        <w:t xml:space="preserve"> a las Partes a que apliquen un enfoque basado en los derechos humanos a la aplicación de la versión actualizada del </w:t>
      </w:r>
      <w:r w:rsidR="00736AD0">
        <w:t>programa de trabajo sobre áreas protegidas y conservadas</w:t>
      </w:r>
      <w:r w:rsidRPr="00EA66E5">
        <w:t>, entre otras formas, garantizando la participación plena y efectiva de los titulares de derechos y el reconocimiento de los sistemas de gobernanza diferentes, de manera coherente con el programa de trabajo sobre el artículo 8 j) y otras disposiciones del Convenio sobre la Diversidad Biológica relativas a los pueblos indígenas y las comunidades locales hasta 2030</w:t>
      </w:r>
      <w:r w:rsidR="00DD0329" w:rsidRPr="00EA66E5">
        <w:rPr>
          <w:rStyle w:val="FootnoteReference"/>
        </w:rPr>
        <w:footnoteReference w:id="19"/>
      </w:r>
      <w:r w:rsidRPr="00EA66E5">
        <w:t>;</w:t>
      </w:r>
    </w:p>
    <w:p w14:paraId="0B7DC153" w14:textId="77777777" w:rsidR="00EF100E" w:rsidRPr="00EA66E5" w:rsidRDefault="00900B7A" w:rsidP="00D83DB8">
      <w:pPr>
        <w:pStyle w:val="CBDNormalNoNumber"/>
        <w:tabs>
          <w:tab w:val="clear" w:pos="567"/>
          <w:tab w:val="clear" w:pos="1134"/>
        </w:tabs>
        <w:ind w:left="1134" w:firstLine="567"/>
      </w:pPr>
      <w:r w:rsidRPr="00EA66E5">
        <w:t>6</w:t>
      </w:r>
      <w:r w:rsidRPr="00EA66E5">
        <w:rPr>
          <w:i/>
        </w:rPr>
        <w:t>.</w:t>
      </w:r>
      <w:r w:rsidRPr="00EA66E5">
        <w:rPr>
          <w:i/>
        </w:rPr>
        <w:tab/>
        <w:t>Pide</w:t>
      </w:r>
      <w:r w:rsidRPr="00EA66E5">
        <w:t xml:space="preserve"> a la Secretaria Ejecutiva que, con sujeción a la disponibilidad de recursos:</w:t>
      </w:r>
    </w:p>
    <w:p w14:paraId="726E4AE4" w14:textId="7B4DC06C" w:rsidR="00E64697" w:rsidRPr="00EA66E5" w:rsidRDefault="00C06E9A" w:rsidP="00D83DB8">
      <w:pPr>
        <w:pStyle w:val="CBDNormalNoNumber"/>
        <w:tabs>
          <w:tab w:val="clear" w:pos="567"/>
        </w:tabs>
        <w:ind w:left="1134" w:firstLine="567"/>
      </w:pPr>
      <w:r w:rsidRPr="00EA66E5">
        <w:t>a)</w:t>
      </w:r>
      <w:r w:rsidRPr="00EA66E5">
        <w:tab/>
        <w:t xml:space="preserve">Siga apoyando a la Comunidad de Práctica de la Meta 3 como plataforma flexible, inclusiva y voluntaria, con vistas a facilitar la coordinación, el intercambio de conocimientos y el apoyo </w:t>
      </w:r>
      <w:r w:rsidR="005C26D9">
        <w:t>para alcanzar la meta</w:t>
      </w:r>
      <w:r w:rsidRPr="00EA66E5">
        <w:t>, e invite a las organizaciones pertinentes a participar en la Comunidad;</w:t>
      </w:r>
    </w:p>
    <w:p w14:paraId="0C3C0072" w14:textId="77777777" w:rsidR="00E64697" w:rsidRPr="00EA66E5" w:rsidRDefault="00C06E9A" w:rsidP="00D83DB8">
      <w:pPr>
        <w:pStyle w:val="CBDNormalNoNumber"/>
        <w:tabs>
          <w:tab w:val="clear" w:pos="567"/>
        </w:tabs>
        <w:ind w:left="1134" w:firstLine="567"/>
      </w:pPr>
      <w:r w:rsidRPr="00EA66E5">
        <w:t>b)</w:t>
      </w:r>
      <w:r w:rsidRPr="00EA66E5">
        <w:tab/>
        <w:t>Colabore con los centros regionales y subregionales de apoyo a la cooperación técnica y científica y otros asociados pertinentes con el fin de prestar apoyo científico y técnico específico a las Partes para alcanzar la meta 3 del Marco;</w:t>
      </w:r>
    </w:p>
    <w:p w14:paraId="74E9D360" w14:textId="17AA5AD7" w:rsidR="001771D0" w:rsidRPr="00EA66E5" w:rsidRDefault="00C06E9A" w:rsidP="00D83DB8">
      <w:pPr>
        <w:pStyle w:val="CBDNormalNoNumber"/>
        <w:keepNext/>
        <w:tabs>
          <w:tab w:val="clear" w:pos="567"/>
        </w:tabs>
        <w:ind w:left="1134" w:firstLine="567"/>
      </w:pPr>
      <w:r w:rsidRPr="00EA66E5">
        <w:t>c)</w:t>
      </w:r>
      <w:r w:rsidRPr="00EA66E5">
        <w:tab/>
        <w:t xml:space="preserve">Prepare un informe de síntesis sobre las mejores prácticas para alcanzar la meta 3 del Marco y aplicar el </w:t>
      </w:r>
      <w:r w:rsidR="00736AD0">
        <w:t>programa de trabajo sobre áreas protegidas y conservadas</w:t>
      </w:r>
      <w:r w:rsidRPr="00EA66E5">
        <w:t>, prestando especial atención a las siguientes esferas:</w:t>
      </w:r>
    </w:p>
    <w:p w14:paraId="495F1265" w14:textId="58AD2C40" w:rsidR="003950D5" w:rsidRPr="00EA66E5" w:rsidRDefault="003950D5" w:rsidP="00D83DB8">
      <w:pPr>
        <w:pStyle w:val="CBDNormalNoNumber"/>
        <w:tabs>
          <w:tab w:val="clear" w:pos="1701"/>
        </w:tabs>
        <w:ind w:left="2268" w:hanging="567"/>
        <w:rPr>
          <w:color w:val="000000" w:themeColor="text1"/>
        </w:rPr>
      </w:pPr>
      <w:r w:rsidRPr="00EA66E5">
        <w:rPr>
          <w:color w:val="000000" w:themeColor="text1"/>
        </w:rPr>
        <w:t>i)</w:t>
      </w:r>
      <w:r w:rsidRPr="00EA66E5">
        <w:rPr>
          <w:color w:val="000000" w:themeColor="text1"/>
        </w:rPr>
        <w:tab/>
        <w:t>Enfoques de la gobernanza equitativos y basados en los derechos humanos, inclu</w:t>
      </w:r>
      <w:r w:rsidR="00011A02">
        <w:rPr>
          <w:color w:val="000000" w:themeColor="text1"/>
        </w:rPr>
        <w:t>i</w:t>
      </w:r>
      <w:r w:rsidRPr="00EA66E5">
        <w:rPr>
          <w:color w:val="000000" w:themeColor="text1"/>
        </w:rPr>
        <w:t>do el reconocimiento de los pueblos indígenas y las comunidades locales como titulares de derechos;</w:t>
      </w:r>
    </w:p>
    <w:p w14:paraId="5F5184BB" w14:textId="77777777" w:rsidR="003950D5" w:rsidRPr="00EA66E5" w:rsidRDefault="003950D5" w:rsidP="00D83DB8">
      <w:pPr>
        <w:pStyle w:val="CBDNormalNoNumber"/>
        <w:tabs>
          <w:tab w:val="clear" w:pos="1701"/>
        </w:tabs>
        <w:ind w:left="2268" w:hanging="567"/>
        <w:rPr>
          <w:color w:val="000000" w:themeColor="text1"/>
        </w:rPr>
      </w:pPr>
      <w:r w:rsidRPr="00EA66E5">
        <w:rPr>
          <w:color w:val="000000" w:themeColor="text1"/>
        </w:rPr>
        <w:lastRenderedPageBreak/>
        <w:t>ii)</w:t>
      </w:r>
      <w:r w:rsidRPr="00EA66E5">
        <w:rPr>
          <w:color w:val="000000" w:themeColor="text1"/>
        </w:rPr>
        <w:tab/>
        <w:t>La integridad ecológica, la resiliencia de los ecosistemas y la conectividad ecológica, entre otros en el contexto del cambio climático en los sistemas terrestres, de aguas continentales, costeros y marinos;</w:t>
      </w:r>
    </w:p>
    <w:p w14:paraId="555DE42E" w14:textId="77777777" w:rsidR="00CC0AE8" w:rsidRPr="00EA66E5" w:rsidRDefault="003950D5" w:rsidP="00D83DB8">
      <w:pPr>
        <w:pStyle w:val="CBDNormalNoNumber"/>
        <w:tabs>
          <w:tab w:val="clear" w:pos="1701"/>
        </w:tabs>
        <w:ind w:left="2268" w:hanging="567"/>
        <w:rPr>
          <w:color w:val="000000" w:themeColor="text1"/>
        </w:rPr>
      </w:pPr>
      <w:r w:rsidRPr="00EA66E5">
        <w:rPr>
          <w:color w:val="000000" w:themeColor="text1"/>
        </w:rPr>
        <w:t>iii)</w:t>
      </w:r>
      <w:r w:rsidRPr="00EA66E5">
        <w:rPr>
          <w:color w:val="000000" w:themeColor="text1"/>
        </w:rPr>
        <w:tab/>
        <w:t>El reconocimiento de los territorios indígenas y tradicionales, entre otras formas, mediante la aplicación de enfoques diferenciados para los pueblos indígenas en situación de aislamiento voluntario y contacto inicial;</w:t>
      </w:r>
    </w:p>
    <w:p w14:paraId="0E07A848" w14:textId="77777777" w:rsidR="003950D5" w:rsidRPr="00EA66E5" w:rsidRDefault="00CC0AE8" w:rsidP="00D83DB8">
      <w:pPr>
        <w:pStyle w:val="CBDNormalNoNumber"/>
        <w:tabs>
          <w:tab w:val="clear" w:pos="1701"/>
        </w:tabs>
        <w:ind w:left="2268" w:hanging="567"/>
        <w:rPr>
          <w:color w:val="000000" w:themeColor="text1"/>
        </w:rPr>
      </w:pPr>
      <w:r w:rsidRPr="00EA66E5">
        <w:rPr>
          <w:color w:val="000000" w:themeColor="text1"/>
        </w:rPr>
        <w:t>iv)</w:t>
      </w:r>
      <w:r w:rsidRPr="00EA66E5">
        <w:rPr>
          <w:color w:val="000000" w:themeColor="text1"/>
        </w:rPr>
        <w:tab/>
        <w:t>La igualdad entre los géneros y planteamientos con perspectiva de género para enfocar la planificación, la gobernanza y la gestión de áreas protegidas y conservadas;</w:t>
      </w:r>
    </w:p>
    <w:p w14:paraId="56CF9764" w14:textId="77777777" w:rsidR="003950D5" w:rsidRPr="00EA66E5" w:rsidRDefault="00CC0AE8" w:rsidP="00D83DB8">
      <w:pPr>
        <w:pStyle w:val="CBDNormalNoNumber"/>
        <w:tabs>
          <w:tab w:val="clear" w:pos="1701"/>
        </w:tabs>
        <w:ind w:left="2268" w:hanging="567"/>
        <w:rPr>
          <w:color w:val="000000" w:themeColor="text1"/>
        </w:rPr>
      </w:pPr>
      <w:r w:rsidRPr="00EA66E5">
        <w:rPr>
          <w:color w:val="000000" w:themeColor="text1"/>
        </w:rPr>
        <w:t>v)</w:t>
      </w:r>
      <w:r w:rsidRPr="00EA66E5">
        <w:rPr>
          <w:color w:val="000000" w:themeColor="text1"/>
        </w:rPr>
        <w:tab/>
        <w:t>La integración de las áreas protegidas y conservadas en una ordenación territorial que incluya la diversidad biológica y en paisajes terrestres y marinos más amplios;</w:t>
      </w:r>
    </w:p>
    <w:p w14:paraId="74EFAADF" w14:textId="77777777" w:rsidR="003950D5" w:rsidRPr="00EA66E5" w:rsidRDefault="00CC0AE8" w:rsidP="00D83DB8">
      <w:pPr>
        <w:pStyle w:val="CBDNormalNoNumber"/>
        <w:tabs>
          <w:tab w:val="clear" w:pos="1701"/>
        </w:tabs>
        <w:ind w:left="2268" w:hanging="567"/>
        <w:rPr>
          <w:color w:val="000000" w:themeColor="text1"/>
        </w:rPr>
      </w:pPr>
      <w:r w:rsidRPr="00EA66E5">
        <w:rPr>
          <w:color w:val="000000" w:themeColor="text1"/>
        </w:rPr>
        <w:t>vi)</w:t>
      </w:r>
      <w:r w:rsidRPr="00EA66E5">
        <w:rPr>
          <w:color w:val="000000" w:themeColor="text1"/>
        </w:rPr>
        <w:tab/>
        <w:t>La determinación y priorización de áreas de especial importancia para la diversidad biológica, las funciones de los ecosistemas y los servicios de los ecosistemas, incluidos los ecosistemas insuficientemente representados;</w:t>
      </w:r>
    </w:p>
    <w:p w14:paraId="297B1B28" w14:textId="77777777" w:rsidR="003950D5" w:rsidRPr="00EA66E5" w:rsidRDefault="00CC0AE8" w:rsidP="00D83DB8">
      <w:pPr>
        <w:pStyle w:val="CBDNormalNoNumber"/>
        <w:tabs>
          <w:tab w:val="clear" w:pos="1701"/>
        </w:tabs>
        <w:ind w:left="2268" w:hanging="567"/>
        <w:rPr>
          <w:color w:val="000000" w:themeColor="text1"/>
        </w:rPr>
      </w:pPr>
      <w:r w:rsidRPr="00EA66E5">
        <w:rPr>
          <w:color w:val="000000" w:themeColor="text1"/>
        </w:rPr>
        <w:t>vii)</w:t>
      </w:r>
      <w:r w:rsidRPr="00EA66E5">
        <w:rPr>
          <w:color w:val="000000" w:themeColor="text1"/>
        </w:rPr>
        <w:tab/>
        <w:t>Las normas y las mejores prácticas de planificación, gobernanza y gestión de áreas protegidas y conservadas;</w:t>
      </w:r>
    </w:p>
    <w:p w14:paraId="72CDA7F8" w14:textId="0AAD6EA4" w:rsidR="003950D5" w:rsidRPr="00EA66E5" w:rsidRDefault="00CC0AE8" w:rsidP="00D83DB8">
      <w:pPr>
        <w:pStyle w:val="CBDNormalNoNumber"/>
        <w:tabs>
          <w:tab w:val="clear" w:pos="1701"/>
        </w:tabs>
        <w:ind w:left="2268" w:hanging="567"/>
        <w:rPr>
          <w:color w:val="000000" w:themeColor="text1"/>
        </w:rPr>
      </w:pPr>
      <w:r w:rsidRPr="00EA66E5">
        <w:rPr>
          <w:color w:val="000000" w:themeColor="text1"/>
        </w:rPr>
        <w:t>viii)</w:t>
      </w:r>
      <w:r w:rsidRPr="00EA66E5">
        <w:rPr>
          <w:color w:val="000000" w:themeColor="text1"/>
        </w:rPr>
        <w:tab/>
        <w:t xml:space="preserve">Las redes ecológicas, el diseño de corredores </w:t>
      </w:r>
      <w:r w:rsidR="00142001">
        <w:rPr>
          <w:color w:val="000000" w:themeColor="text1"/>
        </w:rPr>
        <w:t>fundamentado</w:t>
      </w:r>
      <w:r w:rsidRPr="00EA66E5">
        <w:rPr>
          <w:color w:val="000000" w:themeColor="text1"/>
        </w:rPr>
        <w:t xml:space="preserve"> en el clima, la conectividad ecológica a gran escala y la conservación transfronteriza, entre otros en contextos urbanos y periurbanos;</w:t>
      </w:r>
    </w:p>
    <w:p w14:paraId="56B1B826" w14:textId="77777777" w:rsidR="003950D5" w:rsidRPr="00EA66E5" w:rsidRDefault="004F549B" w:rsidP="00D83DB8">
      <w:pPr>
        <w:pStyle w:val="CBDNormalNoNumber"/>
        <w:tabs>
          <w:tab w:val="clear" w:pos="1701"/>
        </w:tabs>
        <w:ind w:left="2268" w:hanging="567"/>
        <w:rPr>
          <w:color w:val="000000" w:themeColor="text1"/>
        </w:rPr>
      </w:pPr>
      <w:r w:rsidRPr="00EA66E5">
        <w:rPr>
          <w:color w:val="000000" w:themeColor="text1"/>
        </w:rPr>
        <w:t>ix)</w:t>
      </w:r>
      <w:r w:rsidRPr="00EA66E5">
        <w:rPr>
          <w:color w:val="000000" w:themeColor="text1"/>
        </w:rPr>
        <w:tab/>
        <w:t>Los sistemas de seguimiento y evaluación de los ecosistemas terrestres, de agua dulce y marinos, entre otras formas mediante la utilización de nuevas tecnologías e indicadores desglosados por género;</w:t>
      </w:r>
    </w:p>
    <w:p w14:paraId="7AF268BC" w14:textId="77777777" w:rsidR="006D7B84" w:rsidRPr="00EA66E5" w:rsidRDefault="004F549B" w:rsidP="00D83DB8">
      <w:pPr>
        <w:pStyle w:val="CBDNormalNoNumber"/>
        <w:tabs>
          <w:tab w:val="clear" w:pos="567"/>
          <w:tab w:val="clear" w:pos="1701"/>
        </w:tabs>
        <w:ind w:left="2268" w:hanging="567"/>
        <w:rPr>
          <w:color w:val="000000" w:themeColor="text1"/>
        </w:rPr>
      </w:pPr>
      <w:r w:rsidRPr="00EA66E5">
        <w:rPr>
          <w:color w:val="000000" w:themeColor="text1"/>
        </w:rPr>
        <w:t>x)</w:t>
      </w:r>
      <w:r w:rsidRPr="00EA66E5">
        <w:rPr>
          <w:color w:val="000000" w:themeColor="text1"/>
        </w:rPr>
        <w:tab/>
        <w:t>Los enfoques financieros sostenibles, los mecanismos financieros innovadores y la financiación directa y accesible para los pueblos indígenas y las comunidades locales;</w:t>
      </w:r>
    </w:p>
    <w:p w14:paraId="40A8F9D2" w14:textId="77777777" w:rsidR="006A7E3D" w:rsidRPr="00EA66E5" w:rsidRDefault="00FA2417" w:rsidP="00D83DB8">
      <w:pPr>
        <w:pStyle w:val="CBDNormalNoNumber"/>
        <w:tabs>
          <w:tab w:val="clear" w:pos="567"/>
        </w:tabs>
        <w:ind w:left="1134" w:firstLine="567"/>
      </w:pPr>
      <w:r w:rsidRPr="00EA66E5">
        <w:t>d)</w:t>
      </w:r>
      <w:r w:rsidRPr="00EA66E5">
        <w:tab/>
        <w:t>Informe al Órgano Subsidiario de Asesoramiento Científico, Técnico y Tecnológico sobre los progresos realizados en la aplicación de la presente decisión en una reunión que se celebre antes de la 18ª reunión de la Conferencia de las Partes, con el fin de que posteriormente presente una recomendación para que la Conferencia de las Partes la examine en su 18ª reunión.</w:t>
      </w:r>
    </w:p>
    <w:p w14:paraId="2D84BB24" w14:textId="77777777" w:rsidR="00AB36CF" w:rsidRPr="00EA66E5" w:rsidRDefault="0023767E" w:rsidP="00D83DB8">
      <w:pPr>
        <w:pStyle w:val="CBDDesicionAnnex"/>
        <w:ind w:left="1134"/>
      </w:pPr>
      <w:bookmarkStart w:id="3" w:name="_Hlk203416978"/>
      <w:r w:rsidRPr="00EA66E5">
        <w:t xml:space="preserve">Anexo </w:t>
      </w:r>
    </w:p>
    <w:p w14:paraId="580C235A" w14:textId="258063AE" w:rsidR="002A6314" w:rsidRPr="00EA66E5" w:rsidRDefault="00A34565" w:rsidP="00D83DB8">
      <w:pPr>
        <w:pStyle w:val="CBDDesicionAnnex"/>
        <w:ind w:left="1134"/>
      </w:pPr>
      <w:r w:rsidRPr="00EA66E5">
        <w:t xml:space="preserve">Actualización del </w:t>
      </w:r>
      <w:r w:rsidR="00736AD0">
        <w:t>programa de trabajo sobre áreas protegidas y conservadas</w:t>
      </w:r>
    </w:p>
    <w:p w14:paraId="64B51447" w14:textId="55D5A8F2" w:rsidR="00ED759B" w:rsidRPr="00EA66E5" w:rsidRDefault="005321C5" w:rsidP="00D83DB8">
      <w:pPr>
        <w:pStyle w:val="CBDNormalNoNumber"/>
        <w:tabs>
          <w:tab w:val="clear" w:pos="567"/>
        </w:tabs>
        <w:spacing w:before="120" w:after="240"/>
        <w:ind w:left="1134"/>
      </w:pPr>
      <w:r w:rsidRPr="00EA66E5">
        <w:t>En el cuadro que figura a continuación se muestran las correspondencias entre las metas del Marco Mundial de Biodiversidad de Kunming-Montreal</w:t>
      </w:r>
      <w:r w:rsidR="0057593C" w:rsidRPr="00EA66E5">
        <w:rPr>
          <w:rStyle w:val="FootnoteReference"/>
        </w:rPr>
        <w:footnoteReference w:id="20"/>
      </w:r>
      <w:r w:rsidRPr="00EA66E5">
        <w:t xml:space="preserve"> y las actividades complementarias que podrían apoyar la aplicación del </w:t>
      </w:r>
      <w:r w:rsidR="00736AD0">
        <w:t>programa de trabajo sobre áreas protegidas y conservadas</w:t>
      </w:r>
      <w:r w:rsidR="00F95C07" w:rsidRPr="00EA66E5">
        <w:rPr>
          <w:rStyle w:val="FootnoteReference"/>
          <w:color w:val="000000" w:themeColor="text1"/>
        </w:rPr>
        <w:footnoteReference w:id="21"/>
      </w:r>
      <w:r w:rsidRPr="00EA66E5">
        <w:t xml:space="preserve">. En él se resaltan las esferas en las que existe una gran armonización, las oportunidades para reforzar las disposiciones existentes y las deficiencias en las que hay que seguir trabajando. Está basado en las conclusiones de una revisión estratégica del programa, las comunicaciones relacionadas con ella y un análisis revisado por pares. Las actividades se dividen en tres categorías: a) medidas prioritarias, centradas en el fortalecimiento de la armonización con la meta 3 </w:t>
      </w:r>
      <w:r w:rsidRPr="00EA66E5">
        <w:rPr>
          <w:color w:val="000000" w:themeColor="text1"/>
        </w:rPr>
        <w:t>del Marco</w:t>
      </w:r>
      <w:r w:rsidRPr="00EA66E5">
        <w:t xml:space="preserve"> y sus interconexiones con otras metas; b) medidas complementarias, que abordan metas parcialmente cubiertas y cuyo cumplimiento puede reforzarse; y c) esferas que hay que seguir desarrollando porque el programa no las cubre o </w:t>
      </w:r>
      <w:r w:rsidRPr="00EA66E5">
        <w:lastRenderedPageBreak/>
        <w:t>solo las cubre de manera limitada y en las que se necesita orientación adicional. En el caso de las metas en las que no se ha identificado una armonización significativa mediante el análisis de deficiencias y para las que no se ha identificado orientación o actividades pertinentes en las comunicaciones (especialmente las metas 13, 17 y 18), no se proponen medidas concretas.</w:t>
      </w:r>
      <w:r w:rsidRPr="00EA66E5">
        <w:rPr>
          <w:i/>
        </w:rPr>
        <w:t xml:space="preserve"> </w:t>
      </w:r>
    </w:p>
    <w:p w14:paraId="11D7C6CE" w14:textId="4456BDE6" w:rsidR="006028BF" w:rsidRPr="00EA66E5" w:rsidDel="005321C5" w:rsidRDefault="006028BF" w:rsidP="00D83DB8">
      <w:pPr>
        <w:pStyle w:val="CBDTableTitle"/>
        <w:tabs>
          <w:tab w:val="clear" w:pos="567"/>
        </w:tabs>
        <w:ind w:left="1134"/>
      </w:pPr>
      <w:r w:rsidRPr="00EA66E5">
        <w:t xml:space="preserve">Actividades complementarias para fortalecer el </w:t>
      </w:r>
      <w:r w:rsidR="00736AD0">
        <w:t>programa de trabajo sobre áreas protegidas y conservadas</w:t>
      </w:r>
      <w:r w:rsidRPr="00EA66E5">
        <w:t>, y su armonización con el Marco Mundial de Biodiversidad de Kunming-Montreal</w:t>
      </w:r>
    </w:p>
    <w:tbl>
      <w:tblPr>
        <w:tblStyle w:val="TableGrid"/>
        <w:tblW w:w="8929" w:type="dxa"/>
        <w:tblInd w:w="704" w:type="dxa"/>
        <w:tblLook w:val="04A0" w:firstRow="1" w:lastRow="0" w:firstColumn="1" w:lastColumn="0" w:noHBand="0" w:noVBand="1"/>
      </w:tblPr>
      <w:tblGrid>
        <w:gridCol w:w="1842"/>
        <w:gridCol w:w="5387"/>
        <w:gridCol w:w="1700"/>
      </w:tblGrid>
      <w:tr w:rsidR="000B4839" w:rsidRPr="00EA66E5" w14:paraId="7EFB9E7D" w14:textId="77777777" w:rsidTr="000E1292">
        <w:trPr>
          <w:tblHeader/>
        </w:trPr>
        <w:tc>
          <w:tcPr>
            <w:tcW w:w="1842" w:type="dxa"/>
          </w:tcPr>
          <w:p w14:paraId="1DF28C9A" w14:textId="77777777" w:rsidR="00C63A42" w:rsidRPr="00EA66E5" w:rsidRDefault="00C63A42" w:rsidP="00E32BCE">
            <w:pPr>
              <w:spacing w:before="40" w:after="40"/>
              <w:jc w:val="left"/>
              <w:rPr>
                <w:i/>
                <w:iCs/>
                <w:color w:val="000000" w:themeColor="text1"/>
                <w:sz w:val="20"/>
                <w:szCs w:val="20"/>
              </w:rPr>
            </w:pPr>
            <w:r w:rsidRPr="00EA66E5">
              <w:rPr>
                <w:i/>
                <w:color w:val="000000" w:themeColor="text1"/>
                <w:sz w:val="20"/>
              </w:rPr>
              <w:t>Metas del Marco Mundial de Biodiversidad de Kunming-Montreal</w:t>
            </w:r>
          </w:p>
        </w:tc>
        <w:tc>
          <w:tcPr>
            <w:tcW w:w="5387" w:type="dxa"/>
          </w:tcPr>
          <w:p w14:paraId="7D08B986" w14:textId="77777777" w:rsidR="00C63A42" w:rsidRPr="00EA66E5" w:rsidRDefault="00C63A42" w:rsidP="00E32BCE">
            <w:pPr>
              <w:spacing w:before="40" w:after="40"/>
              <w:rPr>
                <w:color w:val="000000" w:themeColor="text1"/>
                <w:sz w:val="20"/>
                <w:szCs w:val="20"/>
              </w:rPr>
            </w:pPr>
            <w:r w:rsidRPr="00EA66E5">
              <w:rPr>
                <w:i/>
                <w:color w:val="000000" w:themeColor="text1"/>
                <w:sz w:val="20"/>
              </w:rPr>
              <w:t xml:space="preserve">Actividades complementarias </w:t>
            </w:r>
          </w:p>
        </w:tc>
        <w:tc>
          <w:tcPr>
            <w:tcW w:w="1700" w:type="dxa"/>
          </w:tcPr>
          <w:p w14:paraId="52C231C1" w14:textId="77777777" w:rsidR="00C63A42" w:rsidRPr="00EA66E5" w:rsidRDefault="00130562" w:rsidP="00E32BCE">
            <w:pPr>
              <w:spacing w:before="40" w:after="40"/>
              <w:rPr>
                <w:i/>
                <w:iCs/>
                <w:color w:val="000000" w:themeColor="text1"/>
                <w:sz w:val="20"/>
                <w:szCs w:val="20"/>
              </w:rPr>
            </w:pPr>
            <w:r w:rsidRPr="00EA66E5">
              <w:rPr>
                <w:i/>
                <w:color w:val="000000" w:themeColor="text1"/>
                <w:sz w:val="20"/>
              </w:rPr>
              <w:t>Categoría</w:t>
            </w:r>
          </w:p>
        </w:tc>
      </w:tr>
      <w:tr w:rsidR="000B4839" w:rsidRPr="00EA66E5" w14:paraId="391902BB" w14:textId="77777777" w:rsidTr="000E1292">
        <w:tc>
          <w:tcPr>
            <w:tcW w:w="1842" w:type="dxa"/>
          </w:tcPr>
          <w:p w14:paraId="15FC1866" w14:textId="77777777" w:rsidR="00C63A42" w:rsidRPr="00EA66E5" w:rsidRDefault="00C63A42" w:rsidP="00E32BCE">
            <w:pPr>
              <w:spacing w:before="40" w:after="40"/>
              <w:rPr>
                <w:color w:val="000000" w:themeColor="text1"/>
                <w:sz w:val="20"/>
                <w:szCs w:val="20"/>
              </w:rPr>
            </w:pPr>
            <w:r w:rsidRPr="00EA66E5">
              <w:rPr>
                <w:color w:val="000000" w:themeColor="text1"/>
                <w:sz w:val="20"/>
              </w:rPr>
              <w:t>Meta 1</w:t>
            </w:r>
          </w:p>
        </w:tc>
        <w:tc>
          <w:tcPr>
            <w:tcW w:w="5387" w:type="dxa"/>
          </w:tcPr>
          <w:p w14:paraId="0340C59E" w14:textId="77777777" w:rsidR="00C63A42"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w:t>
            </w:r>
            <w:r w:rsidRPr="00EA66E5">
              <w:rPr>
                <w:color w:val="000000" w:themeColor="text1"/>
                <w:sz w:val="20"/>
              </w:rPr>
              <w:tab/>
              <w:t>Integrar las áreas protegidas y conservadas en una planificación más amplia de paisajes terrestres y marinos para mejorar la conectividad ecológica, a través de procesos de ordenación territorial participativos, basados en los derechos humanos e inclusivos que garanticen la participación plena y efectiva de los pueblos indígenas y las comunidades locales.</w:t>
            </w:r>
          </w:p>
        </w:tc>
        <w:tc>
          <w:tcPr>
            <w:tcW w:w="1700" w:type="dxa"/>
          </w:tcPr>
          <w:p w14:paraId="66E9F997" w14:textId="77777777" w:rsidR="00C63A42" w:rsidRPr="00EA66E5" w:rsidRDefault="00130562" w:rsidP="00E32BCE">
            <w:pPr>
              <w:spacing w:before="40" w:after="40"/>
              <w:rPr>
                <w:color w:val="000000" w:themeColor="text1"/>
                <w:sz w:val="20"/>
                <w:szCs w:val="20"/>
              </w:rPr>
            </w:pPr>
            <w:r w:rsidRPr="00EA66E5">
              <w:rPr>
                <w:color w:val="000000" w:themeColor="text1"/>
                <w:sz w:val="20"/>
              </w:rPr>
              <w:t>Medidas prioritarias</w:t>
            </w:r>
          </w:p>
        </w:tc>
      </w:tr>
      <w:tr w:rsidR="000B4839" w:rsidRPr="00EA66E5" w14:paraId="4D7A7AFE" w14:textId="77777777" w:rsidTr="000E1292">
        <w:tc>
          <w:tcPr>
            <w:tcW w:w="1842" w:type="dxa"/>
          </w:tcPr>
          <w:p w14:paraId="0F8A877E" w14:textId="77777777" w:rsidR="006B20B3" w:rsidRPr="00EA66E5" w:rsidRDefault="006B20B3" w:rsidP="00E32BCE">
            <w:pPr>
              <w:spacing w:before="40" w:after="40"/>
              <w:rPr>
                <w:color w:val="000000" w:themeColor="text1"/>
                <w:sz w:val="20"/>
                <w:szCs w:val="20"/>
              </w:rPr>
            </w:pPr>
            <w:r w:rsidRPr="00EA66E5">
              <w:rPr>
                <w:color w:val="000000" w:themeColor="text1"/>
                <w:sz w:val="20"/>
              </w:rPr>
              <w:t>Meta 2</w:t>
            </w:r>
          </w:p>
        </w:tc>
        <w:tc>
          <w:tcPr>
            <w:tcW w:w="5387" w:type="dxa"/>
          </w:tcPr>
          <w:p w14:paraId="507CB228" w14:textId="77777777" w:rsidR="006B20B3" w:rsidRPr="00EA66E5" w:rsidRDefault="00FB11FB" w:rsidP="00E32BCE">
            <w:pPr>
              <w:tabs>
                <w:tab w:val="left" w:pos="486"/>
              </w:tabs>
              <w:spacing w:before="40" w:after="40"/>
              <w:ind w:left="61"/>
              <w:jc w:val="left"/>
              <w:rPr>
                <w:b/>
                <w:bCs/>
                <w:color w:val="000000" w:themeColor="text1"/>
                <w:sz w:val="20"/>
                <w:szCs w:val="20"/>
              </w:rPr>
            </w:pPr>
            <w:r w:rsidRPr="00EA66E5">
              <w:rPr>
                <w:color w:val="000000" w:themeColor="text1"/>
                <w:sz w:val="20"/>
              </w:rPr>
              <w:t>2.</w:t>
            </w:r>
            <w:r w:rsidRPr="00EA66E5">
              <w:rPr>
                <w:color w:val="000000" w:themeColor="text1"/>
                <w:sz w:val="20"/>
              </w:rPr>
              <w:tab/>
              <w:t>Promover la restauración de los ecosistemas degradados dentro y fuera de áreas protegidas y conservadas, incluidas las zonas de amortiguación y los corredores ecológicos, entre otras formas mediante la elaboración de criterios para determinar las áreas prioritarias para su restauración y enfoques para medir el éxito de la restauración, garantizando que la realización de las actividades de restauración sea socialmente inclusiva y se tengan en cuenta las cuestiones de género, según proceda.</w:t>
            </w:r>
          </w:p>
        </w:tc>
        <w:tc>
          <w:tcPr>
            <w:tcW w:w="1700" w:type="dxa"/>
          </w:tcPr>
          <w:p w14:paraId="5ACB8A03"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t>Medidas complementarias (meta parcialmente abordada)</w:t>
            </w:r>
          </w:p>
        </w:tc>
      </w:tr>
      <w:tr w:rsidR="000B4839" w:rsidRPr="00EA66E5" w14:paraId="1E81DFA9" w14:textId="77777777" w:rsidTr="000E1292">
        <w:tc>
          <w:tcPr>
            <w:tcW w:w="1842" w:type="dxa"/>
          </w:tcPr>
          <w:p w14:paraId="6ECD3D4F" w14:textId="77777777" w:rsidR="006B20B3" w:rsidRPr="00EA66E5" w:rsidRDefault="006B20B3" w:rsidP="00E32BCE">
            <w:pPr>
              <w:spacing w:before="40" w:after="40"/>
              <w:rPr>
                <w:color w:val="000000" w:themeColor="text1"/>
                <w:sz w:val="20"/>
                <w:szCs w:val="20"/>
              </w:rPr>
            </w:pPr>
            <w:r w:rsidRPr="00EA66E5">
              <w:rPr>
                <w:color w:val="000000" w:themeColor="text1"/>
                <w:sz w:val="20"/>
              </w:rPr>
              <w:t>Meta 3</w:t>
            </w:r>
          </w:p>
        </w:tc>
        <w:tc>
          <w:tcPr>
            <w:tcW w:w="5387" w:type="dxa"/>
          </w:tcPr>
          <w:p w14:paraId="52B5F423" w14:textId="3829387B"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3.</w:t>
            </w:r>
            <w:r w:rsidRPr="00EA66E5">
              <w:rPr>
                <w:color w:val="000000" w:themeColor="text1"/>
                <w:sz w:val="20"/>
              </w:rPr>
              <w:tab/>
              <w:t xml:space="preserve">Incorporar el lenguaje, el alcance y los plazos de la meta 3 del Marco Mundial de Biodiversidad de Kunming-Montreal en todo el </w:t>
            </w:r>
            <w:r w:rsidR="00736AD0">
              <w:rPr>
                <w:color w:val="000000" w:themeColor="text1"/>
                <w:sz w:val="20"/>
              </w:rPr>
              <w:t>programa de trabajo sobre áreas protegidas y conservadas</w:t>
            </w:r>
            <w:r w:rsidRPr="00EA66E5">
              <w:rPr>
                <w:color w:val="000000" w:themeColor="text1"/>
                <w:sz w:val="20"/>
              </w:rPr>
              <w:t>, entre otras formas reflejando el concepto de áreas protegidas y conservadas como término general que abarca las áreas protegidas y otras medidas eficaces de conservación basadas en áreas y, cuando proceda, los territorios indígenas y tradicionales, actualizando los plazos y la terminología pertinentes; y garantizando la coherencia con los procesos conexos del Convenio</w:t>
            </w:r>
            <w:r w:rsidRPr="00EA66E5">
              <w:t xml:space="preserve"> </w:t>
            </w:r>
            <w:r w:rsidRPr="00EA66E5">
              <w:rPr>
                <w:color w:val="000000" w:themeColor="text1"/>
                <w:sz w:val="20"/>
              </w:rPr>
              <w:t>sobre la Diversidad Biológica, incluido el programa de trabajo sobre el artículo 8 j) y otras disposiciones del Convenio relativas a los pueblos indígenas y las comunidades locales hasta 2030.</w:t>
            </w:r>
          </w:p>
          <w:p w14:paraId="2963C70C" w14:textId="77777777" w:rsidR="32F335FA"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4.</w:t>
            </w:r>
            <w:r w:rsidRPr="00EA66E5">
              <w:rPr>
                <w:color w:val="000000" w:themeColor="text1"/>
                <w:sz w:val="20"/>
              </w:rPr>
              <w:tab/>
              <w:t>Mejorar la orientación relacionada con el reconocimiento de los territorios indígenas y tradicionales, de manera coherente con el programa de trabajo sobre el artículo 8 j) y otras disposiciones del Convenio relativas a los pueblos indígenas y las comunidades locales. Eso comprende enfoques diferenciados para garantizar una protección integral que incluya a los pueblos indígenas en situación de aislamiento voluntario y contacto inicial.</w:t>
            </w:r>
          </w:p>
          <w:p w14:paraId="73D7D326" w14:textId="42ECE560"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5.</w:t>
            </w:r>
            <w:r w:rsidRPr="00EA66E5">
              <w:rPr>
                <w:color w:val="000000" w:themeColor="text1"/>
                <w:sz w:val="20"/>
              </w:rPr>
              <w:tab/>
              <w:t xml:space="preserve">Facilitar la recopilación y difusión, mediante el mecanismo de facilitación y las plataformas pertinentes, incluida la Comunidad de Práctica de la Meta 3 y la Iniciativa de Diálogo sobre Paz y Biodiversidad, de marcos prácticos, orientación, herramientas, estudios de casos y las mejores prácticas para apoyar el logro de la meta 3 del Marco, incluida la definición y priorización de áreas de especial importancia para la diversidad biológica, redes ecológicas, diseño de </w:t>
            </w:r>
            <w:r w:rsidRPr="00EA66E5">
              <w:rPr>
                <w:color w:val="000000" w:themeColor="text1"/>
                <w:sz w:val="20"/>
              </w:rPr>
              <w:lastRenderedPageBreak/>
              <w:t xml:space="preserve">corredores </w:t>
            </w:r>
            <w:r w:rsidR="00142001">
              <w:rPr>
                <w:color w:val="000000" w:themeColor="text1"/>
                <w:sz w:val="20"/>
              </w:rPr>
              <w:t>fundamentado</w:t>
            </w:r>
            <w:r w:rsidRPr="00EA66E5">
              <w:rPr>
                <w:color w:val="000000" w:themeColor="text1"/>
                <w:sz w:val="20"/>
              </w:rPr>
              <w:t xml:space="preserve"> en el clima, conectividad ecológica a gran escala, otras medidas eficaces de conservación basadas en áreas y la conservación transfronteriza.</w:t>
            </w:r>
          </w:p>
          <w:p w14:paraId="39CC570F" w14:textId="4AC948B0"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6.</w:t>
            </w:r>
            <w:r w:rsidRPr="00EA66E5">
              <w:rPr>
                <w:color w:val="000000" w:themeColor="text1"/>
                <w:sz w:val="20"/>
              </w:rPr>
              <w:tab/>
              <w:t>Reforzar la puesta en marcha de una gobernanza equitativa y un planteamiento basado en los derechos humanos para enfocar la planificación, gobernanza y gestión de áreas protegidas y conservadas, entre otras formas pasando de enfoques basados en los beneficiarios al reconocimiento de los pueblos indígenas y las comunidades locales como titulares de derechos; promoviendo normas y buenas prácticas de participación, gobernanza compartida y acuerdos de gestión compartida; garantizando el acceso culturalmente adecuado a la información, y reforzando el consentimiento libre, previo e informado, al mismo tiempo que se aplican enfoques diferenciados, entre otros para los pueblos indígenas en situación de aislamiento voluntario y contacto inicial.</w:t>
            </w:r>
          </w:p>
          <w:p w14:paraId="6F34B6D5" w14:textId="77777777" w:rsidR="00AD204E"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7.</w:t>
            </w:r>
            <w:r w:rsidRPr="00EA66E5">
              <w:rPr>
                <w:color w:val="000000" w:themeColor="text1"/>
                <w:sz w:val="20"/>
              </w:rPr>
              <w:tab/>
              <w:t xml:space="preserve">Fortalecer los sistemas de seguimiento y evaluación de los ecosistemas terrestres, de agua dulce y marinos, entre otras formas mediante la localización de las herramientas disponibles, y facilitar la utilización de nuevas tecnologías para evaluar mejor la eficacia de la gestión, la calidad de la gobernanza, los resultados socioeconómicos, las consideraciones de equidad y los resultados en materia de diversidad biológica, entre otros medios mediante la integración de indicadores desglosados por género. </w:t>
            </w:r>
          </w:p>
          <w:p w14:paraId="54570828"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8.</w:t>
            </w:r>
            <w:r w:rsidRPr="00EA66E5">
              <w:rPr>
                <w:color w:val="000000" w:themeColor="text1"/>
                <w:sz w:val="20"/>
              </w:rPr>
              <w:tab/>
              <w:t>Fortalecer la aplicación de enfoques contemporáneos de la integridad ecológica y la conectividad ecológica en la planificación y gestión de áreas protegidas y conservadas, entre otras formas mediante el diseño y la implementación de redes ecológicas, el diseño de corredores basados en el clima, y la conectividad de sistemas terrestres, de agua dulce y marinos a gran escala.</w:t>
            </w:r>
          </w:p>
          <w:p w14:paraId="29E0CD42" w14:textId="64F85C22" w:rsidR="007D118D"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9.</w:t>
            </w:r>
            <w:r w:rsidRPr="00EA66E5">
              <w:rPr>
                <w:color w:val="000000" w:themeColor="text1"/>
                <w:sz w:val="20"/>
              </w:rPr>
              <w:tab/>
              <w:t>Fortalecer la integración de consideraciones del cambio climático en la planificación y gestión de áreas protegidas y conservadas, para: a) minimizar los efectos del cambio climático y las medidas de respuesta al clima, entre otras formas mediante enfoques de gestión adaptativa y fomento de la resiliencia; y b) integrar las zonas protegidas y conservadas como parte de soluciones basadas en la naturaleza o enfoques basados en los ecosistemas para contribuir a la mitigación del cambio climático, la adaptación a este y la reducción del riesgo de desastres.</w:t>
            </w:r>
          </w:p>
        </w:tc>
        <w:tc>
          <w:tcPr>
            <w:tcW w:w="1700" w:type="dxa"/>
          </w:tcPr>
          <w:p w14:paraId="302F37F1" w14:textId="77777777" w:rsidR="006B20B3" w:rsidRPr="00EA66E5" w:rsidRDefault="00130562" w:rsidP="00E32BCE">
            <w:pPr>
              <w:spacing w:before="40" w:after="40"/>
              <w:rPr>
                <w:color w:val="000000" w:themeColor="text1"/>
                <w:sz w:val="20"/>
                <w:szCs w:val="20"/>
              </w:rPr>
            </w:pPr>
            <w:r w:rsidRPr="00EA66E5">
              <w:rPr>
                <w:color w:val="000000" w:themeColor="text1"/>
                <w:sz w:val="20"/>
              </w:rPr>
              <w:lastRenderedPageBreak/>
              <w:t>Medidas prioritarias</w:t>
            </w:r>
          </w:p>
        </w:tc>
      </w:tr>
      <w:tr w:rsidR="000B4839" w:rsidRPr="00EA66E5" w14:paraId="680BDEDC" w14:textId="77777777" w:rsidTr="000E1292">
        <w:tc>
          <w:tcPr>
            <w:tcW w:w="1842" w:type="dxa"/>
          </w:tcPr>
          <w:p w14:paraId="776E1854" w14:textId="77777777" w:rsidR="006B20B3" w:rsidRPr="00EA66E5" w:rsidRDefault="006B20B3" w:rsidP="00E32BCE">
            <w:pPr>
              <w:spacing w:before="40" w:after="40"/>
              <w:rPr>
                <w:color w:val="000000" w:themeColor="text1"/>
                <w:sz w:val="20"/>
                <w:szCs w:val="20"/>
              </w:rPr>
            </w:pPr>
            <w:r w:rsidRPr="00EA66E5">
              <w:rPr>
                <w:color w:val="000000" w:themeColor="text1"/>
                <w:sz w:val="20"/>
              </w:rPr>
              <w:t>Meta 4</w:t>
            </w:r>
          </w:p>
        </w:tc>
        <w:tc>
          <w:tcPr>
            <w:tcW w:w="5387" w:type="dxa"/>
          </w:tcPr>
          <w:p w14:paraId="55A848B9" w14:textId="6CA6FC3D"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10.</w:t>
            </w:r>
            <w:r w:rsidRPr="00EA66E5">
              <w:rPr>
                <w:color w:val="000000" w:themeColor="text1"/>
                <w:sz w:val="20"/>
              </w:rPr>
              <w:tab/>
              <w:t xml:space="preserve">Integrar la evaluación sistemática del riesgo para las personas y la fauna y flora silvestres en el establecimiento, la expansión y la delimitación de áreas protegidas y conservadas, entre otras formas mediante la aplicación de procesos de evaluación ambiental estratégica y evaluación de los efectos ambientales y sociales, con el fin de prever, </w:t>
            </w:r>
            <w:r w:rsidR="002533DF">
              <w:rPr>
                <w:color w:val="000000" w:themeColor="text1"/>
                <w:sz w:val="20"/>
              </w:rPr>
              <w:t>impedir</w:t>
            </w:r>
            <w:r w:rsidRPr="00EA66E5">
              <w:rPr>
                <w:color w:val="000000" w:themeColor="text1"/>
                <w:sz w:val="20"/>
              </w:rPr>
              <w:t xml:space="preserve"> y mitigar los conflictos entre las personas y la fauna y flora silvestres.</w:t>
            </w:r>
          </w:p>
          <w:p w14:paraId="33FAC4F0" w14:textId="77777777" w:rsidR="000F666F"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11.</w:t>
            </w:r>
            <w:r w:rsidRPr="00EA66E5">
              <w:rPr>
                <w:color w:val="000000" w:themeColor="text1"/>
                <w:sz w:val="20"/>
              </w:rPr>
              <w:tab/>
              <w:t xml:space="preserve">Fortalecer las capacidades de planificación y gestión en áreas protegidas y conservadas, entre otras formas a través de la evaluación participativa de los riesgos, mecanismos de respuesta rápida y enfoques inclusivos de intervención </w:t>
            </w:r>
            <w:r w:rsidRPr="00EA66E5">
              <w:rPr>
                <w:color w:val="000000" w:themeColor="text1"/>
                <w:sz w:val="20"/>
              </w:rPr>
              <w:lastRenderedPageBreak/>
              <w:t>comunitaria para abordar los conflictos entre las personas y la fauna y flora silvestres.</w:t>
            </w:r>
          </w:p>
        </w:tc>
        <w:tc>
          <w:tcPr>
            <w:tcW w:w="1700" w:type="dxa"/>
          </w:tcPr>
          <w:p w14:paraId="3661FBF6"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lastRenderedPageBreak/>
              <w:t>Medidas complementarias (meta parcialmente abordada)</w:t>
            </w:r>
          </w:p>
        </w:tc>
      </w:tr>
      <w:tr w:rsidR="000B4839" w:rsidRPr="00EA66E5" w14:paraId="2B3820CF" w14:textId="77777777" w:rsidTr="000E1292">
        <w:tc>
          <w:tcPr>
            <w:tcW w:w="1842" w:type="dxa"/>
          </w:tcPr>
          <w:p w14:paraId="2A719D9A" w14:textId="77777777" w:rsidR="006B20B3" w:rsidRPr="00EA66E5" w:rsidRDefault="006B20B3" w:rsidP="00E32BCE">
            <w:pPr>
              <w:spacing w:before="40" w:after="40"/>
              <w:rPr>
                <w:color w:val="000000" w:themeColor="text1"/>
                <w:sz w:val="20"/>
                <w:szCs w:val="20"/>
              </w:rPr>
            </w:pPr>
            <w:r w:rsidRPr="00EA66E5">
              <w:rPr>
                <w:color w:val="000000" w:themeColor="text1"/>
                <w:sz w:val="20"/>
              </w:rPr>
              <w:t>Meta 5</w:t>
            </w:r>
          </w:p>
        </w:tc>
        <w:tc>
          <w:tcPr>
            <w:tcW w:w="5387" w:type="dxa"/>
          </w:tcPr>
          <w:p w14:paraId="63B7E433" w14:textId="47BF0783"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12.</w:t>
            </w:r>
            <w:r w:rsidRPr="00EA66E5">
              <w:rPr>
                <w:color w:val="000000" w:themeColor="text1"/>
                <w:sz w:val="20"/>
              </w:rPr>
              <w:tab/>
            </w:r>
            <w:r w:rsidR="003241BB" w:rsidRPr="003241BB">
              <w:rPr>
                <w:color w:val="000000" w:themeColor="text1"/>
                <w:sz w:val="20"/>
              </w:rPr>
              <w:t xml:space="preserve">Proporcionar orientación sobre cómo abordar y gestionar la utilización de especies silvestres dentro de áreas protegidas y conservadas, cuando se produzca dicha utilización, de manera que se mitiguen los riesgos para la diversidad biológica y la salud humana, sea coherente con los objetivos de conservación y delimitación de zonas específicos del lugar y contribuya a abordar la legalidad, sostenibilidad y seguridad de la utilización en todas las etapas pertinentes de la cadena de </w:t>
            </w:r>
            <w:r w:rsidR="00E91868">
              <w:rPr>
                <w:color w:val="000000" w:themeColor="text1"/>
                <w:sz w:val="20"/>
              </w:rPr>
              <w:t>utilización</w:t>
            </w:r>
            <w:r w:rsidR="003241BB" w:rsidRPr="003241BB">
              <w:rPr>
                <w:color w:val="000000" w:themeColor="text1"/>
                <w:sz w:val="20"/>
              </w:rPr>
              <w:t>, entre otras formas mediante la aplicación de marcos de evaluación de riesgos de “Una sola salud”, según proceda</w:t>
            </w:r>
            <w:r w:rsidRPr="00EA66E5">
              <w:rPr>
                <w:color w:val="000000" w:themeColor="text1"/>
                <w:sz w:val="20"/>
              </w:rPr>
              <w:t>.</w:t>
            </w:r>
          </w:p>
        </w:tc>
        <w:tc>
          <w:tcPr>
            <w:tcW w:w="1700" w:type="dxa"/>
          </w:tcPr>
          <w:p w14:paraId="20BA6EC4"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t>Medidas complementarias (meta parcialmente abordada)</w:t>
            </w:r>
          </w:p>
        </w:tc>
      </w:tr>
      <w:tr w:rsidR="000B4839" w:rsidRPr="00EA66E5" w14:paraId="07A04B93" w14:textId="77777777" w:rsidTr="000E1292">
        <w:tc>
          <w:tcPr>
            <w:tcW w:w="1842" w:type="dxa"/>
          </w:tcPr>
          <w:p w14:paraId="234F633E" w14:textId="77777777" w:rsidR="006B20B3" w:rsidRPr="00EA66E5" w:rsidRDefault="006B20B3" w:rsidP="00E32BCE">
            <w:pPr>
              <w:spacing w:before="40" w:after="40"/>
              <w:rPr>
                <w:color w:val="000000" w:themeColor="text1"/>
                <w:sz w:val="20"/>
                <w:szCs w:val="20"/>
              </w:rPr>
            </w:pPr>
            <w:r w:rsidRPr="00EA66E5">
              <w:rPr>
                <w:color w:val="000000" w:themeColor="text1"/>
                <w:sz w:val="20"/>
              </w:rPr>
              <w:t>Meta 6</w:t>
            </w:r>
          </w:p>
        </w:tc>
        <w:tc>
          <w:tcPr>
            <w:tcW w:w="5387" w:type="dxa"/>
          </w:tcPr>
          <w:p w14:paraId="379F0449" w14:textId="348C66FF"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13.</w:t>
            </w:r>
            <w:r w:rsidRPr="00EA66E5">
              <w:rPr>
                <w:color w:val="000000" w:themeColor="text1"/>
                <w:sz w:val="20"/>
              </w:rPr>
              <w:tab/>
            </w:r>
            <w:r w:rsidR="00142001" w:rsidRPr="00EA66E5">
              <w:rPr>
                <w:color w:val="000000" w:themeColor="text1"/>
                <w:sz w:val="20"/>
              </w:rPr>
              <w:t>Fortalecer la prevención</w:t>
            </w:r>
            <w:r w:rsidR="00142001">
              <w:rPr>
                <w:color w:val="000000" w:themeColor="text1"/>
                <w:sz w:val="20"/>
              </w:rPr>
              <w:t xml:space="preserve"> y</w:t>
            </w:r>
            <w:r w:rsidR="00142001" w:rsidRPr="00EA66E5">
              <w:rPr>
                <w:color w:val="000000" w:themeColor="text1"/>
                <w:sz w:val="20"/>
              </w:rPr>
              <w:t xml:space="preserve"> la detección temprana </w:t>
            </w:r>
            <w:r w:rsidR="00142001">
              <w:rPr>
                <w:color w:val="000000" w:themeColor="text1"/>
                <w:sz w:val="20"/>
              </w:rPr>
              <w:t xml:space="preserve">de </w:t>
            </w:r>
            <w:r w:rsidR="00142001" w:rsidRPr="00EA66E5">
              <w:rPr>
                <w:color w:val="000000" w:themeColor="text1"/>
                <w:sz w:val="20"/>
              </w:rPr>
              <w:t xml:space="preserve">especies exóticas invasoras </w:t>
            </w:r>
            <w:r w:rsidR="00142001">
              <w:rPr>
                <w:color w:val="000000" w:themeColor="text1"/>
                <w:sz w:val="20"/>
              </w:rPr>
              <w:t>así como una</w:t>
            </w:r>
            <w:r w:rsidR="00142001" w:rsidRPr="00EA66E5">
              <w:rPr>
                <w:color w:val="000000" w:themeColor="text1"/>
                <w:sz w:val="20"/>
              </w:rPr>
              <w:t xml:space="preserve"> respuesta rápida ante </w:t>
            </w:r>
            <w:r w:rsidR="00142001">
              <w:rPr>
                <w:color w:val="000000" w:themeColor="text1"/>
                <w:sz w:val="20"/>
              </w:rPr>
              <w:t>el</w:t>
            </w:r>
            <w:r w:rsidR="00142001" w:rsidRPr="00EA66E5">
              <w:rPr>
                <w:color w:val="000000" w:themeColor="text1"/>
                <w:sz w:val="20"/>
              </w:rPr>
              <w:t>las, entre otras formas mediante sistemas de seguimiento y vigilancia comunitarios, y medidas de bioseguridad y relacionadas con el comercio</w:t>
            </w:r>
            <w:r w:rsidRPr="00EA66E5">
              <w:rPr>
                <w:color w:val="000000" w:themeColor="text1"/>
                <w:sz w:val="20"/>
              </w:rPr>
              <w:t>.</w:t>
            </w:r>
          </w:p>
        </w:tc>
        <w:tc>
          <w:tcPr>
            <w:tcW w:w="1700" w:type="dxa"/>
          </w:tcPr>
          <w:p w14:paraId="6A743849"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t>Medidas complementarias (meta parcialmente abordada)</w:t>
            </w:r>
          </w:p>
        </w:tc>
      </w:tr>
      <w:tr w:rsidR="000B4839" w:rsidRPr="00EA66E5" w14:paraId="1EF214C2" w14:textId="77777777" w:rsidTr="000E1292">
        <w:tc>
          <w:tcPr>
            <w:tcW w:w="1842" w:type="dxa"/>
          </w:tcPr>
          <w:p w14:paraId="2B7FEDF7" w14:textId="77777777" w:rsidR="006B20B3" w:rsidRPr="00EA66E5" w:rsidRDefault="006B20B3" w:rsidP="00E32BCE">
            <w:pPr>
              <w:spacing w:before="40" w:after="40"/>
              <w:rPr>
                <w:color w:val="000000" w:themeColor="text1"/>
                <w:sz w:val="20"/>
                <w:szCs w:val="20"/>
              </w:rPr>
            </w:pPr>
            <w:r w:rsidRPr="00EA66E5">
              <w:rPr>
                <w:color w:val="000000" w:themeColor="text1"/>
                <w:sz w:val="20"/>
              </w:rPr>
              <w:t>Meta 7</w:t>
            </w:r>
          </w:p>
        </w:tc>
        <w:tc>
          <w:tcPr>
            <w:tcW w:w="5387" w:type="dxa"/>
          </w:tcPr>
          <w:p w14:paraId="65D8F2F9"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14.</w:t>
            </w:r>
            <w:r w:rsidRPr="00EA66E5">
              <w:rPr>
                <w:color w:val="000000" w:themeColor="text1"/>
                <w:sz w:val="20"/>
              </w:rPr>
              <w:tab/>
              <w:t>Abordar las presiones de la contaminación que afectan a las áreas protegidas y conservadas en sistemas terrestres, de agua dulce y marinos, incluidos los procesos de erosión y sedimentación, la contaminación plástica, la utilización y la escorrentía de plaguicidas, los efectos acumulativos y las interacciones entre la tierra y el mar.</w:t>
            </w:r>
          </w:p>
        </w:tc>
        <w:tc>
          <w:tcPr>
            <w:tcW w:w="1700" w:type="dxa"/>
          </w:tcPr>
          <w:p w14:paraId="4EEE16EB"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t xml:space="preserve">Medidas complementarias (meta parcialmente abordada) </w:t>
            </w:r>
          </w:p>
        </w:tc>
      </w:tr>
      <w:tr w:rsidR="000B4839" w:rsidRPr="00EA66E5" w14:paraId="40E30913" w14:textId="77777777" w:rsidTr="000E1292">
        <w:tc>
          <w:tcPr>
            <w:tcW w:w="1842" w:type="dxa"/>
          </w:tcPr>
          <w:p w14:paraId="481312B8" w14:textId="77777777" w:rsidR="006B20B3" w:rsidRPr="00EA66E5" w:rsidRDefault="006B20B3" w:rsidP="00E32BCE">
            <w:pPr>
              <w:spacing w:before="40" w:after="40"/>
              <w:rPr>
                <w:color w:val="000000" w:themeColor="text1"/>
                <w:sz w:val="20"/>
                <w:szCs w:val="20"/>
              </w:rPr>
            </w:pPr>
            <w:r w:rsidRPr="00EA66E5">
              <w:rPr>
                <w:color w:val="000000" w:themeColor="text1"/>
                <w:sz w:val="20"/>
              </w:rPr>
              <w:t>Meta 8</w:t>
            </w:r>
          </w:p>
        </w:tc>
        <w:tc>
          <w:tcPr>
            <w:tcW w:w="5387" w:type="dxa"/>
          </w:tcPr>
          <w:p w14:paraId="1EC1F82F" w14:textId="77777777" w:rsidR="00D95082" w:rsidRPr="00EA66E5" w:rsidRDefault="00FB11FB" w:rsidP="00E32BCE">
            <w:pPr>
              <w:tabs>
                <w:tab w:val="left" w:pos="486"/>
              </w:tabs>
              <w:spacing w:before="40" w:after="40"/>
              <w:ind w:left="61"/>
              <w:jc w:val="left"/>
              <w:rPr>
                <w:rFonts w:eastAsia="Segoe UI"/>
                <w:color w:val="000000" w:themeColor="text1"/>
                <w:sz w:val="20"/>
                <w:szCs w:val="20"/>
              </w:rPr>
            </w:pPr>
            <w:r w:rsidRPr="00EA66E5">
              <w:rPr>
                <w:color w:val="000000" w:themeColor="text1"/>
                <w:sz w:val="20"/>
              </w:rPr>
              <w:t>15.</w:t>
            </w:r>
            <w:r w:rsidRPr="00EA66E5">
              <w:rPr>
                <w:color w:val="000000" w:themeColor="text1"/>
                <w:sz w:val="20"/>
              </w:rPr>
              <w:tab/>
              <w:t>Reforzar la integración de consideraciones relativas al cambio climático en la planificación y la gestión, entre otras formas mediante soluciones basadas en la naturaleza o planteamientos basados en los ecosistemas para enfocar la mitigación, la adaptación y la reducción del riesgo de desastres.</w:t>
            </w:r>
          </w:p>
          <w:p w14:paraId="125AE6AA" w14:textId="5957854C" w:rsidR="006B20B3" w:rsidRPr="00EA66E5" w:rsidRDefault="00FB11FB" w:rsidP="00E32BCE">
            <w:pPr>
              <w:tabs>
                <w:tab w:val="left" w:pos="414"/>
              </w:tabs>
              <w:spacing w:before="40" w:after="40"/>
              <w:ind w:left="36" w:firstLine="4"/>
              <w:jc w:val="left"/>
              <w:rPr>
                <w:color w:val="000000" w:themeColor="text1"/>
                <w:sz w:val="20"/>
                <w:szCs w:val="20"/>
              </w:rPr>
            </w:pPr>
            <w:r w:rsidRPr="00EA66E5">
              <w:rPr>
                <w:color w:val="000000" w:themeColor="text1"/>
                <w:sz w:val="20"/>
              </w:rPr>
              <w:t>16.</w:t>
            </w:r>
            <w:r w:rsidRPr="00EA66E5">
              <w:rPr>
                <w:color w:val="000000" w:themeColor="text1"/>
                <w:sz w:val="20"/>
              </w:rPr>
              <w:tab/>
              <w:t xml:space="preserve">Promover un diseño de sistemas </w:t>
            </w:r>
            <w:r w:rsidR="00142001">
              <w:rPr>
                <w:color w:val="000000" w:themeColor="text1"/>
                <w:sz w:val="20"/>
              </w:rPr>
              <w:t>fundamentado</w:t>
            </w:r>
            <w:r w:rsidRPr="00EA66E5">
              <w:rPr>
                <w:color w:val="000000" w:themeColor="text1"/>
                <w:sz w:val="20"/>
              </w:rPr>
              <w:t xml:space="preserve"> en el clima que sirva para prever los futuros cambios de distribución, entre otras formas localizando los refugios climáticos, los corredores de conectividad y las áreas de importancia futura para la diversidad biológica.</w:t>
            </w:r>
          </w:p>
        </w:tc>
        <w:tc>
          <w:tcPr>
            <w:tcW w:w="1700" w:type="dxa"/>
          </w:tcPr>
          <w:p w14:paraId="444FB517" w14:textId="77777777" w:rsidR="006B20B3" w:rsidRPr="00EA66E5" w:rsidRDefault="000B4839" w:rsidP="00E32BCE">
            <w:pPr>
              <w:spacing w:before="40" w:after="40"/>
              <w:jc w:val="left"/>
              <w:rPr>
                <w:color w:val="000000" w:themeColor="text1"/>
                <w:sz w:val="20"/>
                <w:szCs w:val="20"/>
              </w:rPr>
            </w:pPr>
            <w:r w:rsidRPr="00EA66E5">
              <w:rPr>
                <w:color w:val="000000" w:themeColor="text1"/>
                <w:sz w:val="20"/>
              </w:rPr>
              <w:t xml:space="preserve">Esferas que hay que seguir desarrollando (limitadas o no cubiertas) </w:t>
            </w:r>
          </w:p>
        </w:tc>
      </w:tr>
      <w:tr w:rsidR="000B4839" w:rsidRPr="00EA66E5" w14:paraId="76B2ED38" w14:textId="77777777" w:rsidTr="000E1292">
        <w:tc>
          <w:tcPr>
            <w:tcW w:w="1842" w:type="dxa"/>
          </w:tcPr>
          <w:p w14:paraId="60DFEFF2" w14:textId="77777777" w:rsidR="006B20B3" w:rsidRPr="00EA66E5" w:rsidRDefault="006B20B3" w:rsidP="00E32BCE">
            <w:pPr>
              <w:spacing w:before="40" w:after="40"/>
              <w:rPr>
                <w:color w:val="000000" w:themeColor="text1"/>
                <w:sz w:val="20"/>
                <w:szCs w:val="20"/>
              </w:rPr>
            </w:pPr>
            <w:r w:rsidRPr="00EA66E5">
              <w:rPr>
                <w:color w:val="000000" w:themeColor="text1"/>
                <w:sz w:val="20"/>
              </w:rPr>
              <w:t>Meta 9</w:t>
            </w:r>
          </w:p>
        </w:tc>
        <w:tc>
          <w:tcPr>
            <w:tcW w:w="5387" w:type="dxa"/>
          </w:tcPr>
          <w:p w14:paraId="0A051326"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17.</w:t>
            </w:r>
            <w:r w:rsidRPr="00EA66E5">
              <w:rPr>
                <w:color w:val="000000" w:themeColor="text1"/>
                <w:sz w:val="20"/>
              </w:rPr>
              <w:tab/>
              <w:t>Consolidar las mejores prácticas para productos derivados de la diversidad biológica, servicios, reglamentación comercial y gobernanza participativa que sean sostenibles.</w:t>
            </w:r>
          </w:p>
        </w:tc>
        <w:tc>
          <w:tcPr>
            <w:tcW w:w="1700" w:type="dxa"/>
          </w:tcPr>
          <w:p w14:paraId="7FBC526C"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t>Medidas complementarias (meta parcialmente abordada)</w:t>
            </w:r>
          </w:p>
        </w:tc>
      </w:tr>
      <w:tr w:rsidR="000B4839" w:rsidRPr="00EA66E5" w14:paraId="26AB4BE2" w14:textId="77777777" w:rsidTr="000E1292">
        <w:tc>
          <w:tcPr>
            <w:tcW w:w="1842" w:type="dxa"/>
          </w:tcPr>
          <w:p w14:paraId="49438470" w14:textId="77777777" w:rsidR="006B20B3" w:rsidRPr="00EA66E5" w:rsidRDefault="006B20B3" w:rsidP="00E32BCE">
            <w:pPr>
              <w:spacing w:before="40" w:after="40"/>
              <w:rPr>
                <w:color w:val="000000" w:themeColor="text1"/>
                <w:sz w:val="20"/>
                <w:szCs w:val="20"/>
              </w:rPr>
            </w:pPr>
            <w:r w:rsidRPr="00EA66E5">
              <w:rPr>
                <w:color w:val="000000" w:themeColor="text1"/>
                <w:sz w:val="20"/>
              </w:rPr>
              <w:t>Meta 10</w:t>
            </w:r>
          </w:p>
        </w:tc>
        <w:tc>
          <w:tcPr>
            <w:tcW w:w="5387" w:type="dxa"/>
          </w:tcPr>
          <w:p w14:paraId="3E3CA9B5"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18.</w:t>
            </w:r>
            <w:r w:rsidRPr="00EA66E5">
              <w:rPr>
                <w:color w:val="000000" w:themeColor="text1"/>
                <w:sz w:val="20"/>
              </w:rPr>
              <w:tab/>
              <w:t>Fortalecer la orientación para conseguir que los paisajes de producción gestionados de manera sostenible contribuyan a la conectividad ecológica, las funciones de los ecosistemas y la resiliencia en todos los paisajes terrestres y marinos entre áreas protegidas y conservadas.</w:t>
            </w:r>
          </w:p>
        </w:tc>
        <w:tc>
          <w:tcPr>
            <w:tcW w:w="1700" w:type="dxa"/>
          </w:tcPr>
          <w:p w14:paraId="3847699C" w14:textId="77777777" w:rsidR="006B20B3" w:rsidRPr="00EA66E5" w:rsidRDefault="000B4839" w:rsidP="00E32BCE">
            <w:pPr>
              <w:spacing w:before="40" w:after="40"/>
              <w:jc w:val="left"/>
              <w:rPr>
                <w:color w:val="000000" w:themeColor="text1"/>
                <w:sz w:val="20"/>
                <w:szCs w:val="20"/>
              </w:rPr>
            </w:pPr>
            <w:r w:rsidRPr="00EA66E5">
              <w:rPr>
                <w:color w:val="000000" w:themeColor="text1"/>
                <w:sz w:val="20"/>
              </w:rPr>
              <w:t>Esferas que hay que seguir desarrollando (limitadas o no cubiertas)</w:t>
            </w:r>
          </w:p>
        </w:tc>
      </w:tr>
      <w:tr w:rsidR="000B4839" w:rsidRPr="00EA66E5" w14:paraId="56EE92F8" w14:textId="77777777" w:rsidTr="000E1292">
        <w:tc>
          <w:tcPr>
            <w:tcW w:w="1842" w:type="dxa"/>
          </w:tcPr>
          <w:p w14:paraId="148AD826" w14:textId="77777777" w:rsidR="006B20B3" w:rsidRPr="00EA66E5" w:rsidRDefault="006B20B3" w:rsidP="00E32BCE">
            <w:pPr>
              <w:spacing w:before="40" w:after="40"/>
              <w:rPr>
                <w:color w:val="000000" w:themeColor="text1"/>
                <w:sz w:val="20"/>
                <w:szCs w:val="20"/>
              </w:rPr>
            </w:pPr>
            <w:r w:rsidRPr="00EA66E5">
              <w:rPr>
                <w:color w:val="000000" w:themeColor="text1"/>
                <w:sz w:val="20"/>
              </w:rPr>
              <w:t>Meta 11</w:t>
            </w:r>
          </w:p>
        </w:tc>
        <w:tc>
          <w:tcPr>
            <w:tcW w:w="5387" w:type="dxa"/>
          </w:tcPr>
          <w:p w14:paraId="2D92E261" w14:textId="616E8DF5"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19.</w:t>
            </w:r>
            <w:r w:rsidRPr="00EA66E5">
              <w:rPr>
                <w:color w:val="000000" w:themeColor="text1"/>
                <w:sz w:val="20"/>
              </w:rPr>
              <w:tab/>
              <w:t xml:space="preserve">Recopilar y difundir estudios de casos que pongan de relieve las contribuciones de las </w:t>
            </w:r>
            <w:r w:rsidR="00617604">
              <w:rPr>
                <w:color w:val="000000" w:themeColor="text1"/>
                <w:sz w:val="20"/>
              </w:rPr>
              <w:t>áreas</w:t>
            </w:r>
            <w:r w:rsidRPr="00EA66E5">
              <w:rPr>
                <w:color w:val="000000" w:themeColor="text1"/>
                <w:sz w:val="20"/>
              </w:rPr>
              <w:t xml:space="preserve"> protegidas y conservadas a la resiliencia climática, los servicios de los ecosistemas y el bienestar humano, y promover su integración en estrategias de mitigación del cambio climático y de adaptación a este, entre otras formas mediante soluciones basadas en la naturaleza o enfoques basados en los ecosistemas, y una mejor evaluación de riesgos y alerta temprana para peligros ambientales.</w:t>
            </w:r>
          </w:p>
        </w:tc>
        <w:tc>
          <w:tcPr>
            <w:tcW w:w="1700" w:type="dxa"/>
          </w:tcPr>
          <w:p w14:paraId="77035C08"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t>Medidas complementarias (meta parcialmente abordada)</w:t>
            </w:r>
          </w:p>
        </w:tc>
      </w:tr>
      <w:tr w:rsidR="000B4839" w:rsidRPr="00EA66E5" w14:paraId="7E2C7EFB" w14:textId="77777777" w:rsidTr="000E1292">
        <w:tc>
          <w:tcPr>
            <w:tcW w:w="1842" w:type="dxa"/>
          </w:tcPr>
          <w:p w14:paraId="19891BDF" w14:textId="77777777" w:rsidR="006B20B3" w:rsidRPr="00EA66E5" w:rsidRDefault="006B20B3" w:rsidP="00E32BCE">
            <w:pPr>
              <w:spacing w:before="40" w:after="40"/>
              <w:rPr>
                <w:color w:val="000000" w:themeColor="text1"/>
                <w:sz w:val="20"/>
                <w:szCs w:val="20"/>
              </w:rPr>
            </w:pPr>
            <w:r w:rsidRPr="00EA66E5">
              <w:rPr>
                <w:color w:val="000000" w:themeColor="text1"/>
                <w:sz w:val="20"/>
              </w:rPr>
              <w:lastRenderedPageBreak/>
              <w:t>Meta 12</w:t>
            </w:r>
          </w:p>
        </w:tc>
        <w:tc>
          <w:tcPr>
            <w:tcW w:w="5387" w:type="dxa"/>
          </w:tcPr>
          <w:p w14:paraId="3BFF0371"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20.</w:t>
            </w:r>
            <w:r w:rsidRPr="00EA66E5">
              <w:rPr>
                <w:color w:val="000000" w:themeColor="text1"/>
                <w:sz w:val="20"/>
              </w:rPr>
              <w:tab/>
              <w:t>Integrar las áreas protegidas y conservadas en la planificación urbana y periurbana, entre otras formas mediante infraestructura verde y azul, para mejorar la conectividad ecológica y el acceso equitativo a la naturaleza y para apoyar la salud física y mental y el bienestar.</w:t>
            </w:r>
          </w:p>
        </w:tc>
        <w:tc>
          <w:tcPr>
            <w:tcW w:w="1700" w:type="dxa"/>
          </w:tcPr>
          <w:p w14:paraId="4133E031" w14:textId="77777777" w:rsidR="006B20B3" w:rsidRPr="00EA66E5" w:rsidRDefault="000B4839" w:rsidP="00E32BCE">
            <w:pPr>
              <w:spacing w:before="40" w:after="40"/>
              <w:jc w:val="left"/>
              <w:rPr>
                <w:color w:val="000000" w:themeColor="text1"/>
                <w:sz w:val="20"/>
                <w:szCs w:val="20"/>
              </w:rPr>
            </w:pPr>
            <w:r w:rsidRPr="00EA66E5">
              <w:rPr>
                <w:color w:val="000000" w:themeColor="text1"/>
                <w:sz w:val="20"/>
              </w:rPr>
              <w:t>Esferas que hay que seguir desarrollando (limitadas o no cubiertas)</w:t>
            </w:r>
          </w:p>
        </w:tc>
      </w:tr>
      <w:tr w:rsidR="000B4839" w:rsidRPr="00EA66E5" w14:paraId="73A52099" w14:textId="77777777" w:rsidTr="000E1292">
        <w:tc>
          <w:tcPr>
            <w:tcW w:w="1842" w:type="dxa"/>
          </w:tcPr>
          <w:p w14:paraId="0C105275" w14:textId="77777777" w:rsidR="006B20B3" w:rsidRPr="00EA66E5" w:rsidRDefault="006B20B3" w:rsidP="00E32BCE">
            <w:pPr>
              <w:spacing w:before="40" w:after="40"/>
              <w:rPr>
                <w:color w:val="000000" w:themeColor="text1"/>
                <w:sz w:val="20"/>
                <w:szCs w:val="20"/>
              </w:rPr>
            </w:pPr>
            <w:r w:rsidRPr="00EA66E5">
              <w:rPr>
                <w:color w:val="000000" w:themeColor="text1"/>
                <w:sz w:val="20"/>
              </w:rPr>
              <w:t>Meta 13</w:t>
            </w:r>
          </w:p>
        </w:tc>
        <w:tc>
          <w:tcPr>
            <w:tcW w:w="5387" w:type="dxa"/>
          </w:tcPr>
          <w:p w14:paraId="6937FBF0"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21.</w:t>
            </w:r>
            <w:r w:rsidRPr="00EA66E5">
              <w:rPr>
                <w:color w:val="000000" w:themeColor="text1"/>
                <w:sz w:val="20"/>
              </w:rPr>
              <w:tab/>
              <w:t>No se han determinado medidas específicas (armonización limitada o nula).</w:t>
            </w:r>
          </w:p>
        </w:tc>
        <w:tc>
          <w:tcPr>
            <w:tcW w:w="1700" w:type="dxa"/>
          </w:tcPr>
          <w:p w14:paraId="23C91130" w14:textId="77777777" w:rsidR="006B20B3" w:rsidRPr="00EA66E5" w:rsidRDefault="00932771" w:rsidP="00E32BCE">
            <w:pPr>
              <w:spacing w:before="40" w:after="40"/>
              <w:rPr>
                <w:color w:val="000000" w:themeColor="text1"/>
                <w:sz w:val="20"/>
                <w:szCs w:val="20"/>
              </w:rPr>
            </w:pPr>
            <w:r w:rsidRPr="00EA66E5">
              <w:rPr>
                <w:color w:val="000000" w:themeColor="text1"/>
                <w:sz w:val="20"/>
              </w:rPr>
              <w:t>No es pertinente</w:t>
            </w:r>
          </w:p>
        </w:tc>
      </w:tr>
      <w:tr w:rsidR="000B4839" w:rsidRPr="00EA66E5" w14:paraId="063ECCD8" w14:textId="77777777" w:rsidTr="000E1292">
        <w:tc>
          <w:tcPr>
            <w:tcW w:w="1842" w:type="dxa"/>
          </w:tcPr>
          <w:p w14:paraId="20E07656" w14:textId="77777777" w:rsidR="006B20B3" w:rsidRPr="00EA66E5" w:rsidRDefault="006B20B3" w:rsidP="00E32BCE">
            <w:pPr>
              <w:spacing w:before="40" w:after="40"/>
              <w:rPr>
                <w:color w:val="000000" w:themeColor="text1"/>
                <w:sz w:val="20"/>
                <w:szCs w:val="20"/>
              </w:rPr>
            </w:pPr>
            <w:r w:rsidRPr="00EA66E5">
              <w:rPr>
                <w:color w:val="000000" w:themeColor="text1"/>
                <w:sz w:val="20"/>
              </w:rPr>
              <w:t>Meta 14</w:t>
            </w:r>
          </w:p>
        </w:tc>
        <w:tc>
          <w:tcPr>
            <w:tcW w:w="5387" w:type="dxa"/>
          </w:tcPr>
          <w:p w14:paraId="5E287252"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22.</w:t>
            </w:r>
            <w:r w:rsidRPr="00EA66E5">
              <w:rPr>
                <w:color w:val="000000" w:themeColor="text1"/>
                <w:sz w:val="20"/>
              </w:rPr>
              <w:tab/>
              <w:t>Integrar las áreas protegidas y conservadas en políticas, legislación, planificación y procesos de desarrollo intersectoriales a todos los niveles.</w:t>
            </w:r>
          </w:p>
        </w:tc>
        <w:tc>
          <w:tcPr>
            <w:tcW w:w="1700" w:type="dxa"/>
          </w:tcPr>
          <w:p w14:paraId="50B68CA7" w14:textId="77777777" w:rsidR="006B20B3" w:rsidRPr="00EA66E5" w:rsidRDefault="00AB4712" w:rsidP="00E32BCE">
            <w:pPr>
              <w:spacing w:before="40" w:after="40"/>
              <w:jc w:val="left"/>
              <w:rPr>
                <w:color w:val="000000" w:themeColor="text1"/>
                <w:sz w:val="20"/>
                <w:szCs w:val="20"/>
              </w:rPr>
            </w:pPr>
            <w:r w:rsidRPr="00EA66E5">
              <w:rPr>
                <w:color w:val="000000" w:themeColor="text1"/>
                <w:sz w:val="20"/>
              </w:rPr>
              <w:t>Medidas complementarias (meta parcialmente abordada)</w:t>
            </w:r>
          </w:p>
        </w:tc>
      </w:tr>
      <w:tr w:rsidR="000B4839" w:rsidRPr="00EA66E5" w14:paraId="0150EAF7" w14:textId="77777777" w:rsidTr="000E1292">
        <w:tc>
          <w:tcPr>
            <w:tcW w:w="1842" w:type="dxa"/>
          </w:tcPr>
          <w:p w14:paraId="32453CB5" w14:textId="77777777" w:rsidR="006B20B3" w:rsidRPr="00EA66E5" w:rsidRDefault="006B20B3" w:rsidP="00E32BCE">
            <w:pPr>
              <w:spacing w:before="40" w:after="40"/>
              <w:rPr>
                <w:color w:val="000000" w:themeColor="text1"/>
                <w:sz w:val="20"/>
                <w:szCs w:val="20"/>
              </w:rPr>
            </w:pPr>
            <w:r w:rsidRPr="00EA66E5">
              <w:rPr>
                <w:color w:val="000000" w:themeColor="text1"/>
                <w:sz w:val="20"/>
              </w:rPr>
              <w:t>Meta 15</w:t>
            </w:r>
          </w:p>
        </w:tc>
        <w:tc>
          <w:tcPr>
            <w:tcW w:w="5387" w:type="dxa"/>
          </w:tcPr>
          <w:p w14:paraId="2536B51C" w14:textId="77777777" w:rsidR="00A16E5E"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23.</w:t>
            </w:r>
            <w:r w:rsidRPr="00EA66E5">
              <w:rPr>
                <w:color w:val="000000" w:themeColor="text1"/>
                <w:sz w:val="20"/>
              </w:rPr>
              <w:tab/>
              <w:t>Apoyar y promover la toma de medidas jurídicas, administrativas o normativas que alienten y permitan a las empresas y las instituciones financieras evaluar, divulgar y reducir progresivamente los riesgos, dependencias y efectos relacionados con la diversidad biológica que afectan a las áreas protegidas y conservadas, entre otros ámbitos en sus operaciones, cadenas de suministro y de valor y sus carteras.</w:t>
            </w:r>
          </w:p>
          <w:p w14:paraId="3ECEC658" w14:textId="77777777" w:rsidR="00670DD8" w:rsidRPr="00EA66E5" w:rsidRDefault="00FB11FB" w:rsidP="00E32BCE">
            <w:pPr>
              <w:tabs>
                <w:tab w:val="left" w:pos="486"/>
              </w:tabs>
              <w:spacing w:before="40" w:after="40"/>
              <w:ind w:left="61"/>
              <w:jc w:val="left"/>
            </w:pPr>
            <w:r w:rsidRPr="00EA66E5">
              <w:rPr>
                <w:color w:val="000000" w:themeColor="text1"/>
                <w:sz w:val="20"/>
              </w:rPr>
              <w:t>24.</w:t>
            </w:r>
            <w:r w:rsidRPr="00EA66E5">
              <w:rPr>
                <w:color w:val="000000" w:themeColor="text1"/>
                <w:sz w:val="20"/>
              </w:rPr>
              <w:tab/>
              <w:t>Facilitar una dirección más clara en lo que se refiere a la intervención voluntaria de los agentes financieros y el sector privado en las áreas protegidas y conservadas.</w:t>
            </w:r>
          </w:p>
        </w:tc>
        <w:tc>
          <w:tcPr>
            <w:tcW w:w="1700" w:type="dxa"/>
          </w:tcPr>
          <w:p w14:paraId="1D9BE946" w14:textId="77777777" w:rsidR="006B20B3" w:rsidRPr="00EA66E5" w:rsidRDefault="00797633" w:rsidP="00E32BCE">
            <w:pPr>
              <w:spacing w:before="40" w:after="40"/>
              <w:jc w:val="left"/>
              <w:rPr>
                <w:color w:val="000000" w:themeColor="text1"/>
                <w:sz w:val="20"/>
                <w:szCs w:val="20"/>
              </w:rPr>
            </w:pPr>
            <w:r w:rsidRPr="00EA66E5">
              <w:rPr>
                <w:color w:val="000000" w:themeColor="text1"/>
                <w:sz w:val="20"/>
              </w:rPr>
              <w:t>Medidas complementarias (meta parcialmente abordada)</w:t>
            </w:r>
          </w:p>
        </w:tc>
      </w:tr>
      <w:tr w:rsidR="000B4839" w:rsidRPr="00EA66E5" w14:paraId="72A8EBFA" w14:textId="77777777" w:rsidTr="000E1292">
        <w:tc>
          <w:tcPr>
            <w:tcW w:w="1842" w:type="dxa"/>
          </w:tcPr>
          <w:p w14:paraId="1852B29E" w14:textId="77777777" w:rsidR="006B20B3" w:rsidRPr="00EA66E5" w:rsidRDefault="006B20B3" w:rsidP="00E32BCE">
            <w:pPr>
              <w:spacing w:before="40" w:after="40"/>
              <w:rPr>
                <w:color w:val="000000" w:themeColor="text1"/>
                <w:sz w:val="20"/>
                <w:szCs w:val="20"/>
              </w:rPr>
            </w:pPr>
            <w:r w:rsidRPr="00EA66E5">
              <w:rPr>
                <w:color w:val="000000" w:themeColor="text1"/>
                <w:sz w:val="20"/>
              </w:rPr>
              <w:t>Meta 16</w:t>
            </w:r>
          </w:p>
        </w:tc>
        <w:tc>
          <w:tcPr>
            <w:tcW w:w="5387" w:type="dxa"/>
          </w:tcPr>
          <w:p w14:paraId="379B034F"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25.</w:t>
            </w:r>
            <w:r w:rsidRPr="00EA66E5">
              <w:rPr>
                <w:color w:val="000000" w:themeColor="text1"/>
                <w:sz w:val="20"/>
              </w:rPr>
              <w:tab/>
              <w:t>Promover sinergias entre las políticas y medidas tomadas para proteger y conservar la diversidad biológica y las políticas y medidas que permitan opciones de consumo sostenibles, entre otras formas mediante marcos normativos coherentes, educación, acceso a información fiable y enfoques específicos de cada sector, como la gestión del turismo sostenible, que contribuyan a reducir las huellas del consumo y la generación de desechos.</w:t>
            </w:r>
          </w:p>
        </w:tc>
        <w:tc>
          <w:tcPr>
            <w:tcW w:w="1700" w:type="dxa"/>
          </w:tcPr>
          <w:p w14:paraId="50DABD9C" w14:textId="77777777" w:rsidR="006B20B3" w:rsidRPr="00EA66E5" w:rsidRDefault="000B4839" w:rsidP="00E32BCE">
            <w:pPr>
              <w:spacing w:before="40" w:after="40"/>
              <w:jc w:val="left"/>
              <w:rPr>
                <w:color w:val="000000" w:themeColor="text1"/>
                <w:sz w:val="20"/>
                <w:szCs w:val="20"/>
              </w:rPr>
            </w:pPr>
            <w:r w:rsidRPr="00EA66E5">
              <w:rPr>
                <w:color w:val="000000" w:themeColor="text1"/>
                <w:sz w:val="20"/>
              </w:rPr>
              <w:t>Esferas que hay que seguir desarrollando (limitadas o no cubiertas)</w:t>
            </w:r>
          </w:p>
        </w:tc>
      </w:tr>
      <w:tr w:rsidR="000B4839" w:rsidRPr="00EA66E5" w14:paraId="04E53C3D" w14:textId="77777777" w:rsidTr="000E1292">
        <w:tc>
          <w:tcPr>
            <w:tcW w:w="1842" w:type="dxa"/>
          </w:tcPr>
          <w:p w14:paraId="5571BBA6" w14:textId="77777777" w:rsidR="006B20B3" w:rsidRPr="00EA66E5" w:rsidRDefault="006B20B3" w:rsidP="00E32BCE">
            <w:pPr>
              <w:spacing w:before="40" w:after="40"/>
              <w:rPr>
                <w:color w:val="000000" w:themeColor="text1"/>
                <w:sz w:val="20"/>
                <w:szCs w:val="20"/>
              </w:rPr>
            </w:pPr>
            <w:r w:rsidRPr="00EA66E5">
              <w:rPr>
                <w:color w:val="000000" w:themeColor="text1"/>
                <w:sz w:val="20"/>
              </w:rPr>
              <w:t>Meta 17</w:t>
            </w:r>
          </w:p>
        </w:tc>
        <w:tc>
          <w:tcPr>
            <w:tcW w:w="5387" w:type="dxa"/>
          </w:tcPr>
          <w:p w14:paraId="0738A374"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26.</w:t>
            </w:r>
            <w:r w:rsidRPr="00EA66E5">
              <w:rPr>
                <w:color w:val="000000" w:themeColor="text1"/>
                <w:sz w:val="20"/>
              </w:rPr>
              <w:tab/>
              <w:t>No se han determinado medidas concretas (armonización limitada o nula).</w:t>
            </w:r>
          </w:p>
        </w:tc>
        <w:tc>
          <w:tcPr>
            <w:tcW w:w="1700" w:type="dxa"/>
          </w:tcPr>
          <w:p w14:paraId="22E34BF2" w14:textId="77777777" w:rsidR="006B20B3" w:rsidRPr="00EA66E5" w:rsidRDefault="00932771" w:rsidP="00E32BCE">
            <w:pPr>
              <w:spacing w:before="40" w:after="40"/>
              <w:rPr>
                <w:color w:val="000000" w:themeColor="text1"/>
                <w:sz w:val="20"/>
                <w:szCs w:val="20"/>
              </w:rPr>
            </w:pPr>
            <w:r w:rsidRPr="00EA66E5">
              <w:rPr>
                <w:color w:val="000000" w:themeColor="text1"/>
                <w:sz w:val="20"/>
              </w:rPr>
              <w:t xml:space="preserve">No es pertinente </w:t>
            </w:r>
          </w:p>
        </w:tc>
      </w:tr>
      <w:tr w:rsidR="000B4839" w:rsidRPr="00EA66E5" w14:paraId="3BD9911F" w14:textId="77777777" w:rsidTr="000E1292">
        <w:tc>
          <w:tcPr>
            <w:tcW w:w="1842" w:type="dxa"/>
          </w:tcPr>
          <w:p w14:paraId="6944A1E9" w14:textId="77777777" w:rsidR="006B20B3" w:rsidRPr="00EA66E5" w:rsidRDefault="006B20B3" w:rsidP="00E32BCE">
            <w:pPr>
              <w:spacing w:before="40" w:after="40"/>
              <w:rPr>
                <w:color w:val="000000" w:themeColor="text1"/>
                <w:sz w:val="20"/>
                <w:szCs w:val="20"/>
              </w:rPr>
            </w:pPr>
            <w:r w:rsidRPr="00EA66E5">
              <w:rPr>
                <w:color w:val="000000" w:themeColor="text1"/>
                <w:sz w:val="20"/>
              </w:rPr>
              <w:t>Meta 18</w:t>
            </w:r>
          </w:p>
        </w:tc>
        <w:tc>
          <w:tcPr>
            <w:tcW w:w="5387" w:type="dxa"/>
          </w:tcPr>
          <w:p w14:paraId="090458DD"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27.</w:t>
            </w:r>
            <w:r w:rsidRPr="00EA66E5">
              <w:rPr>
                <w:color w:val="000000" w:themeColor="text1"/>
                <w:sz w:val="20"/>
              </w:rPr>
              <w:tab/>
              <w:t>No se han determinado medidas específicas (armonización limitada o nula).</w:t>
            </w:r>
          </w:p>
        </w:tc>
        <w:tc>
          <w:tcPr>
            <w:tcW w:w="1700" w:type="dxa"/>
          </w:tcPr>
          <w:p w14:paraId="06D1DB5F" w14:textId="77777777" w:rsidR="006B20B3" w:rsidRPr="00EA66E5" w:rsidRDefault="00932771" w:rsidP="00E32BCE">
            <w:pPr>
              <w:spacing w:before="40" w:after="40"/>
              <w:rPr>
                <w:color w:val="000000" w:themeColor="text1"/>
                <w:sz w:val="20"/>
                <w:szCs w:val="20"/>
              </w:rPr>
            </w:pPr>
            <w:r w:rsidRPr="00EA66E5">
              <w:rPr>
                <w:color w:val="000000" w:themeColor="text1"/>
                <w:sz w:val="20"/>
              </w:rPr>
              <w:t>No es pertinente</w:t>
            </w:r>
          </w:p>
        </w:tc>
      </w:tr>
      <w:tr w:rsidR="000B4839" w:rsidRPr="00EA66E5" w14:paraId="7C999095" w14:textId="77777777" w:rsidTr="000E1292">
        <w:tc>
          <w:tcPr>
            <w:tcW w:w="1842" w:type="dxa"/>
          </w:tcPr>
          <w:p w14:paraId="24A1224A" w14:textId="77777777" w:rsidR="006B20B3" w:rsidRPr="00EA66E5" w:rsidRDefault="006B20B3" w:rsidP="00E32BCE">
            <w:pPr>
              <w:spacing w:before="40" w:after="40"/>
              <w:rPr>
                <w:color w:val="000000" w:themeColor="text1"/>
                <w:sz w:val="20"/>
                <w:szCs w:val="20"/>
              </w:rPr>
            </w:pPr>
            <w:r w:rsidRPr="00EA66E5">
              <w:rPr>
                <w:color w:val="000000" w:themeColor="text1"/>
                <w:sz w:val="20"/>
              </w:rPr>
              <w:t>Meta 19</w:t>
            </w:r>
          </w:p>
        </w:tc>
        <w:tc>
          <w:tcPr>
            <w:tcW w:w="5387" w:type="dxa"/>
          </w:tcPr>
          <w:p w14:paraId="54AD240F" w14:textId="77777777" w:rsidR="003D1523" w:rsidRPr="00EA66E5" w:rsidRDefault="00FB11FB" w:rsidP="00E32BCE">
            <w:pPr>
              <w:tabs>
                <w:tab w:val="left" w:pos="487"/>
              </w:tabs>
              <w:spacing w:before="40" w:after="40"/>
              <w:ind w:left="61"/>
              <w:jc w:val="left"/>
              <w:rPr>
                <w:color w:val="000000" w:themeColor="text1"/>
                <w:sz w:val="20"/>
                <w:szCs w:val="20"/>
              </w:rPr>
            </w:pPr>
            <w:r w:rsidRPr="00EA66E5">
              <w:rPr>
                <w:color w:val="000000" w:themeColor="text1"/>
                <w:sz w:val="20"/>
              </w:rPr>
              <w:t>28.</w:t>
            </w:r>
            <w:r w:rsidRPr="00EA66E5">
              <w:rPr>
                <w:color w:val="000000" w:themeColor="text1"/>
                <w:sz w:val="20"/>
              </w:rPr>
              <w:tab/>
              <w:t>Promover la detección de: a) recursos financieros para áreas protegidas y conservadas, entre otras formas mediante enfoques financieros sostenibles, para movilizar financiación privada y otros tipos de financiación no pública; y b) mecanismos innovadores de apoyo a una aplicación eficaz.</w:t>
            </w:r>
          </w:p>
          <w:p w14:paraId="114D2F9D" w14:textId="19BEBBDB" w:rsidR="003D152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29.</w:t>
            </w:r>
            <w:r w:rsidRPr="00EA66E5">
              <w:rPr>
                <w:color w:val="000000" w:themeColor="text1"/>
                <w:sz w:val="20"/>
              </w:rPr>
              <w:tab/>
              <w:t>Promover la financiación directa y accesible para pueblos indígenas y comunidades locales.</w:t>
            </w:r>
          </w:p>
        </w:tc>
        <w:tc>
          <w:tcPr>
            <w:tcW w:w="1700" w:type="dxa"/>
          </w:tcPr>
          <w:p w14:paraId="59285D8B" w14:textId="77777777" w:rsidR="006B20B3" w:rsidRPr="00EA66E5" w:rsidRDefault="000B2C5F" w:rsidP="00E32BCE">
            <w:pPr>
              <w:spacing w:before="40" w:after="40"/>
              <w:rPr>
                <w:color w:val="000000" w:themeColor="text1"/>
                <w:sz w:val="20"/>
                <w:szCs w:val="20"/>
              </w:rPr>
            </w:pPr>
            <w:r w:rsidRPr="00EA66E5">
              <w:rPr>
                <w:color w:val="000000" w:themeColor="text1"/>
                <w:sz w:val="20"/>
              </w:rPr>
              <w:t>Medidas prioritarias</w:t>
            </w:r>
          </w:p>
        </w:tc>
      </w:tr>
      <w:tr w:rsidR="000B4839" w:rsidRPr="00EA66E5" w14:paraId="66644326" w14:textId="77777777" w:rsidTr="000E1292">
        <w:tc>
          <w:tcPr>
            <w:tcW w:w="1842" w:type="dxa"/>
          </w:tcPr>
          <w:p w14:paraId="2A4CA455" w14:textId="77777777" w:rsidR="006B20B3" w:rsidRPr="00EA66E5" w:rsidRDefault="006B20B3" w:rsidP="00E32BCE">
            <w:pPr>
              <w:spacing w:before="40" w:after="40"/>
              <w:rPr>
                <w:color w:val="000000" w:themeColor="text1"/>
                <w:sz w:val="20"/>
                <w:szCs w:val="20"/>
              </w:rPr>
            </w:pPr>
            <w:r w:rsidRPr="00EA66E5">
              <w:rPr>
                <w:color w:val="000000" w:themeColor="text1"/>
                <w:sz w:val="20"/>
              </w:rPr>
              <w:t>Meta 20</w:t>
            </w:r>
          </w:p>
        </w:tc>
        <w:tc>
          <w:tcPr>
            <w:tcW w:w="5387" w:type="dxa"/>
          </w:tcPr>
          <w:p w14:paraId="594922A0"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30.</w:t>
            </w:r>
            <w:r w:rsidRPr="00EA66E5">
              <w:rPr>
                <w:color w:val="000000" w:themeColor="text1"/>
                <w:sz w:val="20"/>
              </w:rPr>
              <w:tab/>
              <w:t>Fortalecer la creación de capacidad, la cooperación técnica y científica y la transferencia de tecnología para áreas protegidas y conservadas en lo que respecta, por ejemplo, a las nuevas tecnologías y el apoyo institucional para la mano de obra que trabaja en la conservación, entre ellos los guardas forestales y otro personal pertinente.</w:t>
            </w:r>
          </w:p>
        </w:tc>
        <w:tc>
          <w:tcPr>
            <w:tcW w:w="1700" w:type="dxa"/>
          </w:tcPr>
          <w:p w14:paraId="65C2347B" w14:textId="77777777" w:rsidR="006B20B3" w:rsidRPr="00EA66E5" w:rsidRDefault="00377C5B" w:rsidP="00E32BCE">
            <w:pPr>
              <w:spacing w:before="40" w:after="40"/>
              <w:jc w:val="left"/>
              <w:rPr>
                <w:color w:val="000000" w:themeColor="text1"/>
                <w:sz w:val="20"/>
                <w:szCs w:val="20"/>
              </w:rPr>
            </w:pPr>
            <w:r w:rsidRPr="00EA66E5">
              <w:rPr>
                <w:color w:val="000000" w:themeColor="text1"/>
                <w:sz w:val="20"/>
              </w:rPr>
              <w:t>Medidas prioritarias</w:t>
            </w:r>
          </w:p>
        </w:tc>
      </w:tr>
      <w:tr w:rsidR="000B4839" w:rsidRPr="00EA66E5" w14:paraId="3B84A389" w14:textId="77777777" w:rsidTr="000E1292">
        <w:tc>
          <w:tcPr>
            <w:tcW w:w="1842" w:type="dxa"/>
          </w:tcPr>
          <w:p w14:paraId="2F70FB4C" w14:textId="77777777" w:rsidR="006B20B3" w:rsidRPr="00EA66E5" w:rsidRDefault="006B20B3" w:rsidP="00E32BCE">
            <w:pPr>
              <w:spacing w:before="40" w:after="40"/>
              <w:rPr>
                <w:color w:val="000000" w:themeColor="text1"/>
                <w:sz w:val="20"/>
                <w:szCs w:val="20"/>
              </w:rPr>
            </w:pPr>
            <w:r w:rsidRPr="00EA66E5">
              <w:rPr>
                <w:color w:val="000000" w:themeColor="text1"/>
                <w:sz w:val="20"/>
              </w:rPr>
              <w:t>Meta 21</w:t>
            </w:r>
          </w:p>
        </w:tc>
        <w:tc>
          <w:tcPr>
            <w:tcW w:w="5387" w:type="dxa"/>
          </w:tcPr>
          <w:p w14:paraId="1C655B11" w14:textId="77777777"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31.</w:t>
            </w:r>
            <w:r w:rsidRPr="00EA66E5">
              <w:rPr>
                <w:color w:val="000000" w:themeColor="text1"/>
                <w:sz w:val="20"/>
              </w:rPr>
              <w:tab/>
              <w:t xml:space="preserve">Reforzar la aplicación de los avances en el seguimiento de la diversidad biológica, la gestión de datos y el intercambio de conocimientos mediante la creación de capacidad específica </w:t>
            </w:r>
            <w:r w:rsidRPr="00EA66E5">
              <w:rPr>
                <w:color w:val="000000" w:themeColor="text1"/>
                <w:sz w:val="20"/>
              </w:rPr>
              <w:lastRenderedPageBreak/>
              <w:t>para la presentación de informes y la utilización de tecnología, incluida la teledetección, para mejorar el seguimiento, la evaluación y la toma de decisiones.</w:t>
            </w:r>
          </w:p>
        </w:tc>
        <w:tc>
          <w:tcPr>
            <w:tcW w:w="1700" w:type="dxa"/>
          </w:tcPr>
          <w:p w14:paraId="77636773"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lastRenderedPageBreak/>
              <w:t xml:space="preserve">Medidas complementarias (meta </w:t>
            </w:r>
            <w:r w:rsidRPr="00EA66E5">
              <w:rPr>
                <w:color w:val="000000" w:themeColor="text1"/>
                <w:sz w:val="20"/>
              </w:rPr>
              <w:lastRenderedPageBreak/>
              <w:t>parcialmente abordada)</w:t>
            </w:r>
          </w:p>
        </w:tc>
      </w:tr>
      <w:tr w:rsidR="000B4839" w:rsidRPr="00EA66E5" w14:paraId="4E153BD8" w14:textId="77777777" w:rsidTr="000E1292">
        <w:tc>
          <w:tcPr>
            <w:tcW w:w="1842" w:type="dxa"/>
          </w:tcPr>
          <w:p w14:paraId="6A8282E1" w14:textId="77777777" w:rsidR="006B20B3" w:rsidRPr="00EA66E5" w:rsidRDefault="006B20B3" w:rsidP="00E32BCE">
            <w:pPr>
              <w:spacing w:before="40" w:after="40"/>
              <w:rPr>
                <w:color w:val="000000" w:themeColor="text1"/>
                <w:sz w:val="20"/>
                <w:szCs w:val="20"/>
              </w:rPr>
            </w:pPr>
            <w:r w:rsidRPr="00EA66E5">
              <w:rPr>
                <w:color w:val="000000" w:themeColor="text1"/>
                <w:sz w:val="20"/>
              </w:rPr>
              <w:lastRenderedPageBreak/>
              <w:t xml:space="preserve">Meta 22 </w:t>
            </w:r>
          </w:p>
        </w:tc>
        <w:tc>
          <w:tcPr>
            <w:tcW w:w="5387" w:type="dxa"/>
          </w:tcPr>
          <w:p w14:paraId="2BE3CFDA" w14:textId="033BEB24"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32.</w:t>
            </w:r>
            <w:r w:rsidRPr="00EA66E5">
              <w:rPr>
                <w:color w:val="000000" w:themeColor="text1"/>
                <w:sz w:val="20"/>
              </w:rPr>
              <w:tab/>
              <w:t>Fortalecer el acceso a información y la participación en la toma de decisiones relacionadas con áreas protegidas y conservadas, entre otras formas mediante la promoción de un enfoque basado en los derechos humanos, y la participación efectiva de los pueblos indígenas y las comunidades locales.</w:t>
            </w:r>
          </w:p>
        </w:tc>
        <w:tc>
          <w:tcPr>
            <w:tcW w:w="1700" w:type="dxa"/>
          </w:tcPr>
          <w:p w14:paraId="5DA99710" w14:textId="77777777" w:rsidR="006B20B3" w:rsidRPr="00EA66E5" w:rsidRDefault="00BC5065" w:rsidP="00E32BCE">
            <w:pPr>
              <w:spacing w:before="40" w:after="40"/>
              <w:jc w:val="left"/>
              <w:rPr>
                <w:color w:val="000000" w:themeColor="text1"/>
                <w:sz w:val="20"/>
                <w:szCs w:val="20"/>
              </w:rPr>
            </w:pPr>
            <w:r w:rsidRPr="00EA66E5">
              <w:rPr>
                <w:color w:val="000000" w:themeColor="text1"/>
                <w:sz w:val="20"/>
              </w:rPr>
              <w:t>Medidas complementarias (meta parcialmente abordada)</w:t>
            </w:r>
          </w:p>
        </w:tc>
      </w:tr>
      <w:tr w:rsidR="000B4839" w:rsidRPr="00EA66E5" w14:paraId="25FCF281" w14:textId="77777777" w:rsidTr="000E1292">
        <w:tc>
          <w:tcPr>
            <w:tcW w:w="1842" w:type="dxa"/>
          </w:tcPr>
          <w:p w14:paraId="1FA5B10D" w14:textId="77777777" w:rsidR="006B20B3" w:rsidRPr="00EA66E5" w:rsidRDefault="006B20B3" w:rsidP="00E32BCE">
            <w:pPr>
              <w:spacing w:before="40" w:after="40"/>
              <w:rPr>
                <w:color w:val="000000" w:themeColor="text1"/>
                <w:sz w:val="20"/>
                <w:szCs w:val="20"/>
              </w:rPr>
            </w:pPr>
            <w:r w:rsidRPr="00EA66E5">
              <w:rPr>
                <w:color w:val="000000" w:themeColor="text1"/>
                <w:sz w:val="20"/>
              </w:rPr>
              <w:t>Meta 23</w:t>
            </w:r>
          </w:p>
        </w:tc>
        <w:tc>
          <w:tcPr>
            <w:tcW w:w="5387" w:type="dxa"/>
          </w:tcPr>
          <w:p w14:paraId="3286028F" w14:textId="674DB896" w:rsidR="006B20B3" w:rsidRPr="00EA66E5" w:rsidRDefault="00FB11FB" w:rsidP="00E32BCE">
            <w:pPr>
              <w:tabs>
                <w:tab w:val="left" w:pos="486"/>
              </w:tabs>
              <w:spacing w:before="40" w:after="40"/>
              <w:ind w:left="61"/>
              <w:jc w:val="left"/>
              <w:rPr>
                <w:color w:val="000000" w:themeColor="text1"/>
                <w:sz w:val="20"/>
                <w:szCs w:val="20"/>
              </w:rPr>
            </w:pPr>
            <w:r w:rsidRPr="00EA66E5">
              <w:rPr>
                <w:color w:val="000000" w:themeColor="text1"/>
                <w:sz w:val="20"/>
              </w:rPr>
              <w:t>33.</w:t>
            </w:r>
            <w:r w:rsidRPr="00EA66E5">
              <w:rPr>
                <w:color w:val="000000" w:themeColor="text1"/>
                <w:sz w:val="20"/>
              </w:rPr>
              <w:tab/>
            </w:r>
            <w:r w:rsidRPr="00617604">
              <w:rPr>
                <w:color w:val="000000" w:themeColor="text1"/>
                <w:sz w:val="20"/>
              </w:rPr>
              <w:t xml:space="preserve">Promover la igualdad de género e integrar un enfoque que tenga en cuenta las cuestiones de género en todo el </w:t>
            </w:r>
            <w:r w:rsidR="00736AD0">
              <w:rPr>
                <w:color w:val="000000" w:themeColor="text1"/>
                <w:sz w:val="20"/>
              </w:rPr>
              <w:t>programa de trabajo sobre áreas protegidas y conservadas</w:t>
            </w:r>
            <w:r w:rsidRPr="00617604">
              <w:rPr>
                <w:color w:val="000000" w:themeColor="text1"/>
                <w:sz w:val="20"/>
              </w:rPr>
              <w:t>.</w:t>
            </w:r>
          </w:p>
        </w:tc>
        <w:tc>
          <w:tcPr>
            <w:tcW w:w="1700" w:type="dxa"/>
          </w:tcPr>
          <w:p w14:paraId="5A1D02B0" w14:textId="77777777" w:rsidR="006B20B3" w:rsidRPr="00EA66E5" w:rsidRDefault="006B20B3" w:rsidP="00E32BCE">
            <w:pPr>
              <w:spacing w:before="40" w:after="40"/>
              <w:jc w:val="left"/>
              <w:rPr>
                <w:color w:val="000000" w:themeColor="text1"/>
                <w:sz w:val="20"/>
                <w:szCs w:val="20"/>
              </w:rPr>
            </w:pPr>
            <w:r w:rsidRPr="00EA66E5">
              <w:rPr>
                <w:color w:val="000000" w:themeColor="text1"/>
                <w:sz w:val="20"/>
              </w:rPr>
              <w:t>Medidas prioritarias</w:t>
            </w:r>
          </w:p>
        </w:tc>
      </w:tr>
      <w:bookmarkEnd w:id="3"/>
    </w:tbl>
    <w:p w14:paraId="73F00D29" w14:textId="77777777" w:rsidR="00C91997" w:rsidRPr="00EA66E5" w:rsidRDefault="00C91997" w:rsidP="00DD0B22">
      <w:pPr>
        <w:rPr>
          <w:color w:val="000000" w:themeColor="text1"/>
          <w:sz w:val="20"/>
          <w:szCs w:val="20"/>
        </w:rPr>
      </w:pPr>
    </w:p>
    <w:p w14:paraId="5B35D6FA" w14:textId="77777777" w:rsidR="00D2314E" w:rsidRPr="00EA66E5" w:rsidRDefault="00D2314E">
      <w:pPr>
        <w:jc w:val="center"/>
        <w:rPr>
          <w:color w:val="000000" w:themeColor="text1"/>
          <w:sz w:val="20"/>
          <w:szCs w:val="20"/>
        </w:rPr>
        <w:sectPr w:rsidR="00D2314E" w:rsidRPr="00EA66E5" w:rsidSect="000449A1">
          <w:headerReference w:type="even" r:id="rId29"/>
          <w:headerReference w:type="default" r:id="rId30"/>
          <w:footerReference w:type="even" r:id="rId31"/>
          <w:footerReference w:type="default" r:id="rId32"/>
          <w:endnotePr>
            <w:numFmt w:val="lowerLetter"/>
            <w:numRestart w:val="eachSect"/>
          </w:endnotePr>
          <w:type w:val="continuous"/>
          <w:pgSz w:w="12240" w:h="15840"/>
          <w:pgMar w:top="1134" w:right="1440" w:bottom="1134" w:left="1440" w:header="709" w:footer="709" w:gutter="0"/>
          <w:cols w:space="708"/>
          <w:titlePg/>
          <w:docGrid w:linePitch="360"/>
        </w:sectPr>
      </w:pPr>
    </w:p>
    <w:p w14:paraId="3B85230A" w14:textId="77777777" w:rsidR="00D2314E" w:rsidRPr="00EA66E5" w:rsidRDefault="00D2314E" w:rsidP="00E32BCE">
      <w:pPr>
        <w:pStyle w:val="CBDAnnex"/>
      </w:pPr>
      <w:r w:rsidRPr="00EA66E5">
        <w:lastRenderedPageBreak/>
        <w:t>Anexo</w:t>
      </w:r>
    </w:p>
    <w:p w14:paraId="7D9E17E3" w14:textId="77777777" w:rsidR="00D2314E" w:rsidRPr="00EA66E5" w:rsidRDefault="00D2314E" w:rsidP="00E32BCE">
      <w:pPr>
        <w:pStyle w:val="CBDTitle"/>
      </w:pPr>
      <w:r w:rsidRPr="00EA66E5">
        <w:t>Estimación de recursos extrapresupuestarios necesarios</w:t>
      </w:r>
    </w:p>
    <w:p w14:paraId="350756D4" w14:textId="77777777" w:rsidR="00D2314E" w:rsidRPr="00EA66E5" w:rsidRDefault="00D2314E" w:rsidP="00D2314E">
      <w:pPr>
        <w:pStyle w:val="CBDNormalNoNumber"/>
      </w:pPr>
      <w:r w:rsidRPr="00EA66E5">
        <w:t>El cuadro que figura a continuación está hecho para mostrar la estimación de recursos extrapresupuestarios necesarios para las actividades solicitadas a la Secretaría, mencionadas en el proyecto de decisión, para facilitar el examen de estas. El presente anexo no forma parte del proyecto de decisión presentado al Órgano Subsidiario para que lo examine.</w:t>
      </w:r>
    </w:p>
    <w:p w14:paraId="759AC420" w14:textId="77777777" w:rsidR="00D2314E" w:rsidRPr="00EA66E5" w:rsidRDefault="00D2314E" w:rsidP="00D2314E">
      <w:pPr>
        <w:pStyle w:val="CBDTableTitle"/>
        <w:tabs>
          <w:tab w:val="clear" w:pos="567"/>
        </w:tabs>
        <w:ind w:left="0"/>
      </w:pPr>
      <w:r w:rsidRPr="00EA66E5">
        <w:t>Recursos extrapresupuestarios necesarios</w:t>
      </w:r>
    </w:p>
    <w:p w14:paraId="4D62F9E8" w14:textId="77777777" w:rsidR="00D2314E" w:rsidRPr="00EA66E5" w:rsidRDefault="00D2314E" w:rsidP="00D2314E">
      <w:pPr>
        <w:spacing w:before="120" w:after="120"/>
        <w:rPr>
          <w:iCs/>
        </w:rPr>
      </w:pPr>
      <w:r w:rsidRPr="00EA66E5">
        <w:rPr>
          <w:sz w:val="18"/>
        </w:rPr>
        <w:t>(dólares de los Estados Unidos)</w:t>
      </w:r>
    </w:p>
    <w:tbl>
      <w:tblPr>
        <w:tblW w:w="9923" w:type="dxa"/>
        <w:tblLayout w:type="fixed"/>
        <w:tblCellMar>
          <w:left w:w="0" w:type="dxa"/>
          <w:right w:w="0" w:type="dxa"/>
        </w:tblCellMar>
        <w:tblLook w:val="04A0" w:firstRow="1" w:lastRow="0" w:firstColumn="1" w:lastColumn="0" w:noHBand="0" w:noVBand="1"/>
      </w:tblPr>
      <w:tblGrid>
        <w:gridCol w:w="453"/>
        <w:gridCol w:w="3091"/>
        <w:gridCol w:w="1133"/>
        <w:gridCol w:w="1282"/>
        <w:gridCol w:w="24"/>
        <w:gridCol w:w="1111"/>
        <w:gridCol w:w="990"/>
        <w:gridCol w:w="849"/>
        <w:gridCol w:w="990"/>
      </w:tblGrid>
      <w:tr w:rsidR="00D2314E" w:rsidRPr="00EA66E5" w14:paraId="3FA305A2" w14:textId="77777777" w:rsidTr="00736AD0">
        <w:trPr>
          <w:trHeight w:val="290"/>
        </w:trPr>
        <w:tc>
          <w:tcPr>
            <w:tcW w:w="228" w:type="pct"/>
            <w:tcBorders>
              <w:top w:val="single" w:sz="4" w:space="0" w:color="auto"/>
              <w:bottom w:val="single" w:sz="8" w:space="0" w:color="auto"/>
            </w:tcBorders>
            <w:vAlign w:val="bottom"/>
          </w:tcPr>
          <w:p w14:paraId="691A23E7" w14:textId="38F79844" w:rsidR="00D2314E" w:rsidRPr="00EA66E5" w:rsidRDefault="00D2314E" w:rsidP="00E32BCE">
            <w:pPr>
              <w:jc w:val="left"/>
              <w:rPr>
                <w:sz w:val="20"/>
                <w:szCs w:val="20"/>
              </w:rPr>
            </w:pPr>
            <w:r w:rsidRPr="00EA66E5">
              <w:rPr>
                <w:i/>
                <w:sz w:val="20"/>
              </w:rPr>
              <w:t>P</w:t>
            </w:r>
            <w:r w:rsidR="00736AD0">
              <w:rPr>
                <w:i/>
                <w:sz w:val="20"/>
              </w:rPr>
              <w:t>árr.</w:t>
            </w:r>
          </w:p>
        </w:tc>
        <w:tc>
          <w:tcPr>
            <w:tcW w:w="1557" w:type="pct"/>
            <w:tcBorders>
              <w:top w:val="single" w:sz="4" w:space="0" w:color="auto"/>
              <w:bottom w:val="single" w:sz="8" w:space="0" w:color="auto"/>
            </w:tcBorders>
            <w:noWrap/>
            <w:tcMar>
              <w:top w:w="0" w:type="dxa"/>
              <w:left w:w="108" w:type="dxa"/>
              <w:bottom w:w="0" w:type="dxa"/>
              <w:right w:w="108" w:type="dxa"/>
            </w:tcMar>
            <w:vAlign w:val="bottom"/>
          </w:tcPr>
          <w:p w14:paraId="2AE040F7" w14:textId="77777777" w:rsidR="00D2314E" w:rsidRPr="00EA66E5" w:rsidRDefault="00D2314E" w:rsidP="00DF727C">
            <w:pPr>
              <w:rPr>
                <w:sz w:val="20"/>
                <w:szCs w:val="20"/>
              </w:rPr>
            </w:pPr>
            <w:r w:rsidRPr="00EA66E5">
              <w:rPr>
                <w:i/>
                <w:sz w:val="20"/>
              </w:rPr>
              <w:t>Actividad</w:t>
            </w:r>
          </w:p>
        </w:tc>
        <w:tc>
          <w:tcPr>
            <w:tcW w:w="571" w:type="pct"/>
            <w:tcBorders>
              <w:top w:val="single" w:sz="4" w:space="0" w:color="auto"/>
              <w:bottom w:val="single" w:sz="8" w:space="0" w:color="auto"/>
            </w:tcBorders>
            <w:noWrap/>
            <w:tcMar>
              <w:top w:w="0" w:type="dxa"/>
              <w:left w:w="108" w:type="dxa"/>
              <w:bottom w:w="0" w:type="dxa"/>
              <w:right w:w="108" w:type="dxa"/>
            </w:tcMar>
            <w:vAlign w:val="bottom"/>
          </w:tcPr>
          <w:p w14:paraId="78291AB8" w14:textId="364EA9B6" w:rsidR="00D2314E" w:rsidRPr="00EA66E5" w:rsidRDefault="00736AD0" w:rsidP="00E32BCE">
            <w:pPr>
              <w:jc w:val="right"/>
              <w:rPr>
                <w:sz w:val="20"/>
                <w:szCs w:val="20"/>
              </w:rPr>
            </w:pPr>
            <w:r>
              <w:rPr>
                <w:i/>
                <w:sz w:val="20"/>
              </w:rPr>
              <w:t>Costos</w:t>
            </w:r>
            <w:r w:rsidR="00D2314E" w:rsidRPr="00EA66E5">
              <w:rPr>
                <w:i/>
                <w:sz w:val="20"/>
              </w:rPr>
              <w:t xml:space="preserve"> de reuniones</w:t>
            </w:r>
            <w:r w:rsidR="00D2314E" w:rsidRPr="00EA66E5">
              <w:rPr>
                <w:i/>
                <w:sz w:val="20"/>
                <w:vertAlign w:val="superscript"/>
              </w:rPr>
              <w:t>a</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5BF300A0" w14:textId="35FFFBB9" w:rsidR="00D2314E" w:rsidRPr="00EA66E5" w:rsidRDefault="00D2314E" w:rsidP="00E32BCE">
            <w:pPr>
              <w:jc w:val="right"/>
              <w:rPr>
                <w:sz w:val="20"/>
                <w:szCs w:val="20"/>
              </w:rPr>
            </w:pPr>
            <w:r w:rsidRPr="00EA66E5">
              <w:rPr>
                <w:i/>
                <w:sz w:val="20"/>
              </w:rPr>
              <w:t>Viajes de</w:t>
            </w:r>
            <w:r w:rsidR="00736AD0">
              <w:rPr>
                <w:i/>
                <w:sz w:val="20"/>
              </w:rPr>
              <w:t xml:space="preserve"> funcionarios</w:t>
            </w:r>
          </w:p>
        </w:tc>
        <w:tc>
          <w:tcPr>
            <w:tcW w:w="571" w:type="pct"/>
            <w:gridSpan w:val="2"/>
            <w:tcBorders>
              <w:top w:val="single" w:sz="4" w:space="0" w:color="auto"/>
              <w:bottom w:val="single" w:sz="8" w:space="0" w:color="auto"/>
            </w:tcBorders>
            <w:noWrap/>
            <w:tcMar>
              <w:top w:w="0" w:type="dxa"/>
              <w:left w:w="108" w:type="dxa"/>
              <w:bottom w:w="0" w:type="dxa"/>
              <w:right w:w="108" w:type="dxa"/>
            </w:tcMar>
            <w:vAlign w:val="bottom"/>
          </w:tcPr>
          <w:p w14:paraId="146BD6AA" w14:textId="77777777" w:rsidR="00D2314E" w:rsidRPr="00EA66E5" w:rsidRDefault="00D2314E" w:rsidP="00E32BCE">
            <w:pPr>
              <w:jc w:val="right"/>
              <w:rPr>
                <w:sz w:val="20"/>
                <w:szCs w:val="20"/>
              </w:rPr>
            </w:pPr>
            <w:r w:rsidRPr="00EA66E5">
              <w:rPr>
                <w:i/>
                <w:sz w:val="20"/>
              </w:rPr>
              <w:t>Gastos de personal</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0816F7C0" w14:textId="77777777" w:rsidR="00D2314E" w:rsidRPr="00EA66E5" w:rsidRDefault="00D2314E" w:rsidP="00E32BCE">
            <w:pPr>
              <w:jc w:val="right"/>
              <w:rPr>
                <w:sz w:val="20"/>
                <w:szCs w:val="20"/>
              </w:rPr>
            </w:pPr>
            <w:r w:rsidRPr="00EA66E5">
              <w:rPr>
                <w:i/>
                <w:sz w:val="20"/>
              </w:rPr>
              <w:t>Subtotal</w:t>
            </w:r>
          </w:p>
        </w:tc>
        <w:tc>
          <w:tcPr>
            <w:tcW w:w="428" w:type="pct"/>
            <w:tcBorders>
              <w:top w:val="single" w:sz="4" w:space="0" w:color="auto"/>
              <w:bottom w:val="single" w:sz="8" w:space="0" w:color="auto"/>
            </w:tcBorders>
            <w:noWrap/>
            <w:tcMar>
              <w:top w:w="0" w:type="dxa"/>
              <w:left w:w="108" w:type="dxa"/>
              <w:bottom w:w="0" w:type="dxa"/>
              <w:right w:w="108" w:type="dxa"/>
            </w:tcMar>
          </w:tcPr>
          <w:p w14:paraId="742B38DE" w14:textId="77777777" w:rsidR="00D2314E" w:rsidRPr="00EA66E5" w:rsidRDefault="00D2314E" w:rsidP="00E32BCE">
            <w:pPr>
              <w:jc w:val="right"/>
              <w:rPr>
                <w:sz w:val="20"/>
                <w:szCs w:val="20"/>
              </w:rPr>
            </w:pPr>
            <w:r w:rsidRPr="00EA66E5">
              <w:rPr>
                <w:i/>
                <w:sz w:val="20"/>
              </w:rPr>
              <w:t>GAP</w:t>
            </w:r>
            <w:r w:rsidRPr="00EA66E5">
              <w:rPr>
                <w:i/>
                <w:sz w:val="20"/>
              </w:rPr>
              <w:br/>
              <w:t>(13 %)</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39319EBA" w14:textId="77777777" w:rsidR="00D2314E" w:rsidRPr="00EA66E5" w:rsidRDefault="00D2314E" w:rsidP="00921361">
            <w:pPr>
              <w:jc w:val="right"/>
              <w:rPr>
                <w:i/>
                <w:iCs/>
                <w:sz w:val="20"/>
                <w:szCs w:val="20"/>
              </w:rPr>
            </w:pPr>
            <w:r w:rsidRPr="00EA66E5">
              <w:rPr>
                <w:i/>
                <w:sz w:val="20"/>
              </w:rPr>
              <w:t>Total</w:t>
            </w:r>
          </w:p>
        </w:tc>
      </w:tr>
      <w:tr w:rsidR="00D2314E" w:rsidRPr="00EA66E5" w14:paraId="3067FF8F" w14:textId="77777777" w:rsidTr="00736AD0">
        <w:trPr>
          <w:trHeight w:val="290"/>
        </w:trPr>
        <w:tc>
          <w:tcPr>
            <w:tcW w:w="228" w:type="pct"/>
            <w:tcBorders>
              <w:top w:val="single" w:sz="8" w:space="0" w:color="auto"/>
              <w:bottom w:val="single" w:sz="4" w:space="0" w:color="auto"/>
            </w:tcBorders>
          </w:tcPr>
          <w:p w14:paraId="6C1BFD4D" w14:textId="77777777" w:rsidR="00D2314E" w:rsidRPr="00EA66E5" w:rsidRDefault="00900B7A" w:rsidP="00E32BCE">
            <w:pPr>
              <w:jc w:val="left"/>
              <w:rPr>
                <w:sz w:val="20"/>
                <w:szCs w:val="20"/>
              </w:rPr>
            </w:pPr>
            <w:r w:rsidRPr="00EA66E5">
              <w:rPr>
                <w:sz w:val="20"/>
              </w:rPr>
              <w:t>6 a)</w:t>
            </w:r>
          </w:p>
        </w:tc>
        <w:tc>
          <w:tcPr>
            <w:tcW w:w="1557" w:type="pct"/>
            <w:tcBorders>
              <w:top w:val="single" w:sz="8" w:space="0" w:color="auto"/>
              <w:bottom w:val="single" w:sz="4" w:space="0" w:color="auto"/>
            </w:tcBorders>
            <w:noWrap/>
            <w:tcMar>
              <w:top w:w="0" w:type="dxa"/>
              <w:left w:w="108" w:type="dxa"/>
              <w:bottom w:w="0" w:type="dxa"/>
              <w:right w:w="108" w:type="dxa"/>
            </w:tcMar>
            <w:vAlign w:val="center"/>
            <w:hideMark/>
          </w:tcPr>
          <w:p w14:paraId="08D170EE" w14:textId="5481C785" w:rsidR="00D2314E" w:rsidRPr="00EA66E5" w:rsidRDefault="00D2314E" w:rsidP="00E32BCE">
            <w:pPr>
              <w:pStyle w:val="CBDNormalNoNumber"/>
              <w:tabs>
                <w:tab w:val="clear" w:pos="567"/>
                <w:tab w:val="clear" w:pos="2835"/>
              </w:tabs>
              <w:ind w:left="0"/>
              <w:jc w:val="left"/>
              <w:rPr>
                <w:rFonts w:eastAsia="Times New Roman"/>
                <w:sz w:val="20"/>
                <w:szCs w:val="20"/>
              </w:rPr>
            </w:pPr>
            <w:r w:rsidRPr="00EA66E5">
              <w:rPr>
                <w:sz w:val="20"/>
              </w:rPr>
              <w:t xml:space="preserve">Seguir apoyando a la Comunidad de Práctica de la Meta 3 como plataforma flexible, inclusiva y voluntaria, con vistas a facilitar la coordinación, el intercambio de conocimientos y el apoyo </w:t>
            </w:r>
            <w:r w:rsidR="005C26D9">
              <w:rPr>
                <w:sz w:val="20"/>
              </w:rPr>
              <w:t>para alcanzar la meta</w:t>
            </w:r>
            <w:r w:rsidRPr="00EA66E5">
              <w:rPr>
                <w:sz w:val="20"/>
              </w:rPr>
              <w:t>, e invitar a las organizaciones pertinentes a participar en la Comunidad</w:t>
            </w:r>
          </w:p>
        </w:tc>
        <w:tc>
          <w:tcPr>
            <w:tcW w:w="571" w:type="pct"/>
            <w:tcBorders>
              <w:top w:val="single" w:sz="8" w:space="0" w:color="auto"/>
              <w:bottom w:val="single" w:sz="4" w:space="0" w:color="auto"/>
            </w:tcBorders>
            <w:noWrap/>
            <w:tcMar>
              <w:top w:w="0" w:type="dxa"/>
              <w:left w:w="108" w:type="dxa"/>
              <w:bottom w:w="0" w:type="dxa"/>
              <w:right w:w="108" w:type="dxa"/>
            </w:tcMar>
            <w:vAlign w:val="bottom"/>
            <w:hideMark/>
          </w:tcPr>
          <w:p w14:paraId="65E61AF9" w14:textId="77777777" w:rsidR="00D2314E" w:rsidRPr="00EA66E5" w:rsidRDefault="00CB5519" w:rsidP="00DF727C">
            <w:pPr>
              <w:jc w:val="right"/>
              <w:rPr>
                <w:sz w:val="20"/>
                <w:szCs w:val="20"/>
              </w:rPr>
            </w:pPr>
            <w:r w:rsidRPr="00EA66E5">
              <w:rPr>
                <w:sz w:val="20"/>
              </w:rPr>
              <w:t>–</w:t>
            </w:r>
          </w:p>
        </w:tc>
        <w:tc>
          <w:tcPr>
            <w:tcW w:w="658" w:type="pct"/>
            <w:gridSpan w:val="2"/>
            <w:tcBorders>
              <w:top w:val="single" w:sz="8" w:space="0" w:color="auto"/>
              <w:bottom w:val="single" w:sz="4" w:space="0" w:color="auto"/>
            </w:tcBorders>
            <w:noWrap/>
            <w:tcMar>
              <w:top w:w="0" w:type="dxa"/>
              <w:left w:w="108" w:type="dxa"/>
              <w:bottom w:w="0" w:type="dxa"/>
              <w:right w:w="108" w:type="dxa"/>
            </w:tcMar>
            <w:vAlign w:val="bottom"/>
            <w:hideMark/>
          </w:tcPr>
          <w:p w14:paraId="47A5AB5B" w14:textId="77777777" w:rsidR="00D2314E" w:rsidRPr="00EA66E5" w:rsidRDefault="00D2314E" w:rsidP="00DF727C">
            <w:pPr>
              <w:jc w:val="right"/>
              <w:rPr>
                <w:sz w:val="20"/>
                <w:szCs w:val="20"/>
              </w:rPr>
            </w:pPr>
            <w:r w:rsidRPr="00EA66E5">
              <w:rPr>
                <w:sz w:val="20"/>
              </w:rPr>
              <w:t>5.250</w:t>
            </w:r>
          </w:p>
        </w:tc>
        <w:tc>
          <w:tcPr>
            <w:tcW w:w="560" w:type="pct"/>
            <w:tcBorders>
              <w:top w:val="single" w:sz="8" w:space="0" w:color="auto"/>
              <w:bottom w:val="single" w:sz="4" w:space="0" w:color="auto"/>
            </w:tcBorders>
            <w:noWrap/>
            <w:tcMar>
              <w:top w:w="0" w:type="dxa"/>
              <w:left w:w="108" w:type="dxa"/>
              <w:bottom w:w="0" w:type="dxa"/>
              <w:right w:w="108" w:type="dxa"/>
            </w:tcMar>
            <w:vAlign w:val="bottom"/>
            <w:hideMark/>
          </w:tcPr>
          <w:p w14:paraId="39ABA74A" w14:textId="77777777" w:rsidR="00D2314E" w:rsidRPr="00EA66E5" w:rsidRDefault="00D2314E" w:rsidP="00DF727C">
            <w:pPr>
              <w:jc w:val="right"/>
              <w:rPr>
                <w:sz w:val="20"/>
                <w:szCs w:val="20"/>
              </w:rPr>
            </w:pPr>
            <w:r w:rsidRPr="00EA66E5">
              <w:rPr>
                <w:sz w:val="20"/>
              </w:rPr>
              <w:t>54.000</w:t>
            </w:r>
          </w:p>
        </w:tc>
        <w:tc>
          <w:tcPr>
            <w:tcW w:w="499" w:type="pct"/>
            <w:tcBorders>
              <w:top w:val="single" w:sz="8" w:space="0" w:color="auto"/>
              <w:bottom w:val="single" w:sz="4" w:space="0" w:color="auto"/>
            </w:tcBorders>
            <w:noWrap/>
            <w:tcMar>
              <w:top w:w="0" w:type="dxa"/>
              <w:left w:w="108" w:type="dxa"/>
              <w:bottom w:w="0" w:type="dxa"/>
              <w:right w:w="108" w:type="dxa"/>
            </w:tcMar>
            <w:vAlign w:val="bottom"/>
            <w:hideMark/>
          </w:tcPr>
          <w:p w14:paraId="093D8493" w14:textId="77777777" w:rsidR="00D2314E" w:rsidRPr="00EA66E5" w:rsidRDefault="005367CD" w:rsidP="00DF727C">
            <w:pPr>
              <w:jc w:val="right"/>
              <w:rPr>
                <w:sz w:val="20"/>
                <w:szCs w:val="20"/>
              </w:rPr>
            </w:pPr>
            <w:r w:rsidRPr="00EA66E5">
              <w:rPr>
                <w:sz w:val="20"/>
              </w:rPr>
              <w:t>59.250</w:t>
            </w:r>
          </w:p>
        </w:tc>
        <w:tc>
          <w:tcPr>
            <w:tcW w:w="428" w:type="pct"/>
            <w:tcBorders>
              <w:top w:val="single" w:sz="8" w:space="0" w:color="auto"/>
              <w:bottom w:val="single" w:sz="4" w:space="0" w:color="auto"/>
            </w:tcBorders>
            <w:noWrap/>
            <w:tcMar>
              <w:top w:w="0" w:type="dxa"/>
              <w:left w:w="108" w:type="dxa"/>
              <w:bottom w:w="0" w:type="dxa"/>
              <w:right w:w="108" w:type="dxa"/>
            </w:tcMar>
            <w:vAlign w:val="bottom"/>
            <w:hideMark/>
          </w:tcPr>
          <w:p w14:paraId="1813A1D8" w14:textId="77777777" w:rsidR="00D2314E" w:rsidRPr="00EA66E5" w:rsidRDefault="005367CD" w:rsidP="00DF727C">
            <w:pPr>
              <w:jc w:val="right"/>
              <w:rPr>
                <w:sz w:val="20"/>
                <w:szCs w:val="20"/>
              </w:rPr>
            </w:pPr>
            <w:r w:rsidRPr="00EA66E5">
              <w:rPr>
                <w:sz w:val="20"/>
              </w:rPr>
              <w:t>7.703</w:t>
            </w:r>
          </w:p>
        </w:tc>
        <w:tc>
          <w:tcPr>
            <w:tcW w:w="499" w:type="pct"/>
            <w:tcBorders>
              <w:top w:val="single" w:sz="8" w:space="0" w:color="auto"/>
              <w:bottom w:val="single" w:sz="4" w:space="0" w:color="auto"/>
            </w:tcBorders>
            <w:noWrap/>
            <w:tcMar>
              <w:top w:w="0" w:type="dxa"/>
              <w:left w:w="108" w:type="dxa"/>
              <w:bottom w:w="0" w:type="dxa"/>
              <w:right w:w="108" w:type="dxa"/>
            </w:tcMar>
            <w:vAlign w:val="bottom"/>
            <w:hideMark/>
          </w:tcPr>
          <w:p w14:paraId="443495EA" w14:textId="77777777" w:rsidR="00D2314E" w:rsidRPr="00EA66E5" w:rsidRDefault="005367CD" w:rsidP="00DF727C">
            <w:pPr>
              <w:jc w:val="right"/>
              <w:rPr>
                <w:sz w:val="20"/>
                <w:szCs w:val="20"/>
              </w:rPr>
            </w:pPr>
            <w:r w:rsidRPr="00EA66E5">
              <w:rPr>
                <w:sz w:val="20"/>
              </w:rPr>
              <w:t>66.953</w:t>
            </w:r>
          </w:p>
        </w:tc>
      </w:tr>
      <w:tr w:rsidR="00D2314E" w:rsidRPr="00EA66E5" w14:paraId="13A9F41A" w14:textId="77777777" w:rsidTr="00736AD0">
        <w:trPr>
          <w:trHeight w:val="290"/>
        </w:trPr>
        <w:tc>
          <w:tcPr>
            <w:tcW w:w="228" w:type="pct"/>
            <w:tcBorders>
              <w:top w:val="single" w:sz="4" w:space="0" w:color="auto"/>
              <w:bottom w:val="single" w:sz="4" w:space="0" w:color="auto"/>
            </w:tcBorders>
          </w:tcPr>
          <w:p w14:paraId="20C3EAB7" w14:textId="77777777" w:rsidR="00D2314E" w:rsidRPr="00EA66E5" w:rsidRDefault="00900B7A" w:rsidP="00E32BCE">
            <w:pPr>
              <w:jc w:val="left"/>
              <w:rPr>
                <w:sz w:val="20"/>
                <w:szCs w:val="20"/>
              </w:rPr>
            </w:pPr>
            <w:r w:rsidRPr="00EA66E5">
              <w:rPr>
                <w:sz w:val="20"/>
              </w:rPr>
              <w:t>6 b)</w:t>
            </w:r>
          </w:p>
        </w:tc>
        <w:tc>
          <w:tcPr>
            <w:tcW w:w="1557" w:type="pct"/>
            <w:tcBorders>
              <w:top w:val="single" w:sz="4" w:space="0" w:color="auto"/>
              <w:bottom w:val="single" w:sz="4" w:space="0" w:color="auto"/>
            </w:tcBorders>
            <w:noWrap/>
            <w:tcMar>
              <w:top w:w="0" w:type="dxa"/>
              <w:left w:w="108" w:type="dxa"/>
              <w:bottom w:w="0" w:type="dxa"/>
              <w:right w:w="108" w:type="dxa"/>
            </w:tcMar>
            <w:vAlign w:val="bottom"/>
          </w:tcPr>
          <w:p w14:paraId="17103930" w14:textId="77777777" w:rsidR="00D2314E" w:rsidRPr="00EA66E5" w:rsidRDefault="00D2314E" w:rsidP="00E32BCE">
            <w:pPr>
              <w:pStyle w:val="CBDNormalNoNumber"/>
              <w:tabs>
                <w:tab w:val="clear" w:pos="567"/>
                <w:tab w:val="clear" w:pos="2835"/>
              </w:tabs>
              <w:ind w:left="0"/>
              <w:jc w:val="left"/>
              <w:rPr>
                <w:rFonts w:eastAsia="Times New Roman"/>
                <w:sz w:val="20"/>
                <w:szCs w:val="20"/>
              </w:rPr>
            </w:pPr>
            <w:r w:rsidRPr="00EA66E5">
              <w:rPr>
                <w:sz w:val="20"/>
              </w:rPr>
              <w:t>Colaborar con los centros regionales y subregionales de apoyo a la cooperación técnica y científica y otros asociados pertinentes con el fin de prestar apoyo científico y técnico específico a las Partes para alcanzar la meta 3 del Marco</w:t>
            </w:r>
          </w:p>
        </w:tc>
        <w:tc>
          <w:tcPr>
            <w:tcW w:w="571" w:type="pct"/>
            <w:tcBorders>
              <w:top w:val="single" w:sz="4" w:space="0" w:color="auto"/>
              <w:bottom w:val="single" w:sz="4" w:space="0" w:color="auto"/>
            </w:tcBorders>
            <w:noWrap/>
            <w:tcMar>
              <w:top w:w="0" w:type="dxa"/>
              <w:left w:w="108" w:type="dxa"/>
              <w:bottom w:w="0" w:type="dxa"/>
              <w:right w:w="108" w:type="dxa"/>
            </w:tcMar>
            <w:vAlign w:val="bottom"/>
          </w:tcPr>
          <w:p w14:paraId="646E9D95" w14:textId="77777777" w:rsidR="00D2314E" w:rsidRPr="00EA66E5" w:rsidRDefault="00D2314E" w:rsidP="00DF727C">
            <w:pPr>
              <w:jc w:val="right"/>
              <w:rPr>
                <w:sz w:val="20"/>
                <w:szCs w:val="20"/>
              </w:rPr>
            </w:pPr>
            <w:r w:rsidRPr="00EA66E5">
              <w:rPr>
                <w:sz w:val="20"/>
              </w:rPr>
              <w:t>84.900</w:t>
            </w:r>
          </w:p>
        </w:tc>
        <w:tc>
          <w:tcPr>
            <w:tcW w:w="658" w:type="pct"/>
            <w:gridSpan w:val="2"/>
            <w:tcBorders>
              <w:top w:val="single" w:sz="4" w:space="0" w:color="auto"/>
              <w:bottom w:val="single" w:sz="4" w:space="0" w:color="auto"/>
            </w:tcBorders>
            <w:noWrap/>
            <w:tcMar>
              <w:top w:w="0" w:type="dxa"/>
              <w:left w:w="108" w:type="dxa"/>
              <w:bottom w:w="0" w:type="dxa"/>
              <w:right w:w="108" w:type="dxa"/>
            </w:tcMar>
            <w:vAlign w:val="bottom"/>
          </w:tcPr>
          <w:p w14:paraId="02A05159" w14:textId="77777777" w:rsidR="00D2314E" w:rsidRPr="00EA66E5" w:rsidRDefault="00D2314E" w:rsidP="00DF727C">
            <w:pPr>
              <w:jc w:val="right"/>
              <w:rPr>
                <w:sz w:val="20"/>
                <w:szCs w:val="20"/>
              </w:rPr>
            </w:pPr>
            <w:r w:rsidRPr="00EA66E5">
              <w:rPr>
                <w:sz w:val="20"/>
              </w:rPr>
              <w:t>9.500</w:t>
            </w:r>
          </w:p>
        </w:tc>
        <w:tc>
          <w:tcPr>
            <w:tcW w:w="560" w:type="pct"/>
            <w:tcBorders>
              <w:top w:val="single" w:sz="4" w:space="0" w:color="auto"/>
              <w:bottom w:val="single" w:sz="4" w:space="0" w:color="auto"/>
            </w:tcBorders>
            <w:noWrap/>
            <w:tcMar>
              <w:top w:w="0" w:type="dxa"/>
              <w:left w:w="108" w:type="dxa"/>
              <w:bottom w:w="0" w:type="dxa"/>
              <w:right w:w="108" w:type="dxa"/>
            </w:tcMar>
            <w:vAlign w:val="bottom"/>
          </w:tcPr>
          <w:p w14:paraId="5B5D6C3E" w14:textId="77777777" w:rsidR="00D2314E" w:rsidRPr="00EA66E5" w:rsidRDefault="00D2314E" w:rsidP="00DF727C">
            <w:pPr>
              <w:jc w:val="right"/>
              <w:rPr>
                <w:sz w:val="20"/>
                <w:szCs w:val="20"/>
              </w:rPr>
            </w:pPr>
            <w:r w:rsidRPr="00EA66E5">
              <w:rPr>
                <w:sz w:val="20"/>
              </w:rPr>
              <w:t>108.000</w:t>
            </w:r>
          </w:p>
        </w:tc>
        <w:tc>
          <w:tcPr>
            <w:tcW w:w="499" w:type="pct"/>
            <w:tcBorders>
              <w:top w:val="single" w:sz="4" w:space="0" w:color="auto"/>
              <w:bottom w:val="single" w:sz="4" w:space="0" w:color="auto"/>
            </w:tcBorders>
            <w:noWrap/>
            <w:tcMar>
              <w:top w:w="0" w:type="dxa"/>
              <w:left w:w="108" w:type="dxa"/>
              <w:bottom w:w="0" w:type="dxa"/>
              <w:right w:w="108" w:type="dxa"/>
            </w:tcMar>
            <w:vAlign w:val="bottom"/>
          </w:tcPr>
          <w:p w14:paraId="2A0E671C" w14:textId="77777777" w:rsidR="00D2314E" w:rsidRPr="00EA66E5" w:rsidRDefault="00D2314E" w:rsidP="00DF727C">
            <w:pPr>
              <w:jc w:val="right"/>
              <w:rPr>
                <w:sz w:val="20"/>
                <w:szCs w:val="20"/>
              </w:rPr>
            </w:pPr>
            <w:r w:rsidRPr="00EA66E5">
              <w:rPr>
                <w:sz w:val="20"/>
              </w:rPr>
              <w:t>202.400</w:t>
            </w:r>
          </w:p>
        </w:tc>
        <w:tc>
          <w:tcPr>
            <w:tcW w:w="428" w:type="pct"/>
            <w:tcBorders>
              <w:top w:val="single" w:sz="4" w:space="0" w:color="auto"/>
              <w:bottom w:val="single" w:sz="4" w:space="0" w:color="auto"/>
            </w:tcBorders>
            <w:noWrap/>
            <w:tcMar>
              <w:top w:w="0" w:type="dxa"/>
              <w:left w:w="108" w:type="dxa"/>
              <w:bottom w:w="0" w:type="dxa"/>
              <w:right w:w="108" w:type="dxa"/>
            </w:tcMar>
            <w:vAlign w:val="bottom"/>
          </w:tcPr>
          <w:p w14:paraId="05966CD3" w14:textId="77777777" w:rsidR="00D2314E" w:rsidRPr="00EA66E5" w:rsidRDefault="005367CD" w:rsidP="00DF727C">
            <w:pPr>
              <w:jc w:val="right"/>
              <w:rPr>
                <w:sz w:val="20"/>
                <w:szCs w:val="20"/>
              </w:rPr>
            </w:pPr>
            <w:r w:rsidRPr="00EA66E5">
              <w:rPr>
                <w:sz w:val="20"/>
              </w:rPr>
              <w:t>26.312</w:t>
            </w:r>
          </w:p>
        </w:tc>
        <w:tc>
          <w:tcPr>
            <w:tcW w:w="499" w:type="pct"/>
            <w:tcBorders>
              <w:top w:val="single" w:sz="4" w:space="0" w:color="auto"/>
              <w:bottom w:val="single" w:sz="4" w:space="0" w:color="auto"/>
            </w:tcBorders>
            <w:noWrap/>
            <w:tcMar>
              <w:top w:w="0" w:type="dxa"/>
              <w:left w:w="108" w:type="dxa"/>
              <w:bottom w:w="0" w:type="dxa"/>
              <w:right w:w="108" w:type="dxa"/>
            </w:tcMar>
            <w:vAlign w:val="bottom"/>
          </w:tcPr>
          <w:p w14:paraId="76D99159" w14:textId="77777777" w:rsidR="00D2314E" w:rsidRPr="00EA66E5" w:rsidRDefault="00D2314E" w:rsidP="00DF727C">
            <w:pPr>
              <w:jc w:val="right"/>
              <w:rPr>
                <w:sz w:val="20"/>
                <w:szCs w:val="20"/>
              </w:rPr>
            </w:pPr>
            <w:r w:rsidRPr="00EA66E5">
              <w:rPr>
                <w:sz w:val="20"/>
              </w:rPr>
              <w:t>228.712</w:t>
            </w:r>
          </w:p>
        </w:tc>
      </w:tr>
      <w:tr w:rsidR="00D2314E" w:rsidRPr="00EA66E5" w14:paraId="465FA24E" w14:textId="77777777" w:rsidTr="00736AD0">
        <w:trPr>
          <w:trHeight w:val="290"/>
        </w:trPr>
        <w:tc>
          <w:tcPr>
            <w:tcW w:w="228" w:type="pct"/>
            <w:tcBorders>
              <w:bottom w:val="single" w:sz="4" w:space="0" w:color="auto"/>
            </w:tcBorders>
          </w:tcPr>
          <w:p w14:paraId="7A064B27" w14:textId="77777777" w:rsidR="00D2314E" w:rsidRPr="00EA66E5" w:rsidRDefault="00900B7A" w:rsidP="00E32BCE">
            <w:pPr>
              <w:jc w:val="left"/>
              <w:rPr>
                <w:sz w:val="20"/>
                <w:szCs w:val="20"/>
              </w:rPr>
            </w:pPr>
            <w:r w:rsidRPr="00EA66E5">
              <w:rPr>
                <w:sz w:val="20"/>
              </w:rPr>
              <w:t>6 c)</w:t>
            </w:r>
          </w:p>
        </w:tc>
        <w:tc>
          <w:tcPr>
            <w:tcW w:w="1557" w:type="pct"/>
            <w:tcBorders>
              <w:bottom w:val="single" w:sz="4" w:space="0" w:color="auto"/>
            </w:tcBorders>
            <w:noWrap/>
            <w:tcMar>
              <w:top w:w="0" w:type="dxa"/>
              <w:left w:w="108" w:type="dxa"/>
              <w:bottom w:w="0" w:type="dxa"/>
              <w:right w:w="108" w:type="dxa"/>
            </w:tcMar>
            <w:vAlign w:val="bottom"/>
          </w:tcPr>
          <w:p w14:paraId="5E7E22D5" w14:textId="5613A5EB" w:rsidR="00D2314E" w:rsidRPr="00EA66E5" w:rsidRDefault="00EC4388" w:rsidP="00E32BCE">
            <w:pPr>
              <w:pStyle w:val="CBDNormalNoNumber"/>
              <w:tabs>
                <w:tab w:val="clear" w:pos="567"/>
                <w:tab w:val="clear" w:pos="2835"/>
              </w:tabs>
              <w:ind w:left="0"/>
              <w:jc w:val="left"/>
              <w:rPr>
                <w:rFonts w:eastAsia="Times New Roman"/>
                <w:sz w:val="20"/>
                <w:szCs w:val="20"/>
              </w:rPr>
            </w:pPr>
            <w:r w:rsidRPr="00EA66E5">
              <w:rPr>
                <w:sz w:val="20"/>
              </w:rPr>
              <w:t xml:space="preserve">Preparar un informe de síntesis sobre las mejores prácticas para alcanzar la meta 3 del Marco y aplicar el </w:t>
            </w:r>
            <w:r w:rsidR="00736AD0">
              <w:rPr>
                <w:sz w:val="20"/>
              </w:rPr>
              <w:t>programa de trabajo sobre áreas protegidas y conservadas</w:t>
            </w:r>
            <w:r w:rsidRPr="00EA66E5">
              <w:rPr>
                <w:sz w:val="20"/>
              </w:rPr>
              <w:t xml:space="preserve"> centrando la atención en las 10 esferas determinadas</w:t>
            </w:r>
          </w:p>
        </w:tc>
        <w:tc>
          <w:tcPr>
            <w:tcW w:w="571" w:type="pct"/>
            <w:tcBorders>
              <w:bottom w:val="single" w:sz="4" w:space="0" w:color="auto"/>
            </w:tcBorders>
            <w:noWrap/>
            <w:tcMar>
              <w:top w:w="0" w:type="dxa"/>
              <w:left w:w="108" w:type="dxa"/>
              <w:bottom w:w="0" w:type="dxa"/>
              <w:right w:w="108" w:type="dxa"/>
            </w:tcMar>
            <w:vAlign w:val="bottom"/>
          </w:tcPr>
          <w:p w14:paraId="280B3566" w14:textId="77777777" w:rsidR="00D2314E" w:rsidRPr="00EA66E5" w:rsidRDefault="00CB5519" w:rsidP="00DF727C">
            <w:pPr>
              <w:jc w:val="right"/>
            </w:pPr>
            <w:r w:rsidRPr="00EA66E5">
              <w:t>–</w:t>
            </w:r>
          </w:p>
        </w:tc>
        <w:tc>
          <w:tcPr>
            <w:tcW w:w="658" w:type="pct"/>
            <w:gridSpan w:val="2"/>
            <w:tcBorders>
              <w:bottom w:val="single" w:sz="4" w:space="0" w:color="auto"/>
            </w:tcBorders>
            <w:noWrap/>
            <w:tcMar>
              <w:top w:w="0" w:type="dxa"/>
              <w:left w:w="108" w:type="dxa"/>
              <w:bottom w:w="0" w:type="dxa"/>
              <w:right w:w="108" w:type="dxa"/>
            </w:tcMar>
            <w:vAlign w:val="bottom"/>
          </w:tcPr>
          <w:p w14:paraId="510C52BC" w14:textId="77777777" w:rsidR="00D2314E" w:rsidRPr="00EA66E5" w:rsidRDefault="00CB5519" w:rsidP="00DF727C">
            <w:pPr>
              <w:jc w:val="right"/>
              <w:rPr>
                <w:sz w:val="20"/>
                <w:szCs w:val="20"/>
              </w:rPr>
            </w:pPr>
            <w:r w:rsidRPr="00EA66E5">
              <w:rPr>
                <w:sz w:val="20"/>
              </w:rPr>
              <w:t>–</w:t>
            </w:r>
          </w:p>
        </w:tc>
        <w:tc>
          <w:tcPr>
            <w:tcW w:w="560" w:type="pct"/>
            <w:tcBorders>
              <w:bottom w:val="single" w:sz="4" w:space="0" w:color="auto"/>
            </w:tcBorders>
            <w:noWrap/>
            <w:tcMar>
              <w:top w:w="0" w:type="dxa"/>
              <w:left w:w="108" w:type="dxa"/>
              <w:bottom w:w="0" w:type="dxa"/>
              <w:right w:w="108" w:type="dxa"/>
            </w:tcMar>
            <w:vAlign w:val="bottom"/>
          </w:tcPr>
          <w:p w14:paraId="60CED77A" w14:textId="77777777" w:rsidR="00D2314E" w:rsidRPr="00EA66E5" w:rsidRDefault="00D2314E" w:rsidP="00DF727C">
            <w:pPr>
              <w:jc w:val="right"/>
              <w:rPr>
                <w:sz w:val="20"/>
                <w:szCs w:val="20"/>
              </w:rPr>
            </w:pPr>
            <w:r w:rsidRPr="00EA66E5">
              <w:rPr>
                <w:sz w:val="20"/>
              </w:rPr>
              <w:t>54.000</w:t>
            </w:r>
          </w:p>
        </w:tc>
        <w:tc>
          <w:tcPr>
            <w:tcW w:w="499" w:type="pct"/>
            <w:tcBorders>
              <w:bottom w:val="single" w:sz="4" w:space="0" w:color="auto"/>
            </w:tcBorders>
            <w:noWrap/>
            <w:tcMar>
              <w:top w:w="0" w:type="dxa"/>
              <w:left w:w="108" w:type="dxa"/>
              <w:bottom w:w="0" w:type="dxa"/>
              <w:right w:w="108" w:type="dxa"/>
            </w:tcMar>
            <w:vAlign w:val="bottom"/>
          </w:tcPr>
          <w:p w14:paraId="7A2D53B6" w14:textId="77777777" w:rsidR="00D2314E" w:rsidRPr="00EA66E5" w:rsidRDefault="005367CD" w:rsidP="00DF727C">
            <w:pPr>
              <w:jc w:val="right"/>
              <w:rPr>
                <w:sz w:val="20"/>
                <w:szCs w:val="20"/>
              </w:rPr>
            </w:pPr>
            <w:r w:rsidRPr="00EA66E5">
              <w:rPr>
                <w:sz w:val="20"/>
              </w:rPr>
              <w:t>54.000</w:t>
            </w:r>
          </w:p>
        </w:tc>
        <w:tc>
          <w:tcPr>
            <w:tcW w:w="428" w:type="pct"/>
            <w:tcBorders>
              <w:bottom w:val="single" w:sz="4" w:space="0" w:color="auto"/>
            </w:tcBorders>
            <w:noWrap/>
            <w:tcMar>
              <w:top w:w="0" w:type="dxa"/>
              <w:left w:w="108" w:type="dxa"/>
              <w:bottom w:w="0" w:type="dxa"/>
              <w:right w:w="108" w:type="dxa"/>
            </w:tcMar>
            <w:vAlign w:val="bottom"/>
          </w:tcPr>
          <w:p w14:paraId="37F158A4" w14:textId="77777777" w:rsidR="00D2314E" w:rsidRPr="00EA66E5" w:rsidRDefault="005367CD" w:rsidP="00DF727C">
            <w:pPr>
              <w:jc w:val="right"/>
              <w:rPr>
                <w:sz w:val="20"/>
                <w:szCs w:val="20"/>
              </w:rPr>
            </w:pPr>
            <w:r w:rsidRPr="00EA66E5">
              <w:rPr>
                <w:sz w:val="20"/>
              </w:rPr>
              <w:t>7.020</w:t>
            </w:r>
          </w:p>
        </w:tc>
        <w:tc>
          <w:tcPr>
            <w:tcW w:w="499" w:type="pct"/>
            <w:tcBorders>
              <w:bottom w:val="single" w:sz="4" w:space="0" w:color="auto"/>
            </w:tcBorders>
            <w:noWrap/>
            <w:tcMar>
              <w:top w:w="0" w:type="dxa"/>
              <w:left w:w="108" w:type="dxa"/>
              <w:bottom w:w="0" w:type="dxa"/>
              <w:right w:w="108" w:type="dxa"/>
            </w:tcMar>
            <w:vAlign w:val="bottom"/>
          </w:tcPr>
          <w:p w14:paraId="40E2583B" w14:textId="77777777" w:rsidR="00D2314E" w:rsidRPr="00EA66E5" w:rsidRDefault="005367CD" w:rsidP="00DF727C">
            <w:pPr>
              <w:jc w:val="right"/>
              <w:rPr>
                <w:sz w:val="20"/>
                <w:szCs w:val="20"/>
              </w:rPr>
            </w:pPr>
            <w:r w:rsidRPr="00EA66E5">
              <w:rPr>
                <w:sz w:val="20"/>
              </w:rPr>
              <w:t>61.020</w:t>
            </w:r>
          </w:p>
        </w:tc>
      </w:tr>
      <w:tr w:rsidR="00D2314E" w:rsidRPr="00EA66E5" w14:paraId="20FE43A5" w14:textId="77777777" w:rsidTr="00736AD0">
        <w:trPr>
          <w:trHeight w:val="290"/>
        </w:trPr>
        <w:tc>
          <w:tcPr>
            <w:tcW w:w="228" w:type="pct"/>
            <w:tcBorders>
              <w:bottom w:val="single" w:sz="4" w:space="0" w:color="auto"/>
            </w:tcBorders>
          </w:tcPr>
          <w:p w14:paraId="5DE26021" w14:textId="77777777" w:rsidR="00D2314E" w:rsidRPr="00EA66E5" w:rsidRDefault="00900B7A" w:rsidP="00E32BCE">
            <w:pPr>
              <w:jc w:val="left"/>
              <w:rPr>
                <w:sz w:val="20"/>
                <w:szCs w:val="20"/>
              </w:rPr>
            </w:pPr>
            <w:r w:rsidRPr="00EA66E5">
              <w:rPr>
                <w:sz w:val="20"/>
              </w:rPr>
              <w:t>6 d)</w:t>
            </w:r>
          </w:p>
        </w:tc>
        <w:tc>
          <w:tcPr>
            <w:tcW w:w="1557" w:type="pct"/>
            <w:tcBorders>
              <w:bottom w:val="single" w:sz="4" w:space="0" w:color="auto"/>
            </w:tcBorders>
            <w:noWrap/>
            <w:tcMar>
              <w:top w:w="0" w:type="dxa"/>
              <w:left w:w="108" w:type="dxa"/>
              <w:bottom w:w="0" w:type="dxa"/>
              <w:right w:w="108" w:type="dxa"/>
            </w:tcMar>
            <w:vAlign w:val="bottom"/>
          </w:tcPr>
          <w:p w14:paraId="508EAB01" w14:textId="77777777" w:rsidR="00D2314E" w:rsidRPr="00EA66E5" w:rsidRDefault="00FC2FF9" w:rsidP="00E32BCE">
            <w:pPr>
              <w:jc w:val="left"/>
              <w:rPr>
                <w:sz w:val="20"/>
                <w:szCs w:val="20"/>
              </w:rPr>
            </w:pPr>
            <w:r w:rsidRPr="00EA66E5">
              <w:rPr>
                <w:sz w:val="20"/>
              </w:rPr>
              <w:t>Informar al Órgano Subsidiario de Asesoramiento Científico, Técnico y Tecnológico sobre los progresos realizados en la aplicación de la decisión</w:t>
            </w:r>
          </w:p>
        </w:tc>
        <w:tc>
          <w:tcPr>
            <w:tcW w:w="571" w:type="pct"/>
            <w:tcBorders>
              <w:bottom w:val="single" w:sz="4" w:space="0" w:color="auto"/>
            </w:tcBorders>
            <w:noWrap/>
            <w:tcMar>
              <w:top w:w="0" w:type="dxa"/>
              <w:left w:w="108" w:type="dxa"/>
              <w:bottom w:w="0" w:type="dxa"/>
              <w:right w:w="108" w:type="dxa"/>
            </w:tcMar>
            <w:vAlign w:val="bottom"/>
          </w:tcPr>
          <w:p w14:paraId="0C43171D" w14:textId="77777777" w:rsidR="00D2314E" w:rsidRPr="00EA66E5" w:rsidRDefault="00CB5519" w:rsidP="00DF727C">
            <w:pPr>
              <w:jc w:val="right"/>
            </w:pPr>
            <w:r w:rsidRPr="00EA66E5">
              <w:t>–</w:t>
            </w:r>
          </w:p>
        </w:tc>
        <w:tc>
          <w:tcPr>
            <w:tcW w:w="658" w:type="pct"/>
            <w:gridSpan w:val="2"/>
            <w:tcBorders>
              <w:bottom w:val="single" w:sz="4" w:space="0" w:color="auto"/>
            </w:tcBorders>
            <w:noWrap/>
            <w:tcMar>
              <w:top w:w="0" w:type="dxa"/>
              <w:left w:w="108" w:type="dxa"/>
              <w:bottom w:w="0" w:type="dxa"/>
              <w:right w:w="108" w:type="dxa"/>
            </w:tcMar>
            <w:vAlign w:val="bottom"/>
          </w:tcPr>
          <w:p w14:paraId="04DA6D89" w14:textId="77777777" w:rsidR="00D2314E" w:rsidRPr="00EA66E5" w:rsidRDefault="00CB5519" w:rsidP="00DF727C">
            <w:pPr>
              <w:jc w:val="right"/>
              <w:rPr>
                <w:sz w:val="20"/>
                <w:szCs w:val="20"/>
              </w:rPr>
            </w:pPr>
            <w:r w:rsidRPr="00EA66E5">
              <w:t>–</w:t>
            </w:r>
          </w:p>
        </w:tc>
        <w:tc>
          <w:tcPr>
            <w:tcW w:w="560" w:type="pct"/>
            <w:tcBorders>
              <w:bottom w:val="single" w:sz="4" w:space="0" w:color="auto"/>
            </w:tcBorders>
            <w:noWrap/>
            <w:tcMar>
              <w:top w:w="0" w:type="dxa"/>
              <w:left w:w="108" w:type="dxa"/>
              <w:bottom w:w="0" w:type="dxa"/>
              <w:right w:w="108" w:type="dxa"/>
            </w:tcMar>
            <w:vAlign w:val="bottom"/>
          </w:tcPr>
          <w:p w14:paraId="4AA8C483" w14:textId="77777777" w:rsidR="00D2314E" w:rsidRPr="00EA66E5" w:rsidRDefault="00CB5519" w:rsidP="00DF727C">
            <w:pPr>
              <w:jc w:val="right"/>
              <w:rPr>
                <w:sz w:val="20"/>
                <w:szCs w:val="20"/>
              </w:rPr>
            </w:pPr>
            <w:r w:rsidRPr="00EA66E5">
              <w:t>–</w:t>
            </w:r>
          </w:p>
        </w:tc>
        <w:tc>
          <w:tcPr>
            <w:tcW w:w="499" w:type="pct"/>
            <w:tcBorders>
              <w:bottom w:val="single" w:sz="4" w:space="0" w:color="auto"/>
            </w:tcBorders>
            <w:noWrap/>
            <w:tcMar>
              <w:top w:w="0" w:type="dxa"/>
              <w:left w:w="108" w:type="dxa"/>
              <w:bottom w:w="0" w:type="dxa"/>
              <w:right w:w="108" w:type="dxa"/>
            </w:tcMar>
            <w:vAlign w:val="bottom"/>
          </w:tcPr>
          <w:p w14:paraId="4787A1B8" w14:textId="77777777" w:rsidR="00D2314E" w:rsidRPr="00EA66E5" w:rsidRDefault="00CB5519" w:rsidP="00DF727C">
            <w:pPr>
              <w:jc w:val="right"/>
              <w:rPr>
                <w:sz w:val="20"/>
                <w:szCs w:val="20"/>
              </w:rPr>
            </w:pPr>
            <w:r w:rsidRPr="00EA66E5">
              <w:t>–</w:t>
            </w:r>
          </w:p>
        </w:tc>
        <w:tc>
          <w:tcPr>
            <w:tcW w:w="428" w:type="pct"/>
            <w:tcBorders>
              <w:bottom w:val="single" w:sz="4" w:space="0" w:color="auto"/>
            </w:tcBorders>
            <w:noWrap/>
            <w:tcMar>
              <w:top w:w="0" w:type="dxa"/>
              <w:left w:w="108" w:type="dxa"/>
              <w:bottom w:w="0" w:type="dxa"/>
              <w:right w:w="108" w:type="dxa"/>
            </w:tcMar>
            <w:vAlign w:val="bottom"/>
          </w:tcPr>
          <w:p w14:paraId="3953D84D" w14:textId="77777777" w:rsidR="00D2314E" w:rsidRPr="00EA66E5" w:rsidRDefault="00CB5519" w:rsidP="00DF727C">
            <w:pPr>
              <w:jc w:val="right"/>
              <w:rPr>
                <w:sz w:val="20"/>
                <w:szCs w:val="20"/>
              </w:rPr>
            </w:pPr>
            <w:r w:rsidRPr="00EA66E5">
              <w:t>–</w:t>
            </w:r>
          </w:p>
        </w:tc>
        <w:tc>
          <w:tcPr>
            <w:tcW w:w="499" w:type="pct"/>
            <w:tcBorders>
              <w:bottom w:val="single" w:sz="4" w:space="0" w:color="auto"/>
            </w:tcBorders>
            <w:noWrap/>
            <w:tcMar>
              <w:top w:w="0" w:type="dxa"/>
              <w:left w:w="108" w:type="dxa"/>
              <w:bottom w:w="0" w:type="dxa"/>
              <w:right w:w="108" w:type="dxa"/>
            </w:tcMar>
            <w:vAlign w:val="bottom"/>
          </w:tcPr>
          <w:p w14:paraId="609DCE3F" w14:textId="77777777" w:rsidR="00D2314E" w:rsidRPr="00EA66E5" w:rsidRDefault="00CB5519" w:rsidP="00DF727C">
            <w:pPr>
              <w:jc w:val="right"/>
              <w:rPr>
                <w:sz w:val="20"/>
                <w:szCs w:val="20"/>
              </w:rPr>
            </w:pPr>
            <w:r w:rsidRPr="00EA66E5">
              <w:t>–</w:t>
            </w:r>
          </w:p>
        </w:tc>
      </w:tr>
      <w:tr w:rsidR="00D2314E" w:rsidRPr="00EA66E5" w14:paraId="446B08D4" w14:textId="77777777" w:rsidTr="00736AD0">
        <w:trPr>
          <w:trHeight w:val="290"/>
        </w:trPr>
        <w:tc>
          <w:tcPr>
            <w:tcW w:w="228" w:type="pct"/>
            <w:tcBorders>
              <w:top w:val="single" w:sz="4" w:space="0" w:color="auto"/>
              <w:bottom w:val="single" w:sz="8" w:space="0" w:color="auto"/>
            </w:tcBorders>
          </w:tcPr>
          <w:p w14:paraId="5575D4FA" w14:textId="77777777" w:rsidR="00D2314E" w:rsidRPr="00EA66E5" w:rsidRDefault="00D2314E" w:rsidP="00E32BCE">
            <w:pPr>
              <w:jc w:val="left"/>
              <w:rPr>
                <w:sz w:val="20"/>
                <w:szCs w:val="20"/>
              </w:rPr>
            </w:pPr>
          </w:p>
        </w:tc>
        <w:tc>
          <w:tcPr>
            <w:tcW w:w="1557" w:type="pct"/>
            <w:tcBorders>
              <w:top w:val="single" w:sz="4" w:space="0" w:color="auto"/>
              <w:bottom w:val="single" w:sz="8" w:space="0" w:color="auto"/>
            </w:tcBorders>
            <w:noWrap/>
            <w:tcMar>
              <w:top w:w="0" w:type="dxa"/>
              <w:left w:w="108" w:type="dxa"/>
              <w:bottom w:w="0" w:type="dxa"/>
              <w:right w:w="108" w:type="dxa"/>
            </w:tcMar>
            <w:vAlign w:val="bottom"/>
          </w:tcPr>
          <w:p w14:paraId="247851F7" w14:textId="77777777" w:rsidR="00D2314E" w:rsidRPr="00EA66E5" w:rsidRDefault="00D2314E" w:rsidP="00DF727C">
            <w:pPr>
              <w:tabs>
                <w:tab w:val="left" w:pos="230"/>
              </w:tabs>
              <w:rPr>
                <w:sz w:val="20"/>
                <w:szCs w:val="20"/>
              </w:rPr>
            </w:pPr>
            <w:r w:rsidRPr="00EA66E5">
              <w:rPr>
                <w:b/>
                <w:sz w:val="20"/>
              </w:rPr>
              <w:tab/>
              <w:t>Total</w:t>
            </w:r>
          </w:p>
        </w:tc>
        <w:tc>
          <w:tcPr>
            <w:tcW w:w="1789" w:type="pct"/>
            <w:gridSpan w:val="4"/>
            <w:tcBorders>
              <w:top w:val="single" w:sz="4" w:space="0" w:color="auto"/>
              <w:bottom w:val="single" w:sz="8" w:space="0" w:color="auto"/>
            </w:tcBorders>
            <w:vAlign w:val="bottom"/>
          </w:tcPr>
          <w:p w14:paraId="36ED2DB9" w14:textId="77777777" w:rsidR="00D2314E" w:rsidRPr="00EA66E5" w:rsidRDefault="00D2314E" w:rsidP="00DF727C">
            <w:pPr>
              <w:jc w:val="right"/>
              <w:rPr>
                <w:sz w:val="20"/>
                <w:szCs w:val="20"/>
              </w:rPr>
            </w:pP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43FFE680" w14:textId="77777777" w:rsidR="00D2314E" w:rsidRPr="00EA66E5" w:rsidRDefault="00D2314E" w:rsidP="00DF727C">
            <w:pPr>
              <w:jc w:val="right"/>
              <w:rPr>
                <w:b/>
                <w:bCs/>
                <w:sz w:val="20"/>
                <w:szCs w:val="20"/>
              </w:rPr>
            </w:pPr>
            <w:r w:rsidRPr="00EA66E5">
              <w:rPr>
                <w:b/>
                <w:sz w:val="20"/>
              </w:rPr>
              <w:t>315.650</w:t>
            </w:r>
          </w:p>
        </w:tc>
        <w:tc>
          <w:tcPr>
            <w:tcW w:w="428" w:type="pct"/>
            <w:tcBorders>
              <w:top w:val="single" w:sz="4" w:space="0" w:color="auto"/>
              <w:bottom w:val="single" w:sz="8" w:space="0" w:color="auto"/>
            </w:tcBorders>
            <w:noWrap/>
            <w:tcMar>
              <w:top w:w="0" w:type="dxa"/>
              <w:left w:w="108" w:type="dxa"/>
              <w:bottom w:w="0" w:type="dxa"/>
              <w:right w:w="108" w:type="dxa"/>
            </w:tcMar>
            <w:vAlign w:val="bottom"/>
          </w:tcPr>
          <w:p w14:paraId="4B3AA39A" w14:textId="77777777" w:rsidR="00D2314E" w:rsidRPr="00EA66E5" w:rsidRDefault="00D2314E" w:rsidP="00DF727C">
            <w:pPr>
              <w:jc w:val="right"/>
              <w:rPr>
                <w:b/>
                <w:bCs/>
                <w:sz w:val="20"/>
                <w:szCs w:val="20"/>
              </w:rPr>
            </w:pPr>
            <w:r w:rsidRPr="00EA66E5">
              <w:rPr>
                <w:b/>
                <w:sz w:val="20"/>
              </w:rPr>
              <w:t>41.035</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23A32264" w14:textId="77777777" w:rsidR="00D2314E" w:rsidRPr="00EA66E5" w:rsidRDefault="00D2314E" w:rsidP="00DF727C">
            <w:pPr>
              <w:jc w:val="right"/>
              <w:rPr>
                <w:b/>
                <w:bCs/>
                <w:sz w:val="20"/>
                <w:szCs w:val="20"/>
              </w:rPr>
            </w:pPr>
            <w:r w:rsidRPr="00EA66E5">
              <w:rPr>
                <w:b/>
                <w:sz w:val="20"/>
              </w:rPr>
              <w:t>356.685</w:t>
            </w:r>
          </w:p>
        </w:tc>
      </w:tr>
    </w:tbl>
    <w:p w14:paraId="593E9730" w14:textId="5F978F1F" w:rsidR="00D2314E" w:rsidRPr="00EA66E5" w:rsidRDefault="00D2314E" w:rsidP="00D2314E">
      <w:pPr>
        <w:spacing w:before="120"/>
        <w:ind w:firstLine="567"/>
        <w:rPr>
          <w:sz w:val="18"/>
          <w:szCs w:val="18"/>
        </w:rPr>
      </w:pPr>
      <w:r w:rsidRPr="00EA66E5">
        <w:rPr>
          <w:i/>
          <w:sz w:val="18"/>
        </w:rPr>
        <w:t>Abreviaturas</w:t>
      </w:r>
      <w:r w:rsidRPr="00EA66E5">
        <w:rPr>
          <w:sz w:val="18"/>
        </w:rPr>
        <w:t xml:space="preserve">: GAP: gastos de apoyo a </w:t>
      </w:r>
      <w:r w:rsidR="00736AD0">
        <w:rPr>
          <w:sz w:val="18"/>
        </w:rPr>
        <w:t xml:space="preserve">los </w:t>
      </w:r>
      <w:r w:rsidRPr="00EA66E5">
        <w:rPr>
          <w:sz w:val="18"/>
        </w:rPr>
        <w:t>programa</w:t>
      </w:r>
      <w:r w:rsidR="00736AD0">
        <w:rPr>
          <w:sz w:val="18"/>
        </w:rPr>
        <w:t>s</w:t>
      </w:r>
      <w:r w:rsidRPr="00EA66E5">
        <w:rPr>
          <w:sz w:val="18"/>
        </w:rPr>
        <w:t>; P</w:t>
      </w:r>
      <w:r w:rsidR="00736AD0">
        <w:rPr>
          <w:sz w:val="18"/>
        </w:rPr>
        <w:t>árr.</w:t>
      </w:r>
      <w:r w:rsidRPr="00EA66E5">
        <w:rPr>
          <w:sz w:val="18"/>
        </w:rPr>
        <w:t>: párrafo de la parte dispositiva del proyecto de decisión.</w:t>
      </w:r>
    </w:p>
    <w:p w14:paraId="513AF509" w14:textId="121FBB9D" w:rsidR="00D2314E" w:rsidRPr="00EA66E5" w:rsidRDefault="00D2314E" w:rsidP="00D2314E">
      <w:pPr>
        <w:ind w:firstLine="567"/>
        <w:rPr>
          <w:sz w:val="18"/>
          <w:szCs w:val="18"/>
        </w:rPr>
      </w:pPr>
      <w:r w:rsidRPr="00EA66E5">
        <w:rPr>
          <w:i/>
          <w:sz w:val="18"/>
          <w:vertAlign w:val="superscript"/>
        </w:rPr>
        <w:t>a</w:t>
      </w:r>
      <w:r w:rsidRPr="00EA66E5">
        <w:rPr>
          <w:sz w:val="18"/>
        </w:rPr>
        <w:tab/>
        <w:t>Inclu</w:t>
      </w:r>
      <w:r w:rsidR="00736AD0">
        <w:rPr>
          <w:sz w:val="18"/>
        </w:rPr>
        <w:t>idos</w:t>
      </w:r>
      <w:r w:rsidRPr="00EA66E5">
        <w:rPr>
          <w:sz w:val="18"/>
        </w:rPr>
        <w:t xml:space="preserve"> viajes de los participantes.</w:t>
      </w:r>
    </w:p>
    <w:p w14:paraId="5DD749FC" w14:textId="77777777" w:rsidR="00D2314E" w:rsidRPr="00EA66E5" w:rsidRDefault="00D2314E" w:rsidP="00D2314E">
      <w:pPr>
        <w:ind w:firstLine="567"/>
      </w:pPr>
      <w:r w:rsidRPr="00EA66E5">
        <w:rPr>
          <w:i/>
          <w:sz w:val="18"/>
          <w:vertAlign w:val="superscript"/>
        </w:rPr>
        <w:t>b</w:t>
      </w:r>
      <w:r w:rsidRPr="00EA66E5">
        <w:rPr>
          <w:sz w:val="18"/>
        </w:rPr>
        <w:tab/>
        <w:t>Consultores, asociados y personal adicional.</w:t>
      </w:r>
    </w:p>
    <w:p w14:paraId="273E4215" w14:textId="77777777" w:rsidR="00FC11CB" w:rsidRPr="00EA66E5" w:rsidRDefault="00FC11CB" w:rsidP="00E32BCE">
      <w:pPr>
        <w:jc w:val="center"/>
        <w:rPr>
          <w:color w:val="000000" w:themeColor="text1"/>
          <w:sz w:val="20"/>
          <w:szCs w:val="20"/>
        </w:rPr>
      </w:pPr>
      <w:r w:rsidRPr="00EA66E5">
        <w:rPr>
          <w:color w:val="000000" w:themeColor="text1"/>
          <w:sz w:val="20"/>
        </w:rPr>
        <w:t>__________</w:t>
      </w:r>
    </w:p>
    <w:sectPr w:rsidR="00FC11CB" w:rsidRPr="00EA66E5" w:rsidSect="00E32BCE">
      <w:footnotePr>
        <w:numRestart w:val="eachSect"/>
      </w:footnotePr>
      <w:endnotePr>
        <w:numFmt w:val="lowerLetter"/>
        <w:numRestart w:val="eachSect"/>
      </w:end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6BFBC" w14:textId="77777777" w:rsidR="00C54C07" w:rsidRPr="001F67CB" w:rsidRDefault="00C54C07" w:rsidP="00007904">
      <w:r w:rsidRPr="001F67CB">
        <w:separator/>
      </w:r>
    </w:p>
  </w:endnote>
  <w:endnote w:type="continuationSeparator" w:id="0">
    <w:p w14:paraId="487B93A6" w14:textId="77777777" w:rsidR="00C54C07" w:rsidRPr="001F67CB" w:rsidRDefault="00C54C07"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3A95565D" w14:textId="77777777" w:rsidR="008E3A09" w:rsidRPr="001F67CB" w:rsidRDefault="0056451A" w:rsidP="0056451A">
        <w:pPr>
          <w:pStyle w:val="Footer"/>
          <w:rPr>
            <w:sz w:val="22"/>
          </w:rPr>
        </w:pPr>
        <w:r w:rsidRPr="001F67CB">
          <w:fldChar w:fldCharType="begin"/>
        </w:r>
        <w:r w:rsidRPr="001F67CB">
          <w:instrText xml:space="preserve"> PAGE </w:instrText>
        </w:r>
        <w:r w:rsidRPr="001F67CB">
          <w:fldChar w:fldCharType="separate"/>
        </w:r>
        <w:r w:rsidRPr="001F67CB">
          <w:t>4</w:t>
        </w:r>
        <w:r w:rsidRPr="001F67CB">
          <w:fldChar w:fldCharType="end"/>
        </w:r>
        <w:r>
          <w:t>/</w:t>
        </w:r>
        <w:fldSimple w:instr=" NUMPAGES  ">
          <w:r w:rsidRPr="001F67CB">
            <w:t>10</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54525AE1" w14:textId="77777777" w:rsidR="0056451A" w:rsidRPr="001F67CB" w:rsidRDefault="0056451A" w:rsidP="00263818">
        <w:pPr>
          <w:pStyle w:val="Footer"/>
          <w:jc w:val="right"/>
          <w:rPr>
            <w:sz w:val="22"/>
          </w:rPr>
        </w:pPr>
        <w:r w:rsidRPr="001F67CB">
          <w:fldChar w:fldCharType="begin"/>
        </w:r>
        <w:r w:rsidRPr="001F67CB">
          <w:instrText xml:space="preserve"> PAGE </w:instrText>
        </w:r>
        <w:r w:rsidRPr="001F67CB">
          <w:fldChar w:fldCharType="separate"/>
        </w:r>
        <w:r w:rsidRPr="001F67CB">
          <w:t>4</w:t>
        </w:r>
        <w:r w:rsidRPr="001F67CB">
          <w:fldChar w:fldCharType="end"/>
        </w:r>
        <w:r>
          <w:t>/</w:t>
        </w:r>
        <w:fldSimple w:instr=" NUMPAGES  ">
          <w:r w:rsidRPr="001F67CB">
            <w:t>10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DAA73" w14:textId="77777777" w:rsidR="00C54C07" w:rsidRPr="001F67CB" w:rsidRDefault="00C54C07" w:rsidP="00007904">
      <w:r w:rsidRPr="001F67CB">
        <w:separator/>
      </w:r>
    </w:p>
  </w:footnote>
  <w:footnote w:type="continuationSeparator" w:id="0">
    <w:p w14:paraId="672C327F" w14:textId="77777777" w:rsidR="00C54C07" w:rsidRPr="001F67CB" w:rsidRDefault="00C54C07" w:rsidP="00007904">
      <w:r w:rsidRPr="001F67CB">
        <w:continuationSeparator/>
      </w:r>
    </w:p>
  </w:footnote>
  <w:footnote w:id="1">
    <w:p w14:paraId="3C2A319B" w14:textId="77777777" w:rsidR="001F2281" w:rsidRPr="00123EAF" w:rsidRDefault="001F2281" w:rsidP="001F2281">
      <w:pPr>
        <w:pStyle w:val="FootnoteText"/>
      </w:pPr>
      <w:r>
        <w:rPr>
          <w:rStyle w:val="FootnoteReference"/>
        </w:rPr>
        <w:t>*</w:t>
      </w:r>
      <w:r>
        <w:t xml:space="preserve"> CBD/SBSTTA/28/1.</w:t>
      </w:r>
    </w:p>
  </w:footnote>
  <w:footnote w:id="2">
    <w:p w14:paraId="20FF791B" w14:textId="77777777" w:rsidR="00F20E41" w:rsidRPr="00123EAF" w:rsidRDefault="00F20E41">
      <w:pPr>
        <w:pStyle w:val="FootnoteText"/>
      </w:pPr>
      <w:r>
        <w:rPr>
          <w:rStyle w:val="FootnoteReference"/>
        </w:rPr>
        <w:footnoteRef/>
      </w:r>
      <w:r>
        <w:t xml:space="preserve"> Decisión </w:t>
      </w:r>
      <w:hyperlink r:id="rId1" w:history="1">
        <w:r>
          <w:rPr>
            <w:rStyle w:val="Hyperlink"/>
          </w:rPr>
          <w:t>VII/28</w:t>
        </w:r>
      </w:hyperlink>
      <w:r>
        <w:t>, anexo.</w:t>
      </w:r>
    </w:p>
  </w:footnote>
  <w:footnote w:id="3">
    <w:p w14:paraId="03D5C5AC" w14:textId="77777777" w:rsidR="006C759F" w:rsidRPr="00123EAF" w:rsidRDefault="006C759F">
      <w:pPr>
        <w:pStyle w:val="FootnoteText"/>
      </w:pPr>
      <w:r>
        <w:rPr>
          <w:rStyle w:val="FootnoteReference"/>
        </w:rPr>
        <w:footnoteRef/>
      </w:r>
      <w:r>
        <w:t xml:space="preserve"> Brasil, Canadá, Costa Rica, China, Colombia, Irán (República Islámica del), Maldivas, México, Noruega, Perú, Reino Unido de Gran Bretaña e Irlanda del Norte, Sudáfrica y Unión Europea y sus Estados miembros.</w:t>
      </w:r>
    </w:p>
  </w:footnote>
  <w:footnote w:id="4">
    <w:p w14:paraId="3B0D0830" w14:textId="77777777" w:rsidR="006C759F" w:rsidRPr="00123EAF" w:rsidRDefault="006C759F" w:rsidP="00171A50">
      <w:pPr>
        <w:pStyle w:val="FootnoteText"/>
        <w:jc w:val="both"/>
      </w:pPr>
      <w:r>
        <w:rPr>
          <w:rStyle w:val="FootnoteReference"/>
        </w:rPr>
        <w:footnoteRef/>
      </w:r>
      <w:r>
        <w:t xml:space="preserve"> BirdLife International, Caucus de Mujeres del CDB, Center for Large Landscape Conservation, Solución de Investigación Energética, Organización de las Naciones Unidas para la Alimentación y la Agricultura, Secretaría de la Coalición de Alta Ambición por la Naturaleza y las Personas, Consorcio TICCA, Foro Internacional Indígena sobre Diversidad Biológica, Unión Internacional para la Conservación de la Naturaleza, Grupo Internacional de Trabajo sobre Asuntos Indígenas, Oficina del Alto Comisionado de las Naciones Unidas para los Derechos Humanos, Organización Nacional de los Pueblos Indígenas de la Amazonía Colombiana, The Nature Conservancy, Wildlife Conservation Society, Women4Biodiversity y World Wide Fund for Nature International.</w:t>
      </w:r>
    </w:p>
  </w:footnote>
  <w:footnote w:id="5">
    <w:p w14:paraId="7DFFF5D2" w14:textId="0433A8A0" w:rsidR="0047647D" w:rsidRPr="00123EAF" w:rsidRDefault="0047647D" w:rsidP="00C3146C">
      <w:pPr>
        <w:pStyle w:val="FootnoteText"/>
        <w:rPr>
          <w:szCs w:val="18"/>
        </w:rPr>
      </w:pPr>
      <w:r>
        <w:rPr>
          <w:rStyle w:val="FootnoteReference"/>
        </w:rPr>
        <w:footnoteRef/>
      </w:r>
      <w:r>
        <w:t xml:space="preserve"> El análisis rápido de los programas de trabajo establecidos en el marco del Convenio con respecto a las metas del Marco (</w:t>
      </w:r>
      <w:hyperlink r:id="rId2" w:history="1">
        <w:r>
          <w:rPr>
            <w:rStyle w:val="Hyperlink"/>
          </w:rPr>
          <w:t>CBD/SBSTTA/25/INF/1</w:t>
        </w:r>
      </w:hyperlink>
      <w:r>
        <w:t xml:space="preserve">) y la orientación sobre las necesidades relacionadas con la </w:t>
      </w:r>
      <w:r w:rsidR="00E319C9">
        <w:t>implementación</w:t>
      </w:r>
      <w:r>
        <w:t xml:space="preserve"> del marco de seguimiento del Marco Mundial de Biodiversidad de Kunming-Montreal (</w:t>
      </w:r>
      <w:hyperlink r:id="rId3" w:history="1">
        <w:r>
          <w:rPr>
            <w:rStyle w:val="Hyperlink"/>
          </w:rPr>
          <w:t>CBD/SBSTTA/26/INF/19</w:t>
        </w:r>
      </w:hyperlink>
      <w:r>
        <w:t>).</w:t>
      </w:r>
    </w:p>
  </w:footnote>
  <w:footnote w:id="6">
    <w:p w14:paraId="5F867811" w14:textId="77777777" w:rsidR="00A94A7E" w:rsidRPr="00E32BCE" w:rsidRDefault="00A94A7E" w:rsidP="004E598A">
      <w:pPr>
        <w:pStyle w:val="NormalWeb"/>
        <w:rPr>
          <w:sz w:val="18"/>
          <w:szCs w:val="18"/>
        </w:rPr>
      </w:pPr>
      <w:r>
        <w:rPr>
          <w:rStyle w:val="FootnoteReference"/>
          <w:sz w:val="18"/>
          <w:szCs w:val="18"/>
        </w:rPr>
        <w:footnoteRef/>
      </w:r>
      <w:r>
        <w:rPr>
          <w:sz w:val="18"/>
        </w:rPr>
        <w:t xml:space="preserve"> Alemania, Bélgica, Brasil, Canadá, China, Colombia, España, Finlandia, Japón, México, Federación de Rusia, Reino Unido, Sudáfrica, Suecia y Unión Europea y sus Estados miembros.</w:t>
      </w:r>
    </w:p>
  </w:footnote>
  <w:footnote w:id="7">
    <w:p w14:paraId="44B90AE7" w14:textId="0841061A" w:rsidR="00D36D64" w:rsidRPr="00E32BCE" w:rsidRDefault="00D36D64" w:rsidP="003578CA">
      <w:pPr>
        <w:pStyle w:val="NormalWeb"/>
        <w:rPr>
          <w:sz w:val="18"/>
          <w:szCs w:val="18"/>
        </w:rPr>
      </w:pPr>
      <w:r>
        <w:rPr>
          <w:rStyle w:val="FootnoteReference"/>
          <w:sz w:val="18"/>
          <w:szCs w:val="18"/>
        </w:rPr>
        <w:footnoteRef/>
      </w:r>
      <w:r>
        <w:rPr>
          <w:sz w:val="18"/>
        </w:rPr>
        <w:t xml:space="preserve"> BirdLife International, Caucus de Mujeres del CDB, Center for Large Landscape Conservation, Organización de las Naciones Unidas para la Alimentación y la Agricultura, Consejo de Administración Forestal, </w:t>
      </w:r>
      <w:r w:rsidR="001F2281" w:rsidRPr="001F2281">
        <w:rPr>
          <w:sz w:val="18"/>
          <w:szCs w:val="18"/>
        </w:rPr>
        <w:t>Global Youth Biodiversity Network</w:t>
      </w:r>
      <w:r w:rsidR="001F2281">
        <w:rPr>
          <w:sz w:val="18"/>
        </w:rPr>
        <w:t xml:space="preserve">, </w:t>
      </w:r>
      <w:r>
        <w:rPr>
          <w:sz w:val="18"/>
        </w:rPr>
        <w:t>Coalición de Alta Ambición por la Naturaleza y las Personas, Consorcio TICCA, Unión Internacional para la Conservación de la Naturaleza, Grupo Internacional de Trabajo sobre Asuntos Indígenas, Mesoamerican Initiative for Biological Corridors, Real Sociedad para la Protección de las Aves, Secretaría de la Convención sobre la Conservación de las Especies Migratorias de Animales Silvestres, The Nature Conservancy, Centro Mundial de Vigilancia de la Conservación del Programa de las Naciones Unidas para el Medio Ambiente, Women4Biodiversity y World Wide Fund for Nature International.</w:t>
      </w:r>
    </w:p>
  </w:footnote>
  <w:footnote w:id="8">
    <w:p w14:paraId="09E41AE2" w14:textId="77777777" w:rsidR="00275EFB" w:rsidRPr="003A6D25" w:rsidRDefault="00275EFB" w:rsidP="00E32BCE">
      <w:pPr>
        <w:rPr>
          <w:szCs w:val="18"/>
        </w:rPr>
      </w:pPr>
      <w:r>
        <w:rPr>
          <w:rStyle w:val="FootnoteReference"/>
          <w:sz w:val="18"/>
          <w:szCs w:val="18"/>
        </w:rPr>
        <w:footnoteRef/>
      </w:r>
      <w:r>
        <w:rPr>
          <w:sz w:val="18"/>
        </w:rPr>
        <w:t xml:space="preserve"> </w:t>
      </w:r>
      <w:r>
        <w:rPr>
          <w:color w:val="000000" w:themeColor="text1"/>
          <w:sz w:val="18"/>
        </w:rPr>
        <w:t xml:space="preserve">En la octava reunión de la Conferencia de las Partes se evaluaron los progresos iniciales mediante la decisión </w:t>
      </w:r>
      <w:hyperlink r:id="rId4" w:history="1">
        <w:r>
          <w:rPr>
            <w:rStyle w:val="Hyperlink"/>
            <w:sz w:val="18"/>
          </w:rPr>
          <w:t>VIII/24,</w:t>
        </w:r>
      </w:hyperlink>
      <w:r>
        <w:rPr>
          <w:color w:val="000000" w:themeColor="text1"/>
          <w:sz w:val="18"/>
        </w:rPr>
        <w:t xml:space="preserve"> en la que se invitó a las Partes a mejorar la presentación de informes sobre la aplicación. En su novena reunión, en su decisión </w:t>
      </w:r>
      <w:hyperlink r:id="rId5" w:history="1">
        <w:r>
          <w:rPr>
            <w:rStyle w:val="Hyperlink"/>
            <w:sz w:val="18"/>
          </w:rPr>
          <w:t>IX/18 A,</w:t>
        </w:r>
      </w:hyperlink>
      <w:r>
        <w:rPr>
          <w:color w:val="000000" w:themeColor="text1"/>
          <w:sz w:val="18"/>
        </w:rPr>
        <w:t xml:space="preserve"> la Conferencia de las Partes pidió que se celebraran talleres de creación de capacidad, se recopilaran las mejores prácticas y se llevara a cabo una revisión a fondo de los progresos realizados, junto con la designación de puntos focales nacionales. En su décima reunión, mediante la decisión </w:t>
      </w:r>
      <w:hyperlink r:id="rId6" w:history="1">
        <w:r>
          <w:rPr>
            <w:rStyle w:val="Hyperlink"/>
            <w:color w:val="000000" w:themeColor="text1"/>
            <w:sz w:val="18"/>
            <w:u w:val="none"/>
          </w:rPr>
          <w:t>X/31</w:t>
        </w:r>
      </w:hyperlink>
      <w:r>
        <w:rPr>
          <w:sz w:val="18"/>
        </w:rPr>
        <w:t>,</w:t>
      </w:r>
      <w:r>
        <w:rPr>
          <w:color w:val="000000" w:themeColor="text1"/>
          <w:sz w:val="18"/>
        </w:rPr>
        <w:t xml:space="preserve"> la Conferencia de las Partes abordó las estrategias nacionales, regionales y mundiales para fortalecer la aplicación. En la misma reunión, también adoptó las Metas de Aichi para la Diversidad Biológica, que incluían la meta 11 relativa a las áreas protegidas y traducían elementos básicos del programa de trabajo en </w:t>
      </w:r>
      <w:r>
        <w:rPr>
          <w:sz w:val="18"/>
        </w:rPr>
        <w:t>compromisos mundiales mensurables</w:t>
      </w:r>
      <w:r>
        <w:rPr>
          <w:color w:val="000000" w:themeColor="text1"/>
          <w:sz w:val="18"/>
        </w:rPr>
        <w:t xml:space="preserve"> (véase la decisión </w:t>
      </w:r>
      <w:hyperlink r:id="rId7" w:history="1">
        <w:r>
          <w:rPr>
            <w:rStyle w:val="Hyperlink"/>
            <w:color w:val="000000" w:themeColor="text1"/>
            <w:sz w:val="18"/>
            <w:u w:val="none"/>
          </w:rPr>
          <w:t>X/2</w:t>
        </w:r>
      </w:hyperlink>
      <w:r>
        <w:rPr>
          <w:sz w:val="18"/>
        </w:rPr>
        <w:t>)</w:t>
      </w:r>
      <w:r>
        <w:rPr>
          <w:color w:val="000000" w:themeColor="text1"/>
          <w:sz w:val="18"/>
        </w:rPr>
        <w:t xml:space="preserve">. Los acontecimientos posteriores ampliaron y consolidaron el marco, sobre todo mediante </w:t>
      </w:r>
      <w:r>
        <w:t xml:space="preserve">la </w:t>
      </w:r>
      <w:r w:rsidRPr="00E21C4C">
        <w:rPr>
          <w:color w:val="000000" w:themeColor="text1"/>
          <w:sz w:val="18"/>
        </w:rPr>
        <w:t>decisión </w:t>
      </w:r>
      <w:hyperlink r:id="rId8" w:history="1">
        <w:r>
          <w:rPr>
            <w:rStyle w:val="Hyperlink"/>
            <w:sz w:val="18"/>
          </w:rPr>
          <w:t>14/8</w:t>
        </w:r>
      </w:hyperlink>
      <w:r>
        <w:rPr>
          <w:sz w:val="18"/>
        </w:rPr>
        <w:t>,</w:t>
      </w:r>
      <w:r>
        <w:rPr>
          <w:color w:val="000000" w:themeColor="text1"/>
          <w:sz w:val="18"/>
        </w:rPr>
        <w:t xml:space="preserve"> en la que la Conferencia de las Partes definió otras medidas eficaces de conservación basadas en áreas. </w:t>
      </w:r>
    </w:p>
  </w:footnote>
  <w:footnote w:id="9">
    <w:p w14:paraId="0EE81736" w14:textId="77777777" w:rsidR="00197BDC" w:rsidRPr="00123EAF" w:rsidRDefault="00197BDC">
      <w:pPr>
        <w:pStyle w:val="FootnoteText"/>
      </w:pPr>
      <w:r>
        <w:rPr>
          <w:rStyle w:val="FootnoteReference"/>
        </w:rPr>
        <w:footnoteRef/>
      </w:r>
      <w:r>
        <w:t xml:space="preserve"> La Iniciativa de Diálogo sobre Paz y Biodiversidad fue establecida en la 12ª reunión de la Conferencia de las Partes y está financiada por la República de Corea.</w:t>
      </w:r>
    </w:p>
  </w:footnote>
  <w:footnote w:id="10">
    <w:p w14:paraId="78CF348D" w14:textId="77777777" w:rsidR="002A01E5" w:rsidRPr="00B10281" w:rsidRDefault="002A01E5">
      <w:pPr>
        <w:pStyle w:val="FootnoteText"/>
      </w:pPr>
      <w:r>
        <w:rPr>
          <w:rStyle w:val="FootnoteReference"/>
        </w:rPr>
        <w:footnoteRef/>
      </w:r>
      <w:r>
        <w:t xml:space="preserve"> La Comunidad de Práctica de la Meta 3 ha contado con el generoso apoyo de Alemania, la Deutsche Gesellschaft für Internationale Zusammenarbeit y el Japón, a través del Fondo Japonés para la Diversidad Biológica.</w:t>
      </w:r>
    </w:p>
  </w:footnote>
  <w:footnote w:id="11">
    <w:p w14:paraId="401FFF6E" w14:textId="0BF749E0" w:rsidR="0074062C" w:rsidRPr="00B10281" w:rsidRDefault="0074062C">
      <w:pPr>
        <w:pStyle w:val="FootnoteText"/>
      </w:pPr>
      <w:r>
        <w:rPr>
          <w:rStyle w:val="FootnoteReference"/>
        </w:rPr>
        <w:footnoteRef/>
      </w:r>
      <w:r>
        <w:t xml:space="preserve"> Los talleres se llevaron a cabo para países en: el Pacífico (Nadi, </w:t>
      </w:r>
      <w:proofErr w:type="spellStart"/>
      <w:r>
        <w:t>Fiji</w:t>
      </w:r>
      <w:proofErr w:type="spellEnd"/>
      <w:r>
        <w:t>, 18–26 de marzo de 2024); el Caribe (Georgetown, 16</w:t>
      </w:r>
      <w:r>
        <w:noBreakHyphen/>
        <w:t xml:space="preserve">18 de abril de 2024), América Latina (Punta Leona, Costa Rica), 9–13 de junio de 2024), Asia meridional (Katmandú, 29 de julio–1 de agosto de 2024), África central, meridional y oriental (Nairobi, 17–20 de febrero de 2025), Asia oriental y sudoriental (Bangkok, 17–20 de junio de 2025) y Asia central (Tashkent, 3–6 de febrero de 2026). </w:t>
      </w:r>
    </w:p>
  </w:footnote>
  <w:footnote w:id="12">
    <w:p w14:paraId="269702B1" w14:textId="77777777" w:rsidR="00FD5B09" w:rsidRPr="00123EAF" w:rsidRDefault="00FD5B09" w:rsidP="00FD5B09">
      <w:pPr>
        <w:pStyle w:val="FootnoteText"/>
      </w:pPr>
      <w:r>
        <w:rPr>
          <w:rStyle w:val="FootnoteReference"/>
        </w:rPr>
        <w:footnoteRef/>
      </w:r>
      <w:r>
        <w:t xml:space="preserve"> También prestaron su apoyo la African Wildlife Foundation, la Comunidad del Caribe, el Caucus de Mujeres del CDB, la Red Global de Jóvenes por la Biodiversidad, el Centro Internacional para la Ordenación Integrada de las Montañas, el Foro Internacional Indígena sobre Diversidad Biológica, la Unión Internacional para la Conservación de la Naturaleza, la Secretaría del Programa Regional del Pacífico para el Medio Ambiente, el Programa de las Naciones Unidas para el Desarrollo y el Centro Mundial de Vigilancia de la Conservación del Programa de las Naciones Unidas para el Medio Ambiente, con el generoso apoyo financiero de Dinamarca, Noruega, la República de Corea por conducto de la Iniciativa de Diálogo sobre Paz y Biodiversidad, la Deutsche Gesellschaft für Internationale Zusammenarbeit el Fondo Japonés para la Diversidad Biológica, los Pew Charitable Trusts, y el World Wide Fund for Nature International.</w:t>
      </w:r>
    </w:p>
  </w:footnote>
  <w:footnote w:id="13">
    <w:p w14:paraId="0A4F1114" w14:textId="77777777" w:rsidR="009C2072" w:rsidRPr="00123EAF" w:rsidRDefault="009C2072">
      <w:pPr>
        <w:pStyle w:val="FootnoteText"/>
      </w:pPr>
      <w:r>
        <w:rPr>
          <w:rStyle w:val="FootnoteReference"/>
        </w:rPr>
        <w:footnoteRef/>
      </w:r>
      <w:r>
        <w:t xml:space="preserve"> Alemania, la Deutsche Gesellschaft für Internationale Zusammenarbeit y el Japón, a través del Fondo Japonés para la Diversidad Biológica, están apoyando generosamente la elaboración de hojas de ruta subregionales.</w:t>
      </w:r>
    </w:p>
  </w:footnote>
  <w:footnote w:id="14">
    <w:p w14:paraId="164ED867" w14:textId="77777777" w:rsidR="00212AAC" w:rsidRPr="00123EAF" w:rsidRDefault="00212AAC">
      <w:pPr>
        <w:pStyle w:val="FootnoteText"/>
      </w:pPr>
      <w:r>
        <w:rPr>
          <w:rStyle w:val="FootnoteReference"/>
        </w:rPr>
        <w:footnoteRef/>
      </w:r>
      <w:r>
        <w:t xml:space="preserve"> </w:t>
      </w:r>
      <w:r>
        <w:rPr>
          <w:color w:val="212121"/>
        </w:rPr>
        <w:t>Para más información sobre las oportunidades de llevar a cabo una labor que contribuya a la conservación y el uso sostenible de la diversidad biológica marina de las zonas situadas</w:t>
      </w:r>
      <w:r>
        <w:rPr>
          <w:rStyle w:val="apple-converted-space"/>
          <w:color w:val="212121"/>
        </w:rPr>
        <w:t xml:space="preserve"> </w:t>
      </w:r>
      <w:r>
        <w:rPr>
          <w:color w:val="212121"/>
        </w:rPr>
        <w:t>fuera de la jurisdicción nacional en el marco del Convenio,</w:t>
      </w:r>
      <w:r>
        <w:rPr>
          <w:rStyle w:val="apple-converted-space"/>
          <w:color w:val="212121"/>
        </w:rPr>
        <w:t xml:space="preserve"> </w:t>
      </w:r>
      <w:r>
        <w:rPr>
          <w:color w:val="212121"/>
        </w:rPr>
        <w:t xml:space="preserve">entre otras formas mediante sinergias con el Acuerdo, véanse los documentos CBD/SBSTTA/28/7 y </w:t>
      </w:r>
      <w:hyperlink r:id="rId9" w:history="1">
        <w:r>
          <w:rPr>
            <w:rStyle w:val="Hyperlink"/>
          </w:rPr>
          <w:t>CBD/MCB/WS/2025/1/2</w:t>
        </w:r>
      </w:hyperlink>
      <w:r>
        <w:t>.</w:t>
      </w:r>
    </w:p>
  </w:footnote>
  <w:footnote w:id="15">
    <w:p w14:paraId="69D09A5E" w14:textId="77777777" w:rsidR="005C0FF4" w:rsidRPr="008B1730" w:rsidRDefault="005C0FF4" w:rsidP="005C0FF4">
      <w:pPr>
        <w:pStyle w:val="FootnoteText"/>
      </w:pPr>
      <w:r>
        <w:rPr>
          <w:rStyle w:val="FootnoteReference"/>
        </w:rPr>
        <w:footnoteRef/>
      </w:r>
      <w:r>
        <w:t xml:space="preserve"> Los recursos extrapresupuestarios estimados para las actividades esbozadas en el proyecto de decisión figuran en el anexo del presente documento.</w:t>
      </w:r>
    </w:p>
  </w:footnote>
  <w:footnote w:id="16">
    <w:p w14:paraId="02BEF5C6" w14:textId="77777777" w:rsidR="00010457" w:rsidRPr="00123EAF" w:rsidRDefault="00010457" w:rsidP="00010457">
      <w:pPr>
        <w:pStyle w:val="FootnoteText"/>
      </w:pPr>
      <w:r>
        <w:rPr>
          <w:rStyle w:val="FootnoteReference"/>
        </w:rPr>
        <w:footnoteRef/>
      </w:r>
      <w:r>
        <w:t xml:space="preserve"> Decisión </w:t>
      </w:r>
      <w:hyperlink r:id="rId10" w:history="1">
        <w:r>
          <w:rPr>
            <w:rStyle w:val="Hyperlink"/>
          </w:rPr>
          <w:t>VII/28</w:t>
        </w:r>
      </w:hyperlink>
      <w:r>
        <w:t>, anexo.</w:t>
      </w:r>
    </w:p>
  </w:footnote>
  <w:footnote w:id="17">
    <w:p w14:paraId="72E75670" w14:textId="77777777" w:rsidR="00901A95" w:rsidRPr="00123EAF" w:rsidRDefault="00901A95">
      <w:pPr>
        <w:pStyle w:val="FootnoteText"/>
        <w:rPr>
          <w:szCs w:val="18"/>
        </w:rPr>
      </w:pPr>
      <w:r>
        <w:rPr>
          <w:rStyle w:val="FootnoteReference"/>
        </w:rPr>
        <w:footnoteRef/>
      </w:r>
      <w:r>
        <w:t xml:space="preserve"> Naciones Unidas, </w:t>
      </w:r>
      <w:r>
        <w:rPr>
          <w:i/>
          <w:iCs/>
        </w:rPr>
        <w:t>Treaty Series</w:t>
      </w:r>
      <w:r>
        <w:t>, vol. 1760, núm. 30619.</w:t>
      </w:r>
    </w:p>
  </w:footnote>
  <w:footnote w:id="18">
    <w:p w14:paraId="2FEBF8A8" w14:textId="77777777" w:rsidR="00664AB8" w:rsidRPr="00123EAF" w:rsidRDefault="00664AB8">
      <w:pPr>
        <w:pStyle w:val="FootnoteText"/>
      </w:pPr>
      <w:r>
        <w:rPr>
          <w:rStyle w:val="FootnoteReference"/>
        </w:rPr>
        <w:footnoteRef/>
      </w:r>
      <w:r>
        <w:t xml:space="preserve"> Decisión </w:t>
      </w:r>
      <w:hyperlink r:id="rId11" w:history="1">
        <w:r>
          <w:rPr>
            <w:rStyle w:val="Hyperlink"/>
          </w:rPr>
          <w:t>15/4</w:t>
        </w:r>
      </w:hyperlink>
      <w:r>
        <w:t>, anexo.</w:t>
      </w:r>
    </w:p>
  </w:footnote>
  <w:footnote w:id="19">
    <w:p w14:paraId="0AAF1A14" w14:textId="77777777" w:rsidR="00DD0329" w:rsidRPr="00123EAF" w:rsidRDefault="00DD0329">
      <w:pPr>
        <w:pStyle w:val="FootnoteText"/>
      </w:pPr>
      <w:r>
        <w:rPr>
          <w:rStyle w:val="FootnoteReference"/>
        </w:rPr>
        <w:footnoteRef/>
      </w:r>
      <w:r>
        <w:t xml:space="preserve"> Decisión </w:t>
      </w:r>
      <w:hyperlink r:id="rId12" w:history="1">
        <w:r>
          <w:rPr>
            <w:rStyle w:val="Hyperlink"/>
          </w:rPr>
          <w:t>16/4</w:t>
        </w:r>
      </w:hyperlink>
      <w:r>
        <w:t>, anexo.</w:t>
      </w:r>
    </w:p>
  </w:footnote>
  <w:footnote w:id="20">
    <w:p w14:paraId="7A882AF5" w14:textId="77777777" w:rsidR="0057593C" w:rsidRPr="00123EAF" w:rsidRDefault="0057593C">
      <w:pPr>
        <w:pStyle w:val="FootnoteText"/>
      </w:pPr>
      <w:r>
        <w:rPr>
          <w:rStyle w:val="FootnoteReference"/>
        </w:rPr>
        <w:footnoteRef/>
      </w:r>
      <w:r>
        <w:t xml:space="preserve"> Decisión </w:t>
      </w:r>
      <w:hyperlink r:id="rId13" w:history="1">
        <w:r>
          <w:rPr>
            <w:rStyle w:val="Hyperlink"/>
          </w:rPr>
          <w:t>15/4</w:t>
        </w:r>
      </w:hyperlink>
      <w:r>
        <w:t>, anexo.</w:t>
      </w:r>
    </w:p>
  </w:footnote>
  <w:footnote w:id="21">
    <w:p w14:paraId="54E4F3F6" w14:textId="77777777" w:rsidR="00F95C07" w:rsidRPr="00123EAF" w:rsidRDefault="00F95C07" w:rsidP="00F95C07">
      <w:pPr>
        <w:pStyle w:val="FootnoteText"/>
      </w:pPr>
      <w:r>
        <w:rPr>
          <w:rStyle w:val="FootnoteReference"/>
        </w:rPr>
        <w:footnoteRef/>
      </w:r>
      <w:r>
        <w:t xml:space="preserve"> Decisión </w:t>
      </w:r>
      <w:hyperlink r:id="rId14" w:history="1">
        <w:r>
          <w:rPr>
            <w:rStyle w:val="Hyperlink"/>
          </w:rPr>
          <w:t>VII/28</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A5A3" w14:textId="2E561102" w:rsidR="007E7562" w:rsidRPr="00BE57A3" w:rsidRDefault="00470566" w:rsidP="00BE57A3">
    <w:pPr>
      <w:pStyle w:val="Header"/>
    </w:pPr>
    <w:r>
      <w:t>CBD/SBSTTA/28/6/Rev.1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0000" w14:textId="04907F4D" w:rsidR="00470566" w:rsidRPr="001F67CB" w:rsidRDefault="00470566" w:rsidP="00470566">
    <w:pPr>
      <w:pStyle w:val="Header"/>
      <w:jc w:val="right"/>
    </w:pPr>
  </w:p>
  <w:p w14:paraId="2A57F2D0" w14:textId="2D5634A3" w:rsidR="007E7562" w:rsidRPr="00470566" w:rsidRDefault="00470566" w:rsidP="00EF57AD">
    <w:pPr>
      <w:pStyle w:val="Header"/>
      <w:jc w:val="right"/>
    </w:pPr>
    <w:r>
      <w:t>CBD/SBSTTA/28/6/Rev.1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D943BEE"/>
    <w:multiLevelType w:val="multilevel"/>
    <w:tmpl w:val="A95A6876"/>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15:restartNumberingAfterBreak="0">
    <w:nsid w:val="68B70991"/>
    <w:multiLevelType w:val="multilevel"/>
    <w:tmpl w:val="222A08B4"/>
    <w:numStyleLink w:val="ListCBD"/>
  </w:abstractNum>
  <w:abstractNum w:abstractNumId="128"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7"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6"/>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3"/>
  </w:num>
  <w:num w:numId="9" w16cid:durableId="1908609222">
    <w:abstractNumId w:val="118"/>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8"/>
  </w:num>
  <w:num w:numId="17" w16cid:durableId="1693916859">
    <w:abstractNumId w:val="118"/>
  </w:num>
  <w:num w:numId="18" w16cid:durableId="1588923792">
    <w:abstractNumId w:val="118"/>
  </w:num>
  <w:num w:numId="19" w16cid:durableId="907108888">
    <w:abstractNumId w:val="118"/>
  </w:num>
  <w:num w:numId="20" w16cid:durableId="1069183322">
    <w:abstractNumId w:val="118"/>
  </w:num>
  <w:num w:numId="21" w16cid:durableId="486631693">
    <w:abstractNumId w:val="115"/>
  </w:num>
  <w:num w:numId="22" w16cid:durableId="1874684438">
    <w:abstractNumId w:val="114"/>
  </w:num>
  <w:num w:numId="23" w16cid:durableId="832721537">
    <w:abstractNumId w:val="141"/>
  </w:num>
  <w:num w:numId="24" w16cid:durableId="1903172831">
    <w:abstractNumId w:val="25"/>
  </w:num>
  <w:num w:numId="25" w16cid:durableId="987517282">
    <w:abstractNumId w:val="130"/>
  </w:num>
  <w:num w:numId="26" w16cid:durableId="1390496354">
    <w:abstractNumId w:val="108"/>
  </w:num>
  <w:num w:numId="27" w16cid:durableId="1364597261">
    <w:abstractNumId w:val="58"/>
  </w:num>
  <w:num w:numId="28" w16cid:durableId="1115910128">
    <w:abstractNumId w:val="0"/>
  </w:num>
  <w:num w:numId="29" w16cid:durableId="854729392">
    <w:abstractNumId w:val="151"/>
  </w:num>
  <w:num w:numId="30" w16cid:durableId="705059250">
    <w:abstractNumId w:val="40"/>
  </w:num>
  <w:num w:numId="31" w16cid:durableId="370301903">
    <w:abstractNumId w:val="131"/>
  </w:num>
  <w:num w:numId="32" w16cid:durableId="2039233911">
    <w:abstractNumId w:val="109"/>
  </w:num>
  <w:num w:numId="33" w16cid:durableId="942808320">
    <w:abstractNumId w:val="147"/>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5"/>
  </w:num>
  <w:num w:numId="47" w16cid:durableId="619074386">
    <w:abstractNumId w:val="30"/>
  </w:num>
  <w:num w:numId="48" w16cid:durableId="1662659250">
    <w:abstractNumId w:val="27"/>
  </w:num>
  <w:num w:numId="49" w16cid:durableId="345057016">
    <w:abstractNumId w:val="152"/>
  </w:num>
  <w:num w:numId="50" w16cid:durableId="1429352788">
    <w:abstractNumId w:val="77"/>
  </w:num>
  <w:num w:numId="51" w16cid:durableId="1845974088">
    <w:abstractNumId w:val="39"/>
  </w:num>
  <w:num w:numId="52" w16cid:durableId="14382106">
    <w:abstractNumId w:val="84"/>
  </w:num>
  <w:num w:numId="53" w16cid:durableId="1291204514">
    <w:abstractNumId w:val="142"/>
  </w:num>
  <w:num w:numId="54" w16cid:durableId="870799881">
    <w:abstractNumId w:val="124"/>
  </w:num>
  <w:num w:numId="55" w16cid:durableId="1225415336">
    <w:abstractNumId w:val="132"/>
  </w:num>
  <w:num w:numId="56" w16cid:durableId="1931355037">
    <w:abstractNumId w:val="50"/>
  </w:num>
  <w:num w:numId="57" w16cid:durableId="1556158871">
    <w:abstractNumId w:val="56"/>
  </w:num>
  <w:num w:numId="58" w16cid:durableId="1542936830">
    <w:abstractNumId w:val="135"/>
  </w:num>
  <w:num w:numId="59" w16cid:durableId="1282493802">
    <w:abstractNumId w:val="120"/>
  </w:num>
  <w:num w:numId="60" w16cid:durableId="121653913">
    <w:abstractNumId w:val="117"/>
  </w:num>
  <w:num w:numId="61" w16cid:durableId="1783377474">
    <w:abstractNumId w:val="38"/>
  </w:num>
  <w:num w:numId="62" w16cid:durableId="1643268562">
    <w:abstractNumId w:val="76"/>
  </w:num>
  <w:num w:numId="63" w16cid:durableId="93791387">
    <w:abstractNumId w:val="105"/>
  </w:num>
  <w:num w:numId="64" w16cid:durableId="829755193">
    <w:abstractNumId w:val="143"/>
  </w:num>
  <w:num w:numId="65" w16cid:durableId="121191373">
    <w:abstractNumId w:val="126"/>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7"/>
  </w:num>
  <w:num w:numId="74" w16cid:durableId="158270868">
    <w:abstractNumId w:val="144"/>
  </w:num>
  <w:num w:numId="75" w16cid:durableId="159275565">
    <w:abstractNumId w:val="53"/>
  </w:num>
  <w:num w:numId="76" w16cid:durableId="271714945">
    <w:abstractNumId w:val="55"/>
  </w:num>
  <w:num w:numId="77" w16cid:durableId="1638680439">
    <w:abstractNumId w:val="127"/>
    <w:lvlOverride w:ilvl="0">
      <w:startOverride w:val="1"/>
    </w:lvlOverride>
  </w:num>
  <w:num w:numId="78" w16cid:durableId="1865050652">
    <w:abstractNumId w:val="100"/>
  </w:num>
  <w:num w:numId="79" w16cid:durableId="152986975">
    <w:abstractNumId w:val="86"/>
  </w:num>
  <w:num w:numId="80" w16cid:durableId="1295136099">
    <w:abstractNumId w:val="111"/>
  </w:num>
  <w:num w:numId="81" w16cid:durableId="80179172">
    <w:abstractNumId w:val="110"/>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8"/>
  </w:num>
  <w:num w:numId="109" w16cid:durableId="1975988297">
    <w:abstractNumId w:val="118"/>
  </w:num>
  <w:num w:numId="110" w16cid:durableId="1310330234">
    <w:abstractNumId w:val="118"/>
  </w:num>
  <w:num w:numId="111" w16cid:durableId="1731153661">
    <w:abstractNumId w:val="118"/>
  </w:num>
  <w:num w:numId="112" w16cid:durableId="1955166896">
    <w:abstractNumId w:val="118"/>
  </w:num>
  <w:num w:numId="113" w16cid:durableId="577397468">
    <w:abstractNumId w:val="118"/>
  </w:num>
  <w:num w:numId="114" w16cid:durableId="443767914">
    <w:abstractNumId w:val="118"/>
  </w:num>
  <w:num w:numId="115" w16cid:durableId="1208763457">
    <w:abstractNumId w:val="118"/>
  </w:num>
  <w:num w:numId="116" w16cid:durableId="2079283542">
    <w:abstractNumId w:val="118"/>
  </w:num>
  <w:num w:numId="117" w16cid:durableId="1441029929">
    <w:abstractNumId w:val="87"/>
  </w:num>
  <w:num w:numId="118" w16cid:durableId="2145344009">
    <w:abstractNumId w:val="14"/>
  </w:num>
  <w:num w:numId="119" w16cid:durableId="1630091191">
    <w:abstractNumId w:val="115"/>
    <w:lvlOverride w:ilvl="0">
      <w:startOverride w:val="1"/>
    </w:lvlOverride>
  </w:num>
  <w:num w:numId="120" w16cid:durableId="525563819">
    <w:abstractNumId w:val="125"/>
  </w:num>
  <w:num w:numId="121" w16cid:durableId="669333579">
    <w:abstractNumId w:val="33"/>
  </w:num>
  <w:num w:numId="122" w16cid:durableId="1346395684">
    <w:abstractNumId w:val="113"/>
  </w:num>
  <w:num w:numId="123" w16cid:durableId="713163845">
    <w:abstractNumId w:val="91"/>
  </w:num>
  <w:num w:numId="124" w16cid:durableId="387924632">
    <w:abstractNumId w:val="29"/>
  </w:num>
  <w:num w:numId="125" w16cid:durableId="703482628">
    <w:abstractNumId w:val="149"/>
  </w:num>
  <w:num w:numId="126" w16cid:durableId="1486896735">
    <w:abstractNumId w:val="121"/>
  </w:num>
  <w:num w:numId="127" w16cid:durableId="316418579">
    <w:abstractNumId w:val="41"/>
  </w:num>
  <w:num w:numId="128" w16cid:durableId="690958384">
    <w:abstractNumId w:val="31"/>
  </w:num>
  <w:num w:numId="129" w16cid:durableId="790713398">
    <w:abstractNumId w:val="123"/>
  </w:num>
  <w:num w:numId="130" w16cid:durableId="1983584515">
    <w:abstractNumId w:val="134"/>
  </w:num>
  <w:num w:numId="131" w16cid:durableId="808010763">
    <w:abstractNumId w:val="74"/>
  </w:num>
  <w:num w:numId="132" w16cid:durableId="1420560426">
    <w:abstractNumId w:val="44"/>
  </w:num>
  <w:num w:numId="133" w16cid:durableId="1578663861">
    <w:abstractNumId w:val="137"/>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8"/>
  </w:num>
  <w:num w:numId="141" w16cid:durableId="253127290">
    <w:abstractNumId w:val="24"/>
  </w:num>
  <w:num w:numId="142" w16cid:durableId="588469928">
    <w:abstractNumId w:val="150"/>
  </w:num>
  <w:num w:numId="143" w16cid:durableId="1771704705">
    <w:abstractNumId w:val="118"/>
  </w:num>
  <w:num w:numId="144" w16cid:durableId="1592545869">
    <w:abstractNumId w:val="19"/>
  </w:num>
  <w:num w:numId="145" w16cid:durableId="1814902623">
    <w:abstractNumId w:val="116"/>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19"/>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29"/>
  </w:num>
  <w:num w:numId="157" w16cid:durableId="646278848">
    <w:abstractNumId w:val="139"/>
  </w:num>
  <w:num w:numId="158" w16cid:durableId="709188571">
    <w:abstractNumId w:val="54"/>
  </w:num>
  <w:num w:numId="159" w16cid:durableId="1792629555">
    <w:abstractNumId w:val="78"/>
  </w:num>
  <w:num w:numId="160" w16cid:durableId="94328652">
    <w:abstractNumId w:val="97"/>
  </w:num>
  <w:num w:numId="161" w16cid:durableId="542328470">
    <w:abstractNumId w:val="140"/>
  </w:num>
  <w:num w:numId="162" w16cid:durableId="879318051">
    <w:abstractNumId w:val="79"/>
  </w:num>
  <w:num w:numId="163" w16cid:durableId="305860679">
    <w:abstractNumId w:val="146"/>
  </w:num>
  <w:num w:numId="164" w16cid:durableId="567619293">
    <w:abstractNumId w:val="138"/>
  </w:num>
  <w:num w:numId="165" w16cid:durableId="2002811668">
    <w:abstractNumId w:val="21"/>
  </w:num>
  <w:num w:numId="166" w16cid:durableId="1836797860">
    <w:abstractNumId w:val="36"/>
  </w:num>
  <w:num w:numId="167" w16cid:durableId="565145306">
    <w:abstractNumId w:val="98"/>
  </w:num>
  <w:num w:numId="168" w16cid:durableId="317467314">
    <w:abstractNumId w:val="128"/>
  </w:num>
  <w:num w:numId="169" w16cid:durableId="828668087">
    <w:abstractNumId w:val="94"/>
  </w:num>
  <w:num w:numId="170" w16cid:durableId="1805343700">
    <w:abstractNumId w:val="80"/>
  </w:num>
  <w:num w:numId="171" w16cid:durableId="1347559697">
    <w:abstractNumId w:val="118"/>
  </w:num>
  <w:num w:numId="172" w16cid:durableId="733354129">
    <w:abstractNumId w:val="118"/>
  </w:num>
  <w:num w:numId="173" w16cid:durableId="475683694">
    <w:abstractNumId w:val="118"/>
  </w:num>
  <w:num w:numId="174" w16cid:durableId="897669245">
    <w:abstractNumId w:val="118"/>
  </w:num>
  <w:num w:numId="175" w16cid:durableId="2119712971">
    <w:abstractNumId w:val="118"/>
  </w:num>
  <w:num w:numId="176" w16cid:durableId="1831479613">
    <w:abstractNumId w:val="118"/>
  </w:num>
  <w:num w:numId="177" w16cid:durableId="1819767467">
    <w:abstractNumId w:val="118"/>
  </w:num>
  <w:num w:numId="178" w16cid:durableId="1272325738">
    <w:abstractNumId w:val="118"/>
  </w:num>
  <w:num w:numId="179" w16cid:durableId="103504283">
    <w:abstractNumId w:val="118"/>
  </w:num>
  <w:num w:numId="180" w16cid:durableId="950089925">
    <w:abstractNumId w:val="118"/>
  </w:num>
  <w:num w:numId="181" w16cid:durableId="247227544">
    <w:abstractNumId w:val="118"/>
  </w:num>
  <w:num w:numId="182" w16cid:durableId="145241638">
    <w:abstractNumId w:val="118"/>
  </w:num>
  <w:num w:numId="183" w16cid:durableId="45296190">
    <w:abstractNumId w:val="118"/>
  </w:num>
  <w:num w:numId="184" w16cid:durableId="1884291107">
    <w:abstractNumId w:val="118"/>
  </w:num>
  <w:num w:numId="185" w16cid:durableId="186716089">
    <w:abstractNumId w:val="118"/>
  </w:num>
  <w:num w:numId="186" w16cid:durableId="411126738">
    <w:abstractNumId w:val="118"/>
  </w:num>
  <w:num w:numId="187" w16cid:durableId="255989510">
    <w:abstractNumId w:val="118"/>
  </w:num>
  <w:num w:numId="188" w16cid:durableId="766853710">
    <w:abstractNumId w:val="118"/>
  </w:num>
  <w:num w:numId="189" w16cid:durableId="1040546125">
    <w:abstractNumId w:val="118"/>
  </w:num>
  <w:num w:numId="190" w16cid:durableId="1393305905">
    <w:abstractNumId w:val="118"/>
  </w:num>
  <w:num w:numId="191" w16cid:durableId="1134718782">
    <w:abstractNumId w:val="118"/>
  </w:num>
  <w:num w:numId="192" w16cid:durableId="908883322">
    <w:abstractNumId w:val="118"/>
  </w:num>
  <w:num w:numId="193" w16cid:durableId="561522728">
    <w:abstractNumId w:val="118"/>
  </w:num>
  <w:num w:numId="194" w16cid:durableId="688337695">
    <w:abstractNumId w:val="118"/>
  </w:num>
  <w:num w:numId="195" w16cid:durableId="1064331160">
    <w:abstractNumId w:val="118"/>
  </w:num>
  <w:num w:numId="196" w16cid:durableId="1856384209">
    <w:abstractNumId w:val="118"/>
  </w:num>
  <w:num w:numId="197" w16cid:durableId="252858975">
    <w:abstractNumId w:val="118"/>
  </w:num>
  <w:num w:numId="198" w16cid:durableId="1312172546">
    <w:abstractNumId w:val="118"/>
  </w:num>
  <w:num w:numId="199" w16cid:durableId="1478181420">
    <w:abstractNumId w:val="118"/>
  </w:num>
  <w:num w:numId="200" w16cid:durableId="121075794">
    <w:abstractNumId w:val="118"/>
  </w:num>
  <w:num w:numId="201" w16cid:durableId="1596595165">
    <w:abstractNumId w:val="118"/>
  </w:num>
  <w:num w:numId="202" w16cid:durableId="1963414493">
    <w:abstractNumId w:val="118"/>
  </w:num>
  <w:num w:numId="203" w16cid:durableId="1388382246">
    <w:abstractNumId w:val="118"/>
  </w:num>
  <w:num w:numId="204" w16cid:durableId="1851481419">
    <w:abstractNumId w:val="118"/>
  </w:num>
  <w:num w:numId="205" w16cid:durableId="2066178865">
    <w:abstractNumId w:val="118"/>
  </w:num>
  <w:num w:numId="206" w16cid:durableId="988552745">
    <w:abstractNumId w:val="118"/>
  </w:num>
  <w:num w:numId="207" w16cid:durableId="2050102542">
    <w:abstractNumId w:val="118"/>
  </w:num>
  <w:num w:numId="208" w16cid:durableId="503514840">
    <w:abstractNumId w:val="118"/>
  </w:num>
  <w:num w:numId="209" w16cid:durableId="2013945302">
    <w:abstractNumId w:val="118"/>
  </w:num>
  <w:num w:numId="210" w16cid:durableId="2146004061">
    <w:abstractNumId w:val="118"/>
  </w:num>
  <w:num w:numId="211" w16cid:durableId="1472554819">
    <w:abstractNumId w:val="118"/>
  </w:num>
  <w:num w:numId="212" w16cid:durableId="56172094">
    <w:abstractNumId w:val="118"/>
  </w:num>
  <w:num w:numId="213" w16cid:durableId="899709388">
    <w:abstractNumId w:val="118"/>
  </w:num>
  <w:num w:numId="214" w16cid:durableId="134297927">
    <w:abstractNumId w:val="118"/>
  </w:num>
  <w:num w:numId="215" w16cid:durableId="1364021209">
    <w:abstractNumId w:val="118"/>
  </w:num>
  <w:num w:numId="216" w16cid:durableId="1168979389">
    <w:abstractNumId w:val="118"/>
  </w:num>
  <w:num w:numId="217" w16cid:durableId="2056848257">
    <w:abstractNumId w:val="118"/>
  </w:num>
  <w:num w:numId="218" w16cid:durableId="387152818">
    <w:abstractNumId w:val="118"/>
  </w:num>
  <w:num w:numId="219" w16cid:durableId="1993755098">
    <w:abstractNumId w:val="118"/>
  </w:num>
  <w:num w:numId="220" w16cid:durableId="144398854">
    <w:abstractNumId w:val="118"/>
  </w:num>
  <w:num w:numId="221" w16cid:durableId="57215027">
    <w:abstractNumId w:val="118"/>
  </w:num>
  <w:num w:numId="222" w16cid:durableId="854271952">
    <w:abstractNumId w:val="118"/>
  </w:num>
  <w:num w:numId="223" w16cid:durableId="1572083654">
    <w:abstractNumId w:val="118"/>
  </w:num>
  <w:num w:numId="224" w16cid:durableId="1030767832">
    <w:abstractNumId w:val="118"/>
  </w:num>
  <w:num w:numId="225" w16cid:durableId="1885480952">
    <w:abstractNumId w:val="118"/>
  </w:num>
  <w:num w:numId="226" w16cid:durableId="1315062880">
    <w:abstractNumId w:val="118"/>
  </w:num>
  <w:num w:numId="227" w16cid:durableId="1443381605">
    <w:abstractNumId w:val="118"/>
  </w:num>
  <w:num w:numId="228" w16cid:durableId="428233607">
    <w:abstractNumId w:val="118"/>
  </w:num>
  <w:num w:numId="229" w16cid:durableId="1415316227">
    <w:abstractNumId w:val="118"/>
  </w:num>
  <w:num w:numId="230" w16cid:durableId="773062897">
    <w:abstractNumId w:val="118"/>
  </w:num>
  <w:num w:numId="231" w16cid:durableId="164708999">
    <w:abstractNumId w:val="118"/>
  </w:num>
  <w:num w:numId="232" w16cid:durableId="1018432932">
    <w:abstractNumId w:val="118"/>
  </w:num>
  <w:num w:numId="233" w16cid:durableId="1547910480">
    <w:abstractNumId w:val="118"/>
  </w:num>
  <w:num w:numId="234" w16cid:durableId="797602608">
    <w:abstractNumId w:val="118"/>
  </w:num>
  <w:num w:numId="235" w16cid:durableId="578102537">
    <w:abstractNumId w:val="118"/>
  </w:num>
  <w:num w:numId="236" w16cid:durableId="1884899085">
    <w:abstractNumId w:val="148"/>
  </w:num>
  <w:num w:numId="237" w16cid:durableId="2050379114">
    <w:abstractNumId w:val="92"/>
  </w:num>
  <w:num w:numId="238" w16cid:durableId="1283000205">
    <w:abstractNumId w:val="81"/>
  </w:num>
  <w:num w:numId="239" w16cid:durableId="152062296">
    <w:abstractNumId w:val="59"/>
  </w:num>
  <w:num w:numId="240" w16cid:durableId="203055548">
    <w:abstractNumId w:val="122"/>
  </w:num>
  <w:num w:numId="241" w16cid:durableId="1906648779">
    <w:abstractNumId w:val="99"/>
  </w:num>
  <w:num w:numId="242" w16cid:durableId="564995735">
    <w:abstractNumId w:val="112"/>
  </w:num>
  <w:num w:numId="243" w16cid:durableId="546839634">
    <w:abstractNumId w:val="88"/>
  </w:num>
  <w:num w:numId="244" w16cid:durableId="605623844">
    <w:abstractNumId w:val="23"/>
  </w:num>
  <w:num w:numId="245" w16cid:durableId="1854493672">
    <w:abstractNumId w:val="42"/>
  </w:num>
  <w:num w:numId="246" w16cid:durableId="1636831422">
    <w:abstractNumId w:val="154"/>
  </w:num>
  <w:num w:numId="247" w16cid:durableId="1956016485">
    <w:abstractNumId w:val="72"/>
  </w:num>
  <w:num w:numId="248" w16cid:durableId="802314077">
    <w:abstractNumId w:val="22"/>
  </w:num>
  <w:num w:numId="249" w16cid:durableId="2071004163">
    <w:abstractNumId w:val="43"/>
  </w:num>
  <w:num w:numId="250" w16cid:durableId="1920749025">
    <w:abstractNumId w:val="153"/>
  </w:num>
  <w:num w:numId="251" w16cid:durableId="434635649">
    <w:abstractNumId w:val="2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33F"/>
    <w:rsid w:val="000027AE"/>
    <w:rsid w:val="0000391A"/>
    <w:rsid w:val="00003A91"/>
    <w:rsid w:val="00003B5A"/>
    <w:rsid w:val="00003BD1"/>
    <w:rsid w:val="00003BF3"/>
    <w:rsid w:val="0000416F"/>
    <w:rsid w:val="00004274"/>
    <w:rsid w:val="000057DE"/>
    <w:rsid w:val="00005ACC"/>
    <w:rsid w:val="00005B4C"/>
    <w:rsid w:val="00005C1B"/>
    <w:rsid w:val="000064BF"/>
    <w:rsid w:val="000065AB"/>
    <w:rsid w:val="00006B74"/>
    <w:rsid w:val="000071A4"/>
    <w:rsid w:val="00007904"/>
    <w:rsid w:val="00007CDE"/>
    <w:rsid w:val="00010457"/>
    <w:rsid w:val="00010762"/>
    <w:rsid w:val="00010B5D"/>
    <w:rsid w:val="000111CD"/>
    <w:rsid w:val="0001159D"/>
    <w:rsid w:val="00011A02"/>
    <w:rsid w:val="000133B9"/>
    <w:rsid w:val="0001349D"/>
    <w:rsid w:val="00013A9C"/>
    <w:rsid w:val="00013E0F"/>
    <w:rsid w:val="00014A98"/>
    <w:rsid w:val="00014DC2"/>
    <w:rsid w:val="000151D5"/>
    <w:rsid w:val="00015C85"/>
    <w:rsid w:val="00016286"/>
    <w:rsid w:val="00016A9D"/>
    <w:rsid w:val="00017FAD"/>
    <w:rsid w:val="000202BF"/>
    <w:rsid w:val="00020637"/>
    <w:rsid w:val="00020932"/>
    <w:rsid w:val="00020EA4"/>
    <w:rsid w:val="00022B4E"/>
    <w:rsid w:val="000231AF"/>
    <w:rsid w:val="00023279"/>
    <w:rsid w:val="00024053"/>
    <w:rsid w:val="000242E0"/>
    <w:rsid w:val="000245B9"/>
    <w:rsid w:val="000252F2"/>
    <w:rsid w:val="00025963"/>
    <w:rsid w:val="000265FF"/>
    <w:rsid w:val="000302C2"/>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6A8"/>
    <w:rsid w:val="000356AC"/>
    <w:rsid w:val="000367BB"/>
    <w:rsid w:val="00036939"/>
    <w:rsid w:val="00036AD6"/>
    <w:rsid w:val="000370DD"/>
    <w:rsid w:val="000371E6"/>
    <w:rsid w:val="000415AD"/>
    <w:rsid w:val="00041CD3"/>
    <w:rsid w:val="000435C8"/>
    <w:rsid w:val="000439CE"/>
    <w:rsid w:val="00043A2F"/>
    <w:rsid w:val="000449A1"/>
    <w:rsid w:val="00044AD4"/>
    <w:rsid w:val="00044E0D"/>
    <w:rsid w:val="0004524E"/>
    <w:rsid w:val="00045263"/>
    <w:rsid w:val="000452AF"/>
    <w:rsid w:val="0004536B"/>
    <w:rsid w:val="00045C3E"/>
    <w:rsid w:val="00046DAA"/>
    <w:rsid w:val="000474A0"/>
    <w:rsid w:val="00047DC8"/>
    <w:rsid w:val="000501D7"/>
    <w:rsid w:val="00050941"/>
    <w:rsid w:val="00050D2F"/>
    <w:rsid w:val="00051DDF"/>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5DE"/>
    <w:rsid w:val="00067CEB"/>
    <w:rsid w:val="00070417"/>
    <w:rsid w:val="0007081B"/>
    <w:rsid w:val="00071602"/>
    <w:rsid w:val="00072B17"/>
    <w:rsid w:val="00072B96"/>
    <w:rsid w:val="00072EB7"/>
    <w:rsid w:val="00072F4F"/>
    <w:rsid w:val="00073E44"/>
    <w:rsid w:val="0007427F"/>
    <w:rsid w:val="00074405"/>
    <w:rsid w:val="00075A81"/>
    <w:rsid w:val="00075EC3"/>
    <w:rsid w:val="00076A5C"/>
    <w:rsid w:val="0007725B"/>
    <w:rsid w:val="0007765D"/>
    <w:rsid w:val="000776DB"/>
    <w:rsid w:val="00077757"/>
    <w:rsid w:val="00077E3F"/>
    <w:rsid w:val="00077F3E"/>
    <w:rsid w:val="00080160"/>
    <w:rsid w:val="000805BB"/>
    <w:rsid w:val="0008061E"/>
    <w:rsid w:val="00080A2D"/>
    <w:rsid w:val="00080FA6"/>
    <w:rsid w:val="00082FCE"/>
    <w:rsid w:val="000846DE"/>
    <w:rsid w:val="00084887"/>
    <w:rsid w:val="00084B95"/>
    <w:rsid w:val="00084EFD"/>
    <w:rsid w:val="00085158"/>
    <w:rsid w:val="00085188"/>
    <w:rsid w:val="00086033"/>
    <w:rsid w:val="000864B9"/>
    <w:rsid w:val="00087215"/>
    <w:rsid w:val="00087D33"/>
    <w:rsid w:val="0009010E"/>
    <w:rsid w:val="0009073F"/>
    <w:rsid w:val="00091868"/>
    <w:rsid w:val="00092681"/>
    <w:rsid w:val="00092AC5"/>
    <w:rsid w:val="00092E94"/>
    <w:rsid w:val="00092EFA"/>
    <w:rsid w:val="000932A3"/>
    <w:rsid w:val="00093452"/>
    <w:rsid w:val="00093A04"/>
    <w:rsid w:val="00093C6C"/>
    <w:rsid w:val="00094319"/>
    <w:rsid w:val="000943E3"/>
    <w:rsid w:val="00094B1D"/>
    <w:rsid w:val="00095897"/>
    <w:rsid w:val="00095D83"/>
    <w:rsid w:val="0009773D"/>
    <w:rsid w:val="00097B46"/>
    <w:rsid w:val="00097C9D"/>
    <w:rsid w:val="000A1919"/>
    <w:rsid w:val="000A1EE8"/>
    <w:rsid w:val="000A232A"/>
    <w:rsid w:val="000A3A26"/>
    <w:rsid w:val="000A44DA"/>
    <w:rsid w:val="000A4A8C"/>
    <w:rsid w:val="000A58D1"/>
    <w:rsid w:val="000A5D56"/>
    <w:rsid w:val="000A60A5"/>
    <w:rsid w:val="000A6CC7"/>
    <w:rsid w:val="000A721E"/>
    <w:rsid w:val="000A7247"/>
    <w:rsid w:val="000B0000"/>
    <w:rsid w:val="000B08FE"/>
    <w:rsid w:val="000B0DEF"/>
    <w:rsid w:val="000B1EB8"/>
    <w:rsid w:val="000B1EFA"/>
    <w:rsid w:val="000B2B6D"/>
    <w:rsid w:val="000B2C5F"/>
    <w:rsid w:val="000B33A2"/>
    <w:rsid w:val="000B395E"/>
    <w:rsid w:val="000B3B6E"/>
    <w:rsid w:val="000B3BE9"/>
    <w:rsid w:val="000B40B4"/>
    <w:rsid w:val="000B4839"/>
    <w:rsid w:val="000B48BA"/>
    <w:rsid w:val="000B4A14"/>
    <w:rsid w:val="000B5F86"/>
    <w:rsid w:val="000B6309"/>
    <w:rsid w:val="000B65FF"/>
    <w:rsid w:val="000B7C7A"/>
    <w:rsid w:val="000C06E5"/>
    <w:rsid w:val="000C0733"/>
    <w:rsid w:val="000C0932"/>
    <w:rsid w:val="000C0CD0"/>
    <w:rsid w:val="000C1E5E"/>
    <w:rsid w:val="000C2425"/>
    <w:rsid w:val="000C26BA"/>
    <w:rsid w:val="000C34B9"/>
    <w:rsid w:val="000C3ABC"/>
    <w:rsid w:val="000C4216"/>
    <w:rsid w:val="000C51EC"/>
    <w:rsid w:val="000C538B"/>
    <w:rsid w:val="000C56D2"/>
    <w:rsid w:val="000C5A1F"/>
    <w:rsid w:val="000C5CAB"/>
    <w:rsid w:val="000C5DCD"/>
    <w:rsid w:val="000C73C6"/>
    <w:rsid w:val="000C74D8"/>
    <w:rsid w:val="000C78CB"/>
    <w:rsid w:val="000D0A25"/>
    <w:rsid w:val="000D0E90"/>
    <w:rsid w:val="000D10A8"/>
    <w:rsid w:val="000D1766"/>
    <w:rsid w:val="000D1F74"/>
    <w:rsid w:val="000D1FF3"/>
    <w:rsid w:val="000D2504"/>
    <w:rsid w:val="000D2BAC"/>
    <w:rsid w:val="000D2C34"/>
    <w:rsid w:val="000D2DD4"/>
    <w:rsid w:val="000D2FE0"/>
    <w:rsid w:val="000D3170"/>
    <w:rsid w:val="000D33ED"/>
    <w:rsid w:val="000D3ACB"/>
    <w:rsid w:val="000D3C48"/>
    <w:rsid w:val="000D54F6"/>
    <w:rsid w:val="000D5BE3"/>
    <w:rsid w:val="000D5C27"/>
    <w:rsid w:val="000D6A3E"/>
    <w:rsid w:val="000D6EDD"/>
    <w:rsid w:val="000D743D"/>
    <w:rsid w:val="000D7CCE"/>
    <w:rsid w:val="000D7E30"/>
    <w:rsid w:val="000E0549"/>
    <w:rsid w:val="000E0618"/>
    <w:rsid w:val="000E0BE6"/>
    <w:rsid w:val="000E1292"/>
    <w:rsid w:val="000E1B93"/>
    <w:rsid w:val="000E260A"/>
    <w:rsid w:val="000E2A57"/>
    <w:rsid w:val="000E30F5"/>
    <w:rsid w:val="000E3BAB"/>
    <w:rsid w:val="000E3F3C"/>
    <w:rsid w:val="000E47C6"/>
    <w:rsid w:val="000E4DBD"/>
    <w:rsid w:val="000E5C2A"/>
    <w:rsid w:val="000E5DBE"/>
    <w:rsid w:val="000E601A"/>
    <w:rsid w:val="000E63E1"/>
    <w:rsid w:val="000E686A"/>
    <w:rsid w:val="000E79F6"/>
    <w:rsid w:val="000F0D0A"/>
    <w:rsid w:val="000F1980"/>
    <w:rsid w:val="000F1E95"/>
    <w:rsid w:val="000F1F60"/>
    <w:rsid w:val="000F205D"/>
    <w:rsid w:val="000F245F"/>
    <w:rsid w:val="000F2F01"/>
    <w:rsid w:val="000F3047"/>
    <w:rsid w:val="000F3BCD"/>
    <w:rsid w:val="000F4668"/>
    <w:rsid w:val="000F4856"/>
    <w:rsid w:val="000F576B"/>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863"/>
    <w:rsid w:val="001049FB"/>
    <w:rsid w:val="00104CC2"/>
    <w:rsid w:val="001056CC"/>
    <w:rsid w:val="001065E9"/>
    <w:rsid w:val="001067E8"/>
    <w:rsid w:val="00107051"/>
    <w:rsid w:val="00107295"/>
    <w:rsid w:val="00107917"/>
    <w:rsid w:val="00107FD9"/>
    <w:rsid w:val="00110063"/>
    <w:rsid w:val="001101E2"/>
    <w:rsid w:val="00110898"/>
    <w:rsid w:val="00110D00"/>
    <w:rsid w:val="00112360"/>
    <w:rsid w:val="00112C99"/>
    <w:rsid w:val="00112E16"/>
    <w:rsid w:val="001132D7"/>
    <w:rsid w:val="00113971"/>
    <w:rsid w:val="0011431D"/>
    <w:rsid w:val="0011435A"/>
    <w:rsid w:val="001158BA"/>
    <w:rsid w:val="00115A20"/>
    <w:rsid w:val="0011617E"/>
    <w:rsid w:val="00116E63"/>
    <w:rsid w:val="00116EF9"/>
    <w:rsid w:val="001174D8"/>
    <w:rsid w:val="00117ACD"/>
    <w:rsid w:val="0012151C"/>
    <w:rsid w:val="00122812"/>
    <w:rsid w:val="00122D56"/>
    <w:rsid w:val="00123875"/>
    <w:rsid w:val="001239E5"/>
    <w:rsid w:val="00123EAF"/>
    <w:rsid w:val="00123EEF"/>
    <w:rsid w:val="00123FBE"/>
    <w:rsid w:val="001243D2"/>
    <w:rsid w:val="00124874"/>
    <w:rsid w:val="00124FED"/>
    <w:rsid w:val="00125830"/>
    <w:rsid w:val="001258FD"/>
    <w:rsid w:val="00125BC7"/>
    <w:rsid w:val="00130562"/>
    <w:rsid w:val="00131400"/>
    <w:rsid w:val="001316C7"/>
    <w:rsid w:val="00132B15"/>
    <w:rsid w:val="00132C44"/>
    <w:rsid w:val="00132F50"/>
    <w:rsid w:val="00133909"/>
    <w:rsid w:val="00133EED"/>
    <w:rsid w:val="00134117"/>
    <w:rsid w:val="001347F9"/>
    <w:rsid w:val="0013512E"/>
    <w:rsid w:val="00135822"/>
    <w:rsid w:val="0013596C"/>
    <w:rsid w:val="001359B9"/>
    <w:rsid w:val="00136303"/>
    <w:rsid w:val="00136454"/>
    <w:rsid w:val="00136A73"/>
    <w:rsid w:val="00136F3A"/>
    <w:rsid w:val="001372AF"/>
    <w:rsid w:val="00140E88"/>
    <w:rsid w:val="001412F4"/>
    <w:rsid w:val="00141FEE"/>
    <w:rsid w:val="00142001"/>
    <w:rsid w:val="00142224"/>
    <w:rsid w:val="001426CE"/>
    <w:rsid w:val="00143A7B"/>
    <w:rsid w:val="00143B3C"/>
    <w:rsid w:val="00143D0E"/>
    <w:rsid w:val="001444EE"/>
    <w:rsid w:val="001453EA"/>
    <w:rsid w:val="00145A0D"/>
    <w:rsid w:val="00146A22"/>
    <w:rsid w:val="00146FB5"/>
    <w:rsid w:val="0014778C"/>
    <w:rsid w:val="00150CC8"/>
    <w:rsid w:val="001510E7"/>
    <w:rsid w:val="00151CA6"/>
    <w:rsid w:val="001520B2"/>
    <w:rsid w:val="001520FF"/>
    <w:rsid w:val="001522AB"/>
    <w:rsid w:val="00152CB7"/>
    <w:rsid w:val="00153163"/>
    <w:rsid w:val="0015362C"/>
    <w:rsid w:val="00153677"/>
    <w:rsid w:val="00154EC0"/>
    <w:rsid w:val="00155661"/>
    <w:rsid w:val="00155744"/>
    <w:rsid w:val="00155983"/>
    <w:rsid w:val="001559B6"/>
    <w:rsid w:val="0015691F"/>
    <w:rsid w:val="00156C24"/>
    <w:rsid w:val="0015726E"/>
    <w:rsid w:val="00160C15"/>
    <w:rsid w:val="00160CE1"/>
    <w:rsid w:val="00161BB8"/>
    <w:rsid w:val="00161FB6"/>
    <w:rsid w:val="001626F0"/>
    <w:rsid w:val="00162A10"/>
    <w:rsid w:val="00162BD7"/>
    <w:rsid w:val="00162E80"/>
    <w:rsid w:val="001643DE"/>
    <w:rsid w:val="001649FC"/>
    <w:rsid w:val="00164A48"/>
    <w:rsid w:val="00164BBA"/>
    <w:rsid w:val="00164EC4"/>
    <w:rsid w:val="001655AF"/>
    <w:rsid w:val="0016659D"/>
    <w:rsid w:val="001666E8"/>
    <w:rsid w:val="00166A05"/>
    <w:rsid w:val="00166A21"/>
    <w:rsid w:val="0017005D"/>
    <w:rsid w:val="001701E5"/>
    <w:rsid w:val="00170717"/>
    <w:rsid w:val="001709AA"/>
    <w:rsid w:val="00170BCD"/>
    <w:rsid w:val="00170D63"/>
    <w:rsid w:val="00171A50"/>
    <w:rsid w:val="00172D77"/>
    <w:rsid w:val="00172DB7"/>
    <w:rsid w:val="001739C6"/>
    <w:rsid w:val="0017451F"/>
    <w:rsid w:val="00174C87"/>
    <w:rsid w:val="00175AE5"/>
    <w:rsid w:val="00175CC7"/>
    <w:rsid w:val="001760C5"/>
    <w:rsid w:val="00176649"/>
    <w:rsid w:val="00176A82"/>
    <w:rsid w:val="001771D0"/>
    <w:rsid w:val="00180779"/>
    <w:rsid w:val="00180EEF"/>
    <w:rsid w:val="001810AD"/>
    <w:rsid w:val="00181878"/>
    <w:rsid w:val="001818CD"/>
    <w:rsid w:val="00181C21"/>
    <w:rsid w:val="00181E50"/>
    <w:rsid w:val="00181EB9"/>
    <w:rsid w:val="00182293"/>
    <w:rsid w:val="00183716"/>
    <w:rsid w:val="0018385F"/>
    <w:rsid w:val="00183F72"/>
    <w:rsid w:val="0018439C"/>
    <w:rsid w:val="0018444C"/>
    <w:rsid w:val="00184F62"/>
    <w:rsid w:val="001852EE"/>
    <w:rsid w:val="00185A27"/>
    <w:rsid w:val="00185F71"/>
    <w:rsid w:val="0018677D"/>
    <w:rsid w:val="00186AB3"/>
    <w:rsid w:val="00186EFB"/>
    <w:rsid w:val="00187100"/>
    <w:rsid w:val="00187C9B"/>
    <w:rsid w:val="00187F64"/>
    <w:rsid w:val="0019179C"/>
    <w:rsid w:val="00191A37"/>
    <w:rsid w:val="00191ABE"/>
    <w:rsid w:val="00192F67"/>
    <w:rsid w:val="0019309E"/>
    <w:rsid w:val="0019390A"/>
    <w:rsid w:val="00193BE8"/>
    <w:rsid w:val="00194545"/>
    <w:rsid w:val="00194698"/>
    <w:rsid w:val="00195515"/>
    <w:rsid w:val="001965AC"/>
    <w:rsid w:val="00196ABC"/>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5A37"/>
    <w:rsid w:val="001A6846"/>
    <w:rsid w:val="001A7187"/>
    <w:rsid w:val="001A7A16"/>
    <w:rsid w:val="001A7A7F"/>
    <w:rsid w:val="001B10FC"/>
    <w:rsid w:val="001B139D"/>
    <w:rsid w:val="001B14CD"/>
    <w:rsid w:val="001B1849"/>
    <w:rsid w:val="001B1B5E"/>
    <w:rsid w:val="001B24E4"/>
    <w:rsid w:val="001B2C27"/>
    <w:rsid w:val="001B2C6D"/>
    <w:rsid w:val="001B3049"/>
    <w:rsid w:val="001B337C"/>
    <w:rsid w:val="001B45A9"/>
    <w:rsid w:val="001B5323"/>
    <w:rsid w:val="001B5A51"/>
    <w:rsid w:val="001B5E86"/>
    <w:rsid w:val="001B630C"/>
    <w:rsid w:val="001B6A3E"/>
    <w:rsid w:val="001B721E"/>
    <w:rsid w:val="001C0068"/>
    <w:rsid w:val="001C05B6"/>
    <w:rsid w:val="001C0B87"/>
    <w:rsid w:val="001C1613"/>
    <w:rsid w:val="001C2618"/>
    <w:rsid w:val="001C2851"/>
    <w:rsid w:val="001C2EFE"/>
    <w:rsid w:val="001C3905"/>
    <w:rsid w:val="001C3D44"/>
    <w:rsid w:val="001C43A1"/>
    <w:rsid w:val="001C4791"/>
    <w:rsid w:val="001C4821"/>
    <w:rsid w:val="001C5560"/>
    <w:rsid w:val="001C57AB"/>
    <w:rsid w:val="001C5D1D"/>
    <w:rsid w:val="001C616D"/>
    <w:rsid w:val="001C64F9"/>
    <w:rsid w:val="001C68DE"/>
    <w:rsid w:val="001C6C37"/>
    <w:rsid w:val="001C76AF"/>
    <w:rsid w:val="001C793D"/>
    <w:rsid w:val="001C7E45"/>
    <w:rsid w:val="001D01A2"/>
    <w:rsid w:val="001D03FA"/>
    <w:rsid w:val="001D05AA"/>
    <w:rsid w:val="001D06F7"/>
    <w:rsid w:val="001D0DC7"/>
    <w:rsid w:val="001D1D54"/>
    <w:rsid w:val="001D3129"/>
    <w:rsid w:val="001D3189"/>
    <w:rsid w:val="001D3395"/>
    <w:rsid w:val="001D4490"/>
    <w:rsid w:val="001D4A51"/>
    <w:rsid w:val="001D5052"/>
    <w:rsid w:val="001D5A2D"/>
    <w:rsid w:val="001D66F7"/>
    <w:rsid w:val="001D6DB3"/>
    <w:rsid w:val="001D724E"/>
    <w:rsid w:val="001D73AF"/>
    <w:rsid w:val="001E1317"/>
    <w:rsid w:val="001E151A"/>
    <w:rsid w:val="001E2370"/>
    <w:rsid w:val="001E284E"/>
    <w:rsid w:val="001E3874"/>
    <w:rsid w:val="001E3E3F"/>
    <w:rsid w:val="001E3FF3"/>
    <w:rsid w:val="001E4732"/>
    <w:rsid w:val="001E4B24"/>
    <w:rsid w:val="001E547E"/>
    <w:rsid w:val="001E6632"/>
    <w:rsid w:val="001E6764"/>
    <w:rsid w:val="001E70F8"/>
    <w:rsid w:val="001E76F4"/>
    <w:rsid w:val="001E7DD3"/>
    <w:rsid w:val="001F03DC"/>
    <w:rsid w:val="001F0A2D"/>
    <w:rsid w:val="001F0BFD"/>
    <w:rsid w:val="001F0D7E"/>
    <w:rsid w:val="001F104C"/>
    <w:rsid w:val="001F114B"/>
    <w:rsid w:val="001F192C"/>
    <w:rsid w:val="001F1A64"/>
    <w:rsid w:val="001F1CC9"/>
    <w:rsid w:val="001F2281"/>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5A21"/>
    <w:rsid w:val="00205FCB"/>
    <w:rsid w:val="002061D8"/>
    <w:rsid w:val="00206410"/>
    <w:rsid w:val="0020707D"/>
    <w:rsid w:val="002070EE"/>
    <w:rsid w:val="00207804"/>
    <w:rsid w:val="002107B6"/>
    <w:rsid w:val="00210F21"/>
    <w:rsid w:val="00210FD8"/>
    <w:rsid w:val="002115D1"/>
    <w:rsid w:val="002121CF"/>
    <w:rsid w:val="0021277E"/>
    <w:rsid w:val="00212AAC"/>
    <w:rsid w:val="00212F00"/>
    <w:rsid w:val="00213C9C"/>
    <w:rsid w:val="002142DF"/>
    <w:rsid w:val="002148D9"/>
    <w:rsid w:val="00215157"/>
    <w:rsid w:val="00215806"/>
    <w:rsid w:val="00215BC8"/>
    <w:rsid w:val="00216128"/>
    <w:rsid w:val="002164F1"/>
    <w:rsid w:val="00217176"/>
    <w:rsid w:val="002178CA"/>
    <w:rsid w:val="00217B7F"/>
    <w:rsid w:val="00217F30"/>
    <w:rsid w:val="002214A5"/>
    <w:rsid w:val="00221944"/>
    <w:rsid w:val="00221EC6"/>
    <w:rsid w:val="002220E1"/>
    <w:rsid w:val="00222632"/>
    <w:rsid w:val="00222671"/>
    <w:rsid w:val="0022275B"/>
    <w:rsid w:val="002227CD"/>
    <w:rsid w:val="00222914"/>
    <w:rsid w:val="00222A48"/>
    <w:rsid w:val="002245A2"/>
    <w:rsid w:val="00224F5A"/>
    <w:rsid w:val="00225341"/>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2A9"/>
    <w:rsid w:val="0023265A"/>
    <w:rsid w:val="00232F12"/>
    <w:rsid w:val="002331FC"/>
    <w:rsid w:val="00233902"/>
    <w:rsid w:val="0023391C"/>
    <w:rsid w:val="00233FEC"/>
    <w:rsid w:val="0023415B"/>
    <w:rsid w:val="0023420A"/>
    <w:rsid w:val="0023466F"/>
    <w:rsid w:val="0023517F"/>
    <w:rsid w:val="0023529C"/>
    <w:rsid w:val="0023579C"/>
    <w:rsid w:val="002358D6"/>
    <w:rsid w:val="00235AB7"/>
    <w:rsid w:val="00235C0F"/>
    <w:rsid w:val="00236B3B"/>
    <w:rsid w:val="002373B7"/>
    <w:rsid w:val="0023754F"/>
    <w:rsid w:val="0023767E"/>
    <w:rsid w:val="002413EF"/>
    <w:rsid w:val="0024141F"/>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7D13"/>
    <w:rsid w:val="00250448"/>
    <w:rsid w:val="002505EF"/>
    <w:rsid w:val="00250B35"/>
    <w:rsid w:val="00251094"/>
    <w:rsid w:val="002512AB"/>
    <w:rsid w:val="00251535"/>
    <w:rsid w:val="00251684"/>
    <w:rsid w:val="00251F57"/>
    <w:rsid w:val="002533DF"/>
    <w:rsid w:val="002538B7"/>
    <w:rsid w:val="002538C0"/>
    <w:rsid w:val="00253E6C"/>
    <w:rsid w:val="002546E8"/>
    <w:rsid w:val="00254715"/>
    <w:rsid w:val="00254D88"/>
    <w:rsid w:val="00255A1A"/>
    <w:rsid w:val="00256885"/>
    <w:rsid w:val="00256A61"/>
    <w:rsid w:val="00256F69"/>
    <w:rsid w:val="00257091"/>
    <w:rsid w:val="002576CC"/>
    <w:rsid w:val="00260A49"/>
    <w:rsid w:val="00260C5C"/>
    <w:rsid w:val="00260DE2"/>
    <w:rsid w:val="00261DFF"/>
    <w:rsid w:val="00262DCF"/>
    <w:rsid w:val="002632A2"/>
    <w:rsid w:val="0026353F"/>
    <w:rsid w:val="00263818"/>
    <w:rsid w:val="00263D21"/>
    <w:rsid w:val="00265149"/>
    <w:rsid w:val="002651C3"/>
    <w:rsid w:val="002652DC"/>
    <w:rsid w:val="00265A4F"/>
    <w:rsid w:val="00265A7A"/>
    <w:rsid w:val="00266FE7"/>
    <w:rsid w:val="00267489"/>
    <w:rsid w:val="002675D8"/>
    <w:rsid w:val="00270588"/>
    <w:rsid w:val="0027135E"/>
    <w:rsid w:val="0027183C"/>
    <w:rsid w:val="00272CA1"/>
    <w:rsid w:val="00273365"/>
    <w:rsid w:val="00273E19"/>
    <w:rsid w:val="00273EAE"/>
    <w:rsid w:val="002747B5"/>
    <w:rsid w:val="00275EFB"/>
    <w:rsid w:val="00275FD7"/>
    <w:rsid w:val="002763BC"/>
    <w:rsid w:val="002765E3"/>
    <w:rsid w:val="00276FA3"/>
    <w:rsid w:val="002770CD"/>
    <w:rsid w:val="00277490"/>
    <w:rsid w:val="002775FF"/>
    <w:rsid w:val="002778C8"/>
    <w:rsid w:val="00277FCB"/>
    <w:rsid w:val="0028022D"/>
    <w:rsid w:val="00280471"/>
    <w:rsid w:val="00280587"/>
    <w:rsid w:val="00280B8A"/>
    <w:rsid w:val="002810B6"/>
    <w:rsid w:val="00281228"/>
    <w:rsid w:val="00281E7E"/>
    <w:rsid w:val="00282F6D"/>
    <w:rsid w:val="002830B9"/>
    <w:rsid w:val="00283132"/>
    <w:rsid w:val="0028334C"/>
    <w:rsid w:val="002835C1"/>
    <w:rsid w:val="00283ECD"/>
    <w:rsid w:val="002844E3"/>
    <w:rsid w:val="0028503B"/>
    <w:rsid w:val="002850D9"/>
    <w:rsid w:val="00285F83"/>
    <w:rsid w:val="002860B4"/>
    <w:rsid w:val="0028690B"/>
    <w:rsid w:val="00287A24"/>
    <w:rsid w:val="00287A94"/>
    <w:rsid w:val="002905F3"/>
    <w:rsid w:val="002906FB"/>
    <w:rsid w:val="00291E7D"/>
    <w:rsid w:val="00292923"/>
    <w:rsid w:val="00292934"/>
    <w:rsid w:val="00292B40"/>
    <w:rsid w:val="00292B43"/>
    <w:rsid w:val="00292C59"/>
    <w:rsid w:val="00292FE7"/>
    <w:rsid w:val="00293733"/>
    <w:rsid w:val="00293B5E"/>
    <w:rsid w:val="0029462E"/>
    <w:rsid w:val="00294B9E"/>
    <w:rsid w:val="00294BCE"/>
    <w:rsid w:val="002954EC"/>
    <w:rsid w:val="00295539"/>
    <w:rsid w:val="002A0033"/>
    <w:rsid w:val="002A01E5"/>
    <w:rsid w:val="002A08F4"/>
    <w:rsid w:val="002A154C"/>
    <w:rsid w:val="002A23E2"/>
    <w:rsid w:val="002A24F5"/>
    <w:rsid w:val="002A2A77"/>
    <w:rsid w:val="002A2B30"/>
    <w:rsid w:val="002A3BA3"/>
    <w:rsid w:val="002A3FB9"/>
    <w:rsid w:val="002A3FCF"/>
    <w:rsid w:val="002A4AC8"/>
    <w:rsid w:val="002A543A"/>
    <w:rsid w:val="002A5F1F"/>
    <w:rsid w:val="002A6314"/>
    <w:rsid w:val="002A6BF7"/>
    <w:rsid w:val="002A6C72"/>
    <w:rsid w:val="002A7CCF"/>
    <w:rsid w:val="002B094D"/>
    <w:rsid w:val="002B0C7C"/>
    <w:rsid w:val="002B1521"/>
    <w:rsid w:val="002B16ED"/>
    <w:rsid w:val="002B1B8B"/>
    <w:rsid w:val="002B237E"/>
    <w:rsid w:val="002B265C"/>
    <w:rsid w:val="002B34A1"/>
    <w:rsid w:val="002B3822"/>
    <w:rsid w:val="002B4AF8"/>
    <w:rsid w:val="002B614A"/>
    <w:rsid w:val="002B63C5"/>
    <w:rsid w:val="002B67A6"/>
    <w:rsid w:val="002B6B1F"/>
    <w:rsid w:val="002C039A"/>
    <w:rsid w:val="002C0565"/>
    <w:rsid w:val="002C06BB"/>
    <w:rsid w:val="002C0B98"/>
    <w:rsid w:val="002C0C72"/>
    <w:rsid w:val="002C1962"/>
    <w:rsid w:val="002C1F3F"/>
    <w:rsid w:val="002C25AE"/>
    <w:rsid w:val="002C2886"/>
    <w:rsid w:val="002C3DCD"/>
    <w:rsid w:val="002C4072"/>
    <w:rsid w:val="002C4237"/>
    <w:rsid w:val="002C4A53"/>
    <w:rsid w:val="002C4ED1"/>
    <w:rsid w:val="002C4F1E"/>
    <w:rsid w:val="002C572C"/>
    <w:rsid w:val="002C5856"/>
    <w:rsid w:val="002C64B1"/>
    <w:rsid w:val="002C6B81"/>
    <w:rsid w:val="002D2586"/>
    <w:rsid w:val="002D3041"/>
    <w:rsid w:val="002D4293"/>
    <w:rsid w:val="002D4596"/>
    <w:rsid w:val="002D4685"/>
    <w:rsid w:val="002D539A"/>
    <w:rsid w:val="002D5537"/>
    <w:rsid w:val="002D5993"/>
    <w:rsid w:val="002D5B5F"/>
    <w:rsid w:val="002D5F0C"/>
    <w:rsid w:val="002D659E"/>
    <w:rsid w:val="002D68F0"/>
    <w:rsid w:val="002D6FA9"/>
    <w:rsid w:val="002E0202"/>
    <w:rsid w:val="002E347E"/>
    <w:rsid w:val="002E5000"/>
    <w:rsid w:val="002E55DB"/>
    <w:rsid w:val="002E5FD6"/>
    <w:rsid w:val="002E6E4A"/>
    <w:rsid w:val="002E7AC0"/>
    <w:rsid w:val="002E7CAF"/>
    <w:rsid w:val="002F15EC"/>
    <w:rsid w:val="002F1748"/>
    <w:rsid w:val="002F1C49"/>
    <w:rsid w:val="002F263B"/>
    <w:rsid w:val="002F2880"/>
    <w:rsid w:val="002F406E"/>
    <w:rsid w:val="002F4448"/>
    <w:rsid w:val="002F4681"/>
    <w:rsid w:val="002F4E3C"/>
    <w:rsid w:val="002F56AB"/>
    <w:rsid w:val="002F5700"/>
    <w:rsid w:val="002F619A"/>
    <w:rsid w:val="002F6634"/>
    <w:rsid w:val="002F6894"/>
    <w:rsid w:val="002F79F6"/>
    <w:rsid w:val="002F7CC3"/>
    <w:rsid w:val="003001ED"/>
    <w:rsid w:val="0030070A"/>
    <w:rsid w:val="00300D57"/>
    <w:rsid w:val="0030100F"/>
    <w:rsid w:val="00301105"/>
    <w:rsid w:val="0030134A"/>
    <w:rsid w:val="003015A5"/>
    <w:rsid w:val="00301D0B"/>
    <w:rsid w:val="00301F08"/>
    <w:rsid w:val="003020CB"/>
    <w:rsid w:val="00302BCF"/>
    <w:rsid w:val="003052A8"/>
    <w:rsid w:val="0030679D"/>
    <w:rsid w:val="00306A27"/>
    <w:rsid w:val="003077BF"/>
    <w:rsid w:val="003079F2"/>
    <w:rsid w:val="00310638"/>
    <w:rsid w:val="00310743"/>
    <w:rsid w:val="00310B3A"/>
    <w:rsid w:val="00310F16"/>
    <w:rsid w:val="00312CA4"/>
    <w:rsid w:val="00312F06"/>
    <w:rsid w:val="0031343C"/>
    <w:rsid w:val="00314236"/>
    <w:rsid w:val="00314281"/>
    <w:rsid w:val="00314BCB"/>
    <w:rsid w:val="00315528"/>
    <w:rsid w:val="003155E8"/>
    <w:rsid w:val="00317637"/>
    <w:rsid w:val="00317E45"/>
    <w:rsid w:val="00320F28"/>
    <w:rsid w:val="003214A1"/>
    <w:rsid w:val="003218F6"/>
    <w:rsid w:val="00321CBF"/>
    <w:rsid w:val="0032244D"/>
    <w:rsid w:val="003226C8"/>
    <w:rsid w:val="00322AE2"/>
    <w:rsid w:val="00322D4E"/>
    <w:rsid w:val="0032345D"/>
    <w:rsid w:val="003240FA"/>
    <w:rsid w:val="003241BB"/>
    <w:rsid w:val="00324B38"/>
    <w:rsid w:val="00325B45"/>
    <w:rsid w:val="00325F5D"/>
    <w:rsid w:val="00326F48"/>
    <w:rsid w:val="00326F70"/>
    <w:rsid w:val="00327B29"/>
    <w:rsid w:val="00327EB2"/>
    <w:rsid w:val="00327F52"/>
    <w:rsid w:val="00327FA2"/>
    <w:rsid w:val="003305D1"/>
    <w:rsid w:val="003309EC"/>
    <w:rsid w:val="00332BC0"/>
    <w:rsid w:val="00333775"/>
    <w:rsid w:val="00333C4D"/>
    <w:rsid w:val="00337694"/>
    <w:rsid w:val="0034130A"/>
    <w:rsid w:val="0034161D"/>
    <w:rsid w:val="00341999"/>
    <w:rsid w:val="00342752"/>
    <w:rsid w:val="00343052"/>
    <w:rsid w:val="00343216"/>
    <w:rsid w:val="003449CE"/>
    <w:rsid w:val="003450A7"/>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6505"/>
    <w:rsid w:val="00356D76"/>
    <w:rsid w:val="00356FD1"/>
    <w:rsid w:val="00357008"/>
    <w:rsid w:val="003571ED"/>
    <w:rsid w:val="00357739"/>
    <w:rsid w:val="003578CA"/>
    <w:rsid w:val="00360FE7"/>
    <w:rsid w:val="00361185"/>
    <w:rsid w:val="003618CF"/>
    <w:rsid w:val="00361D61"/>
    <w:rsid w:val="003634E9"/>
    <w:rsid w:val="0036385B"/>
    <w:rsid w:val="003639FC"/>
    <w:rsid w:val="00364C9F"/>
    <w:rsid w:val="00364F85"/>
    <w:rsid w:val="00365307"/>
    <w:rsid w:val="00365A6E"/>
    <w:rsid w:val="00365C04"/>
    <w:rsid w:val="0036789C"/>
    <w:rsid w:val="003700C9"/>
    <w:rsid w:val="0037029B"/>
    <w:rsid w:val="00370403"/>
    <w:rsid w:val="0037105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6987"/>
    <w:rsid w:val="00376EAC"/>
    <w:rsid w:val="00377659"/>
    <w:rsid w:val="0037765C"/>
    <w:rsid w:val="0037794B"/>
    <w:rsid w:val="00377BBB"/>
    <w:rsid w:val="00377C5B"/>
    <w:rsid w:val="00377E24"/>
    <w:rsid w:val="0038042A"/>
    <w:rsid w:val="00380474"/>
    <w:rsid w:val="00381473"/>
    <w:rsid w:val="00381CBB"/>
    <w:rsid w:val="00381F52"/>
    <w:rsid w:val="00382053"/>
    <w:rsid w:val="003824F8"/>
    <w:rsid w:val="00382778"/>
    <w:rsid w:val="00382F41"/>
    <w:rsid w:val="003842D5"/>
    <w:rsid w:val="00384C80"/>
    <w:rsid w:val="00384C83"/>
    <w:rsid w:val="00384E18"/>
    <w:rsid w:val="00384FA7"/>
    <w:rsid w:val="00387043"/>
    <w:rsid w:val="003872F4"/>
    <w:rsid w:val="00387BEC"/>
    <w:rsid w:val="00390379"/>
    <w:rsid w:val="0039054F"/>
    <w:rsid w:val="00390A48"/>
    <w:rsid w:val="00390E41"/>
    <w:rsid w:val="00391074"/>
    <w:rsid w:val="003911CC"/>
    <w:rsid w:val="003921AD"/>
    <w:rsid w:val="003928B3"/>
    <w:rsid w:val="00392D7A"/>
    <w:rsid w:val="00393156"/>
    <w:rsid w:val="00393A91"/>
    <w:rsid w:val="00394324"/>
    <w:rsid w:val="00394A61"/>
    <w:rsid w:val="00394EFA"/>
    <w:rsid w:val="003950D5"/>
    <w:rsid w:val="003951D3"/>
    <w:rsid w:val="00396B5E"/>
    <w:rsid w:val="00396E43"/>
    <w:rsid w:val="00396F50"/>
    <w:rsid w:val="0039706C"/>
    <w:rsid w:val="0039780F"/>
    <w:rsid w:val="00397A89"/>
    <w:rsid w:val="00397CFB"/>
    <w:rsid w:val="003A01C3"/>
    <w:rsid w:val="003A062B"/>
    <w:rsid w:val="003A1FDB"/>
    <w:rsid w:val="003A214B"/>
    <w:rsid w:val="003A2423"/>
    <w:rsid w:val="003A2732"/>
    <w:rsid w:val="003A4ABA"/>
    <w:rsid w:val="003A5FD9"/>
    <w:rsid w:val="003A686C"/>
    <w:rsid w:val="003A68F8"/>
    <w:rsid w:val="003A6D25"/>
    <w:rsid w:val="003A6F75"/>
    <w:rsid w:val="003A6FF1"/>
    <w:rsid w:val="003A7306"/>
    <w:rsid w:val="003A7AE0"/>
    <w:rsid w:val="003B0917"/>
    <w:rsid w:val="003B0A30"/>
    <w:rsid w:val="003B142B"/>
    <w:rsid w:val="003B142D"/>
    <w:rsid w:val="003B2339"/>
    <w:rsid w:val="003B28C5"/>
    <w:rsid w:val="003B29B1"/>
    <w:rsid w:val="003B3557"/>
    <w:rsid w:val="003B3B5F"/>
    <w:rsid w:val="003B4C77"/>
    <w:rsid w:val="003B506C"/>
    <w:rsid w:val="003B558D"/>
    <w:rsid w:val="003B5A2C"/>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543"/>
    <w:rsid w:val="003C59C7"/>
    <w:rsid w:val="003C69C8"/>
    <w:rsid w:val="003C6BC1"/>
    <w:rsid w:val="003C6CB7"/>
    <w:rsid w:val="003C6DBF"/>
    <w:rsid w:val="003C7768"/>
    <w:rsid w:val="003C78AE"/>
    <w:rsid w:val="003C7A2F"/>
    <w:rsid w:val="003D0141"/>
    <w:rsid w:val="003D0DB9"/>
    <w:rsid w:val="003D1143"/>
    <w:rsid w:val="003D1523"/>
    <w:rsid w:val="003D1B36"/>
    <w:rsid w:val="003D20CB"/>
    <w:rsid w:val="003D271A"/>
    <w:rsid w:val="003D2DB6"/>
    <w:rsid w:val="003D2E7D"/>
    <w:rsid w:val="003D2ED0"/>
    <w:rsid w:val="003D307D"/>
    <w:rsid w:val="003D33F3"/>
    <w:rsid w:val="003D3CE7"/>
    <w:rsid w:val="003D3DA4"/>
    <w:rsid w:val="003D4198"/>
    <w:rsid w:val="003D4C44"/>
    <w:rsid w:val="003D6153"/>
    <w:rsid w:val="003D63EA"/>
    <w:rsid w:val="003D64FF"/>
    <w:rsid w:val="003D651E"/>
    <w:rsid w:val="003D6612"/>
    <w:rsid w:val="003D6791"/>
    <w:rsid w:val="003D7567"/>
    <w:rsid w:val="003D7BAF"/>
    <w:rsid w:val="003D7F89"/>
    <w:rsid w:val="003E22E5"/>
    <w:rsid w:val="003E288A"/>
    <w:rsid w:val="003E3C37"/>
    <w:rsid w:val="003E3C4A"/>
    <w:rsid w:val="003E4EDE"/>
    <w:rsid w:val="003E5D01"/>
    <w:rsid w:val="003E6178"/>
    <w:rsid w:val="003E618A"/>
    <w:rsid w:val="003E691C"/>
    <w:rsid w:val="003E6BCD"/>
    <w:rsid w:val="003E7CA8"/>
    <w:rsid w:val="003F004A"/>
    <w:rsid w:val="003F0612"/>
    <w:rsid w:val="003F07C5"/>
    <w:rsid w:val="003F29DE"/>
    <w:rsid w:val="003F2E31"/>
    <w:rsid w:val="003F2FE1"/>
    <w:rsid w:val="003F4687"/>
    <w:rsid w:val="003F48F7"/>
    <w:rsid w:val="003F4C4A"/>
    <w:rsid w:val="003F4F92"/>
    <w:rsid w:val="003F5E1E"/>
    <w:rsid w:val="003F70E0"/>
    <w:rsid w:val="003F76ED"/>
    <w:rsid w:val="003F7B06"/>
    <w:rsid w:val="00400176"/>
    <w:rsid w:val="00400EC5"/>
    <w:rsid w:val="0040152E"/>
    <w:rsid w:val="00401531"/>
    <w:rsid w:val="00401821"/>
    <w:rsid w:val="0040450D"/>
    <w:rsid w:val="00404604"/>
    <w:rsid w:val="00404888"/>
    <w:rsid w:val="00404953"/>
    <w:rsid w:val="00404D4E"/>
    <w:rsid w:val="00404E97"/>
    <w:rsid w:val="00405688"/>
    <w:rsid w:val="00405A6D"/>
    <w:rsid w:val="00405C14"/>
    <w:rsid w:val="0040621D"/>
    <w:rsid w:val="004073C7"/>
    <w:rsid w:val="004104C0"/>
    <w:rsid w:val="00411608"/>
    <w:rsid w:val="00411B45"/>
    <w:rsid w:val="0041286D"/>
    <w:rsid w:val="00412B4D"/>
    <w:rsid w:val="00412C5B"/>
    <w:rsid w:val="00414AA1"/>
    <w:rsid w:val="0041515B"/>
    <w:rsid w:val="004156C3"/>
    <w:rsid w:val="00415E83"/>
    <w:rsid w:val="00417481"/>
    <w:rsid w:val="0041765F"/>
    <w:rsid w:val="00417C03"/>
    <w:rsid w:val="004201EC"/>
    <w:rsid w:val="0042188E"/>
    <w:rsid w:val="004220D2"/>
    <w:rsid w:val="004220D6"/>
    <w:rsid w:val="00423439"/>
    <w:rsid w:val="004236C6"/>
    <w:rsid w:val="00423E4A"/>
    <w:rsid w:val="004247C4"/>
    <w:rsid w:val="00424B8F"/>
    <w:rsid w:val="00424BD8"/>
    <w:rsid w:val="00424E82"/>
    <w:rsid w:val="004254BE"/>
    <w:rsid w:val="00425E13"/>
    <w:rsid w:val="00426EB8"/>
    <w:rsid w:val="00430958"/>
    <w:rsid w:val="00430FAC"/>
    <w:rsid w:val="004319C7"/>
    <w:rsid w:val="00431B03"/>
    <w:rsid w:val="004323B5"/>
    <w:rsid w:val="0043244F"/>
    <w:rsid w:val="00432A34"/>
    <w:rsid w:val="00433A77"/>
    <w:rsid w:val="00434510"/>
    <w:rsid w:val="00434CED"/>
    <w:rsid w:val="00434F58"/>
    <w:rsid w:val="00435D2E"/>
    <w:rsid w:val="00435ED2"/>
    <w:rsid w:val="00436E37"/>
    <w:rsid w:val="004375C7"/>
    <w:rsid w:val="0044014E"/>
    <w:rsid w:val="0044078E"/>
    <w:rsid w:val="00440838"/>
    <w:rsid w:val="00441534"/>
    <w:rsid w:val="004415C3"/>
    <w:rsid w:val="00441858"/>
    <w:rsid w:val="00441FCB"/>
    <w:rsid w:val="00442475"/>
    <w:rsid w:val="00443754"/>
    <w:rsid w:val="00443D8F"/>
    <w:rsid w:val="004446BF"/>
    <w:rsid w:val="00444AEE"/>
    <w:rsid w:val="00445596"/>
    <w:rsid w:val="00445E1D"/>
    <w:rsid w:val="0044615C"/>
    <w:rsid w:val="004465CB"/>
    <w:rsid w:val="00446627"/>
    <w:rsid w:val="004470DE"/>
    <w:rsid w:val="00447499"/>
    <w:rsid w:val="00447815"/>
    <w:rsid w:val="00447C1D"/>
    <w:rsid w:val="00447DC6"/>
    <w:rsid w:val="00451355"/>
    <w:rsid w:val="00451933"/>
    <w:rsid w:val="00451AB3"/>
    <w:rsid w:val="0045230D"/>
    <w:rsid w:val="0045248F"/>
    <w:rsid w:val="004524BB"/>
    <w:rsid w:val="0045261A"/>
    <w:rsid w:val="004529B5"/>
    <w:rsid w:val="00452AF7"/>
    <w:rsid w:val="004534E2"/>
    <w:rsid w:val="00454C44"/>
    <w:rsid w:val="00455440"/>
    <w:rsid w:val="004555E7"/>
    <w:rsid w:val="004556D7"/>
    <w:rsid w:val="004559E1"/>
    <w:rsid w:val="004560D8"/>
    <w:rsid w:val="00460DA3"/>
    <w:rsid w:val="00462849"/>
    <w:rsid w:val="00463D1A"/>
    <w:rsid w:val="0046451D"/>
    <w:rsid w:val="004645AD"/>
    <w:rsid w:val="004645B2"/>
    <w:rsid w:val="00465048"/>
    <w:rsid w:val="0046507A"/>
    <w:rsid w:val="00466150"/>
    <w:rsid w:val="00466B99"/>
    <w:rsid w:val="00466FE1"/>
    <w:rsid w:val="00467342"/>
    <w:rsid w:val="00467651"/>
    <w:rsid w:val="00470033"/>
    <w:rsid w:val="0047035D"/>
    <w:rsid w:val="00470375"/>
    <w:rsid w:val="00470566"/>
    <w:rsid w:val="0047087E"/>
    <w:rsid w:val="00470F6A"/>
    <w:rsid w:val="0047297C"/>
    <w:rsid w:val="00472A4E"/>
    <w:rsid w:val="004732AB"/>
    <w:rsid w:val="00474230"/>
    <w:rsid w:val="00474AEA"/>
    <w:rsid w:val="00474C64"/>
    <w:rsid w:val="00474E65"/>
    <w:rsid w:val="004751B5"/>
    <w:rsid w:val="00475925"/>
    <w:rsid w:val="00475B37"/>
    <w:rsid w:val="00475FD7"/>
    <w:rsid w:val="0047647D"/>
    <w:rsid w:val="00476D7C"/>
    <w:rsid w:val="00476F55"/>
    <w:rsid w:val="004777E6"/>
    <w:rsid w:val="00480111"/>
    <w:rsid w:val="00480417"/>
    <w:rsid w:val="00480976"/>
    <w:rsid w:val="0048118B"/>
    <w:rsid w:val="00481484"/>
    <w:rsid w:val="00482461"/>
    <w:rsid w:val="004834BD"/>
    <w:rsid w:val="0048355D"/>
    <w:rsid w:val="004846E5"/>
    <w:rsid w:val="00484FFF"/>
    <w:rsid w:val="004855AE"/>
    <w:rsid w:val="00487027"/>
    <w:rsid w:val="00490C7C"/>
    <w:rsid w:val="004913A1"/>
    <w:rsid w:val="00491981"/>
    <w:rsid w:val="00491ECE"/>
    <w:rsid w:val="004926FA"/>
    <w:rsid w:val="00492B2D"/>
    <w:rsid w:val="00492C4F"/>
    <w:rsid w:val="004930C6"/>
    <w:rsid w:val="00493130"/>
    <w:rsid w:val="004932E8"/>
    <w:rsid w:val="004935FC"/>
    <w:rsid w:val="00493CC9"/>
    <w:rsid w:val="004940A5"/>
    <w:rsid w:val="004949C0"/>
    <w:rsid w:val="00494E95"/>
    <w:rsid w:val="00495AA3"/>
    <w:rsid w:val="0049631B"/>
    <w:rsid w:val="004966BF"/>
    <w:rsid w:val="00496ACC"/>
    <w:rsid w:val="00496B38"/>
    <w:rsid w:val="00496F48"/>
    <w:rsid w:val="004974DB"/>
    <w:rsid w:val="0049784C"/>
    <w:rsid w:val="00497C62"/>
    <w:rsid w:val="00497CD8"/>
    <w:rsid w:val="004A0510"/>
    <w:rsid w:val="004A10BC"/>
    <w:rsid w:val="004A14A4"/>
    <w:rsid w:val="004A2CA9"/>
    <w:rsid w:val="004A2E69"/>
    <w:rsid w:val="004A2EB8"/>
    <w:rsid w:val="004A50AC"/>
    <w:rsid w:val="004A568D"/>
    <w:rsid w:val="004A5F89"/>
    <w:rsid w:val="004A6883"/>
    <w:rsid w:val="004A748D"/>
    <w:rsid w:val="004A7D12"/>
    <w:rsid w:val="004B1545"/>
    <w:rsid w:val="004B1C06"/>
    <w:rsid w:val="004B1E36"/>
    <w:rsid w:val="004B21D3"/>
    <w:rsid w:val="004B2B96"/>
    <w:rsid w:val="004B3E81"/>
    <w:rsid w:val="004B53F4"/>
    <w:rsid w:val="004B5CCC"/>
    <w:rsid w:val="004B6120"/>
    <w:rsid w:val="004B7369"/>
    <w:rsid w:val="004B73D6"/>
    <w:rsid w:val="004B79A0"/>
    <w:rsid w:val="004C1774"/>
    <w:rsid w:val="004C1B05"/>
    <w:rsid w:val="004C2983"/>
    <w:rsid w:val="004C340D"/>
    <w:rsid w:val="004C39A6"/>
    <w:rsid w:val="004C3F72"/>
    <w:rsid w:val="004C45D3"/>
    <w:rsid w:val="004C4B1A"/>
    <w:rsid w:val="004C51F5"/>
    <w:rsid w:val="004C599C"/>
    <w:rsid w:val="004C5F19"/>
    <w:rsid w:val="004C7A0D"/>
    <w:rsid w:val="004C7D04"/>
    <w:rsid w:val="004D2F59"/>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1BCB"/>
    <w:rsid w:val="004E202D"/>
    <w:rsid w:val="004E2AD6"/>
    <w:rsid w:val="004E2B89"/>
    <w:rsid w:val="004E3627"/>
    <w:rsid w:val="004E399A"/>
    <w:rsid w:val="004E39F8"/>
    <w:rsid w:val="004E3A7E"/>
    <w:rsid w:val="004E3DB6"/>
    <w:rsid w:val="004E4ECD"/>
    <w:rsid w:val="004E5630"/>
    <w:rsid w:val="004E598A"/>
    <w:rsid w:val="004E5F25"/>
    <w:rsid w:val="004E6E3D"/>
    <w:rsid w:val="004E6F60"/>
    <w:rsid w:val="004E746C"/>
    <w:rsid w:val="004E7497"/>
    <w:rsid w:val="004F0C96"/>
    <w:rsid w:val="004F1C58"/>
    <w:rsid w:val="004F204A"/>
    <w:rsid w:val="004F2069"/>
    <w:rsid w:val="004F21F5"/>
    <w:rsid w:val="004F282E"/>
    <w:rsid w:val="004F359B"/>
    <w:rsid w:val="004F3F11"/>
    <w:rsid w:val="004F4374"/>
    <w:rsid w:val="004F45FC"/>
    <w:rsid w:val="004F4EBD"/>
    <w:rsid w:val="004F549B"/>
    <w:rsid w:val="004F5F3A"/>
    <w:rsid w:val="004F66D3"/>
    <w:rsid w:val="004F6760"/>
    <w:rsid w:val="004F676B"/>
    <w:rsid w:val="004F6B9A"/>
    <w:rsid w:val="004F6F00"/>
    <w:rsid w:val="004F7165"/>
    <w:rsid w:val="004F7368"/>
    <w:rsid w:val="00500182"/>
    <w:rsid w:val="00500954"/>
    <w:rsid w:val="00500A72"/>
    <w:rsid w:val="00500B12"/>
    <w:rsid w:val="00500E82"/>
    <w:rsid w:val="005012FC"/>
    <w:rsid w:val="0050235E"/>
    <w:rsid w:val="00502933"/>
    <w:rsid w:val="00505586"/>
    <w:rsid w:val="00506F5F"/>
    <w:rsid w:val="005078C3"/>
    <w:rsid w:val="00507DB4"/>
    <w:rsid w:val="00507E4C"/>
    <w:rsid w:val="00510208"/>
    <w:rsid w:val="005109C1"/>
    <w:rsid w:val="00510C76"/>
    <w:rsid w:val="0051158F"/>
    <w:rsid w:val="005115F0"/>
    <w:rsid w:val="005116BE"/>
    <w:rsid w:val="00511ECC"/>
    <w:rsid w:val="00512A9C"/>
    <w:rsid w:val="00514665"/>
    <w:rsid w:val="00514BDE"/>
    <w:rsid w:val="00515CCC"/>
    <w:rsid w:val="00515FBB"/>
    <w:rsid w:val="00516E13"/>
    <w:rsid w:val="0051762A"/>
    <w:rsid w:val="00517823"/>
    <w:rsid w:val="00517C60"/>
    <w:rsid w:val="00520088"/>
    <w:rsid w:val="0052085B"/>
    <w:rsid w:val="00521368"/>
    <w:rsid w:val="0052147B"/>
    <w:rsid w:val="00521C48"/>
    <w:rsid w:val="00522367"/>
    <w:rsid w:val="00522ED5"/>
    <w:rsid w:val="00523364"/>
    <w:rsid w:val="00523370"/>
    <w:rsid w:val="0052432C"/>
    <w:rsid w:val="00524973"/>
    <w:rsid w:val="00525350"/>
    <w:rsid w:val="00525382"/>
    <w:rsid w:val="005253CF"/>
    <w:rsid w:val="005256CD"/>
    <w:rsid w:val="005257E4"/>
    <w:rsid w:val="0052624C"/>
    <w:rsid w:val="0052646F"/>
    <w:rsid w:val="005266FF"/>
    <w:rsid w:val="00526756"/>
    <w:rsid w:val="0052676E"/>
    <w:rsid w:val="00526946"/>
    <w:rsid w:val="00526F29"/>
    <w:rsid w:val="00527582"/>
    <w:rsid w:val="00527705"/>
    <w:rsid w:val="00530909"/>
    <w:rsid w:val="005310C8"/>
    <w:rsid w:val="00531F11"/>
    <w:rsid w:val="005321C5"/>
    <w:rsid w:val="00532636"/>
    <w:rsid w:val="005326C3"/>
    <w:rsid w:val="0053354E"/>
    <w:rsid w:val="00533BC4"/>
    <w:rsid w:val="00533C10"/>
    <w:rsid w:val="00533F74"/>
    <w:rsid w:val="00533FDC"/>
    <w:rsid w:val="005348AC"/>
    <w:rsid w:val="005358C2"/>
    <w:rsid w:val="00535B1E"/>
    <w:rsid w:val="0053674D"/>
    <w:rsid w:val="005367CD"/>
    <w:rsid w:val="00536E93"/>
    <w:rsid w:val="005377ED"/>
    <w:rsid w:val="00537DE1"/>
    <w:rsid w:val="00540F86"/>
    <w:rsid w:val="005419AD"/>
    <w:rsid w:val="00541BE6"/>
    <w:rsid w:val="0054290C"/>
    <w:rsid w:val="00542921"/>
    <w:rsid w:val="0054338F"/>
    <w:rsid w:val="0054404E"/>
    <w:rsid w:val="005440DE"/>
    <w:rsid w:val="0054413D"/>
    <w:rsid w:val="00544670"/>
    <w:rsid w:val="00544B4C"/>
    <w:rsid w:val="0054551D"/>
    <w:rsid w:val="00546428"/>
    <w:rsid w:val="0054695C"/>
    <w:rsid w:val="00550A02"/>
    <w:rsid w:val="00550B42"/>
    <w:rsid w:val="00550BEA"/>
    <w:rsid w:val="00550D5C"/>
    <w:rsid w:val="005512D9"/>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1A"/>
    <w:rsid w:val="00556734"/>
    <w:rsid w:val="00556CE5"/>
    <w:rsid w:val="0055736E"/>
    <w:rsid w:val="0055766D"/>
    <w:rsid w:val="00557C57"/>
    <w:rsid w:val="00560106"/>
    <w:rsid w:val="0056031D"/>
    <w:rsid w:val="00560627"/>
    <w:rsid w:val="005617F9"/>
    <w:rsid w:val="00561B85"/>
    <w:rsid w:val="00562885"/>
    <w:rsid w:val="00563077"/>
    <w:rsid w:val="00563231"/>
    <w:rsid w:val="0056451A"/>
    <w:rsid w:val="00564D9D"/>
    <w:rsid w:val="00565651"/>
    <w:rsid w:val="00566152"/>
    <w:rsid w:val="00566555"/>
    <w:rsid w:val="0056731E"/>
    <w:rsid w:val="00567736"/>
    <w:rsid w:val="00571075"/>
    <w:rsid w:val="0057308F"/>
    <w:rsid w:val="00573390"/>
    <w:rsid w:val="005737E0"/>
    <w:rsid w:val="0057425A"/>
    <w:rsid w:val="005746A9"/>
    <w:rsid w:val="005748AC"/>
    <w:rsid w:val="0057593C"/>
    <w:rsid w:val="00575A75"/>
    <w:rsid w:val="005762A6"/>
    <w:rsid w:val="00576516"/>
    <w:rsid w:val="00576D0F"/>
    <w:rsid w:val="005772F3"/>
    <w:rsid w:val="00577D18"/>
    <w:rsid w:val="00577D6B"/>
    <w:rsid w:val="00577D74"/>
    <w:rsid w:val="00580A2C"/>
    <w:rsid w:val="005810AA"/>
    <w:rsid w:val="00581777"/>
    <w:rsid w:val="00581DE8"/>
    <w:rsid w:val="00582847"/>
    <w:rsid w:val="00582EA6"/>
    <w:rsid w:val="005836D1"/>
    <w:rsid w:val="00584711"/>
    <w:rsid w:val="0058496B"/>
    <w:rsid w:val="00584CB0"/>
    <w:rsid w:val="00585AC3"/>
    <w:rsid w:val="00586B17"/>
    <w:rsid w:val="00587133"/>
    <w:rsid w:val="00587474"/>
    <w:rsid w:val="0058782D"/>
    <w:rsid w:val="00587A59"/>
    <w:rsid w:val="00587AC1"/>
    <w:rsid w:val="00590144"/>
    <w:rsid w:val="0059023C"/>
    <w:rsid w:val="005904CC"/>
    <w:rsid w:val="0059080A"/>
    <w:rsid w:val="00591D90"/>
    <w:rsid w:val="005922DB"/>
    <w:rsid w:val="005927D1"/>
    <w:rsid w:val="0059289C"/>
    <w:rsid w:val="00592BAD"/>
    <w:rsid w:val="0059328F"/>
    <w:rsid w:val="005934F0"/>
    <w:rsid w:val="00593DDD"/>
    <w:rsid w:val="005942B3"/>
    <w:rsid w:val="00594B07"/>
    <w:rsid w:val="005976F7"/>
    <w:rsid w:val="005A0279"/>
    <w:rsid w:val="005A0EBF"/>
    <w:rsid w:val="005A0FD8"/>
    <w:rsid w:val="005A19A7"/>
    <w:rsid w:val="005A23B8"/>
    <w:rsid w:val="005A27F7"/>
    <w:rsid w:val="005A2B12"/>
    <w:rsid w:val="005A3DFB"/>
    <w:rsid w:val="005A5152"/>
    <w:rsid w:val="005A51D9"/>
    <w:rsid w:val="005A72C0"/>
    <w:rsid w:val="005A7F49"/>
    <w:rsid w:val="005B04DC"/>
    <w:rsid w:val="005B0921"/>
    <w:rsid w:val="005B2154"/>
    <w:rsid w:val="005B2969"/>
    <w:rsid w:val="005B338D"/>
    <w:rsid w:val="005B3435"/>
    <w:rsid w:val="005B37CC"/>
    <w:rsid w:val="005B3BC6"/>
    <w:rsid w:val="005B432D"/>
    <w:rsid w:val="005B457C"/>
    <w:rsid w:val="005B4EA4"/>
    <w:rsid w:val="005B5000"/>
    <w:rsid w:val="005B5A9E"/>
    <w:rsid w:val="005B5FE4"/>
    <w:rsid w:val="005B60CD"/>
    <w:rsid w:val="005B6146"/>
    <w:rsid w:val="005B65B7"/>
    <w:rsid w:val="005B7826"/>
    <w:rsid w:val="005B7C92"/>
    <w:rsid w:val="005B7EF0"/>
    <w:rsid w:val="005C07EA"/>
    <w:rsid w:val="005C0FF4"/>
    <w:rsid w:val="005C12EC"/>
    <w:rsid w:val="005C26D9"/>
    <w:rsid w:val="005C38D7"/>
    <w:rsid w:val="005C38EE"/>
    <w:rsid w:val="005C3B76"/>
    <w:rsid w:val="005C413B"/>
    <w:rsid w:val="005C49E0"/>
    <w:rsid w:val="005C4B2D"/>
    <w:rsid w:val="005C6720"/>
    <w:rsid w:val="005D074B"/>
    <w:rsid w:val="005D0C7B"/>
    <w:rsid w:val="005D1AFB"/>
    <w:rsid w:val="005D1E29"/>
    <w:rsid w:val="005D22C5"/>
    <w:rsid w:val="005D2597"/>
    <w:rsid w:val="005D2BF8"/>
    <w:rsid w:val="005D48B8"/>
    <w:rsid w:val="005D4D95"/>
    <w:rsid w:val="005D5A44"/>
    <w:rsid w:val="005D6005"/>
    <w:rsid w:val="005D6081"/>
    <w:rsid w:val="005D62EE"/>
    <w:rsid w:val="005D6ACB"/>
    <w:rsid w:val="005D7546"/>
    <w:rsid w:val="005D7674"/>
    <w:rsid w:val="005D7FA7"/>
    <w:rsid w:val="005D7FD6"/>
    <w:rsid w:val="005E0252"/>
    <w:rsid w:val="005E0431"/>
    <w:rsid w:val="005E086B"/>
    <w:rsid w:val="005E1546"/>
    <w:rsid w:val="005E1B19"/>
    <w:rsid w:val="005E1F8E"/>
    <w:rsid w:val="005E2BD0"/>
    <w:rsid w:val="005E34A4"/>
    <w:rsid w:val="005E3A32"/>
    <w:rsid w:val="005E4F77"/>
    <w:rsid w:val="005E74D4"/>
    <w:rsid w:val="005E7623"/>
    <w:rsid w:val="005F078D"/>
    <w:rsid w:val="005F0B8C"/>
    <w:rsid w:val="005F0E6F"/>
    <w:rsid w:val="005F177F"/>
    <w:rsid w:val="005F2946"/>
    <w:rsid w:val="005F2A26"/>
    <w:rsid w:val="005F3269"/>
    <w:rsid w:val="005F333F"/>
    <w:rsid w:val="005F3B5D"/>
    <w:rsid w:val="005F3CD1"/>
    <w:rsid w:val="005F426C"/>
    <w:rsid w:val="005F4271"/>
    <w:rsid w:val="005F4C45"/>
    <w:rsid w:val="005F4D58"/>
    <w:rsid w:val="005F4F01"/>
    <w:rsid w:val="005F65C2"/>
    <w:rsid w:val="005F6DFD"/>
    <w:rsid w:val="005F7F22"/>
    <w:rsid w:val="006000F8"/>
    <w:rsid w:val="0060038B"/>
    <w:rsid w:val="006003E7"/>
    <w:rsid w:val="00600B46"/>
    <w:rsid w:val="00600F0F"/>
    <w:rsid w:val="00601646"/>
    <w:rsid w:val="00602614"/>
    <w:rsid w:val="006028BF"/>
    <w:rsid w:val="006034B6"/>
    <w:rsid w:val="00604BFC"/>
    <w:rsid w:val="00604D23"/>
    <w:rsid w:val="00604EA5"/>
    <w:rsid w:val="006050C0"/>
    <w:rsid w:val="0060536F"/>
    <w:rsid w:val="006056B8"/>
    <w:rsid w:val="006057AE"/>
    <w:rsid w:val="00605902"/>
    <w:rsid w:val="00605F57"/>
    <w:rsid w:val="00606229"/>
    <w:rsid w:val="00606311"/>
    <w:rsid w:val="0060647E"/>
    <w:rsid w:val="006064F8"/>
    <w:rsid w:val="006078A7"/>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C8"/>
    <w:rsid w:val="00612DFB"/>
    <w:rsid w:val="0061328E"/>
    <w:rsid w:val="006134A1"/>
    <w:rsid w:val="00613AB6"/>
    <w:rsid w:val="0061477A"/>
    <w:rsid w:val="006148A0"/>
    <w:rsid w:val="00614AE6"/>
    <w:rsid w:val="00615A87"/>
    <w:rsid w:val="00615F44"/>
    <w:rsid w:val="00616359"/>
    <w:rsid w:val="00616C2C"/>
    <w:rsid w:val="00616FBC"/>
    <w:rsid w:val="00617187"/>
    <w:rsid w:val="00617604"/>
    <w:rsid w:val="0062017A"/>
    <w:rsid w:val="00620346"/>
    <w:rsid w:val="006203D4"/>
    <w:rsid w:val="006204A8"/>
    <w:rsid w:val="00620893"/>
    <w:rsid w:val="00621451"/>
    <w:rsid w:val="00621665"/>
    <w:rsid w:val="00621745"/>
    <w:rsid w:val="00621BDF"/>
    <w:rsid w:val="00621C22"/>
    <w:rsid w:val="00621E8C"/>
    <w:rsid w:val="0062246E"/>
    <w:rsid w:val="006238FF"/>
    <w:rsid w:val="00623969"/>
    <w:rsid w:val="00623CF7"/>
    <w:rsid w:val="0062416B"/>
    <w:rsid w:val="006255B1"/>
    <w:rsid w:val="006255E6"/>
    <w:rsid w:val="00625659"/>
    <w:rsid w:val="00625CC2"/>
    <w:rsid w:val="0062616D"/>
    <w:rsid w:val="006263BE"/>
    <w:rsid w:val="00626453"/>
    <w:rsid w:val="006267CA"/>
    <w:rsid w:val="00626CAE"/>
    <w:rsid w:val="00627383"/>
    <w:rsid w:val="0062775A"/>
    <w:rsid w:val="00627A8C"/>
    <w:rsid w:val="00631951"/>
    <w:rsid w:val="00631A2F"/>
    <w:rsid w:val="00632590"/>
    <w:rsid w:val="0063294C"/>
    <w:rsid w:val="006331E6"/>
    <w:rsid w:val="00633976"/>
    <w:rsid w:val="00633AB1"/>
    <w:rsid w:val="006341CD"/>
    <w:rsid w:val="006348C8"/>
    <w:rsid w:val="00635F3E"/>
    <w:rsid w:val="006360CF"/>
    <w:rsid w:val="00636125"/>
    <w:rsid w:val="006365F0"/>
    <w:rsid w:val="00636D46"/>
    <w:rsid w:val="0063777F"/>
    <w:rsid w:val="00637DEB"/>
    <w:rsid w:val="00637EF2"/>
    <w:rsid w:val="006402CB"/>
    <w:rsid w:val="00640B89"/>
    <w:rsid w:val="0064133D"/>
    <w:rsid w:val="0064213B"/>
    <w:rsid w:val="006426DE"/>
    <w:rsid w:val="00642756"/>
    <w:rsid w:val="006428FC"/>
    <w:rsid w:val="0064290C"/>
    <w:rsid w:val="00643A0C"/>
    <w:rsid w:val="00644036"/>
    <w:rsid w:val="0064539D"/>
    <w:rsid w:val="0064572E"/>
    <w:rsid w:val="006465AD"/>
    <w:rsid w:val="0064760C"/>
    <w:rsid w:val="0065082E"/>
    <w:rsid w:val="00650DA3"/>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501"/>
    <w:rsid w:val="006565F2"/>
    <w:rsid w:val="00657A9D"/>
    <w:rsid w:val="00657B8B"/>
    <w:rsid w:val="00661179"/>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70138"/>
    <w:rsid w:val="00670DD8"/>
    <w:rsid w:val="00671029"/>
    <w:rsid w:val="00671606"/>
    <w:rsid w:val="00671B08"/>
    <w:rsid w:val="00671D7F"/>
    <w:rsid w:val="00671EB8"/>
    <w:rsid w:val="0067206F"/>
    <w:rsid w:val="0067222C"/>
    <w:rsid w:val="00672735"/>
    <w:rsid w:val="0067372D"/>
    <w:rsid w:val="00675268"/>
    <w:rsid w:val="00675C66"/>
    <w:rsid w:val="00676080"/>
    <w:rsid w:val="006766B5"/>
    <w:rsid w:val="00677B80"/>
    <w:rsid w:val="006808CE"/>
    <w:rsid w:val="00680934"/>
    <w:rsid w:val="006810F5"/>
    <w:rsid w:val="006811E6"/>
    <w:rsid w:val="00681502"/>
    <w:rsid w:val="00682679"/>
    <w:rsid w:val="00682ACE"/>
    <w:rsid w:val="00683365"/>
    <w:rsid w:val="0068594F"/>
    <w:rsid w:val="00685D05"/>
    <w:rsid w:val="006862C3"/>
    <w:rsid w:val="00686CF4"/>
    <w:rsid w:val="006877C0"/>
    <w:rsid w:val="0069015B"/>
    <w:rsid w:val="006903EC"/>
    <w:rsid w:val="00690D53"/>
    <w:rsid w:val="0069125C"/>
    <w:rsid w:val="00691391"/>
    <w:rsid w:val="00691DD6"/>
    <w:rsid w:val="00692B7B"/>
    <w:rsid w:val="0069306A"/>
    <w:rsid w:val="00693DD9"/>
    <w:rsid w:val="006947A1"/>
    <w:rsid w:val="00695048"/>
    <w:rsid w:val="00695464"/>
    <w:rsid w:val="00695D71"/>
    <w:rsid w:val="00695EE0"/>
    <w:rsid w:val="00695EFF"/>
    <w:rsid w:val="006A0B60"/>
    <w:rsid w:val="006A1296"/>
    <w:rsid w:val="006A1ADD"/>
    <w:rsid w:val="006A1C6A"/>
    <w:rsid w:val="006A2713"/>
    <w:rsid w:val="006A293F"/>
    <w:rsid w:val="006A2CCC"/>
    <w:rsid w:val="006A3029"/>
    <w:rsid w:val="006A35B3"/>
    <w:rsid w:val="006A3EF6"/>
    <w:rsid w:val="006A4937"/>
    <w:rsid w:val="006A4C74"/>
    <w:rsid w:val="006A4F65"/>
    <w:rsid w:val="006A674E"/>
    <w:rsid w:val="006A6FAB"/>
    <w:rsid w:val="006A76D9"/>
    <w:rsid w:val="006A7991"/>
    <w:rsid w:val="006A7E3D"/>
    <w:rsid w:val="006B0457"/>
    <w:rsid w:val="006B20B3"/>
    <w:rsid w:val="006B230F"/>
    <w:rsid w:val="006B342D"/>
    <w:rsid w:val="006B3CE8"/>
    <w:rsid w:val="006B487F"/>
    <w:rsid w:val="006B4B66"/>
    <w:rsid w:val="006B4C5B"/>
    <w:rsid w:val="006B4FD2"/>
    <w:rsid w:val="006B545C"/>
    <w:rsid w:val="006B6D3E"/>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88A"/>
    <w:rsid w:val="006C6DA7"/>
    <w:rsid w:val="006C7179"/>
    <w:rsid w:val="006C72FC"/>
    <w:rsid w:val="006C759F"/>
    <w:rsid w:val="006C75CA"/>
    <w:rsid w:val="006C7CDA"/>
    <w:rsid w:val="006C7F72"/>
    <w:rsid w:val="006D0BDD"/>
    <w:rsid w:val="006D1340"/>
    <w:rsid w:val="006D13F9"/>
    <w:rsid w:val="006D16E6"/>
    <w:rsid w:val="006D17EF"/>
    <w:rsid w:val="006D19AA"/>
    <w:rsid w:val="006D28CD"/>
    <w:rsid w:val="006D2A3A"/>
    <w:rsid w:val="006D34A9"/>
    <w:rsid w:val="006D39E9"/>
    <w:rsid w:val="006D3B08"/>
    <w:rsid w:val="006D3C59"/>
    <w:rsid w:val="006D3D09"/>
    <w:rsid w:val="006D3D6F"/>
    <w:rsid w:val="006D4C08"/>
    <w:rsid w:val="006D5146"/>
    <w:rsid w:val="006D5168"/>
    <w:rsid w:val="006D625B"/>
    <w:rsid w:val="006D6C65"/>
    <w:rsid w:val="006D7B84"/>
    <w:rsid w:val="006E0413"/>
    <w:rsid w:val="006E0546"/>
    <w:rsid w:val="006E0A08"/>
    <w:rsid w:val="006E1EEF"/>
    <w:rsid w:val="006E2797"/>
    <w:rsid w:val="006E4837"/>
    <w:rsid w:val="006E4BB0"/>
    <w:rsid w:val="006E4C35"/>
    <w:rsid w:val="006E4CA0"/>
    <w:rsid w:val="006E520B"/>
    <w:rsid w:val="006E584F"/>
    <w:rsid w:val="006E598B"/>
    <w:rsid w:val="006E6535"/>
    <w:rsid w:val="006E6E96"/>
    <w:rsid w:val="006E787D"/>
    <w:rsid w:val="006F0F12"/>
    <w:rsid w:val="006F1A94"/>
    <w:rsid w:val="006F203D"/>
    <w:rsid w:val="006F2EA3"/>
    <w:rsid w:val="006F50DB"/>
    <w:rsid w:val="006F53BE"/>
    <w:rsid w:val="006F5BB1"/>
    <w:rsid w:val="006F7119"/>
    <w:rsid w:val="006F76E8"/>
    <w:rsid w:val="006F7CCA"/>
    <w:rsid w:val="00700260"/>
    <w:rsid w:val="00700692"/>
    <w:rsid w:val="007007B6"/>
    <w:rsid w:val="00700820"/>
    <w:rsid w:val="00701BC0"/>
    <w:rsid w:val="0070324D"/>
    <w:rsid w:val="00703ACD"/>
    <w:rsid w:val="00703B06"/>
    <w:rsid w:val="00703BA6"/>
    <w:rsid w:val="00703E96"/>
    <w:rsid w:val="007040EB"/>
    <w:rsid w:val="00704F5B"/>
    <w:rsid w:val="00704FAF"/>
    <w:rsid w:val="00705143"/>
    <w:rsid w:val="007055F2"/>
    <w:rsid w:val="00705DD3"/>
    <w:rsid w:val="00706018"/>
    <w:rsid w:val="00706B2E"/>
    <w:rsid w:val="00706C79"/>
    <w:rsid w:val="007073FB"/>
    <w:rsid w:val="00710247"/>
    <w:rsid w:val="007113FC"/>
    <w:rsid w:val="007118C5"/>
    <w:rsid w:val="00711D0F"/>
    <w:rsid w:val="00712414"/>
    <w:rsid w:val="007128F9"/>
    <w:rsid w:val="00712BB8"/>
    <w:rsid w:val="00712C29"/>
    <w:rsid w:val="007130B9"/>
    <w:rsid w:val="007133CC"/>
    <w:rsid w:val="00714952"/>
    <w:rsid w:val="00714B4B"/>
    <w:rsid w:val="00715B26"/>
    <w:rsid w:val="007161A1"/>
    <w:rsid w:val="007162E1"/>
    <w:rsid w:val="007168AF"/>
    <w:rsid w:val="00716B66"/>
    <w:rsid w:val="00716D52"/>
    <w:rsid w:val="00716DDB"/>
    <w:rsid w:val="007171E0"/>
    <w:rsid w:val="007176A6"/>
    <w:rsid w:val="00720047"/>
    <w:rsid w:val="00720256"/>
    <w:rsid w:val="007203DE"/>
    <w:rsid w:val="0072042F"/>
    <w:rsid w:val="007210EA"/>
    <w:rsid w:val="00721EFF"/>
    <w:rsid w:val="007229B6"/>
    <w:rsid w:val="00722B44"/>
    <w:rsid w:val="00722C72"/>
    <w:rsid w:val="007236D1"/>
    <w:rsid w:val="00723701"/>
    <w:rsid w:val="00723817"/>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FE"/>
    <w:rsid w:val="007311CD"/>
    <w:rsid w:val="00731A12"/>
    <w:rsid w:val="00731F41"/>
    <w:rsid w:val="0073238A"/>
    <w:rsid w:val="00732577"/>
    <w:rsid w:val="00732AF0"/>
    <w:rsid w:val="00732F4E"/>
    <w:rsid w:val="00733B29"/>
    <w:rsid w:val="00734020"/>
    <w:rsid w:val="00734201"/>
    <w:rsid w:val="0073452C"/>
    <w:rsid w:val="00735460"/>
    <w:rsid w:val="00735488"/>
    <w:rsid w:val="007354DE"/>
    <w:rsid w:val="00735870"/>
    <w:rsid w:val="007362F3"/>
    <w:rsid w:val="00736545"/>
    <w:rsid w:val="00736AD0"/>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701"/>
    <w:rsid w:val="00745FB3"/>
    <w:rsid w:val="007462D2"/>
    <w:rsid w:val="0074642D"/>
    <w:rsid w:val="00746B18"/>
    <w:rsid w:val="007473D4"/>
    <w:rsid w:val="007507ED"/>
    <w:rsid w:val="00750C69"/>
    <w:rsid w:val="007510EE"/>
    <w:rsid w:val="007514ED"/>
    <w:rsid w:val="00751633"/>
    <w:rsid w:val="00751B95"/>
    <w:rsid w:val="00752346"/>
    <w:rsid w:val="00752CD9"/>
    <w:rsid w:val="00752E6E"/>
    <w:rsid w:val="00753158"/>
    <w:rsid w:val="00753357"/>
    <w:rsid w:val="007536DE"/>
    <w:rsid w:val="007536F4"/>
    <w:rsid w:val="00754A09"/>
    <w:rsid w:val="00754F3E"/>
    <w:rsid w:val="00755628"/>
    <w:rsid w:val="0075594E"/>
    <w:rsid w:val="00755C9D"/>
    <w:rsid w:val="00755FC9"/>
    <w:rsid w:val="00756D5E"/>
    <w:rsid w:val="007572C1"/>
    <w:rsid w:val="0075737A"/>
    <w:rsid w:val="007576A3"/>
    <w:rsid w:val="00757FF2"/>
    <w:rsid w:val="007604F9"/>
    <w:rsid w:val="00760947"/>
    <w:rsid w:val="007616DF"/>
    <w:rsid w:val="007618F6"/>
    <w:rsid w:val="00761D73"/>
    <w:rsid w:val="00761F47"/>
    <w:rsid w:val="00761FC4"/>
    <w:rsid w:val="00762111"/>
    <w:rsid w:val="0076241D"/>
    <w:rsid w:val="00762922"/>
    <w:rsid w:val="00762CC0"/>
    <w:rsid w:val="00763E32"/>
    <w:rsid w:val="00764582"/>
    <w:rsid w:val="007672AA"/>
    <w:rsid w:val="00770341"/>
    <w:rsid w:val="00771553"/>
    <w:rsid w:val="00772506"/>
    <w:rsid w:val="00772BE3"/>
    <w:rsid w:val="00773192"/>
    <w:rsid w:val="007735BF"/>
    <w:rsid w:val="0077384C"/>
    <w:rsid w:val="007742DC"/>
    <w:rsid w:val="00774524"/>
    <w:rsid w:val="007747F2"/>
    <w:rsid w:val="007750E6"/>
    <w:rsid w:val="007753E9"/>
    <w:rsid w:val="007757D9"/>
    <w:rsid w:val="007759E3"/>
    <w:rsid w:val="00775B42"/>
    <w:rsid w:val="00776156"/>
    <w:rsid w:val="007779DA"/>
    <w:rsid w:val="00777A07"/>
    <w:rsid w:val="00777E62"/>
    <w:rsid w:val="0078070E"/>
    <w:rsid w:val="00781511"/>
    <w:rsid w:val="00781737"/>
    <w:rsid w:val="00781F6A"/>
    <w:rsid w:val="00781F80"/>
    <w:rsid w:val="00782425"/>
    <w:rsid w:val="00782B81"/>
    <w:rsid w:val="00783390"/>
    <w:rsid w:val="007848CC"/>
    <w:rsid w:val="00786F61"/>
    <w:rsid w:val="00790040"/>
    <w:rsid w:val="0079012E"/>
    <w:rsid w:val="007904A5"/>
    <w:rsid w:val="00790558"/>
    <w:rsid w:val="0079059A"/>
    <w:rsid w:val="00790A72"/>
    <w:rsid w:val="00790B9F"/>
    <w:rsid w:val="00790BBE"/>
    <w:rsid w:val="00790CA9"/>
    <w:rsid w:val="007914DD"/>
    <w:rsid w:val="0079170E"/>
    <w:rsid w:val="00791D4B"/>
    <w:rsid w:val="00792209"/>
    <w:rsid w:val="007922F1"/>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A0A35"/>
    <w:rsid w:val="007A0C62"/>
    <w:rsid w:val="007A0C7E"/>
    <w:rsid w:val="007A0ECF"/>
    <w:rsid w:val="007A10EA"/>
    <w:rsid w:val="007A16E0"/>
    <w:rsid w:val="007A17AA"/>
    <w:rsid w:val="007A1ACE"/>
    <w:rsid w:val="007A211D"/>
    <w:rsid w:val="007A3C8A"/>
    <w:rsid w:val="007A4B94"/>
    <w:rsid w:val="007A53DE"/>
    <w:rsid w:val="007A59A1"/>
    <w:rsid w:val="007A5EDA"/>
    <w:rsid w:val="007A63C1"/>
    <w:rsid w:val="007A6A2B"/>
    <w:rsid w:val="007A77A5"/>
    <w:rsid w:val="007A7A2D"/>
    <w:rsid w:val="007A7AAE"/>
    <w:rsid w:val="007B07E7"/>
    <w:rsid w:val="007B1F5B"/>
    <w:rsid w:val="007B28ED"/>
    <w:rsid w:val="007B3410"/>
    <w:rsid w:val="007B374E"/>
    <w:rsid w:val="007B41DD"/>
    <w:rsid w:val="007B4AD5"/>
    <w:rsid w:val="007B553A"/>
    <w:rsid w:val="007B605D"/>
    <w:rsid w:val="007B606A"/>
    <w:rsid w:val="007B683C"/>
    <w:rsid w:val="007B7723"/>
    <w:rsid w:val="007B7EBA"/>
    <w:rsid w:val="007C06A4"/>
    <w:rsid w:val="007C13BF"/>
    <w:rsid w:val="007C1928"/>
    <w:rsid w:val="007C1E73"/>
    <w:rsid w:val="007C34AF"/>
    <w:rsid w:val="007C38CB"/>
    <w:rsid w:val="007C3A0E"/>
    <w:rsid w:val="007C3B0F"/>
    <w:rsid w:val="007C40E3"/>
    <w:rsid w:val="007C47C5"/>
    <w:rsid w:val="007C4F2F"/>
    <w:rsid w:val="007C54D6"/>
    <w:rsid w:val="007C56D7"/>
    <w:rsid w:val="007C5B70"/>
    <w:rsid w:val="007C5BB0"/>
    <w:rsid w:val="007C643E"/>
    <w:rsid w:val="007C6527"/>
    <w:rsid w:val="007C652C"/>
    <w:rsid w:val="007D0CD7"/>
    <w:rsid w:val="007D118D"/>
    <w:rsid w:val="007D12F3"/>
    <w:rsid w:val="007D18F1"/>
    <w:rsid w:val="007D2055"/>
    <w:rsid w:val="007D2716"/>
    <w:rsid w:val="007D3BDF"/>
    <w:rsid w:val="007D3FC3"/>
    <w:rsid w:val="007D4258"/>
    <w:rsid w:val="007D5AE7"/>
    <w:rsid w:val="007D6BC1"/>
    <w:rsid w:val="007D7353"/>
    <w:rsid w:val="007D7948"/>
    <w:rsid w:val="007D7A56"/>
    <w:rsid w:val="007D7E4D"/>
    <w:rsid w:val="007E04A6"/>
    <w:rsid w:val="007E0B03"/>
    <w:rsid w:val="007E0BF7"/>
    <w:rsid w:val="007E0D96"/>
    <w:rsid w:val="007E10A9"/>
    <w:rsid w:val="007E2189"/>
    <w:rsid w:val="007E4178"/>
    <w:rsid w:val="007E4452"/>
    <w:rsid w:val="007E5E63"/>
    <w:rsid w:val="007E7562"/>
    <w:rsid w:val="007E7C05"/>
    <w:rsid w:val="007F024A"/>
    <w:rsid w:val="007F0FF2"/>
    <w:rsid w:val="007F166C"/>
    <w:rsid w:val="007F190C"/>
    <w:rsid w:val="007F1D38"/>
    <w:rsid w:val="007F2088"/>
    <w:rsid w:val="007F2105"/>
    <w:rsid w:val="007F2129"/>
    <w:rsid w:val="007F2ED7"/>
    <w:rsid w:val="007F3D46"/>
    <w:rsid w:val="007F4D46"/>
    <w:rsid w:val="007F6055"/>
    <w:rsid w:val="007F6325"/>
    <w:rsid w:val="007F6507"/>
    <w:rsid w:val="007F65FD"/>
    <w:rsid w:val="007F6D9F"/>
    <w:rsid w:val="007F73F6"/>
    <w:rsid w:val="007F777C"/>
    <w:rsid w:val="00800425"/>
    <w:rsid w:val="00800D30"/>
    <w:rsid w:val="0080145C"/>
    <w:rsid w:val="00802427"/>
    <w:rsid w:val="00802DB7"/>
    <w:rsid w:val="00802E19"/>
    <w:rsid w:val="00803885"/>
    <w:rsid w:val="00803915"/>
    <w:rsid w:val="00804699"/>
    <w:rsid w:val="00804A89"/>
    <w:rsid w:val="008058C0"/>
    <w:rsid w:val="00806602"/>
    <w:rsid w:val="00806BB9"/>
    <w:rsid w:val="00806E7E"/>
    <w:rsid w:val="00807010"/>
    <w:rsid w:val="00807113"/>
    <w:rsid w:val="00810129"/>
    <w:rsid w:val="00810239"/>
    <w:rsid w:val="00810FE4"/>
    <w:rsid w:val="0081101D"/>
    <w:rsid w:val="00811512"/>
    <w:rsid w:val="00811941"/>
    <w:rsid w:val="00811CF0"/>
    <w:rsid w:val="00811D14"/>
    <w:rsid w:val="00811F08"/>
    <w:rsid w:val="0081245E"/>
    <w:rsid w:val="00812EB6"/>
    <w:rsid w:val="00814822"/>
    <w:rsid w:val="00814A52"/>
    <w:rsid w:val="00814BC5"/>
    <w:rsid w:val="00814FD6"/>
    <w:rsid w:val="0081509B"/>
    <w:rsid w:val="008151A5"/>
    <w:rsid w:val="00815645"/>
    <w:rsid w:val="008161A9"/>
    <w:rsid w:val="00816626"/>
    <w:rsid w:val="00816665"/>
    <w:rsid w:val="008166A9"/>
    <w:rsid w:val="00820A01"/>
    <w:rsid w:val="00820A1F"/>
    <w:rsid w:val="00820EE9"/>
    <w:rsid w:val="00821252"/>
    <w:rsid w:val="00821B37"/>
    <w:rsid w:val="00821E41"/>
    <w:rsid w:val="00822667"/>
    <w:rsid w:val="00822866"/>
    <w:rsid w:val="008229F1"/>
    <w:rsid w:val="00822F02"/>
    <w:rsid w:val="008231C2"/>
    <w:rsid w:val="0082342C"/>
    <w:rsid w:val="00823AA1"/>
    <w:rsid w:val="00823E7A"/>
    <w:rsid w:val="00824CD4"/>
    <w:rsid w:val="008254DC"/>
    <w:rsid w:val="0082553E"/>
    <w:rsid w:val="00826103"/>
    <w:rsid w:val="00827059"/>
    <w:rsid w:val="008270EE"/>
    <w:rsid w:val="008275B0"/>
    <w:rsid w:val="00827FC9"/>
    <w:rsid w:val="008304B5"/>
    <w:rsid w:val="00830BD5"/>
    <w:rsid w:val="00830FA5"/>
    <w:rsid w:val="00831D5B"/>
    <w:rsid w:val="00831D9A"/>
    <w:rsid w:val="00832559"/>
    <w:rsid w:val="00832DB8"/>
    <w:rsid w:val="008336D8"/>
    <w:rsid w:val="00833830"/>
    <w:rsid w:val="00833D00"/>
    <w:rsid w:val="00834433"/>
    <w:rsid w:val="00835717"/>
    <w:rsid w:val="008363B8"/>
    <w:rsid w:val="0083641A"/>
    <w:rsid w:val="0083642B"/>
    <w:rsid w:val="00836DF4"/>
    <w:rsid w:val="008371F1"/>
    <w:rsid w:val="008377D8"/>
    <w:rsid w:val="00840D3D"/>
    <w:rsid w:val="0084106D"/>
    <w:rsid w:val="00841D38"/>
    <w:rsid w:val="00841F42"/>
    <w:rsid w:val="00842440"/>
    <w:rsid w:val="00842625"/>
    <w:rsid w:val="00842EC7"/>
    <w:rsid w:val="008438CB"/>
    <w:rsid w:val="0084489C"/>
    <w:rsid w:val="00844B3F"/>
    <w:rsid w:val="00844E15"/>
    <w:rsid w:val="00845310"/>
    <w:rsid w:val="008457C3"/>
    <w:rsid w:val="00845E5C"/>
    <w:rsid w:val="00846508"/>
    <w:rsid w:val="008472A7"/>
    <w:rsid w:val="00847650"/>
    <w:rsid w:val="008478D0"/>
    <w:rsid w:val="0084794A"/>
    <w:rsid w:val="00847A9E"/>
    <w:rsid w:val="008503C8"/>
    <w:rsid w:val="00850729"/>
    <w:rsid w:val="00851986"/>
    <w:rsid w:val="00852ED3"/>
    <w:rsid w:val="00854240"/>
    <w:rsid w:val="008542AD"/>
    <w:rsid w:val="00854365"/>
    <w:rsid w:val="008546D7"/>
    <w:rsid w:val="00854E95"/>
    <w:rsid w:val="00855371"/>
    <w:rsid w:val="00855AF4"/>
    <w:rsid w:val="00855F0E"/>
    <w:rsid w:val="008572A6"/>
    <w:rsid w:val="00857342"/>
    <w:rsid w:val="0085768D"/>
    <w:rsid w:val="00860861"/>
    <w:rsid w:val="008611C2"/>
    <w:rsid w:val="008612F5"/>
    <w:rsid w:val="008614E9"/>
    <w:rsid w:val="008617B3"/>
    <w:rsid w:val="00861934"/>
    <w:rsid w:val="00861E45"/>
    <w:rsid w:val="0086233D"/>
    <w:rsid w:val="008623C8"/>
    <w:rsid w:val="0086311E"/>
    <w:rsid w:val="008643CB"/>
    <w:rsid w:val="008644C3"/>
    <w:rsid w:val="00864AC8"/>
    <w:rsid w:val="0086545B"/>
    <w:rsid w:val="008654B8"/>
    <w:rsid w:val="00865629"/>
    <w:rsid w:val="00866539"/>
    <w:rsid w:val="0086674C"/>
    <w:rsid w:val="008668B9"/>
    <w:rsid w:val="00867D8A"/>
    <w:rsid w:val="008700A4"/>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AC1"/>
    <w:rsid w:val="00876F15"/>
    <w:rsid w:val="00877258"/>
    <w:rsid w:val="008773C1"/>
    <w:rsid w:val="00877A22"/>
    <w:rsid w:val="00881554"/>
    <w:rsid w:val="00881968"/>
    <w:rsid w:val="00881970"/>
    <w:rsid w:val="00882424"/>
    <w:rsid w:val="0088251F"/>
    <w:rsid w:val="00882ED6"/>
    <w:rsid w:val="00883509"/>
    <w:rsid w:val="008842C5"/>
    <w:rsid w:val="008848F0"/>
    <w:rsid w:val="008849DF"/>
    <w:rsid w:val="00884D3E"/>
    <w:rsid w:val="00884DAF"/>
    <w:rsid w:val="0088590D"/>
    <w:rsid w:val="00885957"/>
    <w:rsid w:val="00885ED0"/>
    <w:rsid w:val="00886F34"/>
    <w:rsid w:val="00886FA5"/>
    <w:rsid w:val="00887B2D"/>
    <w:rsid w:val="00887DBB"/>
    <w:rsid w:val="008903DD"/>
    <w:rsid w:val="008907B9"/>
    <w:rsid w:val="00890B90"/>
    <w:rsid w:val="00890C4F"/>
    <w:rsid w:val="00891491"/>
    <w:rsid w:val="00891665"/>
    <w:rsid w:val="008917A4"/>
    <w:rsid w:val="0089296E"/>
    <w:rsid w:val="00892C4C"/>
    <w:rsid w:val="00892D2E"/>
    <w:rsid w:val="008931CA"/>
    <w:rsid w:val="00893A88"/>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F70"/>
    <w:rsid w:val="008A326F"/>
    <w:rsid w:val="008A3FCD"/>
    <w:rsid w:val="008A4208"/>
    <w:rsid w:val="008A4A8C"/>
    <w:rsid w:val="008A5823"/>
    <w:rsid w:val="008A5CAA"/>
    <w:rsid w:val="008A5E88"/>
    <w:rsid w:val="008A5ED7"/>
    <w:rsid w:val="008A63D3"/>
    <w:rsid w:val="008A6C71"/>
    <w:rsid w:val="008A7C54"/>
    <w:rsid w:val="008B00ED"/>
    <w:rsid w:val="008B03EE"/>
    <w:rsid w:val="008B0EED"/>
    <w:rsid w:val="008B1304"/>
    <w:rsid w:val="008B1610"/>
    <w:rsid w:val="008B182C"/>
    <w:rsid w:val="008B2036"/>
    <w:rsid w:val="008B24FF"/>
    <w:rsid w:val="008B2890"/>
    <w:rsid w:val="008B2CED"/>
    <w:rsid w:val="008B3B92"/>
    <w:rsid w:val="008B4463"/>
    <w:rsid w:val="008B50BF"/>
    <w:rsid w:val="008B54BA"/>
    <w:rsid w:val="008B617A"/>
    <w:rsid w:val="008B6322"/>
    <w:rsid w:val="008B63BE"/>
    <w:rsid w:val="008B63E3"/>
    <w:rsid w:val="008B6F69"/>
    <w:rsid w:val="008B7125"/>
    <w:rsid w:val="008B74C6"/>
    <w:rsid w:val="008B7693"/>
    <w:rsid w:val="008C06F8"/>
    <w:rsid w:val="008C0BB0"/>
    <w:rsid w:val="008C0FAD"/>
    <w:rsid w:val="008C2A65"/>
    <w:rsid w:val="008C2D1D"/>
    <w:rsid w:val="008C33E8"/>
    <w:rsid w:val="008C4006"/>
    <w:rsid w:val="008C45C8"/>
    <w:rsid w:val="008C59A3"/>
    <w:rsid w:val="008C6765"/>
    <w:rsid w:val="008C6947"/>
    <w:rsid w:val="008C6F9E"/>
    <w:rsid w:val="008C72C4"/>
    <w:rsid w:val="008C7E8F"/>
    <w:rsid w:val="008D1B97"/>
    <w:rsid w:val="008D2E8D"/>
    <w:rsid w:val="008D4860"/>
    <w:rsid w:val="008D4ED6"/>
    <w:rsid w:val="008D5E78"/>
    <w:rsid w:val="008D7485"/>
    <w:rsid w:val="008D7CBE"/>
    <w:rsid w:val="008D7D84"/>
    <w:rsid w:val="008E00E0"/>
    <w:rsid w:val="008E0AE2"/>
    <w:rsid w:val="008E16D9"/>
    <w:rsid w:val="008E188D"/>
    <w:rsid w:val="008E1AE4"/>
    <w:rsid w:val="008E2376"/>
    <w:rsid w:val="008E2CF4"/>
    <w:rsid w:val="008E2D94"/>
    <w:rsid w:val="008E2E8D"/>
    <w:rsid w:val="008E32E0"/>
    <w:rsid w:val="008E343F"/>
    <w:rsid w:val="008E35A8"/>
    <w:rsid w:val="008E3A09"/>
    <w:rsid w:val="008E46A0"/>
    <w:rsid w:val="008E4746"/>
    <w:rsid w:val="008E4CEE"/>
    <w:rsid w:val="008E4EA5"/>
    <w:rsid w:val="008E5022"/>
    <w:rsid w:val="008E608E"/>
    <w:rsid w:val="008E63C4"/>
    <w:rsid w:val="008E66CA"/>
    <w:rsid w:val="008E798C"/>
    <w:rsid w:val="008F0170"/>
    <w:rsid w:val="008F0D63"/>
    <w:rsid w:val="008F0D8B"/>
    <w:rsid w:val="008F12F1"/>
    <w:rsid w:val="008F158A"/>
    <w:rsid w:val="008F1E7D"/>
    <w:rsid w:val="008F1FF7"/>
    <w:rsid w:val="008F2002"/>
    <w:rsid w:val="008F33F1"/>
    <w:rsid w:val="008F38AC"/>
    <w:rsid w:val="008F3C9A"/>
    <w:rsid w:val="008F4923"/>
    <w:rsid w:val="008F4D53"/>
    <w:rsid w:val="008F5622"/>
    <w:rsid w:val="008F5C32"/>
    <w:rsid w:val="008F7C5A"/>
    <w:rsid w:val="0090049F"/>
    <w:rsid w:val="00900B7A"/>
    <w:rsid w:val="00901A95"/>
    <w:rsid w:val="00901CCC"/>
    <w:rsid w:val="009025AE"/>
    <w:rsid w:val="009025FD"/>
    <w:rsid w:val="00902A32"/>
    <w:rsid w:val="00902F85"/>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F6"/>
    <w:rsid w:val="00910EAF"/>
    <w:rsid w:val="00911615"/>
    <w:rsid w:val="00911B5C"/>
    <w:rsid w:val="00912316"/>
    <w:rsid w:val="00912669"/>
    <w:rsid w:val="0091297E"/>
    <w:rsid w:val="00912C0A"/>
    <w:rsid w:val="00912E40"/>
    <w:rsid w:val="00912FB0"/>
    <w:rsid w:val="0091341B"/>
    <w:rsid w:val="00914089"/>
    <w:rsid w:val="0091442D"/>
    <w:rsid w:val="009153CD"/>
    <w:rsid w:val="00915DB8"/>
    <w:rsid w:val="009175F9"/>
    <w:rsid w:val="00917E0E"/>
    <w:rsid w:val="00917FF2"/>
    <w:rsid w:val="0092019F"/>
    <w:rsid w:val="0092063C"/>
    <w:rsid w:val="00920A72"/>
    <w:rsid w:val="00920BAD"/>
    <w:rsid w:val="00920D33"/>
    <w:rsid w:val="00921361"/>
    <w:rsid w:val="009220A7"/>
    <w:rsid w:val="009222AB"/>
    <w:rsid w:val="00922C20"/>
    <w:rsid w:val="0092335C"/>
    <w:rsid w:val="009239F8"/>
    <w:rsid w:val="009240C7"/>
    <w:rsid w:val="009240FA"/>
    <w:rsid w:val="00924C6E"/>
    <w:rsid w:val="00924F07"/>
    <w:rsid w:val="00925451"/>
    <w:rsid w:val="0092565C"/>
    <w:rsid w:val="00925AF6"/>
    <w:rsid w:val="00925E6F"/>
    <w:rsid w:val="009269F7"/>
    <w:rsid w:val="00926F7C"/>
    <w:rsid w:val="0092734D"/>
    <w:rsid w:val="0092764F"/>
    <w:rsid w:val="009308E5"/>
    <w:rsid w:val="00930928"/>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580D"/>
    <w:rsid w:val="009359A3"/>
    <w:rsid w:val="0093792B"/>
    <w:rsid w:val="00937AEC"/>
    <w:rsid w:val="00940B6F"/>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2225"/>
    <w:rsid w:val="00952B23"/>
    <w:rsid w:val="00952E01"/>
    <w:rsid w:val="00952F0C"/>
    <w:rsid w:val="009530D3"/>
    <w:rsid w:val="009532D3"/>
    <w:rsid w:val="00953356"/>
    <w:rsid w:val="0095368C"/>
    <w:rsid w:val="00953E5A"/>
    <w:rsid w:val="009545BB"/>
    <w:rsid w:val="00955155"/>
    <w:rsid w:val="0095578D"/>
    <w:rsid w:val="00956118"/>
    <w:rsid w:val="00956F12"/>
    <w:rsid w:val="00960122"/>
    <w:rsid w:val="00960889"/>
    <w:rsid w:val="00960F0B"/>
    <w:rsid w:val="00960F7C"/>
    <w:rsid w:val="009618E0"/>
    <w:rsid w:val="00961A85"/>
    <w:rsid w:val="00961F76"/>
    <w:rsid w:val="0096254F"/>
    <w:rsid w:val="009627E1"/>
    <w:rsid w:val="00962822"/>
    <w:rsid w:val="00962D0D"/>
    <w:rsid w:val="00962FF9"/>
    <w:rsid w:val="009630A1"/>
    <w:rsid w:val="00963123"/>
    <w:rsid w:val="00963159"/>
    <w:rsid w:val="009639AE"/>
    <w:rsid w:val="009645B0"/>
    <w:rsid w:val="00964AD8"/>
    <w:rsid w:val="00964F8D"/>
    <w:rsid w:val="009652D2"/>
    <w:rsid w:val="0096647A"/>
    <w:rsid w:val="009668EC"/>
    <w:rsid w:val="00966ABC"/>
    <w:rsid w:val="00966FD7"/>
    <w:rsid w:val="00967251"/>
    <w:rsid w:val="009673EC"/>
    <w:rsid w:val="00970416"/>
    <w:rsid w:val="00970E4D"/>
    <w:rsid w:val="0097103E"/>
    <w:rsid w:val="00971202"/>
    <w:rsid w:val="009717B4"/>
    <w:rsid w:val="00972854"/>
    <w:rsid w:val="00972D51"/>
    <w:rsid w:val="00972DC6"/>
    <w:rsid w:val="00973152"/>
    <w:rsid w:val="0097334C"/>
    <w:rsid w:val="00973CC9"/>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54"/>
    <w:rsid w:val="00983168"/>
    <w:rsid w:val="00983AE7"/>
    <w:rsid w:val="00984311"/>
    <w:rsid w:val="009850E9"/>
    <w:rsid w:val="00985119"/>
    <w:rsid w:val="00985507"/>
    <w:rsid w:val="00985518"/>
    <w:rsid w:val="0098573C"/>
    <w:rsid w:val="00985B1B"/>
    <w:rsid w:val="009865BA"/>
    <w:rsid w:val="0098699E"/>
    <w:rsid w:val="00987050"/>
    <w:rsid w:val="009878F4"/>
    <w:rsid w:val="00987AB9"/>
    <w:rsid w:val="00987FE6"/>
    <w:rsid w:val="009901A5"/>
    <w:rsid w:val="0099067B"/>
    <w:rsid w:val="009909C3"/>
    <w:rsid w:val="00990E44"/>
    <w:rsid w:val="00992069"/>
    <w:rsid w:val="0099213D"/>
    <w:rsid w:val="00993425"/>
    <w:rsid w:val="00993483"/>
    <w:rsid w:val="00993698"/>
    <w:rsid w:val="00993916"/>
    <w:rsid w:val="00993B36"/>
    <w:rsid w:val="00994641"/>
    <w:rsid w:val="009948FF"/>
    <w:rsid w:val="00994CA1"/>
    <w:rsid w:val="00994E47"/>
    <w:rsid w:val="009952F4"/>
    <w:rsid w:val="009952FD"/>
    <w:rsid w:val="00995577"/>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6020"/>
    <w:rsid w:val="009A6C78"/>
    <w:rsid w:val="009A7861"/>
    <w:rsid w:val="009A7D6C"/>
    <w:rsid w:val="009B06CA"/>
    <w:rsid w:val="009B0BE2"/>
    <w:rsid w:val="009B0EE7"/>
    <w:rsid w:val="009B11E4"/>
    <w:rsid w:val="009B19A4"/>
    <w:rsid w:val="009B1B78"/>
    <w:rsid w:val="009B344F"/>
    <w:rsid w:val="009B368E"/>
    <w:rsid w:val="009B376E"/>
    <w:rsid w:val="009B3B8D"/>
    <w:rsid w:val="009B4409"/>
    <w:rsid w:val="009B46D0"/>
    <w:rsid w:val="009B5C89"/>
    <w:rsid w:val="009B6478"/>
    <w:rsid w:val="009B694A"/>
    <w:rsid w:val="009B6C22"/>
    <w:rsid w:val="009B6D64"/>
    <w:rsid w:val="009B7D3C"/>
    <w:rsid w:val="009C0071"/>
    <w:rsid w:val="009C01DD"/>
    <w:rsid w:val="009C0370"/>
    <w:rsid w:val="009C04DF"/>
    <w:rsid w:val="009C0882"/>
    <w:rsid w:val="009C0BBB"/>
    <w:rsid w:val="009C1A80"/>
    <w:rsid w:val="009C1B5F"/>
    <w:rsid w:val="009C1FAF"/>
    <w:rsid w:val="009C2072"/>
    <w:rsid w:val="009C2135"/>
    <w:rsid w:val="009C216F"/>
    <w:rsid w:val="009C22B5"/>
    <w:rsid w:val="009C23DD"/>
    <w:rsid w:val="009C2D87"/>
    <w:rsid w:val="009C389C"/>
    <w:rsid w:val="009C394E"/>
    <w:rsid w:val="009C3A89"/>
    <w:rsid w:val="009C3CA9"/>
    <w:rsid w:val="009C3D93"/>
    <w:rsid w:val="009C3FF4"/>
    <w:rsid w:val="009C62AF"/>
    <w:rsid w:val="009C63B8"/>
    <w:rsid w:val="009C6F35"/>
    <w:rsid w:val="009C7A6E"/>
    <w:rsid w:val="009D0ADB"/>
    <w:rsid w:val="009D124D"/>
    <w:rsid w:val="009D16B2"/>
    <w:rsid w:val="009D1FCA"/>
    <w:rsid w:val="009D3A4D"/>
    <w:rsid w:val="009D3A7B"/>
    <w:rsid w:val="009D3CD7"/>
    <w:rsid w:val="009D4CA3"/>
    <w:rsid w:val="009D6004"/>
    <w:rsid w:val="009D6E53"/>
    <w:rsid w:val="009D7637"/>
    <w:rsid w:val="009D77C6"/>
    <w:rsid w:val="009D77FB"/>
    <w:rsid w:val="009E09D5"/>
    <w:rsid w:val="009E17B4"/>
    <w:rsid w:val="009E1CB7"/>
    <w:rsid w:val="009E1F5B"/>
    <w:rsid w:val="009E25A0"/>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D94"/>
    <w:rsid w:val="009F2EA7"/>
    <w:rsid w:val="009F3051"/>
    <w:rsid w:val="009F3085"/>
    <w:rsid w:val="009F338D"/>
    <w:rsid w:val="009F3A24"/>
    <w:rsid w:val="009F3B2B"/>
    <w:rsid w:val="009F3CFE"/>
    <w:rsid w:val="009F3FEC"/>
    <w:rsid w:val="009F4D01"/>
    <w:rsid w:val="009F513D"/>
    <w:rsid w:val="009F5950"/>
    <w:rsid w:val="009F67EB"/>
    <w:rsid w:val="009F6F0D"/>
    <w:rsid w:val="009F7A12"/>
    <w:rsid w:val="009F7ED4"/>
    <w:rsid w:val="00A00334"/>
    <w:rsid w:val="00A00504"/>
    <w:rsid w:val="00A0083D"/>
    <w:rsid w:val="00A00FCB"/>
    <w:rsid w:val="00A01391"/>
    <w:rsid w:val="00A01A53"/>
    <w:rsid w:val="00A01F01"/>
    <w:rsid w:val="00A026F5"/>
    <w:rsid w:val="00A02E04"/>
    <w:rsid w:val="00A03F74"/>
    <w:rsid w:val="00A052F1"/>
    <w:rsid w:val="00A056E8"/>
    <w:rsid w:val="00A06123"/>
    <w:rsid w:val="00A064D1"/>
    <w:rsid w:val="00A06843"/>
    <w:rsid w:val="00A068C8"/>
    <w:rsid w:val="00A06B8D"/>
    <w:rsid w:val="00A0732F"/>
    <w:rsid w:val="00A073B8"/>
    <w:rsid w:val="00A07799"/>
    <w:rsid w:val="00A07C48"/>
    <w:rsid w:val="00A105A2"/>
    <w:rsid w:val="00A11184"/>
    <w:rsid w:val="00A120AA"/>
    <w:rsid w:val="00A129E4"/>
    <w:rsid w:val="00A12E46"/>
    <w:rsid w:val="00A14598"/>
    <w:rsid w:val="00A1512E"/>
    <w:rsid w:val="00A16535"/>
    <w:rsid w:val="00A16713"/>
    <w:rsid w:val="00A169F2"/>
    <w:rsid w:val="00A16B98"/>
    <w:rsid w:val="00A16E5E"/>
    <w:rsid w:val="00A16F18"/>
    <w:rsid w:val="00A172ED"/>
    <w:rsid w:val="00A1772C"/>
    <w:rsid w:val="00A178A5"/>
    <w:rsid w:val="00A17D8C"/>
    <w:rsid w:val="00A20009"/>
    <w:rsid w:val="00A21636"/>
    <w:rsid w:val="00A217EB"/>
    <w:rsid w:val="00A21A19"/>
    <w:rsid w:val="00A22628"/>
    <w:rsid w:val="00A233B0"/>
    <w:rsid w:val="00A237F4"/>
    <w:rsid w:val="00A24153"/>
    <w:rsid w:val="00A24569"/>
    <w:rsid w:val="00A24C41"/>
    <w:rsid w:val="00A24C49"/>
    <w:rsid w:val="00A24DF2"/>
    <w:rsid w:val="00A25C95"/>
    <w:rsid w:val="00A262E8"/>
    <w:rsid w:val="00A263A0"/>
    <w:rsid w:val="00A27A36"/>
    <w:rsid w:val="00A27CF0"/>
    <w:rsid w:val="00A302B2"/>
    <w:rsid w:val="00A31DEA"/>
    <w:rsid w:val="00A31E8A"/>
    <w:rsid w:val="00A33AD2"/>
    <w:rsid w:val="00A34565"/>
    <w:rsid w:val="00A34B01"/>
    <w:rsid w:val="00A34D44"/>
    <w:rsid w:val="00A35400"/>
    <w:rsid w:val="00A3567B"/>
    <w:rsid w:val="00A3604F"/>
    <w:rsid w:val="00A361C4"/>
    <w:rsid w:val="00A3629E"/>
    <w:rsid w:val="00A36CFC"/>
    <w:rsid w:val="00A37102"/>
    <w:rsid w:val="00A37358"/>
    <w:rsid w:val="00A376C6"/>
    <w:rsid w:val="00A37B86"/>
    <w:rsid w:val="00A40B1F"/>
    <w:rsid w:val="00A41453"/>
    <w:rsid w:val="00A419C1"/>
    <w:rsid w:val="00A41B66"/>
    <w:rsid w:val="00A4264B"/>
    <w:rsid w:val="00A42F38"/>
    <w:rsid w:val="00A43AA1"/>
    <w:rsid w:val="00A44537"/>
    <w:rsid w:val="00A44829"/>
    <w:rsid w:val="00A4532A"/>
    <w:rsid w:val="00A45C99"/>
    <w:rsid w:val="00A45FF6"/>
    <w:rsid w:val="00A463DC"/>
    <w:rsid w:val="00A46FA2"/>
    <w:rsid w:val="00A470DB"/>
    <w:rsid w:val="00A475AB"/>
    <w:rsid w:val="00A47A5B"/>
    <w:rsid w:val="00A50327"/>
    <w:rsid w:val="00A50BE1"/>
    <w:rsid w:val="00A50E01"/>
    <w:rsid w:val="00A5130D"/>
    <w:rsid w:val="00A52176"/>
    <w:rsid w:val="00A53469"/>
    <w:rsid w:val="00A53DF5"/>
    <w:rsid w:val="00A53EE6"/>
    <w:rsid w:val="00A53EF1"/>
    <w:rsid w:val="00A54846"/>
    <w:rsid w:val="00A553F8"/>
    <w:rsid w:val="00A5558A"/>
    <w:rsid w:val="00A55687"/>
    <w:rsid w:val="00A55FB2"/>
    <w:rsid w:val="00A565ED"/>
    <w:rsid w:val="00A56EF8"/>
    <w:rsid w:val="00A603D2"/>
    <w:rsid w:val="00A60E71"/>
    <w:rsid w:val="00A60FA3"/>
    <w:rsid w:val="00A6112D"/>
    <w:rsid w:val="00A635F9"/>
    <w:rsid w:val="00A639DC"/>
    <w:rsid w:val="00A63B89"/>
    <w:rsid w:val="00A63F50"/>
    <w:rsid w:val="00A64FCC"/>
    <w:rsid w:val="00A6502C"/>
    <w:rsid w:val="00A6548E"/>
    <w:rsid w:val="00A658FD"/>
    <w:rsid w:val="00A66037"/>
    <w:rsid w:val="00A660D1"/>
    <w:rsid w:val="00A664D2"/>
    <w:rsid w:val="00A66E43"/>
    <w:rsid w:val="00A66F62"/>
    <w:rsid w:val="00A66FC5"/>
    <w:rsid w:val="00A67278"/>
    <w:rsid w:val="00A67789"/>
    <w:rsid w:val="00A67C50"/>
    <w:rsid w:val="00A67FEE"/>
    <w:rsid w:val="00A7074B"/>
    <w:rsid w:val="00A714DE"/>
    <w:rsid w:val="00A721C2"/>
    <w:rsid w:val="00A72284"/>
    <w:rsid w:val="00A72516"/>
    <w:rsid w:val="00A733A7"/>
    <w:rsid w:val="00A74116"/>
    <w:rsid w:val="00A749D6"/>
    <w:rsid w:val="00A750F1"/>
    <w:rsid w:val="00A755C5"/>
    <w:rsid w:val="00A756BA"/>
    <w:rsid w:val="00A75A3A"/>
    <w:rsid w:val="00A762A7"/>
    <w:rsid w:val="00A80452"/>
    <w:rsid w:val="00A807B0"/>
    <w:rsid w:val="00A80ACC"/>
    <w:rsid w:val="00A810F1"/>
    <w:rsid w:val="00A81D02"/>
    <w:rsid w:val="00A83124"/>
    <w:rsid w:val="00A831C5"/>
    <w:rsid w:val="00A83225"/>
    <w:rsid w:val="00A837B4"/>
    <w:rsid w:val="00A837D9"/>
    <w:rsid w:val="00A837DD"/>
    <w:rsid w:val="00A83F5B"/>
    <w:rsid w:val="00A85CBD"/>
    <w:rsid w:val="00A87C9C"/>
    <w:rsid w:val="00A9005D"/>
    <w:rsid w:val="00A90436"/>
    <w:rsid w:val="00A93137"/>
    <w:rsid w:val="00A935C8"/>
    <w:rsid w:val="00A93CDD"/>
    <w:rsid w:val="00A940ED"/>
    <w:rsid w:val="00A947A7"/>
    <w:rsid w:val="00A94A7E"/>
    <w:rsid w:val="00A94F25"/>
    <w:rsid w:val="00A94FDC"/>
    <w:rsid w:val="00A95EB1"/>
    <w:rsid w:val="00A96118"/>
    <w:rsid w:val="00A96387"/>
    <w:rsid w:val="00A965C4"/>
    <w:rsid w:val="00A97282"/>
    <w:rsid w:val="00A97F64"/>
    <w:rsid w:val="00AA09F2"/>
    <w:rsid w:val="00AA0B96"/>
    <w:rsid w:val="00AA0D78"/>
    <w:rsid w:val="00AA0DBC"/>
    <w:rsid w:val="00AA1A17"/>
    <w:rsid w:val="00AA1AED"/>
    <w:rsid w:val="00AA1E61"/>
    <w:rsid w:val="00AA2750"/>
    <w:rsid w:val="00AA2E3D"/>
    <w:rsid w:val="00AA3C7C"/>
    <w:rsid w:val="00AA4636"/>
    <w:rsid w:val="00AA49B7"/>
    <w:rsid w:val="00AA60B4"/>
    <w:rsid w:val="00AA66D4"/>
    <w:rsid w:val="00AA6A18"/>
    <w:rsid w:val="00AA74C0"/>
    <w:rsid w:val="00AA7527"/>
    <w:rsid w:val="00AB00FD"/>
    <w:rsid w:val="00AB0438"/>
    <w:rsid w:val="00AB09DD"/>
    <w:rsid w:val="00AB100A"/>
    <w:rsid w:val="00AB14AC"/>
    <w:rsid w:val="00AB160E"/>
    <w:rsid w:val="00AB18E0"/>
    <w:rsid w:val="00AB208F"/>
    <w:rsid w:val="00AB23C5"/>
    <w:rsid w:val="00AB2F42"/>
    <w:rsid w:val="00AB3344"/>
    <w:rsid w:val="00AB36CF"/>
    <w:rsid w:val="00AB3872"/>
    <w:rsid w:val="00AB3A00"/>
    <w:rsid w:val="00AB3ED6"/>
    <w:rsid w:val="00AB4712"/>
    <w:rsid w:val="00AB5843"/>
    <w:rsid w:val="00AB58D8"/>
    <w:rsid w:val="00AB608C"/>
    <w:rsid w:val="00AB6DF0"/>
    <w:rsid w:val="00AB6E38"/>
    <w:rsid w:val="00AB704B"/>
    <w:rsid w:val="00AB7E50"/>
    <w:rsid w:val="00AB7FDA"/>
    <w:rsid w:val="00AC00DC"/>
    <w:rsid w:val="00AC05BF"/>
    <w:rsid w:val="00AC117E"/>
    <w:rsid w:val="00AC139B"/>
    <w:rsid w:val="00AC17EA"/>
    <w:rsid w:val="00AC1923"/>
    <w:rsid w:val="00AC1CF8"/>
    <w:rsid w:val="00AC268A"/>
    <w:rsid w:val="00AC2C4A"/>
    <w:rsid w:val="00AC2E9C"/>
    <w:rsid w:val="00AC38FA"/>
    <w:rsid w:val="00AC3BA7"/>
    <w:rsid w:val="00AC4E85"/>
    <w:rsid w:val="00AC622A"/>
    <w:rsid w:val="00AC6ADC"/>
    <w:rsid w:val="00AC6C63"/>
    <w:rsid w:val="00AC7B40"/>
    <w:rsid w:val="00AC7B6E"/>
    <w:rsid w:val="00AC7F16"/>
    <w:rsid w:val="00AD058C"/>
    <w:rsid w:val="00AD0A27"/>
    <w:rsid w:val="00AD0B24"/>
    <w:rsid w:val="00AD0EA5"/>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B4"/>
    <w:rsid w:val="00AD4D15"/>
    <w:rsid w:val="00AD5308"/>
    <w:rsid w:val="00AD5543"/>
    <w:rsid w:val="00AD5AAA"/>
    <w:rsid w:val="00AD5F73"/>
    <w:rsid w:val="00AD5FA6"/>
    <w:rsid w:val="00AD6316"/>
    <w:rsid w:val="00AD6AB9"/>
    <w:rsid w:val="00AD71C2"/>
    <w:rsid w:val="00AD73E0"/>
    <w:rsid w:val="00AE0078"/>
    <w:rsid w:val="00AE01D1"/>
    <w:rsid w:val="00AE11A6"/>
    <w:rsid w:val="00AE1255"/>
    <w:rsid w:val="00AE1258"/>
    <w:rsid w:val="00AE12FF"/>
    <w:rsid w:val="00AE261E"/>
    <w:rsid w:val="00AE30CD"/>
    <w:rsid w:val="00AE34B7"/>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922"/>
    <w:rsid w:val="00AF796F"/>
    <w:rsid w:val="00B003AE"/>
    <w:rsid w:val="00B00447"/>
    <w:rsid w:val="00B0067C"/>
    <w:rsid w:val="00B0089D"/>
    <w:rsid w:val="00B00B0E"/>
    <w:rsid w:val="00B00C0D"/>
    <w:rsid w:val="00B018FF"/>
    <w:rsid w:val="00B01AA2"/>
    <w:rsid w:val="00B02085"/>
    <w:rsid w:val="00B0228B"/>
    <w:rsid w:val="00B025A2"/>
    <w:rsid w:val="00B02828"/>
    <w:rsid w:val="00B0422A"/>
    <w:rsid w:val="00B04B8F"/>
    <w:rsid w:val="00B05BFB"/>
    <w:rsid w:val="00B05C9E"/>
    <w:rsid w:val="00B05E2A"/>
    <w:rsid w:val="00B07EE8"/>
    <w:rsid w:val="00B10281"/>
    <w:rsid w:val="00B102F7"/>
    <w:rsid w:val="00B1073B"/>
    <w:rsid w:val="00B11CF2"/>
    <w:rsid w:val="00B12643"/>
    <w:rsid w:val="00B12E80"/>
    <w:rsid w:val="00B13ADB"/>
    <w:rsid w:val="00B14312"/>
    <w:rsid w:val="00B14A0F"/>
    <w:rsid w:val="00B14C0F"/>
    <w:rsid w:val="00B156C9"/>
    <w:rsid w:val="00B15BAF"/>
    <w:rsid w:val="00B15C81"/>
    <w:rsid w:val="00B15CE7"/>
    <w:rsid w:val="00B17258"/>
    <w:rsid w:val="00B172C4"/>
    <w:rsid w:val="00B1759D"/>
    <w:rsid w:val="00B17DDE"/>
    <w:rsid w:val="00B2094D"/>
    <w:rsid w:val="00B2194C"/>
    <w:rsid w:val="00B2202D"/>
    <w:rsid w:val="00B227BD"/>
    <w:rsid w:val="00B2399B"/>
    <w:rsid w:val="00B23F0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731"/>
    <w:rsid w:val="00B33ABC"/>
    <w:rsid w:val="00B33CD7"/>
    <w:rsid w:val="00B3465E"/>
    <w:rsid w:val="00B34A0A"/>
    <w:rsid w:val="00B351A3"/>
    <w:rsid w:val="00B358E2"/>
    <w:rsid w:val="00B3736F"/>
    <w:rsid w:val="00B4064C"/>
    <w:rsid w:val="00B40668"/>
    <w:rsid w:val="00B41F5F"/>
    <w:rsid w:val="00B41F7A"/>
    <w:rsid w:val="00B4215F"/>
    <w:rsid w:val="00B4288E"/>
    <w:rsid w:val="00B441FF"/>
    <w:rsid w:val="00B44414"/>
    <w:rsid w:val="00B45444"/>
    <w:rsid w:val="00B45B64"/>
    <w:rsid w:val="00B461E2"/>
    <w:rsid w:val="00B46BE7"/>
    <w:rsid w:val="00B46F9D"/>
    <w:rsid w:val="00B4750D"/>
    <w:rsid w:val="00B507A6"/>
    <w:rsid w:val="00B50F78"/>
    <w:rsid w:val="00B51FF2"/>
    <w:rsid w:val="00B521E9"/>
    <w:rsid w:val="00B529FD"/>
    <w:rsid w:val="00B5316A"/>
    <w:rsid w:val="00B53535"/>
    <w:rsid w:val="00B535EB"/>
    <w:rsid w:val="00B53B5A"/>
    <w:rsid w:val="00B54373"/>
    <w:rsid w:val="00B54608"/>
    <w:rsid w:val="00B54CB0"/>
    <w:rsid w:val="00B5513C"/>
    <w:rsid w:val="00B5611D"/>
    <w:rsid w:val="00B57E4D"/>
    <w:rsid w:val="00B604D0"/>
    <w:rsid w:val="00B605B3"/>
    <w:rsid w:val="00B6061A"/>
    <w:rsid w:val="00B608D4"/>
    <w:rsid w:val="00B60BBF"/>
    <w:rsid w:val="00B60EC4"/>
    <w:rsid w:val="00B61391"/>
    <w:rsid w:val="00B622DF"/>
    <w:rsid w:val="00B6254F"/>
    <w:rsid w:val="00B62C2B"/>
    <w:rsid w:val="00B642B4"/>
    <w:rsid w:val="00B65937"/>
    <w:rsid w:val="00B6737E"/>
    <w:rsid w:val="00B67391"/>
    <w:rsid w:val="00B67B2E"/>
    <w:rsid w:val="00B67F76"/>
    <w:rsid w:val="00B7042B"/>
    <w:rsid w:val="00B70CC3"/>
    <w:rsid w:val="00B712A8"/>
    <w:rsid w:val="00B718AF"/>
    <w:rsid w:val="00B72849"/>
    <w:rsid w:val="00B728DF"/>
    <w:rsid w:val="00B72BFC"/>
    <w:rsid w:val="00B72D18"/>
    <w:rsid w:val="00B74967"/>
    <w:rsid w:val="00B74F5A"/>
    <w:rsid w:val="00B756AF"/>
    <w:rsid w:val="00B75F61"/>
    <w:rsid w:val="00B763A5"/>
    <w:rsid w:val="00B7646A"/>
    <w:rsid w:val="00B76F11"/>
    <w:rsid w:val="00B80028"/>
    <w:rsid w:val="00B80CD5"/>
    <w:rsid w:val="00B8165B"/>
    <w:rsid w:val="00B82067"/>
    <w:rsid w:val="00B8261E"/>
    <w:rsid w:val="00B84308"/>
    <w:rsid w:val="00B843AC"/>
    <w:rsid w:val="00B843D6"/>
    <w:rsid w:val="00B844E1"/>
    <w:rsid w:val="00B85C31"/>
    <w:rsid w:val="00B8672C"/>
    <w:rsid w:val="00B868C8"/>
    <w:rsid w:val="00B86B8A"/>
    <w:rsid w:val="00B8797E"/>
    <w:rsid w:val="00B87FB7"/>
    <w:rsid w:val="00B903E9"/>
    <w:rsid w:val="00B90497"/>
    <w:rsid w:val="00B907F3"/>
    <w:rsid w:val="00B90D5C"/>
    <w:rsid w:val="00B91558"/>
    <w:rsid w:val="00B91EF7"/>
    <w:rsid w:val="00B92065"/>
    <w:rsid w:val="00B9224B"/>
    <w:rsid w:val="00B92437"/>
    <w:rsid w:val="00B9278E"/>
    <w:rsid w:val="00B93688"/>
    <w:rsid w:val="00B94643"/>
    <w:rsid w:val="00B96B27"/>
    <w:rsid w:val="00B96FEF"/>
    <w:rsid w:val="00B973D0"/>
    <w:rsid w:val="00B97ACC"/>
    <w:rsid w:val="00B97CAD"/>
    <w:rsid w:val="00BA0786"/>
    <w:rsid w:val="00BA0978"/>
    <w:rsid w:val="00BA0C62"/>
    <w:rsid w:val="00BA11A6"/>
    <w:rsid w:val="00BA1258"/>
    <w:rsid w:val="00BA14AE"/>
    <w:rsid w:val="00BA18C4"/>
    <w:rsid w:val="00BA1C4F"/>
    <w:rsid w:val="00BA2155"/>
    <w:rsid w:val="00BA2376"/>
    <w:rsid w:val="00BA2E88"/>
    <w:rsid w:val="00BA322E"/>
    <w:rsid w:val="00BA39CF"/>
    <w:rsid w:val="00BA48B1"/>
    <w:rsid w:val="00BA5E0B"/>
    <w:rsid w:val="00BA6626"/>
    <w:rsid w:val="00BA757E"/>
    <w:rsid w:val="00BA7FBD"/>
    <w:rsid w:val="00BB0604"/>
    <w:rsid w:val="00BB071E"/>
    <w:rsid w:val="00BB11C6"/>
    <w:rsid w:val="00BB1B5D"/>
    <w:rsid w:val="00BB1B7D"/>
    <w:rsid w:val="00BB1B91"/>
    <w:rsid w:val="00BB24F1"/>
    <w:rsid w:val="00BB2A04"/>
    <w:rsid w:val="00BB311F"/>
    <w:rsid w:val="00BB348A"/>
    <w:rsid w:val="00BB49C2"/>
    <w:rsid w:val="00BB4DC4"/>
    <w:rsid w:val="00BB4FA5"/>
    <w:rsid w:val="00BB531D"/>
    <w:rsid w:val="00BB5502"/>
    <w:rsid w:val="00BB5505"/>
    <w:rsid w:val="00BB6650"/>
    <w:rsid w:val="00BB6AB6"/>
    <w:rsid w:val="00BB6ACD"/>
    <w:rsid w:val="00BB7407"/>
    <w:rsid w:val="00BB782A"/>
    <w:rsid w:val="00BC00C9"/>
    <w:rsid w:val="00BC043B"/>
    <w:rsid w:val="00BC0ED7"/>
    <w:rsid w:val="00BC11A5"/>
    <w:rsid w:val="00BC141B"/>
    <w:rsid w:val="00BC1873"/>
    <w:rsid w:val="00BC2544"/>
    <w:rsid w:val="00BC259E"/>
    <w:rsid w:val="00BC2A97"/>
    <w:rsid w:val="00BC39C1"/>
    <w:rsid w:val="00BC47D3"/>
    <w:rsid w:val="00BC4EA0"/>
    <w:rsid w:val="00BC5065"/>
    <w:rsid w:val="00BC51F0"/>
    <w:rsid w:val="00BC54FD"/>
    <w:rsid w:val="00BC6230"/>
    <w:rsid w:val="00BC65A3"/>
    <w:rsid w:val="00BC684B"/>
    <w:rsid w:val="00BC698E"/>
    <w:rsid w:val="00BC6EAD"/>
    <w:rsid w:val="00BC76C9"/>
    <w:rsid w:val="00BC7A80"/>
    <w:rsid w:val="00BD0D6C"/>
    <w:rsid w:val="00BD11F7"/>
    <w:rsid w:val="00BD12D3"/>
    <w:rsid w:val="00BD1553"/>
    <w:rsid w:val="00BD2C53"/>
    <w:rsid w:val="00BD3248"/>
    <w:rsid w:val="00BD37E9"/>
    <w:rsid w:val="00BD39D7"/>
    <w:rsid w:val="00BD3BF7"/>
    <w:rsid w:val="00BD3C7F"/>
    <w:rsid w:val="00BD3DC8"/>
    <w:rsid w:val="00BD5B96"/>
    <w:rsid w:val="00BD6AC0"/>
    <w:rsid w:val="00BD6C0F"/>
    <w:rsid w:val="00BD6D00"/>
    <w:rsid w:val="00BD779D"/>
    <w:rsid w:val="00BD7B7F"/>
    <w:rsid w:val="00BE0153"/>
    <w:rsid w:val="00BE03C7"/>
    <w:rsid w:val="00BE03ED"/>
    <w:rsid w:val="00BE0DA9"/>
    <w:rsid w:val="00BE1CB6"/>
    <w:rsid w:val="00BE2401"/>
    <w:rsid w:val="00BE25C2"/>
    <w:rsid w:val="00BE2D85"/>
    <w:rsid w:val="00BE41DB"/>
    <w:rsid w:val="00BE4870"/>
    <w:rsid w:val="00BE4C1C"/>
    <w:rsid w:val="00BE555D"/>
    <w:rsid w:val="00BE57A3"/>
    <w:rsid w:val="00BE59B1"/>
    <w:rsid w:val="00BE5A9E"/>
    <w:rsid w:val="00BE612D"/>
    <w:rsid w:val="00BE7F1F"/>
    <w:rsid w:val="00BF0D4C"/>
    <w:rsid w:val="00BF0E1A"/>
    <w:rsid w:val="00BF16EE"/>
    <w:rsid w:val="00BF286D"/>
    <w:rsid w:val="00BF29C9"/>
    <w:rsid w:val="00BF2B9C"/>
    <w:rsid w:val="00BF32DD"/>
    <w:rsid w:val="00BF3BF3"/>
    <w:rsid w:val="00BF3C7A"/>
    <w:rsid w:val="00BF4DCA"/>
    <w:rsid w:val="00BF52F8"/>
    <w:rsid w:val="00BF5CFA"/>
    <w:rsid w:val="00BF7B93"/>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D22"/>
    <w:rsid w:val="00C10DD2"/>
    <w:rsid w:val="00C11143"/>
    <w:rsid w:val="00C113BB"/>
    <w:rsid w:val="00C11761"/>
    <w:rsid w:val="00C1187B"/>
    <w:rsid w:val="00C12247"/>
    <w:rsid w:val="00C12BF1"/>
    <w:rsid w:val="00C13390"/>
    <w:rsid w:val="00C14614"/>
    <w:rsid w:val="00C146D3"/>
    <w:rsid w:val="00C16608"/>
    <w:rsid w:val="00C16A28"/>
    <w:rsid w:val="00C16F04"/>
    <w:rsid w:val="00C17BEB"/>
    <w:rsid w:val="00C17E32"/>
    <w:rsid w:val="00C17F7A"/>
    <w:rsid w:val="00C20166"/>
    <w:rsid w:val="00C207FB"/>
    <w:rsid w:val="00C21313"/>
    <w:rsid w:val="00C2148B"/>
    <w:rsid w:val="00C22AB3"/>
    <w:rsid w:val="00C22E18"/>
    <w:rsid w:val="00C2309F"/>
    <w:rsid w:val="00C235AD"/>
    <w:rsid w:val="00C2375F"/>
    <w:rsid w:val="00C23BC1"/>
    <w:rsid w:val="00C248A8"/>
    <w:rsid w:val="00C24CB3"/>
    <w:rsid w:val="00C25E5D"/>
    <w:rsid w:val="00C25ED2"/>
    <w:rsid w:val="00C26277"/>
    <w:rsid w:val="00C262F4"/>
    <w:rsid w:val="00C274E6"/>
    <w:rsid w:val="00C27A5F"/>
    <w:rsid w:val="00C3008D"/>
    <w:rsid w:val="00C30135"/>
    <w:rsid w:val="00C309B3"/>
    <w:rsid w:val="00C30B88"/>
    <w:rsid w:val="00C3146C"/>
    <w:rsid w:val="00C31813"/>
    <w:rsid w:val="00C321C4"/>
    <w:rsid w:val="00C32392"/>
    <w:rsid w:val="00C32E60"/>
    <w:rsid w:val="00C32EB6"/>
    <w:rsid w:val="00C33CDA"/>
    <w:rsid w:val="00C3410D"/>
    <w:rsid w:val="00C34188"/>
    <w:rsid w:val="00C34449"/>
    <w:rsid w:val="00C3483A"/>
    <w:rsid w:val="00C35589"/>
    <w:rsid w:val="00C35998"/>
    <w:rsid w:val="00C361F6"/>
    <w:rsid w:val="00C36DCE"/>
    <w:rsid w:val="00C36F4E"/>
    <w:rsid w:val="00C36FF7"/>
    <w:rsid w:val="00C3703D"/>
    <w:rsid w:val="00C370E9"/>
    <w:rsid w:val="00C400F6"/>
    <w:rsid w:val="00C4054B"/>
    <w:rsid w:val="00C409C4"/>
    <w:rsid w:val="00C40E16"/>
    <w:rsid w:val="00C41382"/>
    <w:rsid w:val="00C41823"/>
    <w:rsid w:val="00C42041"/>
    <w:rsid w:val="00C426B8"/>
    <w:rsid w:val="00C42A7D"/>
    <w:rsid w:val="00C42E8A"/>
    <w:rsid w:val="00C43DF1"/>
    <w:rsid w:val="00C441A2"/>
    <w:rsid w:val="00C442B9"/>
    <w:rsid w:val="00C450A3"/>
    <w:rsid w:val="00C45326"/>
    <w:rsid w:val="00C45B71"/>
    <w:rsid w:val="00C4602C"/>
    <w:rsid w:val="00C46599"/>
    <w:rsid w:val="00C4664F"/>
    <w:rsid w:val="00C4674E"/>
    <w:rsid w:val="00C46DF7"/>
    <w:rsid w:val="00C470F7"/>
    <w:rsid w:val="00C47D0F"/>
    <w:rsid w:val="00C5066C"/>
    <w:rsid w:val="00C50748"/>
    <w:rsid w:val="00C50FA7"/>
    <w:rsid w:val="00C5125D"/>
    <w:rsid w:val="00C51EDA"/>
    <w:rsid w:val="00C521CF"/>
    <w:rsid w:val="00C52228"/>
    <w:rsid w:val="00C525A3"/>
    <w:rsid w:val="00C5275F"/>
    <w:rsid w:val="00C54102"/>
    <w:rsid w:val="00C54C07"/>
    <w:rsid w:val="00C54C9A"/>
    <w:rsid w:val="00C54CB0"/>
    <w:rsid w:val="00C54D27"/>
    <w:rsid w:val="00C55CEE"/>
    <w:rsid w:val="00C5659C"/>
    <w:rsid w:val="00C573F9"/>
    <w:rsid w:val="00C574E4"/>
    <w:rsid w:val="00C575AF"/>
    <w:rsid w:val="00C60347"/>
    <w:rsid w:val="00C6039D"/>
    <w:rsid w:val="00C60763"/>
    <w:rsid w:val="00C60FE2"/>
    <w:rsid w:val="00C615AC"/>
    <w:rsid w:val="00C617DE"/>
    <w:rsid w:val="00C61DE0"/>
    <w:rsid w:val="00C6209A"/>
    <w:rsid w:val="00C625E2"/>
    <w:rsid w:val="00C6282E"/>
    <w:rsid w:val="00C63664"/>
    <w:rsid w:val="00C639B3"/>
    <w:rsid w:val="00C63A42"/>
    <w:rsid w:val="00C63BC1"/>
    <w:rsid w:val="00C648C7"/>
    <w:rsid w:val="00C64F5C"/>
    <w:rsid w:val="00C662E3"/>
    <w:rsid w:val="00C666D7"/>
    <w:rsid w:val="00C66ABF"/>
    <w:rsid w:val="00C66CA5"/>
    <w:rsid w:val="00C66D89"/>
    <w:rsid w:val="00C6706E"/>
    <w:rsid w:val="00C671B9"/>
    <w:rsid w:val="00C6749D"/>
    <w:rsid w:val="00C67541"/>
    <w:rsid w:val="00C67DEA"/>
    <w:rsid w:val="00C700B6"/>
    <w:rsid w:val="00C71849"/>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8CF"/>
    <w:rsid w:val="00C7796E"/>
    <w:rsid w:val="00C80368"/>
    <w:rsid w:val="00C813DB"/>
    <w:rsid w:val="00C818C7"/>
    <w:rsid w:val="00C82005"/>
    <w:rsid w:val="00C82780"/>
    <w:rsid w:val="00C841AF"/>
    <w:rsid w:val="00C8429D"/>
    <w:rsid w:val="00C84F51"/>
    <w:rsid w:val="00C8591D"/>
    <w:rsid w:val="00C85F99"/>
    <w:rsid w:val="00C86AD0"/>
    <w:rsid w:val="00C87257"/>
    <w:rsid w:val="00C87BD7"/>
    <w:rsid w:val="00C90371"/>
    <w:rsid w:val="00C91997"/>
    <w:rsid w:val="00C91F5A"/>
    <w:rsid w:val="00C924FA"/>
    <w:rsid w:val="00C92B6B"/>
    <w:rsid w:val="00C9309B"/>
    <w:rsid w:val="00C937E4"/>
    <w:rsid w:val="00C938CF"/>
    <w:rsid w:val="00C94478"/>
    <w:rsid w:val="00C94CD4"/>
    <w:rsid w:val="00C94D51"/>
    <w:rsid w:val="00C96A88"/>
    <w:rsid w:val="00C96E9D"/>
    <w:rsid w:val="00CA0345"/>
    <w:rsid w:val="00CA0E23"/>
    <w:rsid w:val="00CA126C"/>
    <w:rsid w:val="00CA15C1"/>
    <w:rsid w:val="00CA16A2"/>
    <w:rsid w:val="00CA183A"/>
    <w:rsid w:val="00CA1916"/>
    <w:rsid w:val="00CA1993"/>
    <w:rsid w:val="00CA1A19"/>
    <w:rsid w:val="00CA1F14"/>
    <w:rsid w:val="00CA2644"/>
    <w:rsid w:val="00CA3292"/>
    <w:rsid w:val="00CA3685"/>
    <w:rsid w:val="00CA3D9A"/>
    <w:rsid w:val="00CA4588"/>
    <w:rsid w:val="00CA4809"/>
    <w:rsid w:val="00CA4977"/>
    <w:rsid w:val="00CA4CD8"/>
    <w:rsid w:val="00CA552C"/>
    <w:rsid w:val="00CA64FD"/>
    <w:rsid w:val="00CA6D1B"/>
    <w:rsid w:val="00CA6D38"/>
    <w:rsid w:val="00CA6E57"/>
    <w:rsid w:val="00CA7C5D"/>
    <w:rsid w:val="00CB094C"/>
    <w:rsid w:val="00CB0B6B"/>
    <w:rsid w:val="00CB0D65"/>
    <w:rsid w:val="00CB14CC"/>
    <w:rsid w:val="00CB1505"/>
    <w:rsid w:val="00CB1A88"/>
    <w:rsid w:val="00CB24D8"/>
    <w:rsid w:val="00CB2E94"/>
    <w:rsid w:val="00CB3A71"/>
    <w:rsid w:val="00CB47E7"/>
    <w:rsid w:val="00CB5519"/>
    <w:rsid w:val="00CB56BD"/>
    <w:rsid w:val="00CB5B23"/>
    <w:rsid w:val="00CB5B87"/>
    <w:rsid w:val="00CB62F2"/>
    <w:rsid w:val="00CB684E"/>
    <w:rsid w:val="00CB69D7"/>
    <w:rsid w:val="00CB7185"/>
    <w:rsid w:val="00CB7190"/>
    <w:rsid w:val="00CB7CB7"/>
    <w:rsid w:val="00CC0933"/>
    <w:rsid w:val="00CC0AE8"/>
    <w:rsid w:val="00CC1130"/>
    <w:rsid w:val="00CC12CE"/>
    <w:rsid w:val="00CC20AB"/>
    <w:rsid w:val="00CC2AEA"/>
    <w:rsid w:val="00CC3FB5"/>
    <w:rsid w:val="00CC3FD3"/>
    <w:rsid w:val="00CC4083"/>
    <w:rsid w:val="00CC454E"/>
    <w:rsid w:val="00CC5AD4"/>
    <w:rsid w:val="00CC6280"/>
    <w:rsid w:val="00CC6754"/>
    <w:rsid w:val="00CC68D1"/>
    <w:rsid w:val="00CC69D3"/>
    <w:rsid w:val="00CC6DA0"/>
    <w:rsid w:val="00CC6FB6"/>
    <w:rsid w:val="00CC7304"/>
    <w:rsid w:val="00CD053F"/>
    <w:rsid w:val="00CD0674"/>
    <w:rsid w:val="00CD0704"/>
    <w:rsid w:val="00CD0728"/>
    <w:rsid w:val="00CD0C6C"/>
    <w:rsid w:val="00CD0EB8"/>
    <w:rsid w:val="00CD1848"/>
    <w:rsid w:val="00CD281D"/>
    <w:rsid w:val="00CD2FF7"/>
    <w:rsid w:val="00CD40D9"/>
    <w:rsid w:val="00CD44D3"/>
    <w:rsid w:val="00CD457F"/>
    <w:rsid w:val="00CD49BB"/>
    <w:rsid w:val="00CD54B0"/>
    <w:rsid w:val="00CD583D"/>
    <w:rsid w:val="00CD665E"/>
    <w:rsid w:val="00CD69BB"/>
    <w:rsid w:val="00CD69C6"/>
    <w:rsid w:val="00CD69CA"/>
    <w:rsid w:val="00CD745D"/>
    <w:rsid w:val="00CE033B"/>
    <w:rsid w:val="00CE0A65"/>
    <w:rsid w:val="00CE0AC7"/>
    <w:rsid w:val="00CE0FAA"/>
    <w:rsid w:val="00CE1336"/>
    <w:rsid w:val="00CE18EB"/>
    <w:rsid w:val="00CE25D2"/>
    <w:rsid w:val="00CE28B5"/>
    <w:rsid w:val="00CE30DE"/>
    <w:rsid w:val="00CE41CF"/>
    <w:rsid w:val="00CE4D5E"/>
    <w:rsid w:val="00CE52C5"/>
    <w:rsid w:val="00CE5623"/>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F9"/>
    <w:rsid w:val="00D0170E"/>
    <w:rsid w:val="00D02184"/>
    <w:rsid w:val="00D02777"/>
    <w:rsid w:val="00D02E0D"/>
    <w:rsid w:val="00D03AB7"/>
    <w:rsid w:val="00D040B5"/>
    <w:rsid w:val="00D0425E"/>
    <w:rsid w:val="00D04A1C"/>
    <w:rsid w:val="00D050F1"/>
    <w:rsid w:val="00D05613"/>
    <w:rsid w:val="00D057FC"/>
    <w:rsid w:val="00D05D53"/>
    <w:rsid w:val="00D069C2"/>
    <w:rsid w:val="00D100C4"/>
    <w:rsid w:val="00D12093"/>
    <w:rsid w:val="00D12633"/>
    <w:rsid w:val="00D12E72"/>
    <w:rsid w:val="00D130C2"/>
    <w:rsid w:val="00D131E7"/>
    <w:rsid w:val="00D13DCB"/>
    <w:rsid w:val="00D147DF"/>
    <w:rsid w:val="00D15BFD"/>
    <w:rsid w:val="00D15E8D"/>
    <w:rsid w:val="00D1616C"/>
    <w:rsid w:val="00D16B32"/>
    <w:rsid w:val="00D17469"/>
    <w:rsid w:val="00D17F41"/>
    <w:rsid w:val="00D201F2"/>
    <w:rsid w:val="00D201FB"/>
    <w:rsid w:val="00D2024B"/>
    <w:rsid w:val="00D20423"/>
    <w:rsid w:val="00D2068F"/>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AE7"/>
    <w:rsid w:val="00D30B39"/>
    <w:rsid w:val="00D30B40"/>
    <w:rsid w:val="00D30ED4"/>
    <w:rsid w:val="00D31113"/>
    <w:rsid w:val="00D31637"/>
    <w:rsid w:val="00D31DB4"/>
    <w:rsid w:val="00D31FAE"/>
    <w:rsid w:val="00D32583"/>
    <w:rsid w:val="00D3276C"/>
    <w:rsid w:val="00D32BB5"/>
    <w:rsid w:val="00D32F41"/>
    <w:rsid w:val="00D3311A"/>
    <w:rsid w:val="00D332F2"/>
    <w:rsid w:val="00D335AE"/>
    <w:rsid w:val="00D33F4B"/>
    <w:rsid w:val="00D340ED"/>
    <w:rsid w:val="00D34A9B"/>
    <w:rsid w:val="00D3531F"/>
    <w:rsid w:val="00D35B44"/>
    <w:rsid w:val="00D3642F"/>
    <w:rsid w:val="00D36D64"/>
    <w:rsid w:val="00D373D6"/>
    <w:rsid w:val="00D3786A"/>
    <w:rsid w:val="00D406C5"/>
    <w:rsid w:val="00D41A15"/>
    <w:rsid w:val="00D4200B"/>
    <w:rsid w:val="00D4208D"/>
    <w:rsid w:val="00D42686"/>
    <w:rsid w:val="00D42A73"/>
    <w:rsid w:val="00D43613"/>
    <w:rsid w:val="00D448EE"/>
    <w:rsid w:val="00D44C6E"/>
    <w:rsid w:val="00D44CA5"/>
    <w:rsid w:val="00D4535B"/>
    <w:rsid w:val="00D457BE"/>
    <w:rsid w:val="00D458BC"/>
    <w:rsid w:val="00D45E69"/>
    <w:rsid w:val="00D46570"/>
    <w:rsid w:val="00D47C73"/>
    <w:rsid w:val="00D51284"/>
    <w:rsid w:val="00D5263C"/>
    <w:rsid w:val="00D535C3"/>
    <w:rsid w:val="00D53815"/>
    <w:rsid w:val="00D53E24"/>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2152"/>
    <w:rsid w:val="00D622A9"/>
    <w:rsid w:val="00D622B3"/>
    <w:rsid w:val="00D628AD"/>
    <w:rsid w:val="00D63109"/>
    <w:rsid w:val="00D6317C"/>
    <w:rsid w:val="00D63393"/>
    <w:rsid w:val="00D633CA"/>
    <w:rsid w:val="00D6350A"/>
    <w:rsid w:val="00D64199"/>
    <w:rsid w:val="00D64385"/>
    <w:rsid w:val="00D645B4"/>
    <w:rsid w:val="00D646D5"/>
    <w:rsid w:val="00D65342"/>
    <w:rsid w:val="00D65869"/>
    <w:rsid w:val="00D65C91"/>
    <w:rsid w:val="00D65D44"/>
    <w:rsid w:val="00D66A36"/>
    <w:rsid w:val="00D67D9D"/>
    <w:rsid w:val="00D71B36"/>
    <w:rsid w:val="00D71F90"/>
    <w:rsid w:val="00D720CC"/>
    <w:rsid w:val="00D72665"/>
    <w:rsid w:val="00D7270C"/>
    <w:rsid w:val="00D72F7C"/>
    <w:rsid w:val="00D737F5"/>
    <w:rsid w:val="00D73B45"/>
    <w:rsid w:val="00D7418B"/>
    <w:rsid w:val="00D742C6"/>
    <w:rsid w:val="00D749E7"/>
    <w:rsid w:val="00D74EA8"/>
    <w:rsid w:val="00D756F1"/>
    <w:rsid w:val="00D76218"/>
    <w:rsid w:val="00D767FB"/>
    <w:rsid w:val="00D775E5"/>
    <w:rsid w:val="00D809CC"/>
    <w:rsid w:val="00D81041"/>
    <w:rsid w:val="00D8145C"/>
    <w:rsid w:val="00D816C9"/>
    <w:rsid w:val="00D81C4A"/>
    <w:rsid w:val="00D8332C"/>
    <w:rsid w:val="00D83466"/>
    <w:rsid w:val="00D83807"/>
    <w:rsid w:val="00D83906"/>
    <w:rsid w:val="00D83DB8"/>
    <w:rsid w:val="00D8466E"/>
    <w:rsid w:val="00D84C79"/>
    <w:rsid w:val="00D85619"/>
    <w:rsid w:val="00D85AF4"/>
    <w:rsid w:val="00D86558"/>
    <w:rsid w:val="00D8709D"/>
    <w:rsid w:val="00D878F4"/>
    <w:rsid w:val="00D87ACE"/>
    <w:rsid w:val="00D9037D"/>
    <w:rsid w:val="00D90574"/>
    <w:rsid w:val="00D91B46"/>
    <w:rsid w:val="00D91D47"/>
    <w:rsid w:val="00D92592"/>
    <w:rsid w:val="00D92D54"/>
    <w:rsid w:val="00D92F4F"/>
    <w:rsid w:val="00D930EE"/>
    <w:rsid w:val="00D93DAC"/>
    <w:rsid w:val="00D94502"/>
    <w:rsid w:val="00D94B4C"/>
    <w:rsid w:val="00D94E9C"/>
    <w:rsid w:val="00D95082"/>
    <w:rsid w:val="00D95F2A"/>
    <w:rsid w:val="00D963FC"/>
    <w:rsid w:val="00D975B0"/>
    <w:rsid w:val="00D977C0"/>
    <w:rsid w:val="00D97C8A"/>
    <w:rsid w:val="00DA0820"/>
    <w:rsid w:val="00DA1FD0"/>
    <w:rsid w:val="00DA2783"/>
    <w:rsid w:val="00DA357E"/>
    <w:rsid w:val="00DA3618"/>
    <w:rsid w:val="00DA36DB"/>
    <w:rsid w:val="00DA3E8E"/>
    <w:rsid w:val="00DA50F3"/>
    <w:rsid w:val="00DA5139"/>
    <w:rsid w:val="00DA55D8"/>
    <w:rsid w:val="00DA5D79"/>
    <w:rsid w:val="00DA5FB3"/>
    <w:rsid w:val="00DA6075"/>
    <w:rsid w:val="00DA67CB"/>
    <w:rsid w:val="00DA770D"/>
    <w:rsid w:val="00DA77B6"/>
    <w:rsid w:val="00DA7B69"/>
    <w:rsid w:val="00DB0225"/>
    <w:rsid w:val="00DB0318"/>
    <w:rsid w:val="00DB0AB7"/>
    <w:rsid w:val="00DB1871"/>
    <w:rsid w:val="00DB189C"/>
    <w:rsid w:val="00DB363A"/>
    <w:rsid w:val="00DB36BD"/>
    <w:rsid w:val="00DB380C"/>
    <w:rsid w:val="00DB3F2C"/>
    <w:rsid w:val="00DB4037"/>
    <w:rsid w:val="00DB43CE"/>
    <w:rsid w:val="00DB4830"/>
    <w:rsid w:val="00DB49A6"/>
    <w:rsid w:val="00DB4A3A"/>
    <w:rsid w:val="00DB4C2A"/>
    <w:rsid w:val="00DB509B"/>
    <w:rsid w:val="00DB5D12"/>
    <w:rsid w:val="00DB5E70"/>
    <w:rsid w:val="00DB6678"/>
    <w:rsid w:val="00DB7402"/>
    <w:rsid w:val="00DB747C"/>
    <w:rsid w:val="00DB764F"/>
    <w:rsid w:val="00DB7DF8"/>
    <w:rsid w:val="00DC0155"/>
    <w:rsid w:val="00DC0C57"/>
    <w:rsid w:val="00DC1416"/>
    <w:rsid w:val="00DC4FF2"/>
    <w:rsid w:val="00DC6289"/>
    <w:rsid w:val="00DC6498"/>
    <w:rsid w:val="00DC6B17"/>
    <w:rsid w:val="00DC6D91"/>
    <w:rsid w:val="00DC7638"/>
    <w:rsid w:val="00DD0329"/>
    <w:rsid w:val="00DD06D0"/>
    <w:rsid w:val="00DD0A97"/>
    <w:rsid w:val="00DD0B22"/>
    <w:rsid w:val="00DD1821"/>
    <w:rsid w:val="00DD1C25"/>
    <w:rsid w:val="00DD1D7E"/>
    <w:rsid w:val="00DD2179"/>
    <w:rsid w:val="00DD2357"/>
    <w:rsid w:val="00DD3F18"/>
    <w:rsid w:val="00DD40CB"/>
    <w:rsid w:val="00DD4344"/>
    <w:rsid w:val="00DD47EC"/>
    <w:rsid w:val="00DD4C33"/>
    <w:rsid w:val="00DD5157"/>
    <w:rsid w:val="00DD584C"/>
    <w:rsid w:val="00DD5867"/>
    <w:rsid w:val="00DD59D6"/>
    <w:rsid w:val="00DD6023"/>
    <w:rsid w:val="00DD714F"/>
    <w:rsid w:val="00DE0F3E"/>
    <w:rsid w:val="00DE19EF"/>
    <w:rsid w:val="00DE1CDE"/>
    <w:rsid w:val="00DE22E9"/>
    <w:rsid w:val="00DE29F8"/>
    <w:rsid w:val="00DE3D55"/>
    <w:rsid w:val="00DE3F78"/>
    <w:rsid w:val="00DE4800"/>
    <w:rsid w:val="00DE4959"/>
    <w:rsid w:val="00DE4A69"/>
    <w:rsid w:val="00DE502D"/>
    <w:rsid w:val="00DE528E"/>
    <w:rsid w:val="00DE5908"/>
    <w:rsid w:val="00DE5991"/>
    <w:rsid w:val="00DE59F3"/>
    <w:rsid w:val="00DE5A49"/>
    <w:rsid w:val="00DE5B29"/>
    <w:rsid w:val="00DE665B"/>
    <w:rsid w:val="00DE6DBE"/>
    <w:rsid w:val="00DE78CD"/>
    <w:rsid w:val="00DE7912"/>
    <w:rsid w:val="00DE7E0F"/>
    <w:rsid w:val="00DF0335"/>
    <w:rsid w:val="00DF0666"/>
    <w:rsid w:val="00DF15D2"/>
    <w:rsid w:val="00DF1A8C"/>
    <w:rsid w:val="00DF1BD9"/>
    <w:rsid w:val="00DF1F82"/>
    <w:rsid w:val="00DF2026"/>
    <w:rsid w:val="00DF2BCB"/>
    <w:rsid w:val="00DF40BE"/>
    <w:rsid w:val="00DF4B56"/>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32C0"/>
    <w:rsid w:val="00E03675"/>
    <w:rsid w:val="00E03895"/>
    <w:rsid w:val="00E05289"/>
    <w:rsid w:val="00E05C55"/>
    <w:rsid w:val="00E064BA"/>
    <w:rsid w:val="00E064ED"/>
    <w:rsid w:val="00E06801"/>
    <w:rsid w:val="00E0696D"/>
    <w:rsid w:val="00E06975"/>
    <w:rsid w:val="00E06B68"/>
    <w:rsid w:val="00E10F36"/>
    <w:rsid w:val="00E110AD"/>
    <w:rsid w:val="00E1116D"/>
    <w:rsid w:val="00E11DCF"/>
    <w:rsid w:val="00E126C6"/>
    <w:rsid w:val="00E1281E"/>
    <w:rsid w:val="00E133EB"/>
    <w:rsid w:val="00E13484"/>
    <w:rsid w:val="00E135C4"/>
    <w:rsid w:val="00E13D22"/>
    <w:rsid w:val="00E14025"/>
    <w:rsid w:val="00E148A9"/>
    <w:rsid w:val="00E15B4F"/>
    <w:rsid w:val="00E164BA"/>
    <w:rsid w:val="00E164BB"/>
    <w:rsid w:val="00E166BF"/>
    <w:rsid w:val="00E168CA"/>
    <w:rsid w:val="00E171BC"/>
    <w:rsid w:val="00E17B31"/>
    <w:rsid w:val="00E17E5D"/>
    <w:rsid w:val="00E2053D"/>
    <w:rsid w:val="00E20ADB"/>
    <w:rsid w:val="00E20E85"/>
    <w:rsid w:val="00E20FD4"/>
    <w:rsid w:val="00E21C4C"/>
    <w:rsid w:val="00E21E7E"/>
    <w:rsid w:val="00E21EB9"/>
    <w:rsid w:val="00E21F56"/>
    <w:rsid w:val="00E2228E"/>
    <w:rsid w:val="00E227A3"/>
    <w:rsid w:val="00E229F1"/>
    <w:rsid w:val="00E2482E"/>
    <w:rsid w:val="00E25954"/>
    <w:rsid w:val="00E2597E"/>
    <w:rsid w:val="00E25F41"/>
    <w:rsid w:val="00E264D5"/>
    <w:rsid w:val="00E266AE"/>
    <w:rsid w:val="00E26C70"/>
    <w:rsid w:val="00E27364"/>
    <w:rsid w:val="00E278A0"/>
    <w:rsid w:val="00E27FB8"/>
    <w:rsid w:val="00E30654"/>
    <w:rsid w:val="00E30841"/>
    <w:rsid w:val="00E31073"/>
    <w:rsid w:val="00E319C9"/>
    <w:rsid w:val="00E3216A"/>
    <w:rsid w:val="00E323EA"/>
    <w:rsid w:val="00E3250E"/>
    <w:rsid w:val="00E32606"/>
    <w:rsid w:val="00E32BCE"/>
    <w:rsid w:val="00E32BED"/>
    <w:rsid w:val="00E32CBF"/>
    <w:rsid w:val="00E3309C"/>
    <w:rsid w:val="00E330EB"/>
    <w:rsid w:val="00E33212"/>
    <w:rsid w:val="00E33275"/>
    <w:rsid w:val="00E33321"/>
    <w:rsid w:val="00E337E8"/>
    <w:rsid w:val="00E33E83"/>
    <w:rsid w:val="00E33F20"/>
    <w:rsid w:val="00E34231"/>
    <w:rsid w:val="00E3436A"/>
    <w:rsid w:val="00E343C6"/>
    <w:rsid w:val="00E345B9"/>
    <w:rsid w:val="00E34C36"/>
    <w:rsid w:val="00E35CC7"/>
    <w:rsid w:val="00E36917"/>
    <w:rsid w:val="00E3725F"/>
    <w:rsid w:val="00E374F6"/>
    <w:rsid w:val="00E37E6C"/>
    <w:rsid w:val="00E37EC2"/>
    <w:rsid w:val="00E41783"/>
    <w:rsid w:val="00E4180E"/>
    <w:rsid w:val="00E41C0F"/>
    <w:rsid w:val="00E42924"/>
    <w:rsid w:val="00E4304B"/>
    <w:rsid w:val="00E43C9A"/>
    <w:rsid w:val="00E43D2C"/>
    <w:rsid w:val="00E442FA"/>
    <w:rsid w:val="00E44E68"/>
    <w:rsid w:val="00E45620"/>
    <w:rsid w:val="00E45B0A"/>
    <w:rsid w:val="00E45CAF"/>
    <w:rsid w:val="00E464E7"/>
    <w:rsid w:val="00E46615"/>
    <w:rsid w:val="00E47488"/>
    <w:rsid w:val="00E502D6"/>
    <w:rsid w:val="00E50783"/>
    <w:rsid w:val="00E5091E"/>
    <w:rsid w:val="00E519B5"/>
    <w:rsid w:val="00E51C23"/>
    <w:rsid w:val="00E51DB0"/>
    <w:rsid w:val="00E51E53"/>
    <w:rsid w:val="00E5312F"/>
    <w:rsid w:val="00E5398A"/>
    <w:rsid w:val="00E53B81"/>
    <w:rsid w:val="00E54200"/>
    <w:rsid w:val="00E54BF4"/>
    <w:rsid w:val="00E55F69"/>
    <w:rsid w:val="00E5611B"/>
    <w:rsid w:val="00E5612C"/>
    <w:rsid w:val="00E5673B"/>
    <w:rsid w:val="00E568B0"/>
    <w:rsid w:val="00E57D4B"/>
    <w:rsid w:val="00E61108"/>
    <w:rsid w:val="00E6150B"/>
    <w:rsid w:val="00E61C5C"/>
    <w:rsid w:val="00E62339"/>
    <w:rsid w:val="00E62402"/>
    <w:rsid w:val="00E62624"/>
    <w:rsid w:val="00E632AD"/>
    <w:rsid w:val="00E6345B"/>
    <w:rsid w:val="00E64697"/>
    <w:rsid w:val="00E64966"/>
    <w:rsid w:val="00E65651"/>
    <w:rsid w:val="00E6587D"/>
    <w:rsid w:val="00E6615D"/>
    <w:rsid w:val="00E66FB8"/>
    <w:rsid w:val="00E67112"/>
    <w:rsid w:val="00E70919"/>
    <w:rsid w:val="00E70F6B"/>
    <w:rsid w:val="00E70F76"/>
    <w:rsid w:val="00E712E5"/>
    <w:rsid w:val="00E71580"/>
    <w:rsid w:val="00E717E7"/>
    <w:rsid w:val="00E71D12"/>
    <w:rsid w:val="00E72859"/>
    <w:rsid w:val="00E73C7E"/>
    <w:rsid w:val="00E73F9C"/>
    <w:rsid w:val="00E74403"/>
    <w:rsid w:val="00E746FC"/>
    <w:rsid w:val="00E7536F"/>
    <w:rsid w:val="00E75CA7"/>
    <w:rsid w:val="00E76144"/>
    <w:rsid w:val="00E763AD"/>
    <w:rsid w:val="00E76550"/>
    <w:rsid w:val="00E77040"/>
    <w:rsid w:val="00E77593"/>
    <w:rsid w:val="00E775A6"/>
    <w:rsid w:val="00E800ED"/>
    <w:rsid w:val="00E80179"/>
    <w:rsid w:val="00E82B80"/>
    <w:rsid w:val="00E8366F"/>
    <w:rsid w:val="00E8385F"/>
    <w:rsid w:val="00E842D6"/>
    <w:rsid w:val="00E84C5B"/>
    <w:rsid w:val="00E85071"/>
    <w:rsid w:val="00E855F2"/>
    <w:rsid w:val="00E8567F"/>
    <w:rsid w:val="00E85DB4"/>
    <w:rsid w:val="00E879CB"/>
    <w:rsid w:val="00E87B7D"/>
    <w:rsid w:val="00E87FCD"/>
    <w:rsid w:val="00E8E0E3"/>
    <w:rsid w:val="00E904F1"/>
    <w:rsid w:val="00E91416"/>
    <w:rsid w:val="00E91868"/>
    <w:rsid w:val="00E92080"/>
    <w:rsid w:val="00E923B0"/>
    <w:rsid w:val="00E927A4"/>
    <w:rsid w:val="00E929F2"/>
    <w:rsid w:val="00E92AF3"/>
    <w:rsid w:val="00E92B63"/>
    <w:rsid w:val="00E92F61"/>
    <w:rsid w:val="00E93948"/>
    <w:rsid w:val="00E93CF1"/>
    <w:rsid w:val="00E93FF8"/>
    <w:rsid w:val="00E9494B"/>
    <w:rsid w:val="00E955B3"/>
    <w:rsid w:val="00E955E2"/>
    <w:rsid w:val="00E95D5D"/>
    <w:rsid w:val="00E95FF5"/>
    <w:rsid w:val="00E96219"/>
    <w:rsid w:val="00E97006"/>
    <w:rsid w:val="00E97BE5"/>
    <w:rsid w:val="00E97F93"/>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F36"/>
    <w:rsid w:val="00EA4F4B"/>
    <w:rsid w:val="00EA517E"/>
    <w:rsid w:val="00EA5184"/>
    <w:rsid w:val="00EA5283"/>
    <w:rsid w:val="00EA535C"/>
    <w:rsid w:val="00EA5438"/>
    <w:rsid w:val="00EA66E5"/>
    <w:rsid w:val="00EA67C7"/>
    <w:rsid w:val="00EA68D3"/>
    <w:rsid w:val="00EA6E7F"/>
    <w:rsid w:val="00EA763E"/>
    <w:rsid w:val="00EB08E0"/>
    <w:rsid w:val="00EB0DFB"/>
    <w:rsid w:val="00EB17F4"/>
    <w:rsid w:val="00EB1D9B"/>
    <w:rsid w:val="00EB2258"/>
    <w:rsid w:val="00EB22B8"/>
    <w:rsid w:val="00EB2355"/>
    <w:rsid w:val="00EB24B0"/>
    <w:rsid w:val="00EB2694"/>
    <w:rsid w:val="00EB2774"/>
    <w:rsid w:val="00EB27EC"/>
    <w:rsid w:val="00EB2A6C"/>
    <w:rsid w:val="00EB3155"/>
    <w:rsid w:val="00EB337A"/>
    <w:rsid w:val="00EB3AC2"/>
    <w:rsid w:val="00EB4278"/>
    <w:rsid w:val="00EB5020"/>
    <w:rsid w:val="00EB57D9"/>
    <w:rsid w:val="00EB5CD9"/>
    <w:rsid w:val="00EB682F"/>
    <w:rsid w:val="00EB71C3"/>
    <w:rsid w:val="00EC019E"/>
    <w:rsid w:val="00EC0284"/>
    <w:rsid w:val="00EC072E"/>
    <w:rsid w:val="00EC08AE"/>
    <w:rsid w:val="00EC195D"/>
    <w:rsid w:val="00EC1D4F"/>
    <w:rsid w:val="00EC2647"/>
    <w:rsid w:val="00EC3620"/>
    <w:rsid w:val="00EC3D76"/>
    <w:rsid w:val="00EC4388"/>
    <w:rsid w:val="00EC472F"/>
    <w:rsid w:val="00EC57C3"/>
    <w:rsid w:val="00EC58C1"/>
    <w:rsid w:val="00EC5F8F"/>
    <w:rsid w:val="00EC63CE"/>
    <w:rsid w:val="00EC69E7"/>
    <w:rsid w:val="00EC6BD1"/>
    <w:rsid w:val="00EC74EA"/>
    <w:rsid w:val="00ED03DB"/>
    <w:rsid w:val="00ED1634"/>
    <w:rsid w:val="00ED1B9B"/>
    <w:rsid w:val="00ED1C0B"/>
    <w:rsid w:val="00ED20E0"/>
    <w:rsid w:val="00ED23DA"/>
    <w:rsid w:val="00ED2A92"/>
    <w:rsid w:val="00ED2F94"/>
    <w:rsid w:val="00ED3BA8"/>
    <w:rsid w:val="00ED3DEC"/>
    <w:rsid w:val="00ED4A4C"/>
    <w:rsid w:val="00ED55CF"/>
    <w:rsid w:val="00ED5FFA"/>
    <w:rsid w:val="00ED620A"/>
    <w:rsid w:val="00ED670E"/>
    <w:rsid w:val="00ED6B72"/>
    <w:rsid w:val="00ED71E8"/>
    <w:rsid w:val="00ED7508"/>
    <w:rsid w:val="00ED759B"/>
    <w:rsid w:val="00ED7684"/>
    <w:rsid w:val="00ED7B01"/>
    <w:rsid w:val="00EE0305"/>
    <w:rsid w:val="00EE04B1"/>
    <w:rsid w:val="00EE135E"/>
    <w:rsid w:val="00EE21C9"/>
    <w:rsid w:val="00EE21FD"/>
    <w:rsid w:val="00EE2F47"/>
    <w:rsid w:val="00EE33F3"/>
    <w:rsid w:val="00EE37EE"/>
    <w:rsid w:val="00EE3838"/>
    <w:rsid w:val="00EE4919"/>
    <w:rsid w:val="00EE585D"/>
    <w:rsid w:val="00EE5F73"/>
    <w:rsid w:val="00EE60FF"/>
    <w:rsid w:val="00EE683D"/>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9A5"/>
    <w:rsid w:val="00EF34A9"/>
    <w:rsid w:val="00EF39D3"/>
    <w:rsid w:val="00EF3A90"/>
    <w:rsid w:val="00EF3EAD"/>
    <w:rsid w:val="00EF404D"/>
    <w:rsid w:val="00EF485B"/>
    <w:rsid w:val="00EF4B70"/>
    <w:rsid w:val="00EF57AD"/>
    <w:rsid w:val="00EF58DE"/>
    <w:rsid w:val="00EF59EE"/>
    <w:rsid w:val="00EF69EA"/>
    <w:rsid w:val="00EF7489"/>
    <w:rsid w:val="00EF793F"/>
    <w:rsid w:val="00EF7E3D"/>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93F"/>
    <w:rsid w:val="00F13514"/>
    <w:rsid w:val="00F13665"/>
    <w:rsid w:val="00F138A0"/>
    <w:rsid w:val="00F14504"/>
    <w:rsid w:val="00F14642"/>
    <w:rsid w:val="00F15116"/>
    <w:rsid w:val="00F159BE"/>
    <w:rsid w:val="00F16822"/>
    <w:rsid w:val="00F16B39"/>
    <w:rsid w:val="00F17549"/>
    <w:rsid w:val="00F17ED2"/>
    <w:rsid w:val="00F20133"/>
    <w:rsid w:val="00F20E41"/>
    <w:rsid w:val="00F218B6"/>
    <w:rsid w:val="00F2199E"/>
    <w:rsid w:val="00F21F5F"/>
    <w:rsid w:val="00F229DB"/>
    <w:rsid w:val="00F2519F"/>
    <w:rsid w:val="00F26B28"/>
    <w:rsid w:val="00F26B79"/>
    <w:rsid w:val="00F30DE4"/>
    <w:rsid w:val="00F311E9"/>
    <w:rsid w:val="00F3131A"/>
    <w:rsid w:val="00F31876"/>
    <w:rsid w:val="00F324F1"/>
    <w:rsid w:val="00F333B5"/>
    <w:rsid w:val="00F334D8"/>
    <w:rsid w:val="00F33720"/>
    <w:rsid w:val="00F33A43"/>
    <w:rsid w:val="00F34436"/>
    <w:rsid w:val="00F346A0"/>
    <w:rsid w:val="00F3563C"/>
    <w:rsid w:val="00F35AF2"/>
    <w:rsid w:val="00F35C2D"/>
    <w:rsid w:val="00F3677F"/>
    <w:rsid w:val="00F37C5F"/>
    <w:rsid w:val="00F4035E"/>
    <w:rsid w:val="00F4080C"/>
    <w:rsid w:val="00F4093A"/>
    <w:rsid w:val="00F40A0E"/>
    <w:rsid w:val="00F41876"/>
    <w:rsid w:val="00F41ABA"/>
    <w:rsid w:val="00F41C3C"/>
    <w:rsid w:val="00F4207B"/>
    <w:rsid w:val="00F42EA3"/>
    <w:rsid w:val="00F43248"/>
    <w:rsid w:val="00F44057"/>
    <w:rsid w:val="00F44C2F"/>
    <w:rsid w:val="00F44FA7"/>
    <w:rsid w:val="00F4516C"/>
    <w:rsid w:val="00F45369"/>
    <w:rsid w:val="00F45792"/>
    <w:rsid w:val="00F45ED3"/>
    <w:rsid w:val="00F474FB"/>
    <w:rsid w:val="00F515C5"/>
    <w:rsid w:val="00F52C39"/>
    <w:rsid w:val="00F532B0"/>
    <w:rsid w:val="00F546E9"/>
    <w:rsid w:val="00F55048"/>
    <w:rsid w:val="00F554CE"/>
    <w:rsid w:val="00F55C09"/>
    <w:rsid w:val="00F5626E"/>
    <w:rsid w:val="00F56DBA"/>
    <w:rsid w:val="00F56F8B"/>
    <w:rsid w:val="00F609CA"/>
    <w:rsid w:val="00F60A1C"/>
    <w:rsid w:val="00F60F30"/>
    <w:rsid w:val="00F61686"/>
    <w:rsid w:val="00F61941"/>
    <w:rsid w:val="00F6263D"/>
    <w:rsid w:val="00F629FD"/>
    <w:rsid w:val="00F62B73"/>
    <w:rsid w:val="00F62FC9"/>
    <w:rsid w:val="00F6390D"/>
    <w:rsid w:val="00F6402A"/>
    <w:rsid w:val="00F64311"/>
    <w:rsid w:val="00F645F2"/>
    <w:rsid w:val="00F64663"/>
    <w:rsid w:val="00F6545A"/>
    <w:rsid w:val="00F657F1"/>
    <w:rsid w:val="00F65A49"/>
    <w:rsid w:val="00F65C52"/>
    <w:rsid w:val="00F65CD4"/>
    <w:rsid w:val="00F66D88"/>
    <w:rsid w:val="00F676CA"/>
    <w:rsid w:val="00F678D3"/>
    <w:rsid w:val="00F67A69"/>
    <w:rsid w:val="00F67EED"/>
    <w:rsid w:val="00F7110F"/>
    <w:rsid w:val="00F71E60"/>
    <w:rsid w:val="00F72A37"/>
    <w:rsid w:val="00F72DEF"/>
    <w:rsid w:val="00F738F3"/>
    <w:rsid w:val="00F7395E"/>
    <w:rsid w:val="00F73CBD"/>
    <w:rsid w:val="00F752BE"/>
    <w:rsid w:val="00F7549C"/>
    <w:rsid w:val="00F759E4"/>
    <w:rsid w:val="00F76363"/>
    <w:rsid w:val="00F764E3"/>
    <w:rsid w:val="00F77631"/>
    <w:rsid w:val="00F801F3"/>
    <w:rsid w:val="00F80DDB"/>
    <w:rsid w:val="00F810C4"/>
    <w:rsid w:val="00F81BBF"/>
    <w:rsid w:val="00F81D1C"/>
    <w:rsid w:val="00F82858"/>
    <w:rsid w:val="00F82FC9"/>
    <w:rsid w:val="00F83433"/>
    <w:rsid w:val="00F83D86"/>
    <w:rsid w:val="00F842AA"/>
    <w:rsid w:val="00F848E0"/>
    <w:rsid w:val="00F85190"/>
    <w:rsid w:val="00F85C26"/>
    <w:rsid w:val="00F866ED"/>
    <w:rsid w:val="00F868D3"/>
    <w:rsid w:val="00F873D4"/>
    <w:rsid w:val="00F87863"/>
    <w:rsid w:val="00F87BA9"/>
    <w:rsid w:val="00F87F2F"/>
    <w:rsid w:val="00F9021F"/>
    <w:rsid w:val="00F902FD"/>
    <w:rsid w:val="00F90483"/>
    <w:rsid w:val="00F90D5B"/>
    <w:rsid w:val="00F911CC"/>
    <w:rsid w:val="00F9129E"/>
    <w:rsid w:val="00F91479"/>
    <w:rsid w:val="00F9150F"/>
    <w:rsid w:val="00F915FD"/>
    <w:rsid w:val="00F92830"/>
    <w:rsid w:val="00F93056"/>
    <w:rsid w:val="00F9365B"/>
    <w:rsid w:val="00F93688"/>
    <w:rsid w:val="00F93DFD"/>
    <w:rsid w:val="00F94120"/>
    <w:rsid w:val="00F94C1A"/>
    <w:rsid w:val="00F950E9"/>
    <w:rsid w:val="00F9577C"/>
    <w:rsid w:val="00F95C07"/>
    <w:rsid w:val="00F95D0B"/>
    <w:rsid w:val="00F969BB"/>
    <w:rsid w:val="00F96B2E"/>
    <w:rsid w:val="00F97528"/>
    <w:rsid w:val="00FA0260"/>
    <w:rsid w:val="00FA07FD"/>
    <w:rsid w:val="00FA0CDB"/>
    <w:rsid w:val="00FA0CE7"/>
    <w:rsid w:val="00FA0FFD"/>
    <w:rsid w:val="00FA113B"/>
    <w:rsid w:val="00FA11D8"/>
    <w:rsid w:val="00FA1567"/>
    <w:rsid w:val="00FA164C"/>
    <w:rsid w:val="00FA1B1B"/>
    <w:rsid w:val="00FA22EC"/>
    <w:rsid w:val="00FA2307"/>
    <w:rsid w:val="00FA2417"/>
    <w:rsid w:val="00FA3866"/>
    <w:rsid w:val="00FA3ED9"/>
    <w:rsid w:val="00FA3FA8"/>
    <w:rsid w:val="00FA4369"/>
    <w:rsid w:val="00FA4837"/>
    <w:rsid w:val="00FA48C9"/>
    <w:rsid w:val="00FA5040"/>
    <w:rsid w:val="00FA541F"/>
    <w:rsid w:val="00FA552E"/>
    <w:rsid w:val="00FA56CD"/>
    <w:rsid w:val="00FA57B6"/>
    <w:rsid w:val="00FA5B5F"/>
    <w:rsid w:val="00FA61D1"/>
    <w:rsid w:val="00FA62E3"/>
    <w:rsid w:val="00FA644C"/>
    <w:rsid w:val="00FA6CD1"/>
    <w:rsid w:val="00FA7194"/>
    <w:rsid w:val="00FA7515"/>
    <w:rsid w:val="00FB05E9"/>
    <w:rsid w:val="00FB079A"/>
    <w:rsid w:val="00FB0831"/>
    <w:rsid w:val="00FB0948"/>
    <w:rsid w:val="00FB0B8C"/>
    <w:rsid w:val="00FB11FB"/>
    <w:rsid w:val="00FB2616"/>
    <w:rsid w:val="00FB2956"/>
    <w:rsid w:val="00FB2B91"/>
    <w:rsid w:val="00FB364A"/>
    <w:rsid w:val="00FB3817"/>
    <w:rsid w:val="00FB4B68"/>
    <w:rsid w:val="00FB4F26"/>
    <w:rsid w:val="00FB554D"/>
    <w:rsid w:val="00FB59BC"/>
    <w:rsid w:val="00FB59D7"/>
    <w:rsid w:val="00FB5EC8"/>
    <w:rsid w:val="00FB6F85"/>
    <w:rsid w:val="00FC0096"/>
    <w:rsid w:val="00FC049C"/>
    <w:rsid w:val="00FC08A6"/>
    <w:rsid w:val="00FC0AC0"/>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50"/>
    <w:rsid w:val="00FC767B"/>
    <w:rsid w:val="00FC77B0"/>
    <w:rsid w:val="00FC7FC8"/>
    <w:rsid w:val="00FD017D"/>
    <w:rsid w:val="00FD0337"/>
    <w:rsid w:val="00FD0854"/>
    <w:rsid w:val="00FD1119"/>
    <w:rsid w:val="00FD1A5C"/>
    <w:rsid w:val="00FD1B21"/>
    <w:rsid w:val="00FD2947"/>
    <w:rsid w:val="00FD2F07"/>
    <w:rsid w:val="00FD3AED"/>
    <w:rsid w:val="00FD3D06"/>
    <w:rsid w:val="00FD4161"/>
    <w:rsid w:val="00FD5B09"/>
    <w:rsid w:val="00FD67EB"/>
    <w:rsid w:val="00FD6DC0"/>
    <w:rsid w:val="00FD6FE2"/>
    <w:rsid w:val="00FD7984"/>
    <w:rsid w:val="00FD7CCB"/>
    <w:rsid w:val="00FE0D6E"/>
    <w:rsid w:val="00FE1507"/>
    <w:rsid w:val="00FE1543"/>
    <w:rsid w:val="00FE1F01"/>
    <w:rsid w:val="00FE23FA"/>
    <w:rsid w:val="00FE37B6"/>
    <w:rsid w:val="00FE42A7"/>
    <w:rsid w:val="00FE486C"/>
    <w:rsid w:val="00FE4AE0"/>
    <w:rsid w:val="00FE5346"/>
    <w:rsid w:val="00FE6149"/>
    <w:rsid w:val="00FE6972"/>
    <w:rsid w:val="00FE69B0"/>
    <w:rsid w:val="00FE6D6D"/>
    <w:rsid w:val="00FE6EC1"/>
    <w:rsid w:val="00FE790C"/>
    <w:rsid w:val="00FE796B"/>
    <w:rsid w:val="00FF0C76"/>
    <w:rsid w:val="00FF2214"/>
    <w:rsid w:val="00FF250A"/>
    <w:rsid w:val="00FF28A8"/>
    <w:rsid w:val="00FF3165"/>
    <w:rsid w:val="00FF3543"/>
    <w:rsid w:val="00FF3D6D"/>
    <w:rsid w:val="00FF4CFE"/>
    <w:rsid w:val="00FF6B1A"/>
    <w:rsid w:val="00FF6BB5"/>
    <w:rsid w:val="00FF6F06"/>
    <w:rsid w:val="00FF6F92"/>
    <w:rsid w:val="00FF73C7"/>
    <w:rsid w:val="00FF7603"/>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EFD55"/>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1F67CB"/>
    <w:rPr>
      <w:vertAlign w:val="superscript"/>
      <w:lang w:val="es-ES"/>
    </w:rPr>
  </w:style>
  <w:style w:type="paragraph" w:customStyle="1" w:styleId="Footnote">
    <w:name w:val="Footnote"/>
    <w:basedOn w:val="FootnoteText"/>
    <w:semiHidden/>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s-E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s-ES"/>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character" w:styleId="UnresolvedMention">
    <w:name w:val="Unresolved Mention"/>
    <w:basedOn w:val="DefaultParagraphFont"/>
    <w:uiPriority w:val="99"/>
    <w:semiHidden/>
    <w:unhideWhenUsed/>
    <w:rsid w:val="00514BDE"/>
    <w:rPr>
      <w:color w:val="605E5C"/>
      <w:shd w:val="clear" w:color="auto" w:fill="E1DFDD"/>
      <w:lang w:val="es-E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s-ES"/>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s-ES"/>
    </w:rPr>
  </w:style>
  <w:style w:type="character" w:styleId="Mention">
    <w:name w:val="Mention"/>
    <w:basedOn w:val="DefaultParagraphFont"/>
    <w:uiPriority w:val="99"/>
    <w:semiHidden/>
    <w:unhideWhenUsed/>
    <w:rsid w:val="00C6209A"/>
    <w:rPr>
      <w:color w:val="2B579A"/>
      <w:shd w:val="clear" w:color="auto" w:fill="E1DFDD"/>
      <w:lang w:val="es-ES"/>
    </w:rPr>
  </w:style>
  <w:style w:type="character" w:styleId="SmartHyperlink">
    <w:name w:val="Smart Hyperlink"/>
    <w:basedOn w:val="DefaultParagraphFont"/>
    <w:uiPriority w:val="99"/>
    <w:semiHidden/>
    <w:unhideWhenUsed/>
    <w:rsid w:val="00C6209A"/>
    <w:rPr>
      <w:u w:val="dotted"/>
      <w:lang w:val="es-ES"/>
    </w:rPr>
  </w:style>
  <w:style w:type="character" w:styleId="SmartLink">
    <w:name w:val="Smart Link"/>
    <w:basedOn w:val="DefaultParagraphFont"/>
    <w:uiPriority w:val="99"/>
    <w:semiHidden/>
    <w:unhideWhenUsed/>
    <w:rsid w:val="00C6209A"/>
    <w:rPr>
      <w:color w:val="0000FF"/>
      <w:u w:val="single"/>
      <w:shd w:val="clear" w:color="auto" w:fill="F3F2F1"/>
      <w:lang w:val="es-ES"/>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s-ES"/>
    </w:rPr>
  </w:style>
  <w:style w:type="character" w:customStyle="1" w:styleId="s2">
    <w:name w:val="s2"/>
    <w:basedOn w:val="DefaultParagraphFont"/>
    <w:rsid w:val="00B718AF"/>
    <w:rPr>
      <w:color w:val="000000"/>
      <w:lang w:val="es-ES"/>
    </w:rPr>
  </w:style>
  <w:style w:type="character" w:customStyle="1" w:styleId="apple-converted-space">
    <w:name w:val="apple-converted-space"/>
    <w:basedOn w:val="DefaultParagraphFont"/>
    <w:rsid w:val="00822667"/>
    <w:rPr>
      <w:lang w:val="es-ES"/>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7/full/cop-07-dec-es.pdf" TargetMode="External"/><Relationship Id="rId26" Type="http://schemas.openxmlformats.org/officeDocument/2006/relationships/hyperlink" Target="https://www.cbd.int/decisions/cop?m=cop-10" TargetMode="External"/><Relationship Id="rId3" Type="http://schemas.openxmlformats.org/officeDocument/2006/relationships/customXml" Target="../customXml/item3.xml"/><Relationship Id="rId21" Type="http://schemas.openxmlformats.org/officeDocument/2006/relationships/hyperlink" Target="https://www.cbd.int/notifications/2025-135"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6-023" TargetMode="External"/><Relationship Id="rId25" Type="http://schemas.openxmlformats.org/officeDocument/2006/relationships/hyperlink" Target="https://www.cbd.int/decisions/cop?m=cop-09"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notifications/2025-135" TargetMode="External"/><Relationship Id="rId20" Type="http://schemas.openxmlformats.org/officeDocument/2006/relationships/hyperlink" Target="https://www.cbd.int/decisions/cop?m=cop-1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08/full/cop-08-dec-es.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oc/decisions/cop-07/full/cop-07-dec-es.pdf" TargetMode="Externa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notifications/2026-023" TargetMode="External"/><Relationship Id="rId27" Type="http://schemas.openxmlformats.org/officeDocument/2006/relationships/hyperlink" Target="https://www.cbd.int/decisions/cop?m=cop-14"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ocuments/CBD/SBSTTA/26/INF/19" TargetMode="External"/><Relationship Id="rId7" Type="http://schemas.openxmlformats.org/officeDocument/2006/relationships/hyperlink" Target="https://www.cbd.int/decisions/cop?m=cop-10" TargetMode="External"/><Relationship Id="rId12" Type="http://schemas.openxmlformats.org/officeDocument/2006/relationships/hyperlink" Target="https://www.cbd.int/decisions/cop/?m=cop-16" TargetMode="External"/><Relationship Id="rId2" Type="http://schemas.openxmlformats.org/officeDocument/2006/relationships/hyperlink" Target="https://www.cbd.int/documents/CBD/SBSTTA/25/INF/1" TargetMode="External"/><Relationship Id="rId1" Type="http://schemas.openxmlformats.org/officeDocument/2006/relationships/hyperlink" Target="https://www.cbd.int/doc/decisions/cop-07/full/cop-07-dec-es.pdf" TargetMode="External"/><Relationship Id="rId6" Type="http://schemas.openxmlformats.org/officeDocument/2006/relationships/hyperlink" Target="https://www.cbd.int/decisions/cop?m=cop-10"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09" TargetMode="External"/><Relationship Id="rId10" Type="http://schemas.openxmlformats.org/officeDocument/2006/relationships/hyperlink" Target="https://www.cbd.int/doc/decisions/cop-07/full/cop-07-dec-es.pdf" TargetMode="External"/><Relationship Id="rId4" Type="http://schemas.openxmlformats.org/officeDocument/2006/relationships/hyperlink" Target="https://www.cbd.int/doc/decisions/cop-08/full/cop-08-dec-es.pdf" TargetMode="External"/><Relationship Id="rId9" Type="http://schemas.openxmlformats.org/officeDocument/2006/relationships/hyperlink" Target="https://www.cbd.int/documents/CBD/MCB/WS/2025/1/2" TargetMode="External"/><Relationship Id="rId14" Type="http://schemas.openxmlformats.org/officeDocument/2006/relationships/hyperlink" Target="https://www.cbd.int/doc/decisions/cop-07/full/cop-07-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845E5"/>
    <w:rsid w:val="000C6DA5"/>
    <w:rsid w:val="000C7B3F"/>
    <w:rsid w:val="000E3F3C"/>
    <w:rsid w:val="000E5DB6"/>
    <w:rsid w:val="000E664B"/>
    <w:rsid w:val="000F528B"/>
    <w:rsid w:val="000F7684"/>
    <w:rsid w:val="00107763"/>
    <w:rsid w:val="001102D9"/>
    <w:rsid w:val="001132D7"/>
    <w:rsid w:val="00132D18"/>
    <w:rsid w:val="00143851"/>
    <w:rsid w:val="00152840"/>
    <w:rsid w:val="00153590"/>
    <w:rsid w:val="00166A05"/>
    <w:rsid w:val="00172DB7"/>
    <w:rsid w:val="00177855"/>
    <w:rsid w:val="0018000E"/>
    <w:rsid w:val="001914DD"/>
    <w:rsid w:val="001A5B87"/>
    <w:rsid w:val="001B5323"/>
    <w:rsid w:val="001C68DE"/>
    <w:rsid w:val="001D1AB5"/>
    <w:rsid w:val="001E547E"/>
    <w:rsid w:val="00215E3C"/>
    <w:rsid w:val="002234AB"/>
    <w:rsid w:val="00232403"/>
    <w:rsid w:val="0025612C"/>
    <w:rsid w:val="0028236F"/>
    <w:rsid w:val="0029586F"/>
    <w:rsid w:val="002A08F4"/>
    <w:rsid w:val="002A543A"/>
    <w:rsid w:val="002A5969"/>
    <w:rsid w:val="002E55DB"/>
    <w:rsid w:val="002F66F2"/>
    <w:rsid w:val="003079F2"/>
    <w:rsid w:val="00313D72"/>
    <w:rsid w:val="003725B4"/>
    <w:rsid w:val="003741D1"/>
    <w:rsid w:val="00377BBB"/>
    <w:rsid w:val="00396B5E"/>
    <w:rsid w:val="003A4ABA"/>
    <w:rsid w:val="003A62C4"/>
    <w:rsid w:val="003C2F87"/>
    <w:rsid w:val="003C6DBF"/>
    <w:rsid w:val="003C7768"/>
    <w:rsid w:val="00404298"/>
    <w:rsid w:val="00405C14"/>
    <w:rsid w:val="004216E3"/>
    <w:rsid w:val="00433A77"/>
    <w:rsid w:val="00451AB3"/>
    <w:rsid w:val="00482032"/>
    <w:rsid w:val="004868CE"/>
    <w:rsid w:val="004A2EB8"/>
    <w:rsid w:val="004D6586"/>
    <w:rsid w:val="004D6DD7"/>
    <w:rsid w:val="00502933"/>
    <w:rsid w:val="00520E77"/>
    <w:rsid w:val="00527705"/>
    <w:rsid w:val="00562C81"/>
    <w:rsid w:val="00576516"/>
    <w:rsid w:val="005904CC"/>
    <w:rsid w:val="00591C43"/>
    <w:rsid w:val="005C12EC"/>
    <w:rsid w:val="005C3B02"/>
    <w:rsid w:val="005C5F5B"/>
    <w:rsid w:val="005F59AF"/>
    <w:rsid w:val="005F5C2D"/>
    <w:rsid w:val="005F65C2"/>
    <w:rsid w:val="00602D73"/>
    <w:rsid w:val="00614237"/>
    <w:rsid w:val="00616C2C"/>
    <w:rsid w:val="00635B86"/>
    <w:rsid w:val="00675268"/>
    <w:rsid w:val="00690747"/>
    <w:rsid w:val="006C305D"/>
    <w:rsid w:val="007059D5"/>
    <w:rsid w:val="00720256"/>
    <w:rsid w:val="00731AF6"/>
    <w:rsid w:val="007616DF"/>
    <w:rsid w:val="00770728"/>
    <w:rsid w:val="00785A4D"/>
    <w:rsid w:val="007922F1"/>
    <w:rsid w:val="00796EDA"/>
    <w:rsid w:val="007A13F7"/>
    <w:rsid w:val="007D28BE"/>
    <w:rsid w:val="007F3D46"/>
    <w:rsid w:val="00832DB8"/>
    <w:rsid w:val="00874B01"/>
    <w:rsid w:val="00881968"/>
    <w:rsid w:val="00881970"/>
    <w:rsid w:val="00887BA2"/>
    <w:rsid w:val="008D4ED6"/>
    <w:rsid w:val="008E4746"/>
    <w:rsid w:val="008E5022"/>
    <w:rsid w:val="00905241"/>
    <w:rsid w:val="00910EAF"/>
    <w:rsid w:val="00934B80"/>
    <w:rsid w:val="00946010"/>
    <w:rsid w:val="009532D3"/>
    <w:rsid w:val="00960889"/>
    <w:rsid w:val="0096626B"/>
    <w:rsid w:val="00983A27"/>
    <w:rsid w:val="009952FD"/>
    <w:rsid w:val="009B0EE7"/>
    <w:rsid w:val="009C7A6E"/>
    <w:rsid w:val="009F0704"/>
    <w:rsid w:val="00A0083D"/>
    <w:rsid w:val="00A00B0E"/>
    <w:rsid w:val="00A056E8"/>
    <w:rsid w:val="00A12E46"/>
    <w:rsid w:val="00A1790F"/>
    <w:rsid w:val="00A21636"/>
    <w:rsid w:val="00A322E3"/>
    <w:rsid w:val="00A33303"/>
    <w:rsid w:val="00A35EF0"/>
    <w:rsid w:val="00A42EE1"/>
    <w:rsid w:val="00A42F38"/>
    <w:rsid w:val="00A56EF8"/>
    <w:rsid w:val="00A579BF"/>
    <w:rsid w:val="00A72516"/>
    <w:rsid w:val="00A9005B"/>
    <w:rsid w:val="00A970A3"/>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C2544"/>
    <w:rsid w:val="00BC39C1"/>
    <w:rsid w:val="00BD12D3"/>
    <w:rsid w:val="00BD38DE"/>
    <w:rsid w:val="00BD7B7F"/>
    <w:rsid w:val="00BD7ED8"/>
    <w:rsid w:val="00C02CA8"/>
    <w:rsid w:val="00C22E18"/>
    <w:rsid w:val="00C2309F"/>
    <w:rsid w:val="00C33898"/>
    <w:rsid w:val="00C52CA2"/>
    <w:rsid w:val="00C77508"/>
    <w:rsid w:val="00C91D86"/>
    <w:rsid w:val="00C942F6"/>
    <w:rsid w:val="00CB7185"/>
    <w:rsid w:val="00CC069B"/>
    <w:rsid w:val="00CC1C96"/>
    <w:rsid w:val="00CC4083"/>
    <w:rsid w:val="00CF4B2C"/>
    <w:rsid w:val="00D12E72"/>
    <w:rsid w:val="00D44864"/>
    <w:rsid w:val="00D545D8"/>
    <w:rsid w:val="00D977C0"/>
    <w:rsid w:val="00DC0C87"/>
    <w:rsid w:val="00DF1818"/>
    <w:rsid w:val="00E00E92"/>
    <w:rsid w:val="00E0696D"/>
    <w:rsid w:val="00E168CA"/>
    <w:rsid w:val="00E2088C"/>
    <w:rsid w:val="00E33212"/>
    <w:rsid w:val="00E66F5C"/>
    <w:rsid w:val="00E955B3"/>
    <w:rsid w:val="00EB51BF"/>
    <w:rsid w:val="00EC74AC"/>
    <w:rsid w:val="00F06CC4"/>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56D06-5FF2-4973-A9EC-DCB9CEF16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134</TotalTime>
  <Pages>16</Pages>
  <Words>7178</Words>
  <Characters>40916</Characters>
  <Application>Microsoft Office Word</Application>
  <DocSecurity>0</DocSecurity>
  <Lines>340</Lines>
  <Paragraphs>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Scientific and technical needs to support the implementation of the Kunming-Montreal Global Biodiversity Framework: strategic review of and update to the programme of work on protected areas</vt:lpstr>
      <vt:lpstr>Strategic review of and update to the programme of work on protected areas in the context of the Kunming-Montreal Global Biodiversity Framework</vt:lpstr>
    </vt:vector>
  </TitlesOfParts>
  <Company/>
  <LinksUpToDate>false</LinksUpToDate>
  <CharactersWithSpaces>47999</CharactersWithSpaces>
  <SharedDoc>false</SharedDoc>
  <HLinks>
    <vt:vector size="156" baseType="variant">
      <vt:variant>
        <vt:i4>3866724</vt:i4>
      </vt:variant>
      <vt:variant>
        <vt:i4>63</vt:i4>
      </vt:variant>
      <vt:variant>
        <vt:i4>0</vt:i4>
      </vt:variant>
      <vt:variant>
        <vt:i4>5</vt:i4>
      </vt:variant>
      <vt:variant>
        <vt:lpwstr>https://eur02.safelinks.protection.outlook.com/?url=https%3A%2F%2Fwww.cbd.int%2Fdoc%2Fdecisions%2Fcop-09%2Fcop-09-dec-18-en.pdf&amp;data=05%7C02%7Cmagdalena.garcia%40un.org%7Cc0766547e1e146dd136808de90d26986%7C0f9e35db544f4f60bdcc5ea416e6dc70%7C0%7C0%7C639107430547459344%7CUnknown%7CTWFpbGZsb3d8eyJFbXB0eU1hcGkiOnRydWUsIlYiOiIwLjAuMDAwMCIsIlAiOiJXaW4zMiIsIkFOIjoiTWFpbCIsIldUIjoyfQ%3D%3D%7C0%7C%7C%7C&amp;sdata=5EA89XHMYDIjHMR00PVAcoQ7FwiBpyajXO5aVnjRzUg%3D&amp;reserved=0</vt:lpwstr>
      </vt:variant>
      <vt:variant>
        <vt:lpwstr/>
      </vt:variant>
      <vt:variant>
        <vt:i4>983113</vt:i4>
      </vt:variant>
      <vt:variant>
        <vt:i4>60</vt:i4>
      </vt:variant>
      <vt:variant>
        <vt:i4>0</vt:i4>
      </vt:variant>
      <vt:variant>
        <vt:i4>5</vt:i4>
      </vt:variant>
      <vt:variant>
        <vt:lpwstr>https://www.cbd.int/doc/decisions/cop-16/cop-16-dec-12-en.pdf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720967</vt:i4>
      </vt:variant>
      <vt:variant>
        <vt:i4>54</vt:i4>
      </vt:variant>
      <vt:variant>
        <vt:i4>0</vt:i4>
      </vt:variant>
      <vt:variant>
        <vt:i4>5</vt:i4>
      </vt:variant>
      <vt:variant>
        <vt:lpwstr>https://www.cbd.int/doc/decisions/cop-09/cop-09-dec-18-en.pdf</vt:lpwstr>
      </vt:variant>
      <vt:variant>
        <vt:lpwstr/>
      </vt:variant>
      <vt:variant>
        <vt:i4>393285</vt:i4>
      </vt:variant>
      <vt:variant>
        <vt:i4>51</vt:i4>
      </vt:variant>
      <vt:variant>
        <vt:i4>0</vt:i4>
      </vt:variant>
      <vt:variant>
        <vt:i4>5</vt:i4>
      </vt:variant>
      <vt:variant>
        <vt:lpwstr>https://www.cbd.int/doc/decisions/cop-08/cop-08-dec-24-en.pdf</vt:lpwstr>
      </vt:variant>
      <vt:variant>
        <vt:lpwstr/>
      </vt:variant>
      <vt:variant>
        <vt:i4>327754</vt:i4>
      </vt:variant>
      <vt:variant>
        <vt:i4>48</vt:i4>
      </vt:variant>
      <vt:variant>
        <vt:i4>0</vt:i4>
      </vt:variant>
      <vt:variant>
        <vt:i4>5</vt:i4>
      </vt:variant>
      <vt:variant>
        <vt:lpwstr>https://www.cbd.int/doc/decisions/cop-07/cop-07-dec-28-en.pdf</vt:lpwstr>
      </vt:variant>
      <vt:variant>
        <vt:lpwstr/>
      </vt:variant>
      <vt:variant>
        <vt:i4>458826</vt:i4>
      </vt:variant>
      <vt:variant>
        <vt:i4>45</vt:i4>
      </vt:variant>
      <vt:variant>
        <vt:i4>0</vt:i4>
      </vt:variant>
      <vt:variant>
        <vt:i4>5</vt:i4>
      </vt:variant>
      <vt:variant>
        <vt:lpwstr>https://www.cbd.int/doc/decisions/cop-14/cop-14-dec-08-en.pdf</vt:lpwstr>
      </vt:variant>
      <vt:variant>
        <vt:lpwstr/>
      </vt:variant>
      <vt:variant>
        <vt:i4>458826</vt:i4>
      </vt:variant>
      <vt:variant>
        <vt:i4>42</vt:i4>
      </vt:variant>
      <vt:variant>
        <vt:i4>0</vt:i4>
      </vt:variant>
      <vt:variant>
        <vt:i4>5</vt:i4>
      </vt:variant>
      <vt:variant>
        <vt:lpwstr>https://www.cbd.int/doc/decisions/cop-14/cop-14-dec-08-en.pdf</vt:lpwstr>
      </vt:variant>
      <vt:variant>
        <vt:lpwstr/>
      </vt:variant>
      <vt:variant>
        <vt:i4>852057</vt:i4>
      </vt:variant>
      <vt:variant>
        <vt:i4>39</vt:i4>
      </vt:variant>
      <vt:variant>
        <vt:i4>0</vt:i4>
      </vt:variant>
      <vt:variant>
        <vt:i4>5</vt:i4>
      </vt:variant>
      <vt:variant>
        <vt:lpwstr>https://www.cbd.int/decision/cop?id=12268</vt:lpwstr>
      </vt:variant>
      <vt:variant>
        <vt:lpwstr/>
      </vt:variant>
      <vt:variant>
        <vt:i4>262181</vt:i4>
      </vt:variant>
      <vt:variant>
        <vt:i4>36</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458826</vt:i4>
      </vt:variant>
      <vt:variant>
        <vt:i4>33</vt:i4>
      </vt:variant>
      <vt:variant>
        <vt:i4>0</vt:i4>
      </vt:variant>
      <vt:variant>
        <vt:i4>5</vt:i4>
      </vt:variant>
      <vt:variant>
        <vt:lpwstr>https://www.cbd.int/doc/decisions/cop-14/cop-14-dec-08-en.pdf</vt:lpwstr>
      </vt:variant>
      <vt:variant>
        <vt:lpwstr/>
      </vt:variant>
      <vt:variant>
        <vt:i4>655435</vt:i4>
      </vt:variant>
      <vt:variant>
        <vt:i4>30</vt:i4>
      </vt:variant>
      <vt:variant>
        <vt:i4>0</vt:i4>
      </vt:variant>
      <vt:variant>
        <vt:i4>5</vt:i4>
      </vt:variant>
      <vt:variant>
        <vt:lpwstr>https://www.cbd.int/doc/decisions/cop-15/cop-15-dec-04-en.pdf</vt:lpwstr>
      </vt:variant>
      <vt:variant>
        <vt:lpwstr/>
      </vt:variant>
      <vt:variant>
        <vt:i4>458826</vt:i4>
      </vt:variant>
      <vt:variant>
        <vt:i4>27</vt:i4>
      </vt:variant>
      <vt:variant>
        <vt:i4>0</vt:i4>
      </vt:variant>
      <vt:variant>
        <vt:i4>5</vt:i4>
      </vt:variant>
      <vt:variant>
        <vt:lpwstr>https://www.cbd.int/doc/decisions/cop-14/cop-14-dec-08-en.pdf</vt:lpwstr>
      </vt:variant>
      <vt:variant>
        <vt:lpwstr/>
      </vt:variant>
      <vt:variant>
        <vt:i4>589902</vt:i4>
      </vt:variant>
      <vt:variant>
        <vt:i4>24</vt:i4>
      </vt:variant>
      <vt:variant>
        <vt:i4>0</vt:i4>
      </vt:variant>
      <vt:variant>
        <vt:i4>5</vt:i4>
      </vt:variant>
      <vt:variant>
        <vt:lpwstr>https://www.cbd.int/doc/decisions/cop-10/cop-10-dec-02-en.pdf</vt:lpwstr>
      </vt:variant>
      <vt:variant>
        <vt:lpwstr/>
      </vt:variant>
      <vt:variant>
        <vt:i4>655437</vt:i4>
      </vt:variant>
      <vt:variant>
        <vt:i4>21</vt:i4>
      </vt:variant>
      <vt:variant>
        <vt:i4>0</vt:i4>
      </vt:variant>
      <vt:variant>
        <vt:i4>5</vt:i4>
      </vt:variant>
      <vt:variant>
        <vt:lpwstr>https://www.cbd.int/doc/decisions/cop-10/cop-10-dec-31-en.pdf</vt:lpwstr>
      </vt:variant>
      <vt:variant>
        <vt:lpwstr/>
      </vt:variant>
      <vt:variant>
        <vt:i4>720967</vt:i4>
      </vt:variant>
      <vt:variant>
        <vt:i4>18</vt:i4>
      </vt:variant>
      <vt:variant>
        <vt:i4>0</vt:i4>
      </vt:variant>
      <vt:variant>
        <vt:i4>5</vt:i4>
      </vt:variant>
      <vt:variant>
        <vt:lpwstr>https://www.cbd.int/doc/decisions/cop-09/cop-09-dec-18-en.pdf</vt:lpwstr>
      </vt:variant>
      <vt:variant>
        <vt:lpwstr/>
      </vt:variant>
      <vt:variant>
        <vt:i4>393285</vt:i4>
      </vt:variant>
      <vt:variant>
        <vt:i4>15</vt:i4>
      </vt:variant>
      <vt:variant>
        <vt:i4>0</vt:i4>
      </vt:variant>
      <vt:variant>
        <vt:i4>5</vt:i4>
      </vt:variant>
      <vt:variant>
        <vt:lpwstr>https://www.cbd.int/doc/decisions/cop-08/cop-08-dec-24-en.pdf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262181</vt:i4>
      </vt:variant>
      <vt:variant>
        <vt:i4>9</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5439518</vt:i4>
      </vt:variant>
      <vt:variant>
        <vt:i4>6</vt:i4>
      </vt:variant>
      <vt:variant>
        <vt:i4>0</vt:i4>
      </vt:variant>
      <vt:variant>
        <vt:i4>5</vt:i4>
      </vt:variant>
      <vt:variant>
        <vt:lpwstr>https://www.cbd.int/doc/notifications/2025/ntf-2025-135-pa-en.pdf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2228265</vt:i4>
      </vt:variant>
      <vt:variant>
        <vt:i4>9</vt:i4>
      </vt:variant>
      <vt:variant>
        <vt:i4>0</vt:i4>
      </vt:variant>
      <vt:variant>
        <vt:i4>5</vt:i4>
      </vt:variant>
      <vt:variant>
        <vt:lpwstr>https://www.cbd.int/development/doc/biodiversity-2030-agenda-technical-note-en.pdf</vt:lpwstr>
      </vt:variant>
      <vt:variant>
        <vt:lpwstr/>
      </vt:variant>
      <vt:variant>
        <vt:i4>4849741</vt:i4>
      </vt:variant>
      <vt:variant>
        <vt:i4>6</vt:i4>
      </vt:variant>
      <vt:variant>
        <vt:i4>0</vt:i4>
      </vt:variant>
      <vt:variant>
        <vt:i4>5</vt:i4>
      </vt:variant>
      <vt:variant>
        <vt:lpwstr>https://www.cms.int/</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Necesidades científicas y técnicas para apoyar la aplicación del Marco Mundial de Biodiversidad de Kunming-Montreal: revisión estratégica y actualización del programa de trabajo sobre áreas protegidas</dc:title>
  <dc:subject/>
  <dc:creator>Secretariat of the Convention on Biological Diversity</dc:creator>
  <cp:keywords>Subsidiary Body on Scientific, Technical and Technological Advice, twenty-seventh meeting</cp:keywords>
  <dc:description/>
  <cp:lastModifiedBy>Nikolas Diallo</cp:lastModifiedBy>
  <cp:revision>36</cp:revision>
  <cp:lastPrinted>2025-06-26T05:14:00Z</cp:lastPrinted>
  <dcterms:created xsi:type="dcterms:W3CDTF">2026-06-12T14:30:00Z</dcterms:created>
  <dcterms:modified xsi:type="dcterms:W3CDTF">2026-06-19T20:24:00Z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0x0101007A328EB00E67F346B6174BE96D327B2B</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