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8D6745" w:rsidRPr="003D067D" w14:paraId="16618E5E" w14:textId="77777777" w:rsidTr="00856074">
        <w:trPr>
          <w:trHeight w:val="844"/>
        </w:trPr>
        <w:tc>
          <w:tcPr>
            <w:tcW w:w="744" w:type="dxa"/>
            <w:tcBorders>
              <w:bottom w:val="single" w:sz="12" w:space="0" w:color="auto"/>
            </w:tcBorders>
          </w:tcPr>
          <w:p w14:paraId="0BA6B86B" w14:textId="77777777" w:rsidR="008D6745" w:rsidRPr="008A0A75" w:rsidRDefault="008D6745" w:rsidP="00102791">
            <w:pPr>
              <w:rPr>
                <w:kern w:val="22"/>
                <w:lang w:val="en-GB"/>
              </w:rPr>
            </w:pPr>
            <w:bookmarkStart w:id="0" w:name="_Hlk505247837"/>
            <w:bookmarkStart w:id="1" w:name="_Toc462934071"/>
            <w:bookmarkStart w:id="2" w:name="_Toc480714127"/>
            <w:r w:rsidRPr="008A0A75">
              <w:rPr>
                <w:noProof/>
                <w:kern w:val="22"/>
                <w:lang w:eastAsia="zh-CN"/>
              </w:rPr>
              <w:drawing>
                <wp:anchor distT="0" distB="0" distL="114300" distR="114300" simplePos="0" relativeHeight="251670016" behindDoc="0" locked="0" layoutInCell="1" allowOverlap="1" wp14:anchorId="520CF8A5" wp14:editId="37D0D14C">
                  <wp:simplePos x="0" y="0"/>
                  <wp:positionH relativeFrom="column">
                    <wp:posOffset>-63744</wp:posOffset>
                  </wp:positionH>
                  <wp:positionV relativeFrom="page">
                    <wp:posOffset>128368</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Pr>
          <w:p w14:paraId="14A6452D" w14:textId="77777777" w:rsidR="008D6745" w:rsidRDefault="008D6745" w:rsidP="00856074">
            <w:pPr>
              <w:rPr>
                <w:b/>
                <w:bCs/>
                <w:sz w:val="20"/>
                <w:szCs w:val="20"/>
              </w:rPr>
            </w:pPr>
            <w:r w:rsidRPr="002F6C2F">
              <w:rPr>
                <w:b/>
                <w:bCs/>
                <w:noProof/>
                <w:sz w:val="20"/>
                <w:szCs w:val="20"/>
                <w:lang w:eastAsia="zh-CN"/>
              </w:rPr>
              <w:drawing>
                <wp:anchor distT="0" distB="0" distL="114300" distR="114300" simplePos="0" relativeHeight="251671040" behindDoc="0" locked="0" layoutInCell="1" allowOverlap="1" wp14:anchorId="209805B1" wp14:editId="031F0F20">
                  <wp:simplePos x="0" y="0"/>
                  <wp:positionH relativeFrom="column">
                    <wp:posOffset>407035</wp:posOffset>
                  </wp:positionH>
                  <wp:positionV relativeFrom="paragraph">
                    <wp:posOffset>131772</wp:posOffset>
                  </wp:positionV>
                  <wp:extent cx="181069" cy="1914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49B88DB0" w14:textId="77777777" w:rsidR="008D6745" w:rsidRPr="002F6C2F" w:rsidRDefault="008D6745" w:rsidP="00856074">
            <w:pPr>
              <w:rPr>
                <w:b/>
                <w:bCs/>
                <w:sz w:val="20"/>
                <w:szCs w:val="20"/>
              </w:rPr>
            </w:pPr>
            <w:proofErr w:type="spellStart"/>
            <w:r w:rsidRPr="002F6C2F">
              <w:rPr>
                <w:rFonts w:hint="eastAsia"/>
                <w:b/>
                <w:bCs/>
                <w:sz w:val="20"/>
                <w:szCs w:val="20"/>
              </w:rPr>
              <w:t>联合国</w:t>
            </w:r>
            <w:proofErr w:type="spellEnd"/>
          </w:p>
          <w:p w14:paraId="48207792" w14:textId="77777777" w:rsidR="008D6745" w:rsidRPr="002F6C2F" w:rsidRDefault="008D6745" w:rsidP="00856074">
            <w:pPr>
              <w:rPr>
                <w:b/>
                <w:bCs/>
                <w:sz w:val="20"/>
                <w:szCs w:val="20"/>
              </w:rPr>
            </w:pPr>
            <w:proofErr w:type="spellStart"/>
            <w:r w:rsidRPr="002F6C2F">
              <w:rPr>
                <w:rFonts w:hint="eastAsia"/>
                <w:b/>
                <w:bCs/>
                <w:sz w:val="20"/>
                <w:szCs w:val="20"/>
              </w:rPr>
              <w:t>环境规划署</w:t>
            </w:r>
            <w:proofErr w:type="spellEnd"/>
          </w:p>
          <w:p w14:paraId="15FD96AC" w14:textId="6767F27A" w:rsidR="008D6745" w:rsidRPr="008A0A75" w:rsidRDefault="008D6745" w:rsidP="00102791">
            <w:pPr>
              <w:rPr>
                <w:kern w:val="22"/>
                <w:lang w:val="en-GB"/>
              </w:rPr>
            </w:pPr>
          </w:p>
        </w:tc>
        <w:tc>
          <w:tcPr>
            <w:tcW w:w="4214" w:type="dxa"/>
            <w:tcBorders>
              <w:bottom w:val="single" w:sz="12" w:space="0" w:color="auto"/>
            </w:tcBorders>
          </w:tcPr>
          <w:p w14:paraId="3C8A07FF" w14:textId="77777777" w:rsidR="008D6745" w:rsidRPr="008A0A75" w:rsidRDefault="008D6745" w:rsidP="00102791">
            <w:pPr>
              <w:jc w:val="right"/>
              <w:rPr>
                <w:rFonts w:ascii="Arial" w:hAnsi="Arial" w:cs="Arial"/>
                <w:b/>
                <w:kern w:val="22"/>
                <w:sz w:val="32"/>
                <w:szCs w:val="32"/>
                <w:lang w:val="en-GB"/>
              </w:rPr>
            </w:pPr>
            <w:r w:rsidRPr="008A0A75">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F2846" w:rsidRPr="003D067D" w14:paraId="583E800C" w14:textId="77777777" w:rsidTr="00102791">
        <w:trPr>
          <w:trHeight w:val="1693"/>
        </w:trPr>
        <w:tc>
          <w:tcPr>
            <w:tcW w:w="6086" w:type="dxa"/>
            <w:tcBorders>
              <w:top w:val="nil"/>
              <w:bottom w:val="single" w:sz="36" w:space="0" w:color="000000"/>
            </w:tcBorders>
          </w:tcPr>
          <w:bookmarkEnd w:id="0"/>
          <w:p w14:paraId="379F5FA0" w14:textId="21CBCE80" w:rsidR="00AF2846" w:rsidRPr="00AF2846" w:rsidRDefault="008D6745" w:rsidP="00AF2846">
            <w:pPr>
              <w:suppressLineNumbers/>
              <w:suppressAutoHyphens/>
              <w:spacing w:after="0" w:line="240" w:lineRule="auto"/>
              <w:rPr>
                <w:rFonts w:ascii="Times New Roman" w:hAnsi="Times New Roman" w:cs="Times New Roman"/>
                <w:snapToGrid w:val="0"/>
                <w:kern w:val="22"/>
                <w:lang w:val="en-GB"/>
              </w:rPr>
            </w:pPr>
            <w:r w:rsidRPr="000679C3">
              <w:rPr>
                <w:b/>
                <w:noProof/>
                <w:lang w:eastAsia="zh-CN"/>
              </w:rPr>
              <w:drawing>
                <wp:inline distT="0" distB="0" distL="0" distR="0" wp14:anchorId="22BDBB80" wp14:editId="77642230">
                  <wp:extent cx="3001107" cy="1025104"/>
                  <wp:effectExtent l="0" t="0" r="8890" b="3810"/>
                  <wp:docPr id="8" name="Picture 8"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024854"/>
                          </a:xfrm>
                          <a:prstGeom prst="rect">
                            <a:avLst/>
                          </a:prstGeom>
                          <a:noFill/>
                          <a:ln>
                            <a:noFill/>
                          </a:ln>
                        </pic:spPr>
                      </pic:pic>
                    </a:graphicData>
                  </a:graphic>
                </wp:inline>
              </w:drawing>
            </w:r>
          </w:p>
        </w:tc>
        <w:tc>
          <w:tcPr>
            <w:tcW w:w="1144" w:type="dxa"/>
            <w:tcBorders>
              <w:top w:val="nil"/>
              <w:bottom w:val="single" w:sz="36" w:space="0" w:color="000000"/>
            </w:tcBorders>
          </w:tcPr>
          <w:p w14:paraId="78244ECB" w14:textId="77777777" w:rsidR="00AF2846" w:rsidRPr="00AF2846" w:rsidRDefault="00AF2846" w:rsidP="00AF2846">
            <w:pPr>
              <w:pStyle w:val="Header"/>
              <w:suppressLineNumbers/>
              <w:suppressAutoHyphens/>
              <w:jc w:val="both"/>
              <w:rPr>
                <w:rFonts w:ascii="Times New Roman" w:eastAsia="MS Mincho" w:hAnsi="Times New Roman" w:cs="Times New Roman"/>
                <w:bCs/>
                <w:snapToGrid w:val="0"/>
                <w:kern w:val="22"/>
                <w:lang w:val="en-GB"/>
              </w:rPr>
            </w:pPr>
          </w:p>
        </w:tc>
        <w:tc>
          <w:tcPr>
            <w:tcW w:w="2977" w:type="dxa"/>
            <w:tcBorders>
              <w:top w:val="nil"/>
              <w:bottom w:val="single" w:sz="36" w:space="0" w:color="000000"/>
            </w:tcBorders>
          </w:tcPr>
          <w:p w14:paraId="23EFC180"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r w:rsidRPr="00AF2846">
              <w:rPr>
                <w:rFonts w:ascii="Times New Roman" w:hAnsi="Times New Roman" w:cs="Times New Roman"/>
                <w:snapToGrid w:val="0"/>
                <w:kern w:val="22"/>
                <w:lang w:val="en-GB"/>
              </w:rPr>
              <w:t>Distr.</w:t>
            </w:r>
          </w:p>
          <w:p w14:paraId="3FDF19CD"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r w:rsidRPr="00AF2846">
              <w:rPr>
                <w:rFonts w:ascii="Times New Roman" w:hAnsi="Times New Roman" w:cs="Times New Roman"/>
                <w:snapToGrid w:val="0"/>
                <w:kern w:val="22"/>
                <w:lang w:val="en-GB"/>
              </w:rPr>
              <w:t>GENERAL</w:t>
            </w:r>
          </w:p>
          <w:p w14:paraId="6CEDA031"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p>
          <w:bookmarkStart w:id="3" w:name="_Hlk22815168" w:displacedByCustomXml="next"/>
          <w:sdt>
            <w:sdtPr>
              <w:rPr>
                <w:rFonts w:ascii="Times New Roman" w:hAnsi="Times New Roman" w:cs="Times New Roman"/>
                <w:snapToGrid w:val="0"/>
                <w:kern w:val="22"/>
                <w:lang w:val="en-GB"/>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73276604" w14:textId="5B24FE4C" w:rsidR="00AF2846" w:rsidRPr="00AF2846" w:rsidRDefault="00247801" w:rsidP="00AF2846">
                <w:pPr>
                  <w:suppressLineNumbers/>
                  <w:suppressAutoHyphens/>
                  <w:spacing w:after="0" w:line="240" w:lineRule="auto"/>
                  <w:ind w:left="318"/>
                  <w:rPr>
                    <w:rFonts w:ascii="Times New Roman" w:hAnsi="Times New Roman" w:cs="Times New Roman"/>
                    <w:snapToGrid w:val="0"/>
                    <w:kern w:val="22"/>
                    <w:lang w:val="en-GB"/>
                  </w:rPr>
                </w:pPr>
                <w:r>
                  <w:rPr>
                    <w:rFonts w:ascii="Times New Roman" w:hAnsi="Times New Roman" w:cs="Times New Roman"/>
                    <w:snapToGrid w:val="0"/>
                    <w:kern w:val="22"/>
                    <w:lang w:val="en-GB"/>
                  </w:rPr>
                  <w:t>CBD/SBI/</w:t>
                </w:r>
                <w:r w:rsidR="00FE08E5">
                  <w:rPr>
                    <w:rFonts w:ascii="Times New Roman" w:hAnsi="Times New Roman" w:cs="Times New Roman"/>
                    <w:snapToGrid w:val="0"/>
                    <w:kern w:val="22"/>
                    <w:lang w:val="en-GB"/>
                  </w:rPr>
                  <w:t>3/6/Add.1</w:t>
                </w:r>
              </w:p>
            </w:sdtContent>
          </w:sdt>
          <w:p w14:paraId="4981AF26"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r w:rsidRPr="00AF2846">
              <w:rPr>
                <w:rFonts w:ascii="Times New Roman" w:hAnsi="Times New Roman" w:cs="Times New Roman"/>
                <w:snapToGrid w:val="0"/>
                <w:kern w:val="22"/>
                <w:lang w:val="en-GB"/>
              </w:rPr>
              <w:t>12 June 2020</w:t>
            </w:r>
          </w:p>
          <w:p w14:paraId="0F291CD9" w14:textId="77777777" w:rsidR="00AF2846" w:rsidRDefault="00AF2846" w:rsidP="00AF2846">
            <w:pPr>
              <w:suppressLineNumbers/>
              <w:suppressAutoHyphens/>
              <w:spacing w:after="0" w:line="240" w:lineRule="auto"/>
              <w:ind w:left="318"/>
              <w:rPr>
                <w:rFonts w:ascii="Times New Roman" w:hAnsi="Times New Roman" w:cs="Times New Roman"/>
                <w:snapToGrid w:val="0"/>
                <w:kern w:val="22"/>
                <w:lang w:val="en-GB"/>
              </w:rPr>
            </w:pPr>
          </w:p>
          <w:p w14:paraId="12110307" w14:textId="31ADDD04" w:rsidR="008D6745" w:rsidRPr="00AF2846" w:rsidRDefault="008D6745" w:rsidP="00AF2846">
            <w:pPr>
              <w:suppressLineNumbers/>
              <w:suppressAutoHyphens/>
              <w:spacing w:after="0" w:line="240" w:lineRule="auto"/>
              <w:ind w:left="318"/>
              <w:rPr>
                <w:rFonts w:ascii="Times New Roman" w:hAnsi="Times New Roman" w:cs="Times New Roman"/>
                <w:snapToGrid w:val="0"/>
                <w:kern w:val="22"/>
                <w:lang w:val="en-GB"/>
              </w:rPr>
            </w:pPr>
            <w:r>
              <w:rPr>
                <w:rFonts w:ascii="Times New Roman" w:hAnsi="Times New Roman" w:cs="Times New Roman"/>
                <w:snapToGrid w:val="0"/>
                <w:kern w:val="22"/>
                <w:lang w:val="en-GB"/>
              </w:rPr>
              <w:t>CHINESE</w:t>
            </w:r>
          </w:p>
          <w:p w14:paraId="374474B8" w14:textId="77777777" w:rsidR="00AF2846" w:rsidRPr="00AF2846" w:rsidRDefault="00AF2846" w:rsidP="00AF2846">
            <w:pPr>
              <w:suppressLineNumbers/>
              <w:suppressAutoHyphens/>
              <w:spacing w:after="0" w:line="240" w:lineRule="auto"/>
              <w:ind w:left="318"/>
              <w:rPr>
                <w:rFonts w:ascii="Times New Roman" w:hAnsi="Times New Roman" w:cs="Times New Roman"/>
                <w:snapToGrid w:val="0"/>
                <w:kern w:val="22"/>
                <w:u w:val="single"/>
                <w:lang w:val="en-GB"/>
              </w:rPr>
            </w:pPr>
            <w:r w:rsidRPr="00AF2846">
              <w:rPr>
                <w:rFonts w:ascii="Times New Roman" w:hAnsi="Times New Roman" w:cs="Times New Roman"/>
                <w:snapToGrid w:val="0"/>
                <w:kern w:val="22"/>
                <w:lang w:val="en-GB"/>
              </w:rPr>
              <w:t>ORIGINAL: ENGLISH</w:t>
            </w:r>
          </w:p>
        </w:tc>
      </w:tr>
    </w:tbl>
    <w:p w14:paraId="20D792DE" w14:textId="77777777" w:rsidR="008D6745" w:rsidRPr="008D6745" w:rsidRDefault="008D6745" w:rsidP="008D6745">
      <w:pPr>
        <w:pStyle w:val="meetingname"/>
        <w:suppressLineNumbers/>
        <w:suppressAutoHyphens/>
        <w:ind w:left="-180" w:right="4398"/>
        <w:rPr>
          <w:rFonts w:eastAsia="SimSun"/>
          <w:kern w:val="22"/>
          <w:lang w:val="en-GB"/>
        </w:rPr>
      </w:pPr>
      <w:bookmarkStart w:id="4" w:name="Meeting"/>
      <w:proofErr w:type="spellStart"/>
      <w:r w:rsidRPr="008D6745">
        <w:rPr>
          <w:rFonts w:eastAsia="SimSun"/>
          <w:kern w:val="22"/>
          <w:lang w:val="en-GB"/>
        </w:rPr>
        <w:t>执行问题附属机构</w:t>
      </w:r>
      <w:proofErr w:type="spellEnd"/>
    </w:p>
    <w:p w14:paraId="092A0D98" w14:textId="77777777" w:rsidR="008D6745" w:rsidRPr="008D6745" w:rsidRDefault="008D6745" w:rsidP="008D6745">
      <w:pPr>
        <w:pStyle w:val="meetingname"/>
        <w:suppressLineNumbers/>
        <w:suppressAutoHyphens/>
        <w:ind w:left="-180" w:right="4398"/>
        <w:rPr>
          <w:rFonts w:eastAsia="SimSun"/>
          <w:kern w:val="22"/>
          <w:lang w:val="en-GB"/>
        </w:rPr>
      </w:pPr>
      <w:proofErr w:type="spellStart"/>
      <w:r w:rsidRPr="008D6745">
        <w:rPr>
          <w:rFonts w:eastAsia="SimSun"/>
          <w:kern w:val="22"/>
          <w:lang w:val="en-GB"/>
        </w:rPr>
        <w:t>第三次会议</w:t>
      </w:r>
      <w:proofErr w:type="spellEnd"/>
    </w:p>
    <w:p w14:paraId="2D582383" w14:textId="77777777" w:rsidR="008D6745" w:rsidRPr="008D6745" w:rsidRDefault="008D6745" w:rsidP="008D6745">
      <w:pPr>
        <w:pStyle w:val="meetingname"/>
        <w:suppressLineNumbers/>
        <w:suppressAutoHyphens/>
        <w:ind w:left="-173" w:right="3744" w:hanging="173"/>
        <w:rPr>
          <w:rFonts w:eastAsia="SimSun"/>
          <w:kern w:val="22"/>
          <w:lang w:val="en-GB"/>
        </w:rPr>
      </w:pPr>
      <w:r w:rsidRPr="008D6745">
        <w:rPr>
          <w:rFonts w:eastAsia="SimSun"/>
          <w:kern w:val="22"/>
          <w:lang w:val="en-GB"/>
        </w:rPr>
        <w:t>2020</w:t>
      </w:r>
      <w:r w:rsidRPr="008D6745">
        <w:rPr>
          <w:rFonts w:eastAsia="SimSun"/>
          <w:kern w:val="22"/>
          <w:lang w:val="en-GB"/>
        </w:rPr>
        <w:t>年</w:t>
      </w:r>
      <w:r w:rsidRPr="008D6745">
        <w:rPr>
          <w:rFonts w:eastAsia="SimSun"/>
          <w:kern w:val="22"/>
          <w:lang w:val="en-GB"/>
        </w:rPr>
        <w:t>11</w:t>
      </w:r>
      <w:r w:rsidRPr="008D6745">
        <w:rPr>
          <w:rFonts w:eastAsia="SimSun"/>
          <w:kern w:val="22"/>
          <w:lang w:val="en-GB"/>
        </w:rPr>
        <w:t>月</w:t>
      </w:r>
      <w:r w:rsidRPr="008D6745">
        <w:rPr>
          <w:rFonts w:eastAsia="SimSun"/>
          <w:kern w:val="22"/>
          <w:lang w:val="en-GB"/>
        </w:rPr>
        <w:t>9</w:t>
      </w:r>
      <w:proofErr w:type="spellStart"/>
      <w:r w:rsidRPr="008D6745">
        <w:rPr>
          <w:rFonts w:eastAsia="SimSun"/>
          <w:kern w:val="22"/>
          <w:lang w:val="en-GB"/>
        </w:rPr>
        <w:t>日至</w:t>
      </w:r>
      <w:proofErr w:type="spellEnd"/>
      <w:r w:rsidRPr="008D6745">
        <w:rPr>
          <w:rFonts w:eastAsia="SimSun"/>
          <w:kern w:val="22"/>
          <w:lang w:val="en-GB"/>
        </w:rPr>
        <w:t>14</w:t>
      </w:r>
      <w:proofErr w:type="spellStart"/>
      <w:r w:rsidRPr="008D6745">
        <w:rPr>
          <w:rFonts w:eastAsia="SimSun"/>
          <w:kern w:val="22"/>
          <w:lang w:val="en-GB"/>
        </w:rPr>
        <w:t>日，加拿大魁北克市（待确定</w:t>
      </w:r>
      <w:proofErr w:type="spellEnd"/>
      <w:r w:rsidRPr="008D6745">
        <w:rPr>
          <w:rFonts w:eastAsia="SimSun"/>
          <w:kern w:val="22"/>
          <w:lang w:val="en-GB"/>
        </w:rPr>
        <w:t>）</w:t>
      </w:r>
    </w:p>
    <w:p w14:paraId="0B3F5B85" w14:textId="0A511CFE" w:rsidR="008D6745" w:rsidRPr="008D6745" w:rsidRDefault="008D6745" w:rsidP="008D6745">
      <w:pPr>
        <w:pStyle w:val="meetingname"/>
        <w:suppressLineNumbers/>
        <w:suppressAutoHyphens/>
        <w:ind w:left="-346" w:right="4392" w:firstLine="0"/>
        <w:rPr>
          <w:rFonts w:eastAsia="SimSun"/>
          <w:kern w:val="22"/>
          <w:lang w:val="en-GB" w:eastAsia="zh-CN"/>
        </w:rPr>
      </w:pPr>
      <w:r w:rsidRPr="008D6745">
        <w:rPr>
          <w:rFonts w:eastAsia="SimSun"/>
          <w:kern w:val="22"/>
          <w:lang w:val="en-GB" w:eastAsia="zh-CN"/>
        </w:rPr>
        <w:t>临时议程</w:t>
      </w:r>
      <w:r w:rsidR="00856074" w:rsidRPr="00AF2846">
        <w:rPr>
          <w:rStyle w:val="FootnoteReference"/>
          <w:kern w:val="22"/>
          <w:lang w:val="en-GB" w:eastAsia="zh-CN"/>
        </w:rPr>
        <w:footnoteReference w:customMarkFollows="1" w:id="2"/>
        <w:t>*</w:t>
      </w:r>
      <w:r w:rsidRPr="008D6745">
        <w:rPr>
          <w:rFonts w:eastAsia="SimSun"/>
          <w:kern w:val="22"/>
          <w:lang w:val="en-GB" w:eastAsia="zh-CN"/>
        </w:rPr>
        <w:t>项目</w:t>
      </w:r>
      <w:r w:rsidR="00856074">
        <w:rPr>
          <w:rFonts w:eastAsia="SimSun"/>
          <w:kern w:val="22"/>
          <w:lang w:val="en-GB" w:eastAsia="zh-CN"/>
        </w:rPr>
        <w:t>6</w:t>
      </w:r>
      <w:r w:rsidRPr="008D6745">
        <w:rPr>
          <w:rFonts w:eastAsia="SimSun"/>
          <w:kern w:val="22"/>
          <w:lang w:val="en-GB" w:eastAsia="zh-CN"/>
        </w:rPr>
        <w:t xml:space="preserve"> </w:t>
      </w:r>
    </w:p>
    <w:bookmarkEnd w:id="4"/>
    <w:p w14:paraId="6B5B46C5" w14:textId="77777777" w:rsidR="004C4A26" w:rsidRDefault="004C4A26" w:rsidP="004B7D03">
      <w:pPr>
        <w:pStyle w:val="Header"/>
        <w:suppressLineNumbers/>
        <w:suppressAutoHyphens/>
        <w:rPr>
          <w:rFonts w:ascii="Times New Roman" w:hAnsi="Times New Roman" w:cs="Times New Roman"/>
          <w:snapToGrid w:val="0"/>
          <w:kern w:val="22"/>
          <w:lang w:val="en-GB" w:eastAsia="zh-CN"/>
        </w:rPr>
      </w:pPr>
    </w:p>
    <w:p w14:paraId="3C205312" w14:textId="77777777" w:rsidR="00856074" w:rsidRPr="00856074" w:rsidRDefault="00856074" w:rsidP="004B7D03">
      <w:pPr>
        <w:pStyle w:val="Header"/>
        <w:suppressLineNumbers/>
        <w:suppressAutoHyphens/>
        <w:rPr>
          <w:rFonts w:ascii="Times New Roman" w:hAnsi="Times New Roman" w:cs="Times New Roman"/>
          <w:snapToGrid w:val="0"/>
          <w:kern w:val="22"/>
          <w:sz w:val="24"/>
          <w:szCs w:val="24"/>
          <w:lang w:val="en-GB" w:eastAsia="zh-CN"/>
        </w:rPr>
      </w:pPr>
    </w:p>
    <w:sdt>
      <w:sdtPr>
        <w:alias w:val="Title"/>
        <w:tag w:val=""/>
        <w:id w:val="1423067625"/>
        <w:placeholder>
          <w:docPart w:val="B16882D3CD1D4AF581A165F293A75A9E"/>
        </w:placeholder>
        <w:dataBinding w:prefixMappings="xmlns:ns0='http://purl.org/dc/elements/1.1/' xmlns:ns1='http://schemas.openxmlformats.org/package/2006/metadata/core-properties' " w:xpath="/ns1:coreProperties[1]/ns0:title[1]" w:storeItemID="{6C3C8BC8-F283-45AE-878A-BAB7291924A1}"/>
        <w:text/>
      </w:sdtPr>
      <w:sdtEndPr/>
      <w:sdtContent>
        <w:p w14:paraId="6D12CFAD" w14:textId="47EA1A5F" w:rsidR="00AF2846" w:rsidRPr="00856074" w:rsidRDefault="004D5062" w:rsidP="004D5062">
          <w:pPr>
            <w:pStyle w:val="Heading1"/>
          </w:pPr>
          <w:r w:rsidRPr="00856074">
            <w:t>财务机制</w:t>
          </w:r>
          <w:r>
            <w:rPr>
              <w:rFonts w:hint="eastAsia"/>
            </w:rPr>
            <w:t xml:space="preserve"> -</w:t>
          </w:r>
          <w:r>
            <w:t xml:space="preserve"> </w:t>
          </w:r>
          <w:r w:rsidRPr="006B45E4">
            <w:rPr>
              <w:rFonts w:hint="eastAsia"/>
            </w:rPr>
            <w:t>全球环境基金的初步报告</w:t>
          </w:r>
        </w:p>
      </w:sdtContent>
    </w:sdt>
    <w:p w14:paraId="3343CF26" w14:textId="5DD11F55" w:rsidR="00AF2846" w:rsidRPr="004D5062" w:rsidRDefault="00945A0E" w:rsidP="00247801">
      <w:pPr>
        <w:spacing w:before="120" w:after="120" w:line="240" w:lineRule="auto"/>
        <w:jc w:val="center"/>
        <w:rPr>
          <w:rFonts w:ascii="Times New Roman" w:eastAsia="KaiTi" w:hAnsi="Times New Roman" w:cs="Times New Roman"/>
          <w:b/>
          <w:caps/>
          <w:snapToGrid w:val="0"/>
          <w:sz w:val="24"/>
          <w:szCs w:val="24"/>
          <w:lang w:eastAsia="zh-CN"/>
        </w:rPr>
      </w:pPr>
      <w:r w:rsidRPr="004D5062">
        <w:rPr>
          <w:rFonts w:ascii="Times New Roman" w:eastAsia="KaiTi" w:hAnsi="Times New Roman" w:cs="Times New Roman"/>
          <w:sz w:val="24"/>
          <w:szCs w:val="24"/>
          <w:lang w:eastAsia="zh-CN"/>
        </w:rPr>
        <w:t>执行秘书的说明</w:t>
      </w:r>
    </w:p>
    <w:p w14:paraId="4B6EB008" w14:textId="5CFC7F0A" w:rsidR="00AF2846" w:rsidRPr="00856074" w:rsidRDefault="00945A0E" w:rsidP="004D5062">
      <w:pPr>
        <w:pStyle w:val="Heading1"/>
        <w:rPr>
          <w:caps/>
        </w:rPr>
      </w:pPr>
      <w:r w:rsidRPr="00856074">
        <w:t>导言</w:t>
      </w:r>
    </w:p>
    <w:p w14:paraId="2FE819EE" w14:textId="3698258F" w:rsidR="005F4C20" w:rsidRPr="00856074" w:rsidRDefault="005F4C20" w:rsidP="00AF2846">
      <w:pPr>
        <w:pStyle w:val="Para1"/>
        <w:numPr>
          <w:ilvl w:val="0"/>
          <w:numId w:val="30"/>
        </w:numPr>
        <w:suppressLineNumbers/>
        <w:suppressAutoHyphens/>
        <w:spacing w:before="120"/>
        <w:ind w:left="0" w:firstLine="0"/>
        <w:jc w:val="both"/>
        <w:rPr>
          <w:rFonts w:eastAsia="SimSun" w:cs="Times New Roman"/>
          <w:kern w:val="22"/>
          <w:sz w:val="24"/>
          <w:szCs w:val="24"/>
          <w:lang w:eastAsia="zh-CN"/>
        </w:rPr>
      </w:pPr>
      <w:r w:rsidRPr="00856074">
        <w:rPr>
          <w:rFonts w:eastAsia="SimSun" w:cs="Times New Roman"/>
          <w:sz w:val="24"/>
          <w:szCs w:val="24"/>
          <w:lang w:eastAsia="zh-CN"/>
        </w:rPr>
        <w:t>在生物多样性公约缔约方大会与全球环境基金理事会之间的《谅解备忘录》中，理事会同意将编写一份报告并提交给缔约方大会每届常会（见第</w:t>
      </w:r>
      <w:r w:rsidRPr="00856074">
        <w:rPr>
          <w:rFonts w:eastAsia="SimSun" w:cs="Times New Roman"/>
          <w:sz w:val="24"/>
          <w:szCs w:val="24"/>
          <w:lang w:eastAsia="zh-CN"/>
        </w:rPr>
        <w:t>III/8</w:t>
      </w:r>
      <w:r w:rsidRPr="00856074">
        <w:rPr>
          <w:rFonts w:eastAsia="SimSun" w:cs="Times New Roman"/>
          <w:sz w:val="24"/>
          <w:szCs w:val="24"/>
          <w:lang w:eastAsia="zh-CN"/>
        </w:rPr>
        <w:t>号决定附件，第</w:t>
      </w:r>
      <w:r w:rsidRPr="00856074">
        <w:rPr>
          <w:rFonts w:eastAsia="SimSun" w:cs="Times New Roman"/>
          <w:sz w:val="24"/>
          <w:szCs w:val="24"/>
          <w:lang w:eastAsia="zh-CN"/>
        </w:rPr>
        <w:t>3</w:t>
      </w:r>
      <w:r w:rsidRPr="00856074">
        <w:rPr>
          <w:rFonts w:eastAsia="SimSun" w:cs="Times New Roman"/>
          <w:sz w:val="24"/>
          <w:szCs w:val="24"/>
          <w:lang w:eastAsia="zh-CN"/>
        </w:rPr>
        <w:t>段）。</w:t>
      </w:r>
    </w:p>
    <w:p w14:paraId="3D09C594" w14:textId="6738EB99" w:rsidR="00945A0E" w:rsidRPr="00856074" w:rsidRDefault="00945A0E" w:rsidP="00AF2846">
      <w:pPr>
        <w:pStyle w:val="Para1"/>
        <w:numPr>
          <w:ilvl w:val="0"/>
          <w:numId w:val="30"/>
        </w:numPr>
        <w:suppressLineNumbers/>
        <w:suppressAutoHyphens/>
        <w:spacing w:before="120"/>
        <w:ind w:left="0" w:firstLine="0"/>
        <w:jc w:val="both"/>
        <w:rPr>
          <w:rFonts w:eastAsia="SimSun" w:cs="Times New Roman"/>
          <w:kern w:val="22"/>
          <w:sz w:val="24"/>
          <w:szCs w:val="24"/>
          <w:lang w:eastAsia="zh-CN"/>
        </w:rPr>
      </w:pPr>
      <w:r w:rsidRPr="00856074">
        <w:rPr>
          <w:rFonts w:eastAsia="SimSun" w:cs="Times New Roman"/>
          <w:sz w:val="24"/>
          <w:szCs w:val="24"/>
          <w:lang w:eastAsia="zh-CN"/>
        </w:rPr>
        <w:t>在第</w:t>
      </w:r>
      <w:hyperlink r:id="rId14" w:history="1">
        <w:r w:rsidRPr="00856074">
          <w:rPr>
            <w:rStyle w:val="Hyperlink"/>
            <w:rFonts w:eastAsia="SimSun" w:cs="Times New Roman"/>
            <w:sz w:val="24"/>
            <w:szCs w:val="24"/>
            <w:lang w:eastAsia="zh-CN"/>
          </w:rPr>
          <w:t>XII/30</w:t>
        </w:r>
      </w:hyperlink>
      <w:r w:rsidRPr="00856074">
        <w:rPr>
          <w:rFonts w:eastAsia="SimSun" w:cs="Times New Roman"/>
          <w:sz w:val="24"/>
          <w:szCs w:val="24"/>
          <w:lang w:eastAsia="zh-CN"/>
        </w:rPr>
        <w:t>号决定第</w:t>
      </w:r>
      <w:r w:rsidRPr="00856074">
        <w:rPr>
          <w:rFonts w:eastAsia="SimSun" w:cs="Times New Roman"/>
          <w:sz w:val="24"/>
          <w:szCs w:val="24"/>
          <w:lang w:eastAsia="zh-CN"/>
        </w:rPr>
        <w:t>8(e)</w:t>
      </w:r>
      <w:r w:rsidRPr="00856074">
        <w:rPr>
          <w:rFonts w:eastAsia="SimSun" w:cs="Times New Roman"/>
          <w:sz w:val="24"/>
          <w:szCs w:val="24"/>
          <w:lang w:eastAsia="zh-CN"/>
        </w:rPr>
        <w:t>段中，缔约方大会邀请全球环境基金</w:t>
      </w:r>
      <w:r w:rsidRPr="00856074">
        <w:rPr>
          <w:rFonts w:eastAsia="SimSun" w:cs="Times New Roman"/>
          <w:sz w:val="24"/>
          <w:szCs w:val="24"/>
          <w:lang w:eastAsia="zh-CN"/>
        </w:rPr>
        <w:t>“</w:t>
      </w:r>
      <w:r w:rsidRPr="00856074">
        <w:rPr>
          <w:rFonts w:eastAsia="SimSun" w:cs="Times New Roman"/>
          <w:sz w:val="24"/>
          <w:szCs w:val="24"/>
          <w:lang w:eastAsia="zh-CN"/>
        </w:rPr>
        <w:t>在缔约方大会将要正式审议全球环境基金报告的那届会议之前的一次会议上，向执行问题附属机构提交其给缔约方大会报告的初稿，尤其将重点放在全球环境基金对以往给缔约方大会的指导所作回应上，以期促进有效和及时地审议报告中提供的信息</w:t>
      </w:r>
      <w:r w:rsidRPr="00856074">
        <w:rPr>
          <w:rFonts w:eastAsia="SimSun" w:cs="Times New Roman"/>
          <w:sz w:val="24"/>
          <w:szCs w:val="24"/>
          <w:lang w:eastAsia="zh-CN"/>
        </w:rPr>
        <w:t>”</w:t>
      </w:r>
      <w:r w:rsidRPr="00856074">
        <w:rPr>
          <w:rFonts w:eastAsia="SimSun" w:cs="Times New Roman"/>
          <w:sz w:val="24"/>
          <w:szCs w:val="24"/>
          <w:lang w:eastAsia="zh-CN"/>
        </w:rPr>
        <w:t>。</w:t>
      </w:r>
    </w:p>
    <w:p w14:paraId="0AFF56F4" w14:textId="17D437C5" w:rsidR="004C4A26" w:rsidRPr="00856074" w:rsidRDefault="004C4A26" w:rsidP="004C4A26">
      <w:pPr>
        <w:pStyle w:val="Para1"/>
        <w:numPr>
          <w:ilvl w:val="0"/>
          <w:numId w:val="30"/>
        </w:numPr>
        <w:suppressLineNumbers/>
        <w:suppressAutoHyphens/>
        <w:spacing w:before="120"/>
        <w:ind w:left="0" w:firstLine="0"/>
        <w:jc w:val="both"/>
        <w:rPr>
          <w:rFonts w:eastAsia="SimSun" w:cs="Times New Roman"/>
          <w:snapToGrid/>
          <w:kern w:val="22"/>
          <w:sz w:val="24"/>
          <w:szCs w:val="24"/>
          <w:lang w:eastAsia="zh-CN"/>
        </w:rPr>
      </w:pPr>
      <w:r w:rsidRPr="00856074">
        <w:rPr>
          <w:rFonts w:eastAsia="SimSun" w:cs="Times New Roman"/>
          <w:snapToGrid/>
          <w:kern w:val="22"/>
          <w:sz w:val="24"/>
          <w:szCs w:val="24"/>
          <w:lang w:eastAsia="zh-CN"/>
        </w:rPr>
        <w:t>根据上述情况，执行秘书谨此向执行问题附属机构第三次会议分发全球环境基金理事会的初步报告。该报告以</w:t>
      </w:r>
      <w:r w:rsidR="008A2B82" w:rsidRPr="00856074">
        <w:rPr>
          <w:rFonts w:eastAsia="SimSun" w:cs="Times New Roman"/>
          <w:snapToGrid/>
          <w:kern w:val="22"/>
          <w:sz w:val="24"/>
          <w:szCs w:val="24"/>
          <w:lang w:eastAsia="zh-CN"/>
        </w:rPr>
        <w:t>秘书处收到时的文本以</w:t>
      </w:r>
      <w:r w:rsidRPr="00856074">
        <w:rPr>
          <w:rFonts w:eastAsia="SimSun" w:cs="Times New Roman"/>
          <w:snapToGrid/>
          <w:kern w:val="22"/>
          <w:sz w:val="24"/>
          <w:szCs w:val="24"/>
          <w:lang w:eastAsia="zh-CN"/>
        </w:rPr>
        <w:t>英文，法文和西班牙文印发，但</w:t>
      </w:r>
      <w:r w:rsidR="008A2B82" w:rsidRPr="00856074">
        <w:rPr>
          <w:rFonts w:eastAsia="SimSun" w:cs="Times New Roman"/>
          <w:snapToGrid/>
          <w:kern w:val="22"/>
          <w:sz w:val="24"/>
          <w:szCs w:val="24"/>
          <w:lang w:eastAsia="zh-CN"/>
        </w:rPr>
        <w:t>所附报告所述期间</w:t>
      </w:r>
      <w:r w:rsidRPr="00856074">
        <w:rPr>
          <w:rFonts w:eastAsia="SimSun" w:cs="Times New Roman"/>
          <w:snapToGrid/>
          <w:kern w:val="22"/>
          <w:sz w:val="24"/>
          <w:szCs w:val="24"/>
          <w:lang w:eastAsia="zh-CN"/>
        </w:rPr>
        <w:t>核准的项目和方案清单作为</w:t>
      </w:r>
      <w:r w:rsidR="008A2B82" w:rsidRPr="00856074">
        <w:rPr>
          <w:rFonts w:eastAsia="SimSun" w:cs="Times New Roman"/>
          <w:snapToGrid/>
          <w:kern w:val="22"/>
          <w:sz w:val="24"/>
          <w:szCs w:val="24"/>
          <w:lang w:eastAsia="zh-CN"/>
        </w:rPr>
        <w:t>信息</w:t>
      </w:r>
      <w:r w:rsidRPr="00856074">
        <w:rPr>
          <w:rFonts w:eastAsia="SimSun" w:cs="Times New Roman"/>
          <w:snapToGrid/>
          <w:kern w:val="22"/>
          <w:sz w:val="24"/>
          <w:szCs w:val="24"/>
          <w:lang w:eastAsia="zh-CN"/>
        </w:rPr>
        <w:t>文件（</w:t>
      </w:r>
      <w:r w:rsidR="008A2B82" w:rsidRPr="00856074">
        <w:rPr>
          <w:rFonts w:eastAsia="Times New Roman"/>
          <w:sz w:val="24"/>
          <w:szCs w:val="24"/>
          <w:lang w:eastAsia="zh-CN"/>
        </w:rPr>
        <w:t>CBD/SBI/3/INF/7</w:t>
      </w:r>
      <w:r w:rsidRPr="00856074">
        <w:rPr>
          <w:rFonts w:eastAsia="SimSun" w:cs="Times New Roman"/>
          <w:snapToGrid/>
          <w:kern w:val="22"/>
          <w:sz w:val="24"/>
          <w:szCs w:val="24"/>
          <w:lang w:eastAsia="zh-CN"/>
        </w:rPr>
        <w:t>）</w:t>
      </w:r>
      <w:r w:rsidR="008A2B82" w:rsidRPr="00856074">
        <w:rPr>
          <w:rFonts w:eastAsia="SimSun" w:cs="Times New Roman"/>
          <w:snapToGrid/>
          <w:kern w:val="22"/>
          <w:sz w:val="24"/>
          <w:szCs w:val="24"/>
          <w:lang w:eastAsia="zh-CN"/>
        </w:rPr>
        <w:t>单独分发</w:t>
      </w:r>
      <w:r w:rsidRPr="00856074">
        <w:rPr>
          <w:rFonts w:eastAsia="SimSun" w:cs="Times New Roman"/>
          <w:snapToGrid/>
          <w:kern w:val="22"/>
          <w:sz w:val="24"/>
          <w:szCs w:val="24"/>
          <w:lang w:eastAsia="zh-CN"/>
        </w:rPr>
        <w:t>。本文件还将以阿拉伯文</w:t>
      </w:r>
      <w:r w:rsidR="00EC7BC0" w:rsidRPr="00856074">
        <w:rPr>
          <w:rFonts w:eastAsia="SimSun" w:cs="Times New Roman" w:hint="eastAsia"/>
          <w:snapToGrid/>
          <w:kern w:val="22"/>
          <w:sz w:val="24"/>
          <w:szCs w:val="24"/>
          <w:lang w:eastAsia="zh-CN"/>
        </w:rPr>
        <w:t>、</w:t>
      </w:r>
      <w:r w:rsidRPr="00856074">
        <w:rPr>
          <w:rFonts w:eastAsia="SimSun" w:cs="Times New Roman"/>
          <w:snapToGrid/>
          <w:kern w:val="22"/>
          <w:sz w:val="24"/>
          <w:szCs w:val="24"/>
          <w:lang w:eastAsia="zh-CN"/>
        </w:rPr>
        <w:t>中文和俄文</w:t>
      </w:r>
      <w:r w:rsidR="00EC7BC0" w:rsidRPr="00856074">
        <w:rPr>
          <w:rFonts w:eastAsia="SimSun" w:cs="Times New Roman"/>
          <w:snapToGrid/>
          <w:kern w:val="22"/>
          <w:sz w:val="24"/>
          <w:szCs w:val="24"/>
          <w:lang w:eastAsia="zh-CN"/>
        </w:rPr>
        <w:t>印发</w:t>
      </w:r>
      <w:r w:rsidRPr="00856074">
        <w:rPr>
          <w:rFonts w:eastAsia="SimSun" w:cs="Times New Roman"/>
          <w:snapToGrid/>
          <w:kern w:val="22"/>
          <w:sz w:val="24"/>
          <w:szCs w:val="24"/>
          <w:lang w:eastAsia="zh-CN"/>
        </w:rPr>
        <w:t>。</w:t>
      </w:r>
    </w:p>
    <w:p w14:paraId="36B17CC9" w14:textId="77777777" w:rsidR="00AF2846" w:rsidRPr="00856074" w:rsidRDefault="00AF2846" w:rsidP="00AF2846">
      <w:pPr>
        <w:pStyle w:val="Para1"/>
        <w:numPr>
          <w:ilvl w:val="0"/>
          <w:numId w:val="0"/>
        </w:numPr>
        <w:suppressLineNumbers/>
        <w:suppressAutoHyphens/>
        <w:spacing w:after="0"/>
        <w:rPr>
          <w:kern w:val="22"/>
          <w:sz w:val="24"/>
          <w:szCs w:val="24"/>
          <w:lang w:eastAsia="zh-CN"/>
        </w:rPr>
      </w:pPr>
    </w:p>
    <w:p w14:paraId="7FA065B8" w14:textId="2EA7E495" w:rsidR="00AF2846" w:rsidRDefault="00AF2846">
      <w:pPr>
        <w:rPr>
          <w:b/>
          <w:smallCaps/>
          <w:sz w:val="32"/>
          <w:szCs w:val="32"/>
          <w:lang w:eastAsia="zh-CN"/>
        </w:rPr>
      </w:pPr>
      <w:r>
        <w:rPr>
          <w:b/>
          <w:smallCaps/>
          <w:sz w:val="32"/>
          <w:szCs w:val="32"/>
          <w:lang w:eastAsia="zh-CN"/>
        </w:rPr>
        <w:br w:type="page"/>
      </w:r>
    </w:p>
    <w:p w14:paraId="79F8E92A" w14:textId="77777777" w:rsidR="00C9432C" w:rsidRDefault="00C9432C" w:rsidP="0096056B">
      <w:pPr>
        <w:jc w:val="center"/>
        <w:rPr>
          <w:b/>
          <w:smallCaps/>
          <w:sz w:val="32"/>
          <w:szCs w:val="32"/>
          <w:lang w:eastAsia="zh-CN"/>
        </w:rPr>
      </w:pPr>
    </w:p>
    <w:p w14:paraId="41190FFB" w14:textId="476B4B2A" w:rsidR="0096056B" w:rsidRDefault="00B2245E" w:rsidP="0096056B">
      <w:pPr>
        <w:jc w:val="center"/>
        <w:rPr>
          <w:b/>
          <w:smallCaps/>
          <w:sz w:val="32"/>
          <w:szCs w:val="32"/>
        </w:rPr>
      </w:pPr>
      <w:r>
        <w:rPr>
          <w:b/>
          <w:smallCaps/>
          <w:noProof/>
          <w:sz w:val="32"/>
          <w:szCs w:val="32"/>
          <w:lang w:eastAsia="zh-CN"/>
        </w:rPr>
        <w:drawing>
          <wp:anchor distT="0" distB="0" distL="114300" distR="114300" simplePos="0" relativeHeight="251653632" behindDoc="0" locked="0" layoutInCell="1" allowOverlap="1" wp14:anchorId="4FAC6CE9" wp14:editId="5063D317">
            <wp:simplePos x="0" y="0"/>
            <wp:positionH relativeFrom="margin">
              <wp:posOffset>1074420</wp:posOffset>
            </wp:positionH>
            <wp:positionV relativeFrom="margin">
              <wp:posOffset>-25400</wp:posOffset>
            </wp:positionV>
            <wp:extent cx="3810000" cy="838200"/>
            <wp:effectExtent l="0" t="0" r="0" b="0"/>
            <wp:wrapTopAndBottom/>
            <wp:docPr id="2" name="Picture 2" descr="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F-newlogo-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350"/>
      </w:tblGrid>
      <w:tr w:rsidR="00B2245E" w14:paraId="27F9F743" w14:textId="77777777" w:rsidTr="007A3DA4">
        <w:tc>
          <w:tcPr>
            <w:tcW w:w="9350" w:type="dxa"/>
            <w:tcBorders>
              <w:top w:val="single" w:sz="12" w:space="0" w:color="auto"/>
              <w:left w:val="nil"/>
              <w:bottom w:val="nil"/>
              <w:right w:val="nil"/>
            </w:tcBorders>
          </w:tcPr>
          <w:p w14:paraId="0979FD60" w14:textId="77777777" w:rsidR="00B2245E" w:rsidRPr="00B2245E" w:rsidRDefault="00B2245E" w:rsidP="0096056B">
            <w:pPr>
              <w:jc w:val="center"/>
              <w:rPr>
                <w:b/>
                <w:smallCaps/>
                <w:sz w:val="2"/>
                <w:szCs w:val="32"/>
              </w:rPr>
            </w:pPr>
          </w:p>
        </w:tc>
      </w:tr>
    </w:tbl>
    <w:p w14:paraId="4545F6F3" w14:textId="77777777" w:rsidR="0096056B" w:rsidRDefault="0096056B" w:rsidP="0096056B">
      <w:pPr>
        <w:jc w:val="center"/>
        <w:rPr>
          <w:b/>
          <w:smallCaps/>
          <w:sz w:val="32"/>
          <w:szCs w:val="32"/>
        </w:rPr>
      </w:pPr>
    </w:p>
    <w:p w14:paraId="6186DFF7" w14:textId="77777777" w:rsidR="0096056B" w:rsidRDefault="0096056B" w:rsidP="0096056B">
      <w:pPr>
        <w:jc w:val="center"/>
        <w:rPr>
          <w:b/>
          <w:smallCaps/>
          <w:sz w:val="32"/>
          <w:szCs w:val="32"/>
        </w:rPr>
      </w:pPr>
    </w:p>
    <w:p w14:paraId="6A9E86D0" w14:textId="77777777" w:rsidR="0096056B" w:rsidRDefault="0096056B" w:rsidP="0096056B">
      <w:pPr>
        <w:jc w:val="center"/>
        <w:rPr>
          <w:b/>
          <w:smallCaps/>
          <w:sz w:val="32"/>
          <w:szCs w:val="32"/>
        </w:rPr>
      </w:pPr>
    </w:p>
    <w:p w14:paraId="4F951F90" w14:textId="77777777" w:rsidR="0096056B" w:rsidRDefault="0096056B" w:rsidP="0096056B">
      <w:pPr>
        <w:jc w:val="center"/>
        <w:rPr>
          <w:b/>
          <w:smallCaps/>
          <w:sz w:val="32"/>
          <w:szCs w:val="32"/>
        </w:rPr>
      </w:pPr>
    </w:p>
    <w:p w14:paraId="4603CC4F" w14:textId="77777777" w:rsidR="0096056B" w:rsidRDefault="0096056B" w:rsidP="0096056B">
      <w:pPr>
        <w:jc w:val="center"/>
        <w:rPr>
          <w:b/>
          <w:smallCaps/>
          <w:sz w:val="32"/>
          <w:szCs w:val="32"/>
        </w:rPr>
      </w:pPr>
    </w:p>
    <w:p w14:paraId="16C827B5" w14:textId="77777777" w:rsidR="0096056B" w:rsidRDefault="0096056B" w:rsidP="0096056B">
      <w:pPr>
        <w:jc w:val="center"/>
        <w:rPr>
          <w:b/>
          <w:smallCaps/>
          <w:sz w:val="32"/>
          <w:szCs w:val="32"/>
        </w:rPr>
      </w:pPr>
    </w:p>
    <w:p w14:paraId="5E954D9C" w14:textId="77777777" w:rsidR="002A35E4" w:rsidRDefault="002A35E4" w:rsidP="0096056B">
      <w:pPr>
        <w:jc w:val="center"/>
        <w:rPr>
          <w:b/>
          <w:smallCaps/>
          <w:sz w:val="32"/>
          <w:szCs w:val="32"/>
        </w:rPr>
      </w:pPr>
    </w:p>
    <w:p w14:paraId="37C2BBC5" w14:textId="510359BE" w:rsidR="00905EB6" w:rsidRPr="0096056B" w:rsidRDefault="00905EB6" w:rsidP="0096056B">
      <w:pPr>
        <w:jc w:val="center"/>
        <w:rPr>
          <w:b/>
          <w:smallCaps/>
          <w:sz w:val="32"/>
          <w:szCs w:val="32"/>
          <w:lang w:eastAsia="zh-CN"/>
        </w:rPr>
      </w:pPr>
      <w:r>
        <w:rPr>
          <w:rFonts w:hint="eastAsia"/>
          <w:b/>
          <w:smallCaps/>
          <w:sz w:val="32"/>
          <w:szCs w:val="32"/>
          <w:lang w:eastAsia="zh-CN"/>
        </w:rPr>
        <w:t>全球环境基金提交生物多样性公约执行问题附属机构第三次会议的缔约方大会第十五届会议报告</w:t>
      </w:r>
      <w:r w:rsidR="00A62194">
        <w:rPr>
          <w:rFonts w:hint="eastAsia"/>
          <w:b/>
          <w:smallCaps/>
          <w:sz w:val="32"/>
          <w:szCs w:val="32"/>
          <w:lang w:eastAsia="zh-CN"/>
        </w:rPr>
        <w:t>草案</w:t>
      </w:r>
    </w:p>
    <w:p w14:paraId="0B728452" w14:textId="77777777" w:rsidR="0096056B" w:rsidRPr="0096056B" w:rsidRDefault="0096056B" w:rsidP="0096056B">
      <w:pPr>
        <w:jc w:val="center"/>
        <w:rPr>
          <w:b/>
          <w:sz w:val="32"/>
          <w:szCs w:val="32"/>
          <w:lang w:eastAsia="zh-CN"/>
        </w:rPr>
      </w:pPr>
    </w:p>
    <w:p w14:paraId="434AFBAE" w14:textId="7F559ED2" w:rsidR="0096056B" w:rsidRPr="00905EB6" w:rsidRDefault="00A84A3B" w:rsidP="0096056B">
      <w:pPr>
        <w:jc w:val="center"/>
        <w:rPr>
          <w:rFonts w:ascii="Times New Roman" w:hAnsi="Times New Roman" w:cs="Times New Roman"/>
          <w:b/>
          <w:sz w:val="28"/>
          <w:szCs w:val="32"/>
        </w:rPr>
      </w:pPr>
      <w:r w:rsidRPr="00905EB6">
        <w:rPr>
          <w:rFonts w:ascii="Times New Roman" w:hAnsi="Times New Roman" w:cs="Times New Roman"/>
          <w:b/>
          <w:sz w:val="28"/>
          <w:szCs w:val="32"/>
        </w:rPr>
        <w:t>2020</w:t>
      </w:r>
      <w:r w:rsidRPr="00905EB6">
        <w:rPr>
          <w:rFonts w:ascii="Times New Roman" w:hAnsi="Times New Roman" w:cs="Times New Roman"/>
          <w:b/>
          <w:sz w:val="28"/>
          <w:szCs w:val="32"/>
          <w:lang w:eastAsia="zh-CN"/>
        </w:rPr>
        <w:t>年</w:t>
      </w:r>
      <w:r w:rsidRPr="00905EB6">
        <w:rPr>
          <w:rFonts w:ascii="Times New Roman" w:hAnsi="Times New Roman" w:cs="Times New Roman"/>
          <w:b/>
          <w:sz w:val="28"/>
          <w:szCs w:val="32"/>
          <w:lang w:eastAsia="zh-CN"/>
        </w:rPr>
        <w:t>2</w:t>
      </w:r>
      <w:r w:rsidRPr="00905EB6">
        <w:rPr>
          <w:rFonts w:ascii="Times New Roman" w:hAnsi="Times New Roman" w:cs="Times New Roman"/>
          <w:b/>
          <w:sz w:val="28"/>
          <w:szCs w:val="32"/>
          <w:lang w:eastAsia="zh-CN"/>
        </w:rPr>
        <w:t>月</w:t>
      </w:r>
      <w:r w:rsidRPr="00905EB6">
        <w:rPr>
          <w:rFonts w:ascii="Times New Roman" w:hAnsi="Times New Roman" w:cs="Times New Roman"/>
          <w:b/>
          <w:sz w:val="28"/>
          <w:szCs w:val="32"/>
          <w:lang w:eastAsia="zh-CN"/>
        </w:rPr>
        <w:t>14</w:t>
      </w:r>
      <w:r w:rsidRPr="00905EB6">
        <w:rPr>
          <w:rFonts w:ascii="Times New Roman" w:hAnsi="Times New Roman" w:cs="Times New Roman"/>
          <w:b/>
          <w:sz w:val="28"/>
          <w:szCs w:val="32"/>
          <w:lang w:eastAsia="zh-CN"/>
        </w:rPr>
        <w:t>日</w:t>
      </w:r>
    </w:p>
    <w:p w14:paraId="36092A75" w14:textId="77777777" w:rsidR="000667F9" w:rsidRDefault="000667F9" w:rsidP="00CB620B">
      <w:pPr>
        <w:spacing w:after="0" w:line="240" w:lineRule="auto"/>
        <w:jc w:val="center"/>
        <w:rPr>
          <w:rFonts w:ascii="Calibri" w:eastAsia="MS Mincho" w:hAnsi="Calibri" w:cs="Angsana New"/>
          <w:b/>
          <w:sz w:val="24"/>
          <w:szCs w:val="24"/>
          <w:u w:val="single"/>
          <w:lang w:val="en-GB"/>
        </w:rPr>
        <w:sectPr w:rsidR="000667F9" w:rsidSect="007207AF">
          <w:headerReference w:type="default" r:id="rId16"/>
          <w:footerReference w:type="even" r:id="rId17"/>
          <w:footerReference w:type="default" r:id="rId18"/>
          <w:pgSz w:w="12240" w:h="15840"/>
          <w:pgMar w:top="1134" w:right="1440" w:bottom="1134" w:left="1440" w:header="720" w:footer="720" w:gutter="0"/>
          <w:pgNumType w:fmt="lowerRoman" w:start="1"/>
          <w:cols w:space="720"/>
          <w:titlePg/>
          <w:docGrid w:linePitch="360"/>
        </w:sectPr>
      </w:pPr>
    </w:p>
    <w:p w14:paraId="194BA4DE" w14:textId="310C9A82" w:rsidR="00CB620B" w:rsidRPr="007478F2" w:rsidRDefault="007478F2" w:rsidP="00CB620B">
      <w:pPr>
        <w:spacing w:after="0" w:line="240" w:lineRule="auto"/>
        <w:jc w:val="center"/>
        <w:rPr>
          <w:rFonts w:ascii="SimSun" w:hAnsi="SimSun" w:cs="Angsana New"/>
          <w:b/>
          <w:smallCaps/>
          <w:sz w:val="24"/>
          <w:szCs w:val="24"/>
          <w:lang w:val="en-GB"/>
        </w:rPr>
      </w:pPr>
      <w:proofErr w:type="spellStart"/>
      <w:r w:rsidRPr="007478F2">
        <w:rPr>
          <w:rFonts w:ascii="SimSun" w:hAnsi="SimSun" w:cs="Angsana New"/>
          <w:b/>
          <w:smallCaps/>
          <w:sz w:val="24"/>
          <w:szCs w:val="24"/>
          <w:lang w:val="en-GB"/>
        </w:rPr>
        <w:lastRenderedPageBreak/>
        <w:t>目录</w:t>
      </w:r>
      <w:proofErr w:type="spellEnd"/>
    </w:p>
    <w:p w14:paraId="06009C76" w14:textId="77777777" w:rsidR="00CB620B" w:rsidRDefault="00CB620B" w:rsidP="00CB620B">
      <w:pPr>
        <w:spacing w:after="0" w:line="240" w:lineRule="auto"/>
        <w:rPr>
          <w:rFonts w:ascii="Calibri" w:eastAsia="MS Mincho" w:hAnsi="Calibri" w:cs="Angsana New"/>
          <w:sz w:val="24"/>
          <w:szCs w:val="24"/>
          <w:lang w:val="en-GB"/>
        </w:rPr>
      </w:pPr>
    </w:p>
    <w:p w14:paraId="74EBEF77" w14:textId="77777777" w:rsidR="00171DBB" w:rsidRPr="007B79A7" w:rsidRDefault="00171DBB" w:rsidP="00171DBB">
      <w:pPr>
        <w:spacing w:after="0" w:line="240" w:lineRule="auto"/>
        <w:rPr>
          <w:rFonts w:eastAsia="MS Mincho" w:cs="Angsana New"/>
          <w:lang w:val="en-GB"/>
        </w:rPr>
      </w:pPr>
    </w:p>
    <w:p w14:paraId="1A4E946E" w14:textId="159A4257" w:rsidR="00171DBB" w:rsidRPr="007B79A7" w:rsidRDefault="00171DBB" w:rsidP="00171DBB">
      <w:pPr>
        <w:pStyle w:val="TOC1"/>
        <w:rPr>
          <w:rFonts w:eastAsia="Yu Mincho"/>
          <w:noProof/>
        </w:rPr>
      </w:pPr>
      <w:r w:rsidRPr="007B79A7">
        <w:rPr>
          <w:rFonts w:eastAsia="MS Mincho" w:cs="Angsana New"/>
          <w:lang w:val="en-GB"/>
        </w:rPr>
        <w:fldChar w:fldCharType="begin"/>
      </w:r>
      <w:r w:rsidRPr="007B79A7">
        <w:rPr>
          <w:rFonts w:eastAsia="MS Mincho" w:cs="Angsana New"/>
          <w:lang w:val="en-GB"/>
        </w:rPr>
        <w:instrText xml:space="preserve"> TOC \o "1-3" \h \z \u </w:instrText>
      </w:r>
      <w:r w:rsidRPr="007B79A7">
        <w:rPr>
          <w:rFonts w:eastAsia="MS Mincho" w:cs="Angsana New"/>
          <w:lang w:val="en-GB"/>
        </w:rPr>
        <w:fldChar w:fldCharType="separate"/>
      </w:r>
      <w:hyperlink w:anchor="_Toc32494912" w:history="1">
        <w:r w:rsidRPr="007B79A7">
          <w:rPr>
            <w:rStyle w:val="Hyperlink"/>
            <w:noProof/>
          </w:rPr>
          <w:t>执行摘要</w:t>
        </w:r>
        <w:r w:rsidRPr="007B79A7">
          <w:rPr>
            <w:noProof/>
            <w:webHidden/>
          </w:rPr>
          <w:tab/>
        </w:r>
        <w:r w:rsidRPr="007B79A7">
          <w:rPr>
            <w:noProof/>
            <w:webHidden/>
          </w:rPr>
          <w:fldChar w:fldCharType="begin"/>
        </w:r>
        <w:r w:rsidRPr="007B79A7">
          <w:rPr>
            <w:noProof/>
            <w:webHidden/>
          </w:rPr>
          <w:instrText xml:space="preserve"> PAGEREF _Toc32494912 \h </w:instrText>
        </w:r>
        <w:r w:rsidRPr="007B79A7">
          <w:rPr>
            <w:noProof/>
            <w:webHidden/>
          </w:rPr>
        </w:r>
        <w:r w:rsidRPr="007B79A7">
          <w:rPr>
            <w:noProof/>
            <w:webHidden/>
          </w:rPr>
          <w:fldChar w:fldCharType="separate"/>
        </w:r>
        <w:r w:rsidR="003B6516">
          <w:rPr>
            <w:noProof/>
            <w:webHidden/>
          </w:rPr>
          <w:t>2</w:t>
        </w:r>
        <w:r w:rsidRPr="007B79A7">
          <w:rPr>
            <w:noProof/>
            <w:webHidden/>
          </w:rPr>
          <w:fldChar w:fldCharType="end"/>
        </w:r>
      </w:hyperlink>
    </w:p>
    <w:p w14:paraId="53A0FE86" w14:textId="77777777" w:rsidR="00171DBB" w:rsidRPr="007B79A7" w:rsidRDefault="008D7349" w:rsidP="00171DBB">
      <w:pPr>
        <w:pStyle w:val="TOC1"/>
        <w:rPr>
          <w:rFonts w:eastAsia="Yu Mincho"/>
          <w:noProof/>
        </w:rPr>
      </w:pPr>
      <w:hyperlink w:anchor="_Toc32494913" w:history="1">
        <w:r w:rsidR="00171DBB" w:rsidRPr="007B79A7">
          <w:rPr>
            <w:rStyle w:val="Hyperlink"/>
            <w:noProof/>
          </w:rPr>
          <w:t>一</w:t>
        </w:r>
        <w:r w:rsidR="00171DBB" w:rsidRPr="007B79A7">
          <w:rPr>
            <w:rStyle w:val="Hyperlink"/>
            <w:noProof/>
            <w:u w:val="none"/>
          </w:rPr>
          <w:t>.</w:t>
        </w:r>
        <w:r w:rsidR="00171DBB" w:rsidRPr="007B79A7">
          <w:rPr>
            <w:rFonts w:eastAsia="Yu Mincho"/>
            <w:noProof/>
          </w:rPr>
          <w:tab/>
        </w:r>
        <w:r w:rsidR="00171DBB" w:rsidRPr="001A0620">
          <w:rPr>
            <w:rFonts w:ascii="SimSun" w:hAnsi="SimSun" w:hint="eastAsia"/>
          </w:rPr>
          <w:t>支持</w:t>
        </w:r>
        <w:r w:rsidR="00171DBB" w:rsidRPr="001A0620">
          <w:rPr>
            <w:rFonts w:ascii="SimSun" w:hAnsi="SimSun" w:cs="SimSun" w:hint="eastAsia"/>
          </w:rPr>
          <w:t>实施</w:t>
        </w:r>
        <w:r w:rsidR="00171DBB" w:rsidRPr="001A0620">
          <w:rPr>
            <w:rFonts w:ascii="SimSun" w:hAnsi="SimSun" w:hint="eastAsia"/>
          </w:rPr>
          <w:t>《生物多</w:t>
        </w:r>
        <w:r w:rsidR="00171DBB" w:rsidRPr="001A0620">
          <w:rPr>
            <w:rFonts w:ascii="SimSun" w:hAnsi="SimSun" w:cs="SimSun" w:hint="eastAsia"/>
          </w:rPr>
          <w:t>样</w:t>
        </w:r>
        <w:r w:rsidR="00171DBB" w:rsidRPr="001A0620">
          <w:rPr>
            <w:rFonts w:ascii="SimSun" w:hAnsi="SimSun" w:cs="Yu Gothic Light" w:hint="eastAsia"/>
          </w:rPr>
          <w:t>性公</w:t>
        </w:r>
        <w:r w:rsidR="00171DBB" w:rsidRPr="001A0620">
          <w:rPr>
            <w:rFonts w:ascii="SimSun" w:hAnsi="SimSun" w:cs="SimSun" w:hint="eastAsia"/>
          </w:rPr>
          <w:t>约</w:t>
        </w:r>
        <w:r w:rsidR="00171DBB" w:rsidRPr="001A0620">
          <w:rPr>
            <w:rFonts w:ascii="SimSun" w:hAnsi="SimSun" w:cs="Yu Gothic Light" w:hint="eastAsia"/>
          </w:rPr>
          <w:t>》</w:t>
        </w:r>
        <w:r w:rsidR="00171DBB" w:rsidRPr="001A0620">
          <w:rPr>
            <w:rFonts w:ascii="SimSun" w:hAnsi="SimSun" w:hint="eastAsia"/>
          </w:rPr>
          <w:t>的</w:t>
        </w:r>
        <w:r w:rsidR="00171DBB" w:rsidRPr="001A0620">
          <w:rPr>
            <w:rFonts w:ascii="SimSun" w:hAnsi="SimSun" w:cs="SimSun" w:hint="eastAsia"/>
          </w:rPr>
          <w:t>项</w:t>
        </w:r>
        <w:r w:rsidR="00171DBB" w:rsidRPr="001A0620">
          <w:rPr>
            <w:rFonts w:ascii="SimSun" w:hAnsi="SimSun" w:cs="Yu Gothic Light" w:hint="eastAsia"/>
          </w:rPr>
          <w:t>目活</w:t>
        </w:r>
        <w:r w:rsidR="00171DBB" w:rsidRPr="001A0620">
          <w:rPr>
            <w:rFonts w:ascii="SimSun" w:hAnsi="SimSun" w:cs="SimSun" w:hint="eastAsia"/>
          </w:rPr>
          <w:t>动</w:t>
        </w:r>
        <w:r w:rsidR="00171DBB" w:rsidRPr="007B79A7">
          <w:rPr>
            <w:noProof/>
            <w:webHidden/>
          </w:rPr>
          <w:tab/>
        </w:r>
        <w:r w:rsidR="00171DBB">
          <w:rPr>
            <w:noProof/>
            <w:webHidden/>
          </w:rPr>
          <w:t>5</w:t>
        </w:r>
      </w:hyperlink>
    </w:p>
    <w:p w14:paraId="62514E38" w14:textId="77777777" w:rsidR="00171DBB" w:rsidRPr="007B79A7" w:rsidRDefault="008D7349" w:rsidP="00171DBB">
      <w:pPr>
        <w:pStyle w:val="TOC2"/>
        <w:rPr>
          <w:rFonts w:eastAsia="Yu Mincho"/>
          <w:noProof/>
        </w:rPr>
      </w:pPr>
      <w:hyperlink w:anchor="_Toc32494914" w:history="1">
        <w:r w:rsidR="00171DBB" w:rsidRPr="007B79A7">
          <w:t>全环基金第七次增资的生物多样性战略</w:t>
        </w:r>
        <w:r w:rsidR="00171DBB" w:rsidRPr="007B79A7">
          <w:rPr>
            <w:noProof/>
            <w:webHidden/>
          </w:rPr>
          <w:tab/>
        </w:r>
        <w:r w:rsidR="00171DBB">
          <w:rPr>
            <w:noProof/>
            <w:webHidden/>
          </w:rPr>
          <w:t>5</w:t>
        </w:r>
      </w:hyperlink>
    </w:p>
    <w:p w14:paraId="643297A1" w14:textId="77777777" w:rsidR="00171DBB" w:rsidRPr="007B79A7" w:rsidRDefault="008D7349" w:rsidP="00171DBB">
      <w:pPr>
        <w:pStyle w:val="TOC2"/>
        <w:rPr>
          <w:rFonts w:eastAsia="Yu Mincho"/>
          <w:noProof/>
        </w:rPr>
      </w:pPr>
      <w:hyperlink w:anchor="_Toc32494915" w:history="1">
        <w:r w:rsidR="00171DBB" w:rsidRPr="007B79A7">
          <w:t>全环基金第七次增资期间方案编制使用情况</w:t>
        </w:r>
        <w:r w:rsidR="00171DBB" w:rsidRPr="007B79A7">
          <w:rPr>
            <w:noProof/>
            <w:webHidden/>
          </w:rPr>
          <w:tab/>
        </w:r>
        <w:r w:rsidR="00171DBB">
          <w:rPr>
            <w:noProof/>
            <w:webHidden/>
          </w:rPr>
          <w:t>6</w:t>
        </w:r>
      </w:hyperlink>
    </w:p>
    <w:p w14:paraId="03EFDACD" w14:textId="77777777" w:rsidR="00171DBB" w:rsidRPr="007B79A7" w:rsidRDefault="008D7349" w:rsidP="00171DBB">
      <w:pPr>
        <w:pStyle w:val="TOC2"/>
        <w:rPr>
          <w:rFonts w:eastAsia="Yu Mincho"/>
          <w:noProof/>
        </w:rPr>
      </w:pPr>
      <w:hyperlink w:anchor="_Toc32494916" w:history="1">
        <w:r w:rsidR="00171DBB" w:rsidRPr="007B79A7">
          <w:rPr>
            <w:rFonts w:hint="eastAsia"/>
            <w:lang w:eastAsia="zh-CN"/>
          </w:rPr>
          <w:t>全环基金第七次增资对实现爱知生物多样性目标的方案规划作出的贡献</w:t>
        </w:r>
        <w:r w:rsidR="00171DBB" w:rsidRPr="007B79A7">
          <w:rPr>
            <w:noProof/>
            <w:webHidden/>
          </w:rPr>
          <w:tab/>
        </w:r>
        <w:r w:rsidR="00171DBB">
          <w:rPr>
            <w:noProof/>
            <w:webHidden/>
          </w:rPr>
          <w:t>7</w:t>
        </w:r>
      </w:hyperlink>
    </w:p>
    <w:p w14:paraId="23A99FC0" w14:textId="77777777" w:rsidR="00171DBB" w:rsidRPr="007B79A7" w:rsidRDefault="008D7349" w:rsidP="00171DBB">
      <w:pPr>
        <w:pStyle w:val="TOC2"/>
        <w:rPr>
          <w:rFonts w:eastAsia="Yu Mincho"/>
          <w:noProof/>
        </w:rPr>
      </w:pPr>
      <w:hyperlink w:anchor="_Toc32494917" w:history="1">
        <w:r w:rsidR="00171DBB" w:rsidRPr="007B79A7">
          <w:t>全环基金第七次增资的</w:t>
        </w:r>
        <w:r w:rsidR="00171DBB" w:rsidRPr="007B79A7">
          <w:rPr>
            <w:rFonts w:hint="eastAsia"/>
          </w:rPr>
          <w:t>生物多</w:t>
        </w:r>
        <w:r w:rsidR="00171DBB" w:rsidRPr="007B79A7">
          <w:rPr>
            <w:rFonts w:cs="SimSun" w:hint="eastAsia"/>
          </w:rPr>
          <w:t>样</w:t>
        </w:r>
        <w:r w:rsidR="00171DBB" w:rsidRPr="007B79A7">
          <w:rPr>
            <w:rFonts w:cs="Yu Gothic Light" w:hint="eastAsia"/>
          </w:rPr>
          <w:t>性重点</w:t>
        </w:r>
        <w:r w:rsidR="00171DBB" w:rsidRPr="007B79A7">
          <w:rPr>
            <w:rFonts w:cs="SimSun" w:hint="eastAsia"/>
          </w:rPr>
          <w:t>领</w:t>
        </w:r>
        <w:r w:rsidR="00171DBB" w:rsidRPr="007B79A7">
          <w:rPr>
            <w:rFonts w:cs="Yu Gothic Light" w:hint="eastAsia"/>
          </w:rPr>
          <w:t>域</w:t>
        </w:r>
        <w:r w:rsidR="00171DBB" w:rsidRPr="007B79A7">
          <w:rPr>
            <w:rFonts w:cs="SimSun" w:hint="eastAsia"/>
          </w:rPr>
          <w:t>战</w:t>
        </w:r>
        <w:r w:rsidR="00171DBB" w:rsidRPr="007B79A7">
          <w:rPr>
            <w:rFonts w:cs="Yu Gothic Light" w:hint="eastAsia"/>
          </w:rPr>
          <w:t>略</w:t>
        </w:r>
        <w:r w:rsidR="00171DBB" w:rsidRPr="007B79A7">
          <w:rPr>
            <w:rFonts w:cs="SimSun" w:hint="eastAsia"/>
          </w:rPr>
          <w:t>为实现爱</w:t>
        </w:r>
        <w:r w:rsidR="00171DBB" w:rsidRPr="007B79A7">
          <w:rPr>
            <w:rFonts w:cs="Yu Gothic Light" w:hint="eastAsia"/>
          </w:rPr>
          <w:t>知生物多</w:t>
        </w:r>
        <w:r w:rsidR="00171DBB" w:rsidRPr="007B79A7">
          <w:rPr>
            <w:rFonts w:cs="SimSun" w:hint="eastAsia"/>
          </w:rPr>
          <w:t>样</w:t>
        </w:r>
        <w:r w:rsidR="00171DBB" w:rsidRPr="007B79A7">
          <w:rPr>
            <w:rFonts w:cs="Yu Gothic Light" w:hint="eastAsia"/>
          </w:rPr>
          <w:t>性目</w:t>
        </w:r>
        <w:r w:rsidR="00171DBB" w:rsidRPr="007B79A7">
          <w:rPr>
            <w:rFonts w:cs="SimSun" w:hint="eastAsia"/>
          </w:rPr>
          <w:t>标作出</w:t>
        </w:r>
        <w:r w:rsidR="00171DBB" w:rsidRPr="007B79A7">
          <w:rPr>
            <w:rFonts w:cs="Yu Gothic Light" w:hint="eastAsia"/>
          </w:rPr>
          <w:t>的</w:t>
        </w:r>
        <w:r w:rsidR="00171DBB" w:rsidRPr="007B79A7">
          <w:rPr>
            <w:rFonts w:cs="SimSun" w:hint="eastAsia"/>
          </w:rPr>
          <w:t>贡</w:t>
        </w:r>
        <w:r w:rsidR="00171DBB" w:rsidRPr="007B79A7">
          <w:rPr>
            <w:rFonts w:hint="eastAsia"/>
          </w:rPr>
          <w:t>献</w:t>
        </w:r>
        <w:r w:rsidR="00171DBB" w:rsidRPr="007B79A7">
          <w:rPr>
            <w:noProof/>
            <w:webHidden/>
          </w:rPr>
          <w:tab/>
        </w:r>
        <w:r w:rsidR="00171DBB">
          <w:rPr>
            <w:noProof/>
            <w:webHidden/>
          </w:rPr>
          <w:t>11</w:t>
        </w:r>
      </w:hyperlink>
    </w:p>
    <w:p w14:paraId="3D6241D9" w14:textId="77777777" w:rsidR="00171DBB" w:rsidRPr="007B79A7" w:rsidRDefault="008D7349" w:rsidP="00171DBB">
      <w:pPr>
        <w:pStyle w:val="TOC3"/>
        <w:tabs>
          <w:tab w:val="right" w:leader="dot" w:pos="9350"/>
        </w:tabs>
        <w:rPr>
          <w:rFonts w:eastAsia="Yu Mincho"/>
          <w:noProof/>
        </w:rPr>
      </w:pPr>
      <w:hyperlink w:anchor="_Toc32494918" w:history="1">
        <w:r w:rsidR="00171DBB" w:rsidRPr="007B79A7">
          <w:t>项目编制补助金</w:t>
        </w:r>
        <w:r w:rsidR="00171DBB" w:rsidRPr="007B79A7">
          <w:rPr>
            <w:noProof/>
            <w:webHidden/>
          </w:rPr>
          <w:tab/>
        </w:r>
        <w:r w:rsidR="00171DBB">
          <w:rPr>
            <w:noProof/>
            <w:webHidden/>
          </w:rPr>
          <w:t>12</w:t>
        </w:r>
      </w:hyperlink>
    </w:p>
    <w:p w14:paraId="7D84E50A" w14:textId="77777777" w:rsidR="00171DBB" w:rsidRPr="007B79A7" w:rsidRDefault="008D7349" w:rsidP="00171DBB">
      <w:pPr>
        <w:pStyle w:val="TOC3"/>
        <w:tabs>
          <w:tab w:val="right" w:leader="dot" w:pos="9350"/>
        </w:tabs>
        <w:rPr>
          <w:rFonts w:eastAsia="Yu Mincho"/>
          <w:noProof/>
        </w:rPr>
      </w:pPr>
      <w:hyperlink w:anchor="_Toc32494919" w:history="1">
        <w:r w:rsidR="00171DBB" w:rsidRPr="007B79A7">
          <w:rPr>
            <w:rFonts w:hint="eastAsia"/>
          </w:rPr>
          <w:t>支持</w:t>
        </w:r>
        <w:r w:rsidR="00171DBB" w:rsidRPr="007B79A7">
          <w:rPr>
            <w:rFonts w:cs="SimSun" w:hint="eastAsia"/>
          </w:rPr>
          <w:t>实施</w:t>
        </w:r>
        <w:r w:rsidR="00171DBB" w:rsidRPr="007B79A7">
          <w:rPr>
            <w:rFonts w:hint="eastAsia"/>
          </w:rPr>
          <w:t>《生物多</w:t>
        </w:r>
        <w:r w:rsidR="00171DBB" w:rsidRPr="007B79A7">
          <w:rPr>
            <w:rFonts w:cs="SimSun" w:hint="eastAsia"/>
          </w:rPr>
          <w:t>样</w:t>
        </w:r>
        <w:r w:rsidR="00171DBB" w:rsidRPr="007B79A7">
          <w:rPr>
            <w:rFonts w:hint="eastAsia"/>
          </w:rPr>
          <w:t>性公</w:t>
        </w:r>
        <w:r w:rsidR="00171DBB" w:rsidRPr="007B79A7">
          <w:rPr>
            <w:rFonts w:cs="SimSun" w:hint="eastAsia"/>
          </w:rPr>
          <w:t>约的</w:t>
        </w:r>
        <w:r w:rsidR="00171DBB" w:rsidRPr="007B79A7">
          <w:rPr>
            <w:rFonts w:hint="eastAsia"/>
          </w:rPr>
          <w:t>卡塔赫</w:t>
        </w:r>
        <w:r w:rsidR="00171DBB" w:rsidRPr="007B79A7">
          <w:rPr>
            <w:rFonts w:cs="SimSun" w:hint="eastAsia"/>
          </w:rPr>
          <w:t>纳</w:t>
        </w:r>
        <w:r w:rsidR="00171DBB" w:rsidRPr="007B79A7">
          <w:rPr>
            <w:rFonts w:hint="eastAsia"/>
          </w:rPr>
          <w:t>生物安全</w:t>
        </w:r>
        <w:r w:rsidR="00171DBB" w:rsidRPr="007B79A7">
          <w:rPr>
            <w:rFonts w:cs="SimSun" w:hint="eastAsia"/>
          </w:rPr>
          <w:t>议</w:t>
        </w:r>
        <w:r w:rsidR="00171DBB" w:rsidRPr="007B79A7">
          <w:rPr>
            <w:rFonts w:hint="eastAsia"/>
          </w:rPr>
          <w:t>定</w:t>
        </w:r>
        <w:r w:rsidR="00171DBB" w:rsidRPr="007B79A7">
          <w:rPr>
            <w:rFonts w:cs="SimSun" w:hint="eastAsia"/>
          </w:rPr>
          <w:t>书</w:t>
        </w:r>
        <w:r w:rsidR="00171DBB" w:rsidRPr="007B79A7">
          <w:rPr>
            <w:rFonts w:hint="eastAsia"/>
          </w:rPr>
          <w:t>》</w:t>
        </w:r>
        <w:r w:rsidR="00171DBB" w:rsidRPr="007B79A7">
          <w:rPr>
            <w:noProof/>
            <w:webHidden/>
          </w:rPr>
          <w:tab/>
        </w:r>
        <w:r w:rsidR="00171DBB">
          <w:rPr>
            <w:noProof/>
            <w:webHidden/>
          </w:rPr>
          <w:t>12</w:t>
        </w:r>
      </w:hyperlink>
    </w:p>
    <w:p w14:paraId="6E53AE36" w14:textId="77777777" w:rsidR="00171DBB" w:rsidRPr="007B79A7" w:rsidRDefault="008D7349" w:rsidP="00171DBB">
      <w:pPr>
        <w:pStyle w:val="TOC3"/>
        <w:tabs>
          <w:tab w:val="right" w:leader="dot" w:pos="9350"/>
        </w:tabs>
        <w:rPr>
          <w:rFonts w:eastAsia="Yu Mincho"/>
          <w:noProof/>
        </w:rPr>
      </w:pPr>
      <w:hyperlink w:anchor="_Toc32494920" w:history="1">
        <w:r w:rsidR="00171DBB" w:rsidRPr="007B79A7">
          <w:rPr>
            <w:rFonts w:hint="eastAsia"/>
          </w:rPr>
          <w:t>支持批准和</w:t>
        </w:r>
        <w:r w:rsidR="00171DBB" w:rsidRPr="007B79A7">
          <w:rPr>
            <w:rFonts w:cs="SimSun" w:hint="eastAsia"/>
          </w:rPr>
          <w:t>实施</w:t>
        </w:r>
        <w:r w:rsidR="00171DBB" w:rsidRPr="007B79A7">
          <w:rPr>
            <w:rFonts w:cs="Yu Gothic Light" w:hint="eastAsia"/>
          </w:rPr>
          <w:t>《</w:t>
        </w:r>
        <w:r w:rsidR="00171DBB" w:rsidRPr="007B79A7">
          <w:rPr>
            <w:rFonts w:hint="eastAsia"/>
          </w:rPr>
          <w:t>生物多样性公约关于获取遗传资源和公正和公平分享其利用所产生惠益的名古屋议定书</w:t>
        </w:r>
        <w:r w:rsidR="00171DBB" w:rsidRPr="007B79A7">
          <w:rPr>
            <w:rFonts w:cs="Yu Gothic Light" w:hint="eastAsia"/>
          </w:rPr>
          <w:t>》</w:t>
        </w:r>
        <w:r w:rsidR="00171DBB" w:rsidRPr="007B79A7">
          <w:rPr>
            <w:noProof/>
            <w:webHidden/>
          </w:rPr>
          <w:tab/>
        </w:r>
        <w:r w:rsidR="00171DBB">
          <w:rPr>
            <w:noProof/>
            <w:webHidden/>
          </w:rPr>
          <w:t>12</w:t>
        </w:r>
      </w:hyperlink>
    </w:p>
    <w:p w14:paraId="1B4F37F1" w14:textId="77777777" w:rsidR="00171DBB" w:rsidRPr="007B79A7" w:rsidRDefault="008D7349" w:rsidP="00171DBB">
      <w:pPr>
        <w:pStyle w:val="TOC2"/>
        <w:rPr>
          <w:rFonts w:eastAsia="Yu Mincho"/>
          <w:noProof/>
        </w:rPr>
      </w:pPr>
      <w:hyperlink w:anchor="_Toc32494921" w:history="1">
        <w:r w:rsidR="00171DBB" w:rsidRPr="007B79A7">
          <w:rPr>
            <w:rFonts w:hint="eastAsia"/>
          </w:rPr>
          <w:t>影响方案对实现爱知生物多样性目标的贡献</w:t>
        </w:r>
        <w:r w:rsidR="00171DBB" w:rsidRPr="007B79A7">
          <w:rPr>
            <w:noProof/>
            <w:webHidden/>
          </w:rPr>
          <w:tab/>
        </w:r>
        <w:r w:rsidR="00171DBB">
          <w:rPr>
            <w:noProof/>
            <w:webHidden/>
          </w:rPr>
          <w:t>12</w:t>
        </w:r>
      </w:hyperlink>
    </w:p>
    <w:p w14:paraId="4921E8CC" w14:textId="77777777" w:rsidR="00171DBB" w:rsidRPr="007B79A7" w:rsidRDefault="008D7349" w:rsidP="00171DBB">
      <w:pPr>
        <w:pStyle w:val="TOC3"/>
        <w:tabs>
          <w:tab w:val="right" w:leader="dot" w:pos="9350"/>
        </w:tabs>
        <w:rPr>
          <w:rFonts w:eastAsia="Yu Mincho"/>
          <w:noProof/>
        </w:rPr>
      </w:pPr>
      <w:hyperlink w:anchor="_Toc32494922" w:history="1">
        <w:r w:rsidR="00171DBB" w:rsidRPr="007B79A7">
          <w:rPr>
            <w:rFonts w:hint="eastAsia"/>
          </w:rPr>
          <w:t>粮食系统、土地利用和恢复</w:t>
        </w:r>
        <w:r w:rsidR="00171DBB" w:rsidRPr="007B79A7">
          <w:rPr>
            <w:noProof/>
            <w:webHidden/>
          </w:rPr>
          <w:tab/>
        </w:r>
        <w:r w:rsidR="00171DBB">
          <w:rPr>
            <w:noProof/>
            <w:webHidden/>
          </w:rPr>
          <w:t>12</w:t>
        </w:r>
      </w:hyperlink>
    </w:p>
    <w:p w14:paraId="34ECC88E" w14:textId="77777777" w:rsidR="00171DBB" w:rsidRPr="007B79A7" w:rsidRDefault="008D7349" w:rsidP="00171DBB">
      <w:pPr>
        <w:pStyle w:val="TOC3"/>
        <w:tabs>
          <w:tab w:val="right" w:leader="dot" w:pos="9350"/>
        </w:tabs>
        <w:rPr>
          <w:rFonts w:eastAsia="Yu Mincho"/>
          <w:noProof/>
        </w:rPr>
      </w:pPr>
      <w:hyperlink w:anchor="_Toc32494923" w:history="1">
        <w:r w:rsidR="00171DBB" w:rsidRPr="007B79A7">
          <w:rPr>
            <w:snapToGrid w:val="0"/>
          </w:rPr>
          <w:t>可持续森林管理</w:t>
        </w:r>
        <w:r w:rsidR="00171DBB" w:rsidRPr="007B79A7">
          <w:rPr>
            <w:noProof/>
            <w:webHidden/>
          </w:rPr>
          <w:tab/>
        </w:r>
        <w:r w:rsidR="00171DBB">
          <w:rPr>
            <w:noProof/>
            <w:webHidden/>
          </w:rPr>
          <w:t>13</w:t>
        </w:r>
      </w:hyperlink>
    </w:p>
    <w:p w14:paraId="7AD6BF62" w14:textId="77777777" w:rsidR="00171DBB" w:rsidRPr="007B79A7" w:rsidRDefault="008D7349" w:rsidP="00171DBB">
      <w:pPr>
        <w:pStyle w:val="TOC3"/>
        <w:tabs>
          <w:tab w:val="right" w:leader="dot" w:pos="9350"/>
        </w:tabs>
        <w:rPr>
          <w:rFonts w:eastAsia="Yu Mincho"/>
          <w:noProof/>
        </w:rPr>
      </w:pPr>
      <w:hyperlink w:anchor="_Toc32494924" w:history="1">
        <w:r w:rsidR="00171DBB" w:rsidRPr="007B79A7">
          <w:rPr>
            <w:snapToGrid w:val="0"/>
          </w:rPr>
          <w:t>可持续城市</w:t>
        </w:r>
        <w:r w:rsidR="00171DBB" w:rsidRPr="007B79A7">
          <w:rPr>
            <w:noProof/>
            <w:webHidden/>
          </w:rPr>
          <w:tab/>
        </w:r>
        <w:r w:rsidR="00171DBB">
          <w:rPr>
            <w:noProof/>
            <w:webHidden/>
          </w:rPr>
          <w:t>14</w:t>
        </w:r>
      </w:hyperlink>
    </w:p>
    <w:p w14:paraId="1B78FD9A" w14:textId="77777777" w:rsidR="00171DBB" w:rsidRPr="007B79A7" w:rsidRDefault="008D7349" w:rsidP="00171DBB">
      <w:pPr>
        <w:pStyle w:val="TOC2"/>
        <w:rPr>
          <w:rFonts w:eastAsia="Yu Mincho"/>
          <w:noProof/>
        </w:rPr>
      </w:pPr>
      <w:hyperlink w:anchor="_Toc32494925" w:history="1">
        <w:r w:rsidR="00171DBB" w:rsidRPr="007B79A7">
          <w:rPr>
            <w:rFonts w:hint="eastAsia"/>
          </w:rPr>
          <w:t>全环基金对实现爱知生物多样性目标的其他贡献</w:t>
        </w:r>
        <w:r w:rsidR="00171DBB" w:rsidRPr="007B79A7">
          <w:rPr>
            <w:noProof/>
            <w:webHidden/>
          </w:rPr>
          <w:tab/>
        </w:r>
        <w:r w:rsidR="00171DBB">
          <w:rPr>
            <w:noProof/>
            <w:webHidden/>
          </w:rPr>
          <w:t>15</w:t>
        </w:r>
      </w:hyperlink>
    </w:p>
    <w:p w14:paraId="0BA5BF1C" w14:textId="77777777" w:rsidR="00171DBB" w:rsidRPr="007B79A7" w:rsidRDefault="008D7349" w:rsidP="00171DBB">
      <w:pPr>
        <w:pStyle w:val="TOC3"/>
        <w:tabs>
          <w:tab w:val="right" w:leader="dot" w:pos="9350"/>
        </w:tabs>
        <w:rPr>
          <w:rFonts w:eastAsia="Yu Mincho"/>
          <w:noProof/>
        </w:rPr>
      </w:pPr>
      <w:hyperlink w:anchor="_Toc32494926" w:history="1">
        <w:r w:rsidR="00171DBB" w:rsidRPr="007B79A7">
          <w:rPr>
            <w:rFonts w:hint="eastAsia"/>
          </w:rPr>
          <w:t>气候变化适应方案</w:t>
        </w:r>
        <w:r w:rsidR="00171DBB" w:rsidRPr="007B79A7">
          <w:rPr>
            <w:noProof/>
            <w:webHidden/>
          </w:rPr>
          <w:tab/>
        </w:r>
        <w:r w:rsidR="00171DBB">
          <w:rPr>
            <w:noProof/>
            <w:webHidden/>
          </w:rPr>
          <w:t>15</w:t>
        </w:r>
      </w:hyperlink>
    </w:p>
    <w:p w14:paraId="70A1578E" w14:textId="77777777" w:rsidR="00171DBB" w:rsidRPr="007B79A7" w:rsidRDefault="008D7349" w:rsidP="00171DBB">
      <w:pPr>
        <w:pStyle w:val="TOC3"/>
        <w:tabs>
          <w:tab w:val="right" w:leader="dot" w:pos="9350"/>
        </w:tabs>
        <w:rPr>
          <w:rFonts w:eastAsia="Yu Mincho"/>
          <w:noProof/>
        </w:rPr>
      </w:pPr>
      <w:hyperlink w:anchor="_Toc32494927" w:history="1">
        <w:r w:rsidR="00171DBB" w:rsidRPr="007B79A7">
          <w:rPr>
            <w:snapToGrid w:val="0"/>
          </w:rPr>
          <w:t>国际水域重点领域</w:t>
        </w:r>
        <w:r w:rsidR="00171DBB" w:rsidRPr="007B79A7">
          <w:rPr>
            <w:noProof/>
            <w:webHidden/>
          </w:rPr>
          <w:tab/>
        </w:r>
        <w:r w:rsidR="00171DBB">
          <w:rPr>
            <w:noProof/>
            <w:webHidden/>
          </w:rPr>
          <w:t>16</w:t>
        </w:r>
      </w:hyperlink>
    </w:p>
    <w:p w14:paraId="78A8E03D" w14:textId="77777777" w:rsidR="00171DBB" w:rsidRPr="007B79A7" w:rsidRDefault="008D7349" w:rsidP="00171DBB">
      <w:pPr>
        <w:pStyle w:val="TOC3"/>
        <w:tabs>
          <w:tab w:val="right" w:leader="dot" w:pos="9350"/>
        </w:tabs>
        <w:rPr>
          <w:rFonts w:eastAsia="Yu Mincho"/>
          <w:noProof/>
        </w:rPr>
      </w:pPr>
      <w:hyperlink w:anchor="_Toc32494928" w:history="1">
        <w:r w:rsidR="00171DBB" w:rsidRPr="007B79A7">
          <w:rPr>
            <w:snapToGrid w:val="0"/>
          </w:rPr>
          <w:t>非赠款工具</w:t>
        </w:r>
        <w:r w:rsidR="00171DBB" w:rsidRPr="007B79A7">
          <w:rPr>
            <w:noProof/>
            <w:webHidden/>
          </w:rPr>
          <w:tab/>
        </w:r>
        <w:r w:rsidR="00171DBB">
          <w:rPr>
            <w:noProof/>
            <w:webHidden/>
          </w:rPr>
          <w:t>17</w:t>
        </w:r>
      </w:hyperlink>
    </w:p>
    <w:p w14:paraId="01AF7588" w14:textId="77777777" w:rsidR="00171DBB" w:rsidRPr="007B79A7" w:rsidRDefault="008D7349" w:rsidP="00171DBB">
      <w:pPr>
        <w:pStyle w:val="TOC3"/>
        <w:tabs>
          <w:tab w:val="right" w:leader="dot" w:pos="9350"/>
        </w:tabs>
        <w:rPr>
          <w:rFonts w:eastAsia="Yu Mincho"/>
          <w:noProof/>
        </w:rPr>
      </w:pPr>
      <w:hyperlink w:anchor="_Toc32494929" w:history="1">
        <w:r w:rsidR="00171DBB" w:rsidRPr="007B79A7">
          <w:rPr>
            <w:snapToGrid w:val="0"/>
          </w:rPr>
          <w:t>小额赠款方案</w:t>
        </w:r>
        <w:r w:rsidR="00171DBB" w:rsidRPr="007B79A7">
          <w:rPr>
            <w:noProof/>
            <w:webHidden/>
          </w:rPr>
          <w:tab/>
        </w:r>
        <w:r w:rsidR="00171DBB">
          <w:rPr>
            <w:noProof/>
            <w:webHidden/>
          </w:rPr>
          <w:t>17</w:t>
        </w:r>
      </w:hyperlink>
    </w:p>
    <w:p w14:paraId="433C8F23" w14:textId="77777777" w:rsidR="00171DBB" w:rsidRPr="007B79A7" w:rsidRDefault="008D7349" w:rsidP="00171DBB">
      <w:pPr>
        <w:pStyle w:val="TOC1"/>
        <w:rPr>
          <w:rFonts w:eastAsia="Yu Mincho"/>
          <w:noProof/>
        </w:rPr>
      </w:pPr>
      <w:hyperlink w:anchor="_Toc32494930" w:history="1">
        <w:r w:rsidR="00171DBB" w:rsidRPr="00171DBB">
          <w:rPr>
            <w:rFonts w:ascii="SimSun" w:hAnsi="SimSun"/>
            <w:noProof/>
          </w:rPr>
          <w:t>二</w:t>
        </w:r>
        <w:r w:rsidR="00171DBB" w:rsidRPr="007B79A7">
          <w:rPr>
            <w:rFonts w:asciiTheme="minorEastAsia" w:eastAsiaTheme="minorEastAsia" w:hAnsiTheme="minorEastAsia"/>
            <w:noProof/>
            <w:lang w:eastAsia="zh-CN"/>
          </w:rPr>
          <w:t xml:space="preserve">. </w:t>
        </w:r>
        <w:r w:rsidR="00171DBB" w:rsidRPr="007B79A7">
          <w:rPr>
            <w:rFonts w:hint="eastAsia"/>
          </w:rPr>
          <w:t>全环</w:t>
        </w:r>
        <w:r w:rsidR="00171DBB" w:rsidRPr="007B79A7">
          <w:rPr>
            <w:rFonts w:cs="Yu Gothic Light" w:hint="eastAsia"/>
          </w:rPr>
          <w:t>基金</w:t>
        </w:r>
        <w:r w:rsidR="00171DBB" w:rsidRPr="007B79A7">
          <w:rPr>
            <w:rFonts w:hint="eastAsia"/>
          </w:rPr>
          <w:t>对</w:t>
        </w:r>
        <w:r w:rsidR="00171DBB" w:rsidRPr="007B79A7">
          <w:rPr>
            <w:rFonts w:cs="Yu Gothic Light" w:hint="eastAsia"/>
          </w:rPr>
          <w:t>生物多</w:t>
        </w:r>
        <w:r w:rsidR="00171DBB" w:rsidRPr="007B79A7">
          <w:rPr>
            <w:rFonts w:hint="eastAsia"/>
          </w:rPr>
          <w:t>样</w:t>
        </w:r>
        <w:r w:rsidR="00171DBB" w:rsidRPr="007B79A7">
          <w:rPr>
            <w:rFonts w:cs="Yu Gothic Light" w:hint="eastAsia"/>
          </w:rPr>
          <w:t>性公</w:t>
        </w:r>
        <w:r w:rsidR="00171DBB" w:rsidRPr="007B79A7">
          <w:rPr>
            <w:rFonts w:hint="eastAsia"/>
          </w:rPr>
          <w:t>约缔约</w:t>
        </w:r>
        <w:r w:rsidR="00171DBB" w:rsidRPr="007B79A7">
          <w:rPr>
            <w:rFonts w:cs="Yu Gothic Light" w:hint="eastAsia"/>
          </w:rPr>
          <w:t>方大会第十四届会</w:t>
        </w:r>
        <w:r w:rsidR="00171DBB" w:rsidRPr="007B79A7">
          <w:rPr>
            <w:rFonts w:hint="eastAsia"/>
          </w:rPr>
          <w:t>议提出</w:t>
        </w:r>
        <w:r w:rsidR="00171DBB" w:rsidRPr="007B79A7">
          <w:rPr>
            <w:rFonts w:cs="Yu Gothic Light" w:hint="eastAsia"/>
          </w:rPr>
          <w:t>的指</w:t>
        </w:r>
        <w:r w:rsidR="00171DBB" w:rsidRPr="007B79A7">
          <w:rPr>
            <w:rFonts w:hint="eastAsia"/>
          </w:rPr>
          <w:t>导意见的回应</w:t>
        </w:r>
        <w:r w:rsidR="00171DBB" w:rsidRPr="007B79A7">
          <w:rPr>
            <w:noProof/>
            <w:webHidden/>
          </w:rPr>
          <w:tab/>
        </w:r>
        <w:r w:rsidR="00171DBB">
          <w:rPr>
            <w:noProof/>
            <w:webHidden/>
          </w:rPr>
          <w:t>20</w:t>
        </w:r>
      </w:hyperlink>
    </w:p>
    <w:p w14:paraId="054C1C6B" w14:textId="77777777" w:rsidR="00171DBB" w:rsidRPr="007B79A7" w:rsidRDefault="008D7349" w:rsidP="00171DBB">
      <w:pPr>
        <w:pStyle w:val="TOC1"/>
        <w:rPr>
          <w:rFonts w:eastAsia="Yu Mincho"/>
          <w:noProof/>
        </w:rPr>
      </w:pPr>
      <w:hyperlink w:anchor="_Toc32494931" w:history="1">
        <w:r w:rsidR="00171DBB" w:rsidRPr="007B79A7">
          <w:rPr>
            <w:rStyle w:val="Hyperlink"/>
            <w:noProof/>
            <w:lang w:val="en-GB"/>
          </w:rPr>
          <w:t>三</w:t>
        </w:r>
        <w:r w:rsidR="00171DBB" w:rsidRPr="007B79A7">
          <w:rPr>
            <w:rStyle w:val="Hyperlink"/>
            <w:noProof/>
          </w:rPr>
          <w:t>.</w:t>
        </w:r>
        <w:r w:rsidR="00171DBB" w:rsidRPr="007B79A7">
          <w:rPr>
            <w:rFonts w:eastAsia="Yu Mincho"/>
            <w:noProof/>
          </w:rPr>
          <w:tab/>
        </w:r>
        <w:r w:rsidR="00171DBB" w:rsidRPr="007B79A7">
          <w:rPr>
            <w:rFonts w:hint="eastAsia"/>
          </w:rPr>
          <w:t>项目</w:t>
        </w:r>
        <w:r w:rsidR="00171DBB" w:rsidRPr="007B79A7">
          <w:t>组合的执行情况</w:t>
        </w:r>
        <w:r w:rsidR="00171DBB" w:rsidRPr="007B79A7">
          <w:rPr>
            <w:noProof/>
            <w:webHidden/>
          </w:rPr>
          <w:tab/>
        </w:r>
        <w:r w:rsidR="00171DBB">
          <w:rPr>
            <w:noProof/>
            <w:webHidden/>
          </w:rPr>
          <w:t>24</w:t>
        </w:r>
      </w:hyperlink>
    </w:p>
    <w:p w14:paraId="53EAF229" w14:textId="77777777" w:rsidR="00171DBB" w:rsidRPr="007B79A7" w:rsidRDefault="008D7349" w:rsidP="00171DBB">
      <w:pPr>
        <w:pStyle w:val="TOC2"/>
        <w:rPr>
          <w:rFonts w:eastAsia="Yu Mincho"/>
          <w:noProof/>
        </w:rPr>
      </w:pPr>
      <w:hyperlink w:anchor="_Toc32494932" w:history="1">
        <w:r w:rsidR="00171DBB" w:rsidRPr="007B79A7">
          <w:t>实现</w:t>
        </w:r>
        <w:r w:rsidR="00171DBB" w:rsidRPr="007B79A7">
          <w:rPr>
            <w:rFonts w:hint="eastAsia"/>
          </w:rPr>
          <w:t>项目开发目标和实施进展情况</w:t>
        </w:r>
        <w:r w:rsidR="00171DBB" w:rsidRPr="007B79A7">
          <w:rPr>
            <w:noProof/>
            <w:webHidden/>
          </w:rPr>
          <w:tab/>
        </w:r>
        <w:r w:rsidR="00171DBB">
          <w:rPr>
            <w:noProof/>
            <w:webHidden/>
          </w:rPr>
          <w:t>24</w:t>
        </w:r>
      </w:hyperlink>
    </w:p>
    <w:p w14:paraId="7758FF0F" w14:textId="77777777" w:rsidR="00171DBB" w:rsidRPr="007B79A7" w:rsidRDefault="008D7349" w:rsidP="00171DBB">
      <w:pPr>
        <w:pStyle w:val="TOC2"/>
        <w:rPr>
          <w:rFonts w:eastAsia="Yu Mincho"/>
          <w:noProof/>
        </w:rPr>
      </w:pPr>
      <w:hyperlink w:anchor="_Toc32494933" w:history="1">
        <w:r w:rsidR="00171DBB" w:rsidRPr="007B79A7">
          <w:rPr>
            <w:rFonts w:hint="eastAsia"/>
          </w:rPr>
          <w:t>增加整个项目组合共同筹措资金</w:t>
        </w:r>
        <w:r w:rsidR="00171DBB" w:rsidRPr="007B79A7">
          <w:rPr>
            <w:noProof/>
            <w:webHidden/>
          </w:rPr>
          <w:tab/>
        </w:r>
        <w:r w:rsidR="00171DBB">
          <w:rPr>
            <w:noProof/>
            <w:webHidden/>
          </w:rPr>
          <w:t>28</w:t>
        </w:r>
      </w:hyperlink>
    </w:p>
    <w:p w14:paraId="2C3DDF6E" w14:textId="77777777" w:rsidR="00171DBB" w:rsidRPr="007B79A7" w:rsidRDefault="008D7349" w:rsidP="00171DBB">
      <w:pPr>
        <w:pStyle w:val="TOC1"/>
        <w:rPr>
          <w:rFonts w:eastAsia="Yu Mincho"/>
          <w:noProof/>
        </w:rPr>
      </w:pPr>
      <w:hyperlink w:anchor="_Toc32494934" w:history="1">
        <w:r w:rsidR="00171DBB" w:rsidRPr="007B79A7">
          <w:rPr>
            <w:rStyle w:val="Hyperlink"/>
            <w:noProof/>
            <w:lang w:val="en-GB"/>
          </w:rPr>
          <w:t>四</w:t>
        </w:r>
        <w:r w:rsidR="00171DBB" w:rsidRPr="007B79A7">
          <w:rPr>
            <w:rStyle w:val="Hyperlink"/>
            <w:rFonts w:asciiTheme="minorEastAsia" w:eastAsiaTheme="minorEastAsia" w:hAnsiTheme="minorEastAsia"/>
            <w:noProof/>
            <w:lang w:eastAsia="zh-CN"/>
          </w:rPr>
          <w:t>.</w:t>
        </w:r>
        <w:r w:rsidR="00171DBB" w:rsidRPr="007B79A7">
          <w:t xml:space="preserve"> </w:t>
        </w:r>
        <w:r w:rsidR="00171DBB" w:rsidRPr="007B79A7">
          <w:rPr>
            <w:rStyle w:val="Hyperlink"/>
            <w:rFonts w:asciiTheme="minorEastAsia" w:eastAsiaTheme="minorEastAsia" w:hAnsiTheme="minorEastAsia"/>
            <w:noProof/>
            <w:u w:val="none"/>
            <w:lang w:eastAsia="zh-CN"/>
          </w:rPr>
          <w:tab/>
        </w:r>
        <w:r w:rsidR="00171DBB" w:rsidRPr="007B79A7">
          <w:rPr>
            <w:rFonts w:hint="eastAsia"/>
          </w:rPr>
          <w:t>全环基金第七次增资总体成果和目标的进展报告</w:t>
        </w:r>
        <w:r w:rsidR="00171DBB" w:rsidRPr="007B79A7">
          <w:rPr>
            <w:noProof/>
            <w:webHidden/>
          </w:rPr>
          <w:tab/>
        </w:r>
        <w:r w:rsidR="00171DBB">
          <w:rPr>
            <w:noProof/>
            <w:webHidden/>
          </w:rPr>
          <w:t>29</w:t>
        </w:r>
      </w:hyperlink>
    </w:p>
    <w:p w14:paraId="5CB157E6" w14:textId="5A1AFF50" w:rsidR="00171DBB" w:rsidRPr="007B79A7" w:rsidRDefault="008D7349" w:rsidP="00171DBB">
      <w:pPr>
        <w:pStyle w:val="TOC1"/>
        <w:rPr>
          <w:rFonts w:eastAsia="Yu Mincho"/>
          <w:noProof/>
        </w:rPr>
      </w:pPr>
      <w:hyperlink w:anchor="_Toc32494935" w:history="1">
        <w:r w:rsidR="00171DBB" w:rsidRPr="00171DBB">
          <w:rPr>
            <w:rStyle w:val="Hyperlink"/>
            <w:rFonts w:ascii="SimSun" w:hAnsi="SimSun" w:hint="eastAsia"/>
            <w:noProof/>
            <w:u w:val="none"/>
            <w:lang w:val="en-GB" w:eastAsia="zh-CN"/>
          </w:rPr>
          <w:t>五</w:t>
        </w:r>
        <w:r w:rsidR="00171DBB" w:rsidRPr="007B79A7">
          <w:rPr>
            <w:rStyle w:val="Hyperlink"/>
            <w:rFonts w:eastAsiaTheme="minorEastAsia"/>
            <w:noProof/>
            <w:lang w:eastAsia="zh-CN"/>
          </w:rPr>
          <w:t>.</w:t>
        </w:r>
        <w:r w:rsidR="00171DBB" w:rsidRPr="007B79A7">
          <w:t xml:space="preserve"> </w:t>
        </w:r>
        <w:r w:rsidR="00171DBB" w:rsidRPr="007B79A7">
          <w:rPr>
            <w:rStyle w:val="Hyperlink"/>
            <w:rFonts w:eastAsiaTheme="minorEastAsia"/>
            <w:noProof/>
            <w:u w:val="none"/>
            <w:lang w:eastAsia="zh-CN"/>
          </w:rPr>
          <w:tab/>
        </w:r>
        <w:r w:rsidR="00171DBB" w:rsidRPr="007B79A7">
          <w:t>全环基金</w:t>
        </w:r>
        <w:r w:rsidR="00171DBB" w:rsidRPr="007B79A7">
          <w:rPr>
            <w:rFonts w:hint="eastAsia"/>
          </w:rPr>
          <w:t>独立评估办公室的结果</w:t>
        </w:r>
        <w:r w:rsidR="00171DBB" w:rsidRPr="007B79A7">
          <w:rPr>
            <w:noProof/>
            <w:webHidden/>
          </w:rPr>
          <w:tab/>
        </w:r>
        <w:r w:rsidR="00171DBB">
          <w:rPr>
            <w:noProof/>
            <w:webHidden/>
          </w:rPr>
          <w:t>3</w:t>
        </w:r>
      </w:hyperlink>
      <w:r w:rsidR="00FC3570">
        <w:rPr>
          <w:noProof/>
        </w:rPr>
        <w:t>1</w:t>
      </w:r>
    </w:p>
    <w:p w14:paraId="1A8603B3" w14:textId="77777777" w:rsidR="00171DBB" w:rsidRPr="007B79A7" w:rsidRDefault="008D7349" w:rsidP="00171DBB">
      <w:pPr>
        <w:pStyle w:val="TOC2"/>
        <w:rPr>
          <w:rFonts w:eastAsia="Yu Mincho"/>
          <w:noProof/>
        </w:rPr>
      </w:pPr>
      <w:hyperlink w:anchor="_Toc32494936" w:history="1">
        <w:r w:rsidR="00171DBB" w:rsidRPr="007B79A7">
          <w:rPr>
            <w:rStyle w:val="Hyperlink"/>
            <w:rFonts w:ascii="SimSun" w:hAnsi="SimSun" w:cs="SimSun" w:hint="eastAsia"/>
            <w:noProof/>
            <w:u w:val="none"/>
            <w:lang w:val="en"/>
          </w:rPr>
          <w:t>评估全环基金对</w:t>
        </w:r>
        <w:r w:rsidR="00171DBB" w:rsidRPr="007B79A7">
          <w:rPr>
            <w:rStyle w:val="Hyperlink"/>
            <w:noProof/>
            <w:u w:val="none"/>
            <w:lang w:val="en"/>
          </w:rPr>
          <w:t>2018</w:t>
        </w:r>
        <w:r w:rsidR="00171DBB" w:rsidRPr="007B79A7">
          <w:rPr>
            <w:rStyle w:val="Hyperlink"/>
            <w:rFonts w:ascii="SimSun" w:hAnsi="SimSun" w:cs="SimSun" w:hint="eastAsia"/>
            <w:noProof/>
            <w:u w:val="none"/>
            <w:lang w:val="en"/>
          </w:rPr>
          <w:t>年将生物多样性主流化的支持</w:t>
        </w:r>
        <w:r w:rsidR="00171DBB" w:rsidRPr="007B79A7">
          <w:rPr>
            <w:noProof/>
            <w:webHidden/>
          </w:rPr>
          <w:tab/>
        </w:r>
        <w:r w:rsidR="00171DBB">
          <w:rPr>
            <w:noProof/>
            <w:webHidden/>
          </w:rPr>
          <w:t>32</w:t>
        </w:r>
      </w:hyperlink>
    </w:p>
    <w:p w14:paraId="2248A825" w14:textId="179B656B" w:rsidR="00171DBB" w:rsidRPr="007B79A7" w:rsidRDefault="008D7349" w:rsidP="00171DBB">
      <w:pPr>
        <w:pStyle w:val="TOC2"/>
        <w:rPr>
          <w:rFonts w:eastAsia="Yu Mincho"/>
          <w:noProof/>
        </w:rPr>
      </w:pPr>
      <w:hyperlink w:anchor="_Toc32494937" w:history="1">
        <w:r w:rsidR="00171DBB" w:rsidRPr="00171DBB">
          <w:rPr>
            <w:rFonts w:ascii="SimSun" w:hAnsi="SimSun" w:hint="eastAsia"/>
            <w:lang w:eastAsia="zh-CN"/>
          </w:rPr>
          <w:t>评估全球环境基金对转型变革的支持</w:t>
        </w:r>
        <w:r w:rsidR="00171DBB" w:rsidRPr="007B79A7">
          <w:rPr>
            <w:noProof/>
            <w:webHidden/>
          </w:rPr>
          <w:tab/>
        </w:r>
        <w:r w:rsidR="00171DBB">
          <w:rPr>
            <w:noProof/>
            <w:webHidden/>
          </w:rPr>
          <w:t>3</w:t>
        </w:r>
      </w:hyperlink>
      <w:r w:rsidR="00D9717A">
        <w:rPr>
          <w:noProof/>
        </w:rPr>
        <w:t>3</w:t>
      </w:r>
    </w:p>
    <w:p w14:paraId="58675D2B" w14:textId="72395420" w:rsidR="00171DBB" w:rsidRPr="007B79A7" w:rsidRDefault="008D7349" w:rsidP="00171DBB">
      <w:pPr>
        <w:pStyle w:val="TOC2"/>
        <w:rPr>
          <w:rFonts w:eastAsia="Yu Mincho"/>
          <w:noProof/>
        </w:rPr>
      </w:pPr>
      <w:hyperlink w:anchor="_Toc32494938" w:history="1">
        <w:r w:rsidR="00171DBB" w:rsidRPr="007B79A7">
          <w:rPr>
            <w:rStyle w:val="Hyperlink"/>
            <w:rFonts w:ascii="SimSun" w:hAnsi="SimSun" w:cs="SimSun" w:hint="eastAsia"/>
            <w:noProof/>
            <w:u w:val="none"/>
            <w:lang w:val="en"/>
          </w:rPr>
          <w:t>评估全环基金</w:t>
        </w:r>
        <w:r w:rsidR="00171DBB" w:rsidRPr="007B79A7">
          <w:rPr>
            <w:rStyle w:val="Hyperlink"/>
            <w:noProof/>
            <w:u w:val="none"/>
            <w:lang w:val="en"/>
          </w:rPr>
          <w:t>2019</w:t>
        </w:r>
        <w:r w:rsidR="00171DBB" w:rsidRPr="007B79A7">
          <w:rPr>
            <w:rStyle w:val="Hyperlink"/>
            <w:rFonts w:ascii="SimSun" w:hAnsi="SimSun" w:cs="SimSun" w:hint="eastAsia"/>
            <w:noProof/>
            <w:u w:val="none"/>
            <w:lang w:val="en"/>
          </w:rPr>
          <w:t>年对扩大影响力的支持</w:t>
        </w:r>
        <w:r w:rsidR="00171DBB" w:rsidRPr="007B79A7">
          <w:rPr>
            <w:noProof/>
            <w:webHidden/>
          </w:rPr>
          <w:tab/>
        </w:r>
      </w:hyperlink>
      <w:r w:rsidR="009C6D38">
        <w:rPr>
          <w:noProof/>
        </w:rPr>
        <w:t>34</w:t>
      </w:r>
    </w:p>
    <w:p w14:paraId="106E30A3" w14:textId="2DBF4A3B" w:rsidR="00171DBB" w:rsidRDefault="00171DBB" w:rsidP="00171DBB">
      <w:pPr>
        <w:spacing w:after="0" w:line="240" w:lineRule="auto"/>
        <w:rPr>
          <w:rFonts w:eastAsia="MS Mincho" w:cs="Angsana New"/>
          <w:sz w:val="24"/>
          <w:szCs w:val="24"/>
          <w:lang w:val="en-GB"/>
        </w:rPr>
      </w:pPr>
      <w:r w:rsidRPr="007B79A7">
        <w:rPr>
          <w:rFonts w:eastAsia="MS Mincho" w:cs="Angsana New"/>
          <w:lang w:val="en-GB"/>
        </w:rPr>
        <w:fldChar w:fldCharType="end"/>
      </w:r>
    </w:p>
    <w:p w14:paraId="6E4C93E9" w14:textId="77777777" w:rsidR="00171DBB" w:rsidRDefault="00171DBB" w:rsidP="00171DBB"/>
    <w:p w14:paraId="6CBF5416" w14:textId="19C9FC97" w:rsidR="007A3DA4" w:rsidRDefault="007A3DA4" w:rsidP="00CB620B">
      <w:pPr>
        <w:spacing w:after="0" w:line="240" w:lineRule="auto"/>
        <w:rPr>
          <w:rFonts w:ascii="Calibri" w:eastAsia="MS Mincho" w:hAnsi="Calibri" w:cs="Angsana New"/>
          <w:sz w:val="24"/>
          <w:szCs w:val="24"/>
          <w:lang w:val="en-GB"/>
        </w:rPr>
      </w:pPr>
    </w:p>
    <w:p w14:paraId="55334C36" w14:textId="40A6EF99" w:rsidR="00EE6E9F" w:rsidRPr="00905EB6" w:rsidRDefault="00102791" w:rsidP="004D5062">
      <w:pPr>
        <w:pStyle w:val="Heading1"/>
      </w:pPr>
      <w:bookmarkStart w:id="5" w:name="_Toc32494912"/>
      <w:r w:rsidRPr="00905EB6">
        <w:rPr>
          <w:rFonts w:hint="eastAsia"/>
        </w:rPr>
        <w:t>执行摘要</w:t>
      </w:r>
      <w:bookmarkEnd w:id="5"/>
      <w:r w:rsidR="00EE6E9F" w:rsidRPr="00905EB6">
        <w:t xml:space="preserve"> </w:t>
      </w:r>
    </w:p>
    <w:p w14:paraId="0FBD133A" w14:textId="77777777" w:rsidR="00102791" w:rsidRPr="00905EB6" w:rsidRDefault="00102791" w:rsidP="00102791">
      <w:pPr>
        <w:rPr>
          <w:sz w:val="24"/>
          <w:szCs w:val="24"/>
          <w:lang w:val="en-GB"/>
        </w:rPr>
      </w:pPr>
    </w:p>
    <w:p w14:paraId="73AD3A8B" w14:textId="41588854" w:rsidR="004F1B93" w:rsidRPr="00905EB6" w:rsidRDefault="00102791" w:rsidP="00813501">
      <w:pPr>
        <w:pStyle w:val="ListParagraph"/>
        <w:numPr>
          <w:ilvl w:val="0"/>
          <w:numId w:val="23"/>
        </w:numPr>
        <w:spacing w:before="240" w:after="240" w:line="240" w:lineRule="auto"/>
        <w:ind w:left="0" w:firstLine="0"/>
        <w:contextualSpacing w:val="0"/>
        <w:rPr>
          <w:sz w:val="24"/>
          <w:szCs w:val="24"/>
          <w:lang w:val="en-GB" w:eastAsia="zh-CN"/>
        </w:rPr>
      </w:pPr>
      <w:r w:rsidRPr="00905EB6">
        <w:rPr>
          <w:rFonts w:ascii="SimSun" w:hAnsi="SimSun" w:cs="SimSun" w:hint="eastAsia"/>
          <w:sz w:val="24"/>
          <w:szCs w:val="24"/>
          <w:lang w:eastAsia="zh-CN"/>
        </w:rPr>
        <w:t>这份提交给生物多样性公约缔约方大会的报告草稿提供了全球环境基金根据2018年11月收到的缔约方大会第十四届会议对全环基金提出的指导意见在生物多样性重点领域进行的活动的信息。报告草稿涵盖</w:t>
      </w:r>
      <w:r w:rsidRPr="00905EB6">
        <w:rPr>
          <w:rFonts w:hint="eastAsia"/>
          <w:sz w:val="24"/>
          <w:szCs w:val="24"/>
          <w:lang w:eastAsia="zh-CN"/>
        </w:rPr>
        <w:t>2018</w:t>
      </w:r>
      <w:r w:rsidRPr="00905EB6">
        <w:rPr>
          <w:rFonts w:ascii="SimSun" w:hAnsi="SimSun" w:cs="SimSun" w:hint="eastAsia"/>
          <w:sz w:val="24"/>
          <w:szCs w:val="24"/>
          <w:lang w:eastAsia="zh-CN"/>
        </w:rPr>
        <w:t>年</w:t>
      </w:r>
      <w:r w:rsidRPr="00905EB6">
        <w:rPr>
          <w:rFonts w:hint="eastAsia"/>
          <w:sz w:val="24"/>
          <w:szCs w:val="24"/>
          <w:lang w:eastAsia="zh-CN"/>
        </w:rPr>
        <w:t>7</w:t>
      </w:r>
      <w:r w:rsidRPr="00905EB6">
        <w:rPr>
          <w:rFonts w:ascii="SimSun" w:hAnsi="SimSun" w:cs="SimSun" w:hint="eastAsia"/>
          <w:sz w:val="24"/>
          <w:szCs w:val="24"/>
          <w:lang w:eastAsia="zh-CN"/>
        </w:rPr>
        <w:t>月</w:t>
      </w:r>
      <w:r w:rsidRPr="00905EB6">
        <w:rPr>
          <w:rFonts w:hint="eastAsia"/>
          <w:sz w:val="24"/>
          <w:szCs w:val="24"/>
          <w:lang w:eastAsia="zh-CN"/>
        </w:rPr>
        <w:t>1</w:t>
      </w:r>
      <w:r w:rsidRPr="00905EB6">
        <w:rPr>
          <w:rFonts w:ascii="SimSun" w:hAnsi="SimSun" w:cs="SimSun" w:hint="eastAsia"/>
          <w:sz w:val="24"/>
          <w:szCs w:val="24"/>
          <w:lang w:eastAsia="zh-CN"/>
        </w:rPr>
        <w:t>日至</w:t>
      </w:r>
      <w:r w:rsidRPr="00905EB6">
        <w:rPr>
          <w:rFonts w:hint="eastAsia"/>
          <w:sz w:val="24"/>
          <w:szCs w:val="24"/>
          <w:lang w:eastAsia="zh-CN"/>
        </w:rPr>
        <w:t>2019</w:t>
      </w:r>
      <w:r w:rsidRPr="00905EB6">
        <w:rPr>
          <w:rFonts w:ascii="SimSun" w:hAnsi="SimSun" w:cs="SimSun" w:hint="eastAsia"/>
          <w:sz w:val="24"/>
          <w:szCs w:val="24"/>
          <w:lang w:eastAsia="zh-CN"/>
        </w:rPr>
        <w:t>年</w:t>
      </w:r>
      <w:r w:rsidRPr="00905EB6">
        <w:rPr>
          <w:rFonts w:hint="eastAsia"/>
          <w:sz w:val="24"/>
          <w:szCs w:val="24"/>
          <w:lang w:eastAsia="zh-CN"/>
        </w:rPr>
        <w:t>12</w:t>
      </w:r>
      <w:r w:rsidRPr="00905EB6">
        <w:rPr>
          <w:rFonts w:ascii="SimSun" w:hAnsi="SimSun" w:cs="SimSun" w:hint="eastAsia"/>
          <w:sz w:val="24"/>
          <w:szCs w:val="24"/>
          <w:lang w:eastAsia="zh-CN"/>
        </w:rPr>
        <w:t>月</w:t>
      </w:r>
      <w:r w:rsidRPr="00905EB6">
        <w:rPr>
          <w:rFonts w:hint="eastAsia"/>
          <w:sz w:val="24"/>
          <w:szCs w:val="24"/>
          <w:lang w:eastAsia="zh-CN"/>
        </w:rPr>
        <w:t>31</w:t>
      </w:r>
      <w:r w:rsidRPr="00905EB6">
        <w:rPr>
          <w:rFonts w:ascii="SimSun" w:hAnsi="SimSun" w:cs="SimSun" w:hint="eastAsia"/>
          <w:sz w:val="24"/>
          <w:szCs w:val="24"/>
          <w:lang w:eastAsia="zh-CN"/>
        </w:rPr>
        <w:t>日</w:t>
      </w:r>
      <w:r w:rsidR="0042396A" w:rsidRPr="00905EB6">
        <w:rPr>
          <w:rFonts w:ascii="SimSun" w:hAnsi="SimSun" w:cs="SimSun" w:hint="eastAsia"/>
          <w:sz w:val="24"/>
          <w:szCs w:val="24"/>
          <w:lang w:eastAsia="zh-CN"/>
        </w:rPr>
        <w:t>期间的活动</w:t>
      </w:r>
      <w:r w:rsidRPr="00905EB6">
        <w:rPr>
          <w:rFonts w:ascii="SimSun" w:hAnsi="SimSun" w:cs="SimSun" w:hint="eastAsia"/>
          <w:sz w:val="24"/>
          <w:szCs w:val="24"/>
          <w:lang w:eastAsia="zh-CN"/>
        </w:rPr>
        <w:t>。提交给</w:t>
      </w:r>
      <w:r w:rsidR="0042396A" w:rsidRPr="00905EB6">
        <w:rPr>
          <w:rFonts w:ascii="SimSun" w:hAnsi="SimSun" w:cs="SimSun" w:hint="eastAsia"/>
          <w:sz w:val="24"/>
          <w:szCs w:val="24"/>
          <w:lang w:eastAsia="zh-CN"/>
        </w:rPr>
        <w:t>缔约方大会第十五届会议</w:t>
      </w:r>
      <w:r w:rsidRPr="00905EB6">
        <w:rPr>
          <w:rFonts w:ascii="SimSun" w:hAnsi="SimSun" w:cs="SimSun" w:hint="eastAsia"/>
          <w:sz w:val="24"/>
          <w:szCs w:val="24"/>
          <w:lang w:eastAsia="zh-CN"/>
        </w:rPr>
        <w:t>的</w:t>
      </w:r>
      <w:r w:rsidR="0042396A" w:rsidRPr="00905EB6">
        <w:rPr>
          <w:rFonts w:ascii="SimSun" w:hAnsi="SimSun" w:cs="SimSun" w:hint="eastAsia"/>
          <w:sz w:val="24"/>
          <w:szCs w:val="24"/>
          <w:lang w:eastAsia="zh-CN"/>
        </w:rPr>
        <w:t>最后</w:t>
      </w:r>
      <w:r w:rsidRPr="00905EB6">
        <w:rPr>
          <w:rFonts w:ascii="SimSun" w:hAnsi="SimSun" w:cs="SimSun" w:hint="eastAsia"/>
          <w:sz w:val="24"/>
          <w:szCs w:val="24"/>
          <w:lang w:eastAsia="zh-CN"/>
        </w:rPr>
        <w:t>报告</w:t>
      </w:r>
      <w:r w:rsidR="0042396A" w:rsidRPr="00905EB6">
        <w:rPr>
          <w:rFonts w:ascii="SimSun" w:hAnsi="SimSun" w:cs="SimSun" w:hint="eastAsia"/>
          <w:sz w:val="24"/>
          <w:szCs w:val="24"/>
          <w:lang w:eastAsia="zh-CN"/>
        </w:rPr>
        <w:t>将</w:t>
      </w:r>
      <w:r w:rsidRPr="00905EB6">
        <w:rPr>
          <w:rFonts w:ascii="SimSun" w:hAnsi="SimSun" w:cs="SimSun" w:hint="eastAsia"/>
          <w:sz w:val="24"/>
          <w:szCs w:val="24"/>
          <w:lang w:eastAsia="zh-CN"/>
        </w:rPr>
        <w:t>涵盖</w:t>
      </w:r>
      <w:r w:rsidRPr="00905EB6">
        <w:rPr>
          <w:rFonts w:hint="eastAsia"/>
          <w:sz w:val="24"/>
          <w:szCs w:val="24"/>
          <w:lang w:eastAsia="zh-CN"/>
        </w:rPr>
        <w:t>2018</w:t>
      </w:r>
      <w:r w:rsidRPr="00905EB6">
        <w:rPr>
          <w:rFonts w:ascii="SimSun" w:hAnsi="SimSun" w:cs="SimSun" w:hint="eastAsia"/>
          <w:sz w:val="24"/>
          <w:szCs w:val="24"/>
          <w:lang w:eastAsia="zh-CN"/>
        </w:rPr>
        <w:t>年</w:t>
      </w:r>
      <w:r w:rsidRPr="00905EB6">
        <w:rPr>
          <w:rFonts w:hint="eastAsia"/>
          <w:sz w:val="24"/>
          <w:szCs w:val="24"/>
          <w:lang w:eastAsia="zh-CN"/>
        </w:rPr>
        <w:t>7</w:t>
      </w:r>
      <w:r w:rsidRPr="00905EB6">
        <w:rPr>
          <w:rFonts w:ascii="SimSun" w:hAnsi="SimSun" w:cs="SimSun" w:hint="eastAsia"/>
          <w:sz w:val="24"/>
          <w:szCs w:val="24"/>
          <w:lang w:eastAsia="zh-CN"/>
        </w:rPr>
        <w:t>月</w:t>
      </w:r>
      <w:r w:rsidRPr="00905EB6">
        <w:rPr>
          <w:rFonts w:hint="eastAsia"/>
          <w:sz w:val="24"/>
          <w:szCs w:val="24"/>
          <w:lang w:eastAsia="zh-CN"/>
        </w:rPr>
        <w:t>1</w:t>
      </w:r>
      <w:r w:rsidRPr="00905EB6">
        <w:rPr>
          <w:rFonts w:ascii="SimSun" w:hAnsi="SimSun" w:cs="SimSun" w:hint="eastAsia"/>
          <w:sz w:val="24"/>
          <w:szCs w:val="24"/>
          <w:lang w:eastAsia="zh-CN"/>
        </w:rPr>
        <w:t>日至</w:t>
      </w:r>
      <w:r w:rsidRPr="00905EB6">
        <w:rPr>
          <w:rFonts w:hint="eastAsia"/>
          <w:sz w:val="24"/>
          <w:szCs w:val="24"/>
          <w:lang w:eastAsia="zh-CN"/>
        </w:rPr>
        <w:t>2020</w:t>
      </w:r>
      <w:r w:rsidRPr="00905EB6">
        <w:rPr>
          <w:rFonts w:ascii="SimSun" w:hAnsi="SimSun" w:cs="SimSun" w:hint="eastAsia"/>
          <w:sz w:val="24"/>
          <w:szCs w:val="24"/>
          <w:lang w:eastAsia="zh-CN"/>
        </w:rPr>
        <w:t>年</w:t>
      </w:r>
      <w:r w:rsidRPr="00905EB6">
        <w:rPr>
          <w:rFonts w:hint="eastAsia"/>
          <w:sz w:val="24"/>
          <w:szCs w:val="24"/>
          <w:lang w:eastAsia="zh-CN"/>
        </w:rPr>
        <w:t>6</w:t>
      </w:r>
      <w:r w:rsidRPr="00905EB6">
        <w:rPr>
          <w:rFonts w:ascii="SimSun" w:hAnsi="SimSun" w:cs="SimSun" w:hint="eastAsia"/>
          <w:sz w:val="24"/>
          <w:szCs w:val="24"/>
          <w:lang w:eastAsia="zh-CN"/>
        </w:rPr>
        <w:t>月</w:t>
      </w:r>
      <w:r w:rsidRPr="00905EB6">
        <w:rPr>
          <w:rFonts w:hint="eastAsia"/>
          <w:sz w:val="24"/>
          <w:szCs w:val="24"/>
          <w:lang w:eastAsia="zh-CN"/>
        </w:rPr>
        <w:t>30</w:t>
      </w:r>
      <w:r w:rsidRPr="00905EB6">
        <w:rPr>
          <w:rFonts w:ascii="SimSun" w:hAnsi="SimSun" w:cs="SimSun" w:hint="eastAsia"/>
          <w:sz w:val="24"/>
          <w:szCs w:val="24"/>
          <w:lang w:eastAsia="zh-CN"/>
        </w:rPr>
        <w:t>日</w:t>
      </w:r>
      <w:r w:rsidR="0042396A" w:rsidRPr="00905EB6">
        <w:rPr>
          <w:rFonts w:ascii="SimSun" w:hAnsi="SimSun" w:cs="SimSun" w:hint="eastAsia"/>
          <w:sz w:val="24"/>
          <w:szCs w:val="24"/>
          <w:lang w:eastAsia="zh-CN"/>
        </w:rPr>
        <w:t>期间的活动</w:t>
      </w:r>
      <w:r w:rsidRPr="00905EB6">
        <w:rPr>
          <w:rFonts w:ascii="SimSun" w:hAnsi="SimSun" w:cs="SimSun" w:hint="eastAsia"/>
          <w:sz w:val="24"/>
          <w:szCs w:val="24"/>
          <w:lang w:eastAsia="zh-CN"/>
        </w:rPr>
        <w:t>，</w:t>
      </w:r>
      <w:r w:rsidR="0042396A" w:rsidRPr="00905EB6">
        <w:rPr>
          <w:rFonts w:ascii="SimSun" w:hAnsi="SimSun" w:cs="SimSun" w:hint="eastAsia"/>
          <w:sz w:val="24"/>
          <w:szCs w:val="24"/>
          <w:lang w:eastAsia="zh-CN"/>
        </w:rPr>
        <w:t>这段期间</w:t>
      </w:r>
      <w:r w:rsidRPr="00905EB6">
        <w:rPr>
          <w:rFonts w:ascii="SimSun" w:hAnsi="SimSun" w:cs="SimSun" w:hint="eastAsia"/>
          <w:sz w:val="24"/>
          <w:szCs w:val="24"/>
          <w:lang w:eastAsia="zh-CN"/>
        </w:rPr>
        <w:t>对应于</w:t>
      </w:r>
      <w:r w:rsidRPr="00905EB6">
        <w:rPr>
          <w:rFonts w:hint="eastAsia"/>
          <w:sz w:val="24"/>
          <w:szCs w:val="24"/>
          <w:lang w:eastAsia="zh-CN"/>
        </w:rPr>
        <w:t>2018</w:t>
      </w:r>
      <w:r w:rsidRPr="00905EB6">
        <w:rPr>
          <w:rFonts w:ascii="SimSun" w:hAnsi="SimSun" w:cs="SimSun" w:hint="eastAsia"/>
          <w:sz w:val="24"/>
          <w:szCs w:val="24"/>
          <w:lang w:eastAsia="zh-CN"/>
        </w:rPr>
        <w:t>年</w:t>
      </w:r>
      <w:r w:rsidRPr="00905EB6">
        <w:rPr>
          <w:rFonts w:hint="eastAsia"/>
          <w:sz w:val="24"/>
          <w:szCs w:val="24"/>
          <w:lang w:eastAsia="zh-CN"/>
        </w:rPr>
        <w:t>7</w:t>
      </w:r>
      <w:r w:rsidRPr="00905EB6">
        <w:rPr>
          <w:rFonts w:ascii="SimSun" w:hAnsi="SimSun" w:cs="SimSun" w:hint="eastAsia"/>
          <w:sz w:val="24"/>
          <w:szCs w:val="24"/>
          <w:lang w:eastAsia="zh-CN"/>
        </w:rPr>
        <w:t>月</w:t>
      </w:r>
      <w:r w:rsidRPr="00905EB6">
        <w:rPr>
          <w:rFonts w:hint="eastAsia"/>
          <w:sz w:val="24"/>
          <w:szCs w:val="24"/>
          <w:lang w:eastAsia="zh-CN"/>
        </w:rPr>
        <w:t>1</w:t>
      </w:r>
      <w:r w:rsidRPr="00905EB6">
        <w:rPr>
          <w:rFonts w:ascii="SimSun" w:hAnsi="SimSun" w:cs="SimSun" w:hint="eastAsia"/>
          <w:sz w:val="24"/>
          <w:szCs w:val="24"/>
          <w:lang w:eastAsia="zh-CN"/>
        </w:rPr>
        <w:t>日至</w:t>
      </w:r>
      <w:r w:rsidRPr="00905EB6">
        <w:rPr>
          <w:rFonts w:hint="eastAsia"/>
          <w:sz w:val="24"/>
          <w:szCs w:val="24"/>
          <w:lang w:eastAsia="zh-CN"/>
        </w:rPr>
        <w:t>2022</w:t>
      </w:r>
      <w:r w:rsidRPr="00905EB6">
        <w:rPr>
          <w:rFonts w:ascii="SimSun" w:hAnsi="SimSun" w:cs="SimSun" w:hint="eastAsia"/>
          <w:sz w:val="24"/>
          <w:szCs w:val="24"/>
          <w:lang w:eastAsia="zh-CN"/>
        </w:rPr>
        <w:t>年</w:t>
      </w:r>
      <w:r w:rsidRPr="00905EB6">
        <w:rPr>
          <w:rFonts w:hint="eastAsia"/>
          <w:sz w:val="24"/>
          <w:szCs w:val="24"/>
          <w:lang w:eastAsia="zh-CN"/>
        </w:rPr>
        <w:t>6</w:t>
      </w:r>
      <w:r w:rsidRPr="00905EB6">
        <w:rPr>
          <w:rFonts w:ascii="SimSun" w:hAnsi="SimSun" w:cs="SimSun" w:hint="eastAsia"/>
          <w:sz w:val="24"/>
          <w:szCs w:val="24"/>
          <w:lang w:eastAsia="zh-CN"/>
        </w:rPr>
        <w:t>月</w:t>
      </w:r>
      <w:r w:rsidRPr="00905EB6">
        <w:rPr>
          <w:rFonts w:hint="eastAsia"/>
          <w:sz w:val="24"/>
          <w:szCs w:val="24"/>
          <w:lang w:eastAsia="zh-CN"/>
        </w:rPr>
        <w:t>30</w:t>
      </w:r>
      <w:r w:rsidRPr="00905EB6">
        <w:rPr>
          <w:rFonts w:ascii="SimSun" w:hAnsi="SimSun" w:cs="SimSun" w:hint="eastAsia"/>
          <w:sz w:val="24"/>
          <w:szCs w:val="24"/>
          <w:lang w:eastAsia="zh-CN"/>
        </w:rPr>
        <w:t>日的</w:t>
      </w:r>
      <w:r w:rsidR="0042396A" w:rsidRPr="00905EB6">
        <w:rPr>
          <w:rFonts w:ascii="SimSun" w:hAnsi="SimSun" w:cs="SimSun" w:hint="eastAsia"/>
          <w:sz w:val="24"/>
          <w:szCs w:val="24"/>
          <w:lang w:eastAsia="zh-CN"/>
        </w:rPr>
        <w:t>全环基金</w:t>
      </w:r>
      <w:r w:rsidRPr="00905EB6">
        <w:rPr>
          <w:rFonts w:ascii="SimSun" w:hAnsi="SimSun" w:cs="SimSun" w:hint="eastAsia"/>
          <w:sz w:val="24"/>
          <w:szCs w:val="24"/>
          <w:lang w:eastAsia="zh-CN"/>
        </w:rPr>
        <w:t>第七</w:t>
      </w:r>
      <w:r w:rsidR="0042396A" w:rsidRPr="00905EB6">
        <w:rPr>
          <w:rFonts w:ascii="SimSun" w:hAnsi="SimSun" w:cs="SimSun" w:hint="eastAsia"/>
          <w:sz w:val="24"/>
          <w:szCs w:val="24"/>
          <w:lang w:eastAsia="zh-CN"/>
        </w:rPr>
        <w:t>次增资期间的</w:t>
      </w:r>
      <w:r w:rsidRPr="00905EB6">
        <w:rPr>
          <w:rFonts w:ascii="SimSun" w:hAnsi="SimSun" w:cs="SimSun" w:hint="eastAsia"/>
          <w:sz w:val="24"/>
          <w:szCs w:val="24"/>
          <w:lang w:eastAsia="zh-CN"/>
        </w:rPr>
        <w:t>前两年。</w:t>
      </w:r>
    </w:p>
    <w:p w14:paraId="0B085F2F" w14:textId="0FC73176" w:rsidR="00042165" w:rsidRPr="00905EB6" w:rsidRDefault="00042165" w:rsidP="006C0191">
      <w:pPr>
        <w:pStyle w:val="ListParagraph"/>
        <w:numPr>
          <w:ilvl w:val="0"/>
          <w:numId w:val="23"/>
        </w:numPr>
        <w:spacing w:before="240" w:after="240" w:line="240" w:lineRule="auto"/>
        <w:ind w:left="0" w:firstLine="0"/>
        <w:contextualSpacing w:val="0"/>
        <w:rPr>
          <w:sz w:val="24"/>
          <w:szCs w:val="24"/>
          <w:lang w:eastAsia="zh-CN"/>
        </w:rPr>
      </w:pPr>
      <w:r w:rsidRPr="00905EB6">
        <w:rPr>
          <w:rFonts w:hint="eastAsia"/>
          <w:sz w:val="24"/>
          <w:szCs w:val="24"/>
          <w:lang w:eastAsia="zh-CN"/>
        </w:rPr>
        <w:t>全环基金第七次</w:t>
      </w:r>
      <w:r w:rsidR="008D6A9A" w:rsidRPr="00905EB6">
        <w:rPr>
          <w:rFonts w:hint="eastAsia"/>
          <w:sz w:val="24"/>
          <w:szCs w:val="24"/>
          <w:lang w:eastAsia="zh-CN"/>
        </w:rPr>
        <w:t>增资的</w:t>
      </w:r>
      <w:r w:rsidRPr="00905EB6">
        <w:rPr>
          <w:rFonts w:hint="eastAsia"/>
          <w:sz w:val="24"/>
          <w:szCs w:val="24"/>
          <w:lang w:eastAsia="zh-CN"/>
        </w:rPr>
        <w:t>生物多样性重点领域战略</w:t>
      </w:r>
      <w:r w:rsidR="008D6A9A" w:rsidRPr="00905EB6">
        <w:rPr>
          <w:rFonts w:hint="eastAsia"/>
          <w:sz w:val="24"/>
          <w:szCs w:val="24"/>
          <w:lang w:eastAsia="zh-CN"/>
        </w:rPr>
        <w:t>目标</w:t>
      </w:r>
      <w:r w:rsidRPr="00905EB6">
        <w:rPr>
          <w:rFonts w:hint="eastAsia"/>
          <w:sz w:val="24"/>
          <w:szCs w:val="24"/>
          <w:lang w:eastAsia="zh-CN"/>
        </w:rPr>
        <w:t>旨在</w:t>
      </w:r>
      <w:r w:rsidR="008D6A9A" w:rsidRPr="00905EB6">
        <w:rPr>
          <w:rFonts w:hint="eastAsia"/>
          <w:sz w:val="24"/>
          <w:szCs w:val="24"/>
          <w:lang w:eastAsia="zh-CN"/>
        </w:rPr>
        <w:t>维持陆地</w:t>
      </w:r>
      <w:r w:rsidRPr="00905EB6">
        <w:rPr>
          <w:rFonts w:hint="eastAsia"/>
          <w:sz w:val="24"/>
          <w:szCs w:val="24"/>
          <w:lang w:eastAsia="zh-CN"/>
        </w:rPr>
        <w:t>景观和海洋景观</w:t>
      </w:r>
      <w:r w:rsidR="008D6A9A" w:rsidRPr="00905EB6">
        <w:rPr>
          <w:rFonts w:hint="eastAsia"/>
          <w:sz w:val="24"/>
          <w:szCs w:val="24"/>
          <w:lang w:eastAsia="zh-CN"/>
        </w:rPr>
        <w:t>的</w:t>
      </w:r>
      <w:r w:rsidRPr="00905EB6">
        <w:rPr>
          <w:rFonts w:hint="eastAsia"/>
          <w:sz w:val="24"/>
          <w:szCs w:val="24"/>
          <w:lang w:eastAsia="zh-CN"/>
        </w:rPr>
        <w:t>全球重要生物多样性。为了实现这一目标，</w:t>
      </w:r>
      <w:r w:rsidR="008D6A9A" w:rsidRPr="00905EB6">
        <w:rPr>
          <w:rFonts w:hint="eastAsia"/>
          <w:sz w:val="24"/>
          <w:szCs w:val="24"/>
          <w:lang w:eastAsia="zh-CN"/>
        </w:rPr>
        <w:t>全环基金</w:t>
      </w:r>
      <w:r w:rsidRPr="00905EB6">
        <w:rPr>
          <w:rFonts w:hint="eastAsia"/>
          <w:sz w:val="24"/>
          <w:szCs w:val="24"/>
          <w:lang w:eastAsia="zh-CN"/>
        </w:rPr>
        <w:t>的投资</w:t>
      </w:r>
      <w:r w:rsidR="008D6A9A" w:rsidRPr="00905EB6">
        <w:rPr>
          <w:rFonts w:hint="eastAsia"/>
          <w:sz w:val="24"/>
          <w:szCs w:val="24"/>
          <w:lang w:eastAsia="zh-CN"/>
        </w:rPr>
        <w:t>有助于</w:t>
      </w:r>
      <w:r w:rsidRPr="00905EB6">
        <w:rPr>
          <w:rFonts w:hint="eastAsia"/>
          <w:sz w:val="24"/>
          <w:szCs w:val="24"/>
          <w:lang w:eastAsia="zh-CN"/>
        </w:rPr>
        <w:t>各国实现</w:t>
      </w:r>
      <w:r w:rsidRPr="00905EB6">
        <w:rPr>
          <w:rFonts w:hint="eastAsia"/>
          <w:sz w:val="24"/>
          <w:szCs w:val="24"/>
          <w:lang w:eastAsia="zh-CN"/>
        </w:rPr>
        <w:t>2016</w:t>
      </w:r>
      <w:r w:rsidRPr="00905EB6">
        <w:rPr>
          <w:rFonts w:hint="eastAsia"/>
          <w:sz w:val="24"/>
          <w:szCs w:val="24"/>
          <w:lang w:eastAsia="zh-CN"/>
        </w:rPr>
        <w:t>年</w:t>
      </w:r>
      <w:r w:rsidRPr="00905EB6">
        <w:rPr>
          <w:rFonts w:hint="eastAsia"/>
          <w:sz w:val="24"/>
          <w:szCs w:val="24"/>
          <w:lang w:eastAsia="zh-CN"/>
        </w:rPr>
        <w:t>12</w:t>
      </w:r>
      <w:r w:rsidRPr="00905EB6">
        <w:rPr>
          <w:rFonts w:hint="eastAsia"/>
          <w:sz w:val="24"/>
          <w:szCs w:val="24"/>
          <w:lang w:eastAsia="zh-CN"/>
        </w:rPr>
        <w:t>月</w:t>
      </w:r>
      <w:r w:rsidR="008D6A9A" w:rsidRPr="00905EB6">
        <w:rPr>
          <w:rFonts w:hint="eastAsia"/>
          <w:sz w:val="24"/>
          <w:szCs w:val="24"/>
          <w:lang w:eastAsia="zh-CN"/>
        </w:rPr>
        <w:t>以来</w:t>
      </w:r>
      <w:r w:rsidR="00BD493B" w:rsidRPr="00905EB6">
        <w:rPr>
          <w:rFonts w:hint="eastAsia"/>
          <w:sz w:val="24"/>
          <w:szCs w:val="24"/>
          <w:lang w:eastAsia="zh-CN"/>
        </w:rPr>
        <w:t>在</w:t>
      </w:r>
      <w:r w:rsidR="008D6A9A" w:rsidRPr="00905EB6">
        <w:rPr>
          <w:rFonts w:hint="eastAsia"/>
          <w:sz w:val="24"/>
          <w:szCs w:val="24"/>
          <w:lang w:eastAsia="zh-CN"/>
        </w:rPr>
        <w:t>缔约方大会第十三届会议对全环基金提出的指导意见中</w:t>
      </w:r>
      <w:r w:rsidR="00BD493B" w:rsidRPr="00905EB6">
        <w:rPr>
          <w:rFonts w:hint="eastAsia"/>
          <w:sz w:val="24"/>
          <w:szCs w:val="24"/>
          <w:lang w:eastAsia="zh-CN"/>
        </w:rPr>
        <w:t>指明</w:t>
      </w:r>
      <w:r w:rsidRPr="00905EB6">
        <w:rPr>
          <w:rFonts w:hint="eastAsia"/>
          <w:sz w:val="24"/>
          <w:szCs w:val="24"/>
          <w:lang w:eastAsia="zh-CN"/>
        </w:rPr>
        <w:t>的三个目标，</w:t>
      </w:r>
      <w:r w:rsidR="00BD493B" w:rsidRPr="00905EB6">
        <w:rPr>
          <w:rFonts w:hint="eastAsia"/>
          <w:sz w:val="24"/>
          <w:szCs w:val="24"/>
          <w:lang w:eastAsia="zh-CN"/>
        </w:rPr>
        <w:t>这些目标</w:t>
      </w:r>
      <w:r w:rsidR="008D6A9A" w:rsidRPr="00905EB6">
        <w:rPr>
          <w:rFonts w:hint="eastAsia"/>
          <w:sz w:val="24"/>
          <w:szCs w:val="24"/>
          <w:lang w:eastAsia="zh-CN"/>
        </w:rPr>
        <w:t>载列于</w:t>
      </w:r>
      <w:r w:rsidR="008D6A9A" w:rsidRPr="00905EB6">
        <w:rPr>
          <w:rFonts w:ascii="Segoe UI" w:hAnsi="Segoe UI" w:cs="Segoe UI"/>
          <w:sz w:val="24"/>
          <w:szCs w:val="24"/>
          <w:lang w:eastAsia="zh-CN"/>
        </w:rPr>
        <w:t>四年期方案优先事项框</w:t>
      </w:r>
      <w:r w:rsidR="008D6A9A" w:rsidRPr="00905EB6">
        <w:rPr>
          <w:rFonts w:ascii="SimSun" w:hAnsi="SimSun" w:cs="SimSun" w:hint="eastAsia"/>
          <w:sz w:val="24"/>
          <w:szCs w:val="24"/>
          <w:lang w:eastAsia="zh-CN"/>
        </w:rPr>
        <w:t>架</w:t>
      </w:r>
      <w:r w:rsidRPr="00905EB6">
        <w:rPr>
          <w:rFonts w:hint="eastAsia"/>
          <w:sz w:val="24"/>
          <w:szCs w:val="24"/>
          <w:lang w:eastAsia="zh-CN"/>
        </w:rPr>
        <w:t>：</w:t>
      </w:r>
    </w:p>
    <w:p w14:paraId="67C1425F" w14:textId="0123688C" w:rsidR="00BD493B" w:rsidRPr="00905EB6" w:rsidRDefault="00BD493B" w:rsidP="00DD5378">
      <w:pPr>
        <w:numPr>
          <w:ilvl w:val="0"/>
          <w:numId w:val="8"/>
        </w:numPr>
        <w:spacing w:before="120" w:after="120" w:line="240" w:lineRule="auto"/>
        <w:ind w:left="1080"/>
        <w:rPr>
          <w:sz w:val="24"/>
          <w:szCs w:val="24"/>
          <w:lang w:eastAsia="zh-CN"/>
        </w:rPr>
      </w:pPr>
      <w:r w:rsidRPr="00905EB6">
        <w:rPr>
          <w:rStyle w:val="style21"/>
          <w:rFonts w:ascii="Segoe UI" w:hAnsi="Segoe UI" w:cs="Segoe UI"/>
          <w:color w:val="auto"/>
          <w:lang w:eastAsia="zh-CN"/>
        </w:rPr>
        <w:t>生物多样性作为各部门以及陆地景观和海洋景观的主流；</w:t>
      </w:r>
    </w:p>
    <w:p w14:paraId="25A768B3" w14:textId="5DAF82D7" w:rsidR="00624AF7" w:rsidRPr="00905EB6" w:rsidRDefault="00624AF7" w:rsidP="00DD5378">
      <w:pPr>
        <w:numPr>
          <w:ilvl w:val="0"/>
          <w:numId w:val="8"/>
        </w:numPr>
        <w:spacing w:before="120" w:after="120" w:line="240" w:lineRule="auto"/>
        <w:ind w:left="1080"/>
        <w:rPr>
          <w:sz w:val="24"/>
          <w:szCs w:val="24"/>
          <w:lang w:eastAsia="zh-CN"/>
        </w:rPr>
      </w:pPr>
      <w:r w:rsidRPr="00905EB6">
        <w:rPr>
          <w:rStyle w:val="style21"/>
          <w:rFonts w:ascii="Segoe UI" w:hAnsi="Segoe UI" w:cs="Segoe UI"/>
          <w:color w:val="auto"/>
          <w:lang w:eastAsia="zh-CN"/>
        </w:rPr>
        <w:t>运用保护生境和物种的直接驱动因素</w:t>
      </w:r>
      <w:r w:rsidRPr="00905EB6">
        <w:rPr>
          <w:rStyle w:val="style21"/>
          <w:rFonts w:ascii="Segoe UI" w:hAnsi="Segoe UI" w:cs="Segoe UI" w:hint="eastAsia"/>
          <w:color w:val="auto"/>
          <w:lang w:eastAsia="zh-CN"/>
        </w:rPr>
        <w:t>；</w:t>
      </w:r>
      <w:r w:rsidRPr="00905EB6">
        <w:rPr>
          <w:rStyle w:val="style21"/>
          <w:rFonts w:ascii="Segoe UI" w:hAnsi="Segoe UI" w:cs="Segoe UI"/>
          <w:color w:val="auto"/>
          <w:lang w:eastAsia="zh-CN"/>
        </w:rPr>
        <w:t>和</w:t>
      </w:r>
    </w:p>
    <w:p w14:paraId="71A684EE" w14:textId="1C468125" w:rsidR="00624AF7" w:rsidRPr="00905EB6" w:rsidRDefault="00624AF7" w:rsidP="00DD5378">
      <w:pPr>
        <w:numPr>
          <w:ilvl w:val="0"/>
          <w:numId w:val="8"/>
        </w:numPr>
        <w:spacing w:before="120" w:after="120" w:line="240" w:lineRule="auto"/>
        <w:ind w:left="1080"/>
        <w:rPr>
          <w:sz w:val="24"/>
          <w:szCs w:val="24"/>
          <w:lang w:eastAsia="zh-CN"/>
        </w:rPr>
      </w:pPr>
      <w:r w:rsidRPr="00905EB6">
        <w:rPr>
          <w:rStyle w:val="style21"/>
          <w:rFonts w:ascii="Segoe UI" w:hAnsi="Segoe UI" w:cs="Segoe UI"/>
          <w:color w:val="auto"/>
          <w:lang w:eastAsia="zh-CN"/>
        </w:rPr>
        <w:t>进一步制订生物多样性政策和体制框架</w:t>
      </w:r>
      <w:r w:rsidRPr="00905EB6">
        <w:rPr>
          <w:rStyle w:val="style21"/>
          <w:rFonts w:ascii="SimSun" w:hAnsi="SimSun" w:cs="SimSun" w:hint="eastAsia"/>
          <w:color w:val="auto"/>
          <w:lang w:eastAsia="zh-CN"/>
        </w:rPr>
        <w:t>。</w:t>
      </w:r>
    </w:p>
    <w:p w14:paraId="4840FBF2" w14:textId="7B6E0FBD" w:rsidR="00220CFC" w:rsidRPr="00905EB6" w:rsidRDefault="00220CFC" w:rsidP="006C0191">
      <w:pPr>
        <w:pStyle w:val="ListParagraph"/>
        <w:numPr>
          <w:ilvl w:val="0"/>
          <w:numId w:val="23"/>
        </w:numPr>
        <w:spacing w:before="240" w:after="240" w:line="240" w:lineRule="auto"/>
        <w:ind w:left="0" w:firstLine="0"/>
        <w:contextualSpacing w:val="0"/>
        <w:rPr>
          <w:sz w:val="24"/>
          <w:szCs w:val="24"/>
          <w:lang w:eastAsia="zh-CN"/>
        </w:rPr>
      </w:pPr>
      <w:r w:rsidRPr="00905EB6">
        <w:rPr>
          <w:rFonts w:hint="eastAsia"/>
          <w:sz w:val="24"/>
          <w:szCs w:val="24"/>
          <w:lang w:eastAsia="zh-CN"/>
        </w:rPr>
        <w:t>全环基金第七次增资生物多样性战略由九个方案投资项目组成</w:t>
      </w:r>
      <w:r w:rsidR="0024515C" w:rsidRPr="00905EB6">
        <w:rPr>
          <w:rFonts w:hint="eastAsia"/>
          <w:sz w:val="24"/>
          <w:szCs w:val="24"/>
          <w:lang w:eastAsia="zh-CN"/>
        </w:rPr>
        <w:t>。</w:t>
      </w:r>
      <w:r w:rsidRPr="00905EB6">
        <w:rPr>
          <w:rFonts w:hint="eastAsia"/>
          <w:sz w:val="24"/>
          <w:szCs w:val="24"/>
          <w:lang w:eastAsia="zh-CN"/>
        </w:rPr>
        <w:t>通过采取一系列解决整个陆地景观和海洋景观生物多样性丧失的最关键驱动因素的措施</w:t>
      </w:r>
      <w:r w:rsidR="0024515C" w:rsidRPr="00905EB6">
        <w:rPr>
          <w:rFonts w:hint="eastAsia"/>
          <w:sz w:val="24"/>
          <w:szCs w:val="24"/>
          <w:lang w:eastAsia="zh-CN"/>
        </w:rPr>
        <w:t>，这些投资项目直接有助于</w:t>
      </w:r>
      <w:r w:rsidRPr="00905EB6">
        <w:rPr>
          <w:rFonts w:hint="eastAsia"/>
          <w:sz w:val="24"/>
          <w:szCs w:val="24"/>
          <w:lang w:eastAsia="zh-CN"/>
        </w:rPr>
        <w:t>实施《</w:t>
      </w:r>
      <w:r w:rsidRPr="00905EB6">
        <w:rPr>
          <w:rFonts w:hint="eastAsia"/>
          <w:sz w:val="24"/>
          <w:szCs w:val="24"/>
          <w:lang w:eastAsia="zh-CN"/>
        </w:rPr>
        <w:t xml:space="preserve"> 2010-2020</w:t>
      </w:r>
      <w:r w:rsidRPr="00905EB6">
        <w:rPr>
          <w:rFonts w:hint="eastAsia"/>
          <w:sz w:val="24"/>
          <w:szCs w:val="24"/>
          <w:lang w:eastAsia="zh-CN"/>
        </w:rPr>
        <w:t>年生物多样性战略计划》和实现爱知生物多样性目标。</w:t>
      </w:r>
    </w:p>
    <w:p w14:paraId="485EBCF2" w14:textId="39D5458D" w:rsidR="0024515C" w:rsidRPr="00905EB6" w:rsidRDefault="0024515C" w:rsidP="006C0191">
      <w:pPr>
        <w:pStyle w:val="ListParagraph"/>
        <w:numPr>
          <w:ilvl w:val="0"/>
          <w:numId w:val="23"/>
        </w:numPr>
        <w:spacing w:before="240" w:after="240" w:line="240" w:lineRule="auto"/>
        <w:ind w:left="0" w:firstLine="0"/>
        <w:contextualSpacing w:val="0"/>
        <w:rPr>
          <w:sz w:val="24"/>
          <w:szCs w:val="24"/>
          <w:lang w:val="en-GB" w:eastAsia="zh-CN"/>
        </w:rPr>
      </w:pPr>
      <w:r w:rsidRPr="00905EB6">
        <w:rPr>
          <w:rFonts w:hint="eastAsia"/>
          <w:sz w:val="24"/>
          <w:szCs w:val="24"/>
          <w:lang w:eastAsia="zh-CN"/>
        </w:rPr>
        <w:t>此外，方案选项包括通过影响方案进行的投资，通过寻求对不止一个部门出现的问题</w:t>
      </w:r>
      <w:r w:rsidR="00217FF8" w:rsidRPr="00905EB6">
        <w:rPr>
          <w:rFonts w:hint="eastAsia"/>
          <w:sz w:val="24"/>
          <w:szCs w:val="24"/>
          <w:lang w:eastAsia="zh-CN"/>
        </w:rPr>
        <w:t>作出</w:t>
      </w:r>
      <w:r w:rsidRPr="00905EB6">
        <w:rPr>
          <w:rFonts w:hint="eastAsia"/>
          <w:sz w:val="24"/>
          <w:szCs w:val="24"/>
          <w:lang w:eastAsia="zh-CN"/>
        </w:rPr>
        <w:t>系统性反应，</w:t>
      </w:r>
      <w:r w:rsidR="00217FF8" w:rsidRPr="00905EB6">
        <w:rPr>
          <w:rFonts w:hint="eastAsia"/>
          <w:sz w:val="24"/>
          <w:szCs w:val="24"/>
          <w:lang w:eastAsia="zh-CN"/>
        </w:rPr>
        <w:t>使</w:t>
      </w:r>
      <w:r w:rsidRPr="00905EB6">
        <w:rPr>
          <w:rFonts w:hint="eastAsia"/>
          <w:sz w:val="24"/>
          <w:szCs w:val="24"/>
          <w:lang w:eastAsia="zh-CN"/>
        </w:rPr>
        <w:t>每单位</w:t>
      </w:r>
      <w:r w:rsidR="00217FF8" w:rsidRPr="00905EB6">
        <w:rPr>
          <w:rFonts w:hint="eastAsia"/>
          <w:sz w:val="24"/>
          <w:szCs w:val="24"/>
          <w:lang w:eastAsia="zh-CN"/>
        </w:rPr>
        <w:t>的</w:t>
      </w:r>
      <w:r w:rsidRPr="00905EB6">
        <w:rPr>
          <w:rFonts w:hint="eastAsia"/>
          <w:sz w:val="24"/>
          <w:szCs w:val="24"/>
          <w:lang w:eastAsia="zh-CN"/>
        </w:rPr>
        <w:t>投资</w:t>
      </w:r>
      <w:r w:rsidR="00217FF8" w:rsidRPr="00905EB6">
        <w:rPr>
          <w:rFonts w:hint="eastAsia"/>
          <w:sz w:val="24"/>
          <w:szCs w:val="24"/>
          <w:lang w:eastAsia="zh-CN"/>
        </w:rPr>
        <w:t>获得</w:t>
      </w:r>
      <w:r w:rsidRPr="00905EB6">
        <w:rPr>
          <w:rFonts w:hint="eastAsia"/>
          <w:sz w:val="24"/>
          <w:szCs w:val="24"/>
          <w:lang w:eastAsia="zh-CN"/>
        </w:rPr>
        <w:t>更多回报。它们将为缔约方大会第十三届会议商定的全环基金第七次</w:t>
      </w:r>
      <w:r w:rsidR="00262B29" w:rsidRPr="00905EB6">
        <w:rPr>
          <w:rFonts w:hint="eastAsia"/>
          <w:sz w:val="24"/>
          <w:szCs w:val="24"/>
          <w:lang w:eastAsia="zh-CN"/>
        </w:rPr>
        <w:t>增资</w:t>
      </w:r>
      <w:r w:rsidRPr="00905EB6">
        <w:rPr>
          <w:rFonts w:hint="eastAsia"/>
          <w:sz w:val="24"/>
          <w:szCs w:val="24"/>
          <w:lang w:eastAsia="zh-CN"/>
        </w:rPr>
        <w:t>的四年期方案重点框架及相关的预期成果作出重要的协同贡献。</w:t>
      </w:r>
    </w:p>
    <w:p w14:paraId="45DA0A43" w14:textId="2F91E234" w:rsidR="00262B29" w:rsidRPr="00905EB6" w:rsidRDefault="00262B29" w:rsidP="006C0191">
      <w:pPr>
        <w:pStyle w:val="ListParagraph"/>
        <w:numPr>
          <w:ilvl w:val="0"/>
          <w:numId w:val="23"/>
        </w:numPr>
        <w:spacing w:before="240" w:after="240" w:line="240" w:lineRule="auto"/>
        <w:ind w:left="0" w:firstLine="0"/>
        <w:contextualSpacing w:val="0"/>
        <w:rPr>
          <w:sz w:val="24"/>
          <w:szCs w:val="24"/>
          <w:lang w:val="en-GB" w:eastAsia="zh-CN"/>
        </w:rPr>
      </w:pPr>
      <w:r w:rsidRPr="00905EB6">
        <w:rPr>
          <w:rFonts w:hint="eastAsia"/>
          <w:sz w:val="24"/>
          <w:szCs w:val="24"/>
          <w:lang w:eastAsia="zh-CN"/>
        </w:rPr>
        <w:t>在全环基金第七次增资期间，共向生物多样性重点领域分配了</w:t>
      </w:r>
      <w:r w:rsidRPr="00905EB6">
        <w:rPr>
          <w:rFonts w:hint="eastAsia"/>
          <w:sz w:val="24"/>
          <w:szCs w:val="24"/>
          <w:lang w:eastAsia="zh-CN"/>
        </w:rPr>
        <w:t>12.92</w:t>
      </w:r>
      <w:r w:rsidRPr="00905EB6">
        <w:rPr>
          <w:rFonts w:hint="eastAsia"/>
          <w:sz w:val="24"/>
          <w:szCs w:val="24"/>
          <w:lang w:eastAsia="zh-CN"/>
        </w:rPr>
        <w:t>亿美元，其中</w:t>
      </w:r>
      <w:r w:rsidRPr="00905EB6">
        <w:rPr>
          <w:rFonts w:hint="eastAsia"/>
          <w:sz w:val="24"/>
          <w:szCs w:val="24"/>
          <w:lang w:eastAsia="zh-CN"/>
        </w:rPr>
        <w:t>10.31</w:t>
      </w:r>
      <w:r w:rsidRPr="00905EB6">
        <w:rPr>
          <w:rFonts w:hint="eastAsia"/>
          <w:sz w:val="24"/>
          <w:szCs w:val="24"/>
          <w:lang w:eastAsia="zh-CN"/>
        </w:rPr>
        <w:t>亿美元是通过资金透明分配系统（</w:t>
      </w:r>
      <w:r w:rsidRPr="00905EB6">
        <w:rPr>
          <w:rFonts w:hint="eastAsia"/>
          <w:sz w:val="24"/>
          <w:szCs w:val="24"/>
          <w:lang w:eastAsia="zh-CN"/>
        </w:rPr>
        <w:t>STAR</w:t>
      </w:r>
      <w:r w:rsidRPr="00905EB6">
        <w:rPr>
          <w:rFonts w:hint="eastAsia"/>
          <w:sz w:val="24"/>
          <w:szCs w:val="24"/>
          <w:lang w:eastAsia="zh-CN"/>
        </w:rPr>
        <w:t>）提供给各国的。</w:t>
      </w:r>
    </w:p>
    <w:p w14:paraId="0A9FBF68" w14:textId="330B17C9" w:rsidR="00262B29" w:rsidRPr="00905EB6" w:rsidRDefault="00262B29" w:rsidP="006C0191">
      <w:pPr>
        <w:pStyle w:val="ListParagraph"/>
        <w:numPr>
          <w:ilvl w:val="0"/>
          <w:numId w:val="23"/>
        </w:numPr>
        <w:spacing w:before="240" w:after="240" w:line="240" w:lineRule="auto"/>
        <w:ind w:left="0" w:firstLine="0"/>
        <w:contextualSpacing w:val="0"/>
        <w:rPr>
          <w:sz w:val="24"/>
          <w:szCs w:val="24"/>
          <w:lang w:val="en-GB" w:eastAsia="zh-CN"/>
        </w:rPr>
      </w:pPr>
      <w:r w:rsidRPr="00905EB6">
        <w:rPr>
          <w:rFonts w:hint="eastAsia"/>
          <w:sz w:val="24"/>
          <w:szCs w:val="24"/>
          <w:lang w:eastAsia="zh-CN"/>
        </w:rPr>
        <w:t>本报告所述期间，</w:t>
      </w:r>
      <w:r w:rsidR="007D26C4" w:rsidRPr="00905EB6">
        <w:rPr>
          <w:rFonts w:hint="eastAsia"/>
          <w:sz w:val="24"/>
          <w:szCs w:val="24"/>
          <w:lang w:eastAsia="zh-CN"/>
        </w:rPr>
        <w:t>在分配给生物多样性重点领域的全环基金第七次增资总额中，</w:t>
      </w:r>
      <w:r w:rsidRPr="00905EB6">
        <w:rPr>
          <w:rFonts w:hint="eastAsia"/>
          <w:sz w:val="24"/>
          <w:szCs w:val="24"/>
          <w:lang w:eastAsia="zh-CN"/>
        </w:rPr>
        <w:t>已规划的全环基金生物多样性重点领域资源总额为</w:t>
      </w:r>
      <w:r w:rsidRPr="00905EB6">
        <w:rPr>
          <w:rFonts w:hint="eastAsia"/>
          <w:sz w:val="24"/>
          <w:szCs w:val="24"/>
          <w:lang w:eastAsia="zh-CN"/>
        </w:rPr>
        <w:t>6.38</w:t>
      </w:r>
      <w:r w:rsidRPr="00905EB6">
        <w:rPr>
          <w:rFonts w:hint="eastAsia"/>
          <w:sz w:val="24"/>
          <w:szCs w:val="24"/>
          <w:lang w:eastAsia="zh-CN"/>
        </w:rPr>
        <w:t>亿美元（占</w:t>
      </w:r>
      <w:r w:rsidRPr="00905EB6">
        <w:rPr>
          <w:rFonts w:hint="eastAsia"/>
          <w:sz w:val="24"/>
          <w:szCs w:val="24"/>
          <w:lang w:eastAsia="zh-CN"/>
        </w:rPr>
        <w:t>49</w:t>
      </w:r>
      <w:r w:rsidRPr="00905EB6">
        <w:rPr>
          <w:rFonts w:hint="eastAsia"/>
          <w:sz w:val="24"/>
          <w:szCs w:val="24"/>
          <w:lang w:eastAsia="zh-CN"/>
        </w:rPr>
        <w:t>％）。在这一总额中，</w:t>
      </w:r>
      <w:r w:rsidR="007A0227" w:rsidRPr="00905EB6">
        <w:rPr>
          <w:rFonts w:hint="eastAsia"/>
          <w:sz w:val="24"/>
          <w:szCs w:val="24"/>
          <w:lang w:eastAsia="zh-CN"/>
        </w:rPr>
        <w:t>已规划了</w:t>
      </w:r>
      <w:r w:rsidRPr="00905EB6">
        <w:rPr>
          <w:rFonts w:hint="eastAsia"/>
          <w:sz w:val="24"/>
          <w:szCs w:val="24"/>
          <w:lang w:eastAsia="zh-CN"/>
        </w:rPr>
        <w:t>分配给生物多样性的</w:t>
      </w:r>
      <w:r w:rsidR="007D26C4" w:rsidRPr="00905EB6">
        <w:rPr>
          <w:rFonts w:hint="eastAsia"/>
          <w:sz w:val="24"/>
          <w:szCs w:val="24"/>
          <w:lang w:eastAsia="zh-CN"/>
        </w:rPr>
        <w:t>资金透明分配系统（</w:t>
      </w:r>
      <w:r w:rsidR="007D26C4" w:rsidRPr="00905EB6">
        <w:rPr>
          <w:rFonts w:hint="eastAsia"/>
          <w:sz w:val="24"/>
          <w:szCs w:val="24"/>
          <w:lang w:eastAsia="zh-CN"/>
        </w:rPr>
        <w:t>STAR</w:t>
      </w:r>
      <w:r w:rsidR="007D26C4" w:rsidRPr="00905EB6">
        <w:rPr>
          <w:rFonts w:hint="eastAsia"/>
          <w:sz w:val="24"/>
          <w:szCs w:val="24"/>
          <w:lang w:eastAsia="zh-CN"/>
        </w:rPr>
        <w:t>）</w:t>
      </w:r>
      <w:r w:rsidRPr="00905EB6">
        <w:rPr>
          <w:rFonts w:hint="eastAsia"/>
          <w:sz w:val="24"/>
          <w:szCs w:val="24"/>
          <w:lang w:eastAsia="zh-CN"/>
        </w:rPr>
        <w:t>资源</w:t>
      </w:r>
      <w:r w:rsidRPr="00905EB6">
        <w:rPr>
          <w:rFonts w:hint="eastAsia"/>
          <w:sz w:val="24"/>
          <w:szCs w:val="24"/>
          <w:lang w:eastAsia="zh-CN"/>
        </w:rPr>
        <w:t>4.68</w:t>
      </w:r>
      <w:r w:rsidRPr="00905EB6">
        <w:rPr>
          <w:rFonts w:hint="eastAsia"/>
          <w:sz w:val="24"/>
          <w:szCs w:val="24"/>
          <w:lang w:eastAsia="zh-CN"/>
        </w:rPr>
        <w:t>亿美元（</w:t>
      </w:r>
      <w:r w:rsidRPr="00905EB6">
        <w:rPr>
          <w:rFonts w:hint="eastAsia"/>
          <w:sz w:val="24"/>
          <w:szCs w:val="24"/>
          <w:lang w:eastAsia="zh-CN"/>
        </w:rPr>
        <w:t>45</w:t>
      </w:r>
      <w:r w:rsidRPr="00905EB6">
        <w:rPr>
          <w:rFonts w:hint="eastAsia"/>
          <w:sz w:val="24"/>
          <w:szCs w:val="24"/>
          <w:lang w:eastAsia="zh-CN"/>
        </w:rPr>
        <w:t>％）。</w:t>
      </w:r>
    </w:p>
    <w:p w14:paraId="4E598B26" w14:textId="192F53AE" w:rsidR="007C4936" w:rsidRPr="00905EB6" w:rsidRDefault="007C4936" w:rsidP="006C0191">
      <w:pPr>
        <w:pStyle w:val="ListParagraph"/>
        <w:numPr>
          <w:ilvl w:val="0"/>
          <w:numId w:val="23"/>
        </w:numPr>
        <w:spacing w:before="240" w:after="240" w:line="240" w:lineRule="auto"/>
        <w:ind w:left="0" w:firstLine="0"/>
        <w:contextualSpacing w:val="0"/>
        <w:rPr>
          <w:sz w:val="24"/>
          <w:szCs w:val="24"/>
          <w:lang w:val="en-GB" w:eastAsia="zh-CN"/>
        </w:rPr>
      </w:pPr>
      <w:r w:rsidRPr="00905EB6">
        <w:rPr>
          <w:rFonts w:hint="eastAsia"/>
          <w:sz w:val="24"/>
          <w:szCs w:val="24"/>
          <w:lang w:eastAsia="zh-CN"/>
        </w:rPr>
        <w:t>这些资源支持了</w:t>
      </w:r>
      <w:r w:rsidRPr="00905EB6">
        <w:rPr>
          <w:sz w:val="24"/>
          <w:szCs w:val="24"/>
          <w:lang w:eastAsia="zh-CN"/>
        </w:rPr>
        <w:t>38</w:t>
      </w:r>
      <w:r w:rsidRPr="00905EB6">
        <w:rPr>
          <w:rFonts w:hint="eastAsia"/>
          <w:sz w:val="24"/>
          <w:szCs w:val="24"/>
          <w:lang w:eastAsia="zh-CN"/>
        </w:rPr>
        <w:t>个生物多样性重点领域项目和</w:t>
      </w:r>
      <w:r w:rsidRPr="00905EB6">
        <w:rPr>
          <w:sz w:val="24"/>
          <w:szCs w:val="24"/>
          <w:lang w:eastAsia="zh-CN"/>
        </w:rPr>
        <w:t>99</w:t>
      </w:r>
      <w:r w:rsidRPr="00905EB6">
        <w:rPr>
          <w:rFonts w:hint="eastAsia"/>
          <w:sz w:val="24"/>
          <w:szCs w:val="24"/>
          <w:lang w:eastAsia="zh-CN"/>
        </w:rPr>
        <w:t>个多重点领域项目。包括影响</w:t>
      </w:r>
      <w:r w:rsidR="007C629B" w:rsidRPr="00905EB6">
        <w:rPr>
          <w:rFonts w:hint="eastAsia"/>
          <w:sz w:val="24"/>
          <w:szCs w:val="24"/>
          <w:lang w:eastAsia="zh-CN"/>
        </w:rPr>
        <w:t>方案</w:t>
      </w:r>
      <w:r w:rsidRPr="00905EB6">
        <w:rPr>
          <w:rFonts w:ascii="SimSun" w:hAnsi="SimSun" w:cs="SimSun" w:hint="eastAsia"/>
          <w:sz w:val="24"/>
          <w:szCs w:val="24"/>
          <w:lang w:eastAsia="zh-CN"/>
        </w:rPr>
        <w:t>在内的六种</w:t>
      </w:r>
      <w:r w:rsidR="007C629B" w:rsidRPr="00905EB6">
        <w:rPr>
          <w:rFonts w:ascii="SimSun" w:hAnsi="SimSun" w:cs="SimSun" w:hint="eastAsia"/>
          <w:sz w:val="24"/>
          <w:szCs w:val="24"/>
          <w:lang w:eastAsia="zh-CN"/>
        </w:rPr>
        <w:t>方案编制</w:t>
      </w:r>
      <w:r w:rsidRPr="00905EB6">
        <w:rPr>
          <w:rFonts w:ascii="SimSun" w:hAnsi="SimSun" w:cs="SimSun" w:hint="eastAsia"/>
          <w:sz w:val="24"/>
          <w:szCs w:val="24"/>
          <w:lang w:eastAsia="zh-CN"/>
        </w:rPr>
        <w:t>方法已经包括了这些项目中的</w:t>
      </w:r>
      <w:r w:rsidRPr="00905EB6">
        <w:rPr>
          <w:sz w:val="24"/>
          <w:szCs w:val="24"/>
          <w:lang w:eastAsia="zh-CN"/>
        </w:rPr>
        <w:t>75</w:t>
      </w:r>
      <w:r w:rsidRPr="00905EB6">
        <w:rPr>
          <w:rFonts w:hint="eastAsia"/>
          <w:sz w:val="24"/>
          <w:szCs w:val="24"/>
          <w:lang w:eastAsia="zh-CN"/>
        </w:rPr>
        <w:t>个</w:t>
      </w:r>
      <w:r w:rsidR="007C629B" w:rsidRPr="00905EB6">
        <w:rPr>
          <w:rFonts w:hint="eastAsia"/>
          <w:sz w:val="24"/>
          <w:szCs w:val="24"/>
          <w:lang w:eastAsia="zh-CN"/>
        </w:rPr>
        <w:t>项目</w:t>
      </w:r>
      <w:r w:rsidRPr="00905EB6">
        <w:rPr>
          <w:rFonts w:hint="eastAsia"/>
          <w:sz w:val="24"/>
          <w:szCs w:val="24"/>
          <w:lang w:eastAsia="zh-CN"/>
        </w:rPr>
        <w:t>。这些投资</w:t>
      </w:r>
      <w:r w:rsidR="007C629B" w:rsidRPr="00905EB6">
        <w:rPr>
          <w:rFonts w:hint="eastAsia"/>
          <w:sz w:val="24"/>
          <w:szCs w:val="24"/>
          <w:lang w:eastAsia="zh-CN"/>
        </w:rPr>
        <w:t>已</w:t>
      </w:r>
      <w:r w:rsidRPr="00905EB6">
        <w:rPr>
          <w:rFonts w:hint="eastAsia"/>
          <w:sz w:val="24"/>
          <w:szCs w:val="24"/>
          <w:lang w:eastAsia="zh-CN"/>
        </w:rPr>
        <w:t>使</w:t>
      </w:r>
      <w:r w:rsidRPr="00905EB6">
        <w:rPr>
          <w:sz w:val="24"/>
          <w:szCs w:val="24"/>
          <w:lang w:eastAsia="zh-CN"/>
        </w:rPr>
        <w:t>83</w:t>
      </w:r>
      <w:r w:rsidRPr="00905EB6">
        <w:rPr>
          <w:rFonts w:hint="eastAsia"/>
          <w:sz w:val="24"/>
          <w:szCs w:val="24"/>
          <w:lang w:eastAsia="zh-CN"/>
        </w:rPr>
        <w:t>个国家受益。这些数字包括</w:t>
      </w:r>
      <w:r w:rsidR="007C629B" w:rsidRPr="00905EB6">
        <w:rPr>
          <w:rFonts w:hint="eastAsia"/>
          <w:sz w:val="24"/>
          <w:szCs w:val="24"/>
          <w:lang w:eastAsia="zh-CN"/>
        </w:rPr>
        <w:t>机构</w:t>
      </w:r>
      <w:r w:rsidRPr="00905EB6">
        <w:rPr>
          <w:rFonts w:hint="eastAsia"/>
          <w:sz w:val="24"/>
          <w:szCs w:val="24"/>
          <w:lang w:eastAsia="zh-CN"/>
        </w:rPr>
        <w:t>费</w:t>
      </w:r>
      <w:r w:rsidR="007C629B" w:rsidRPr="00905EB6">
        <w:rPr>
          <w:rFonts w:hint="eastAsia"/>
          <w:sz w:val="24"/>
          <w:szCs w:val="24"/>
          <w:lang w:eastAsia="zh-CN"/>
        </w:rPr>
        <w:t>用</w:t>
      </w:r>
      <w:r w:rsidRPr="00905EB6">
        <w:rPr>
          <w:rFonts w:hint="eastAsia"/>
          <w:sz w:val="24"/>
          <w:szCs w:val="24"/>
          <w:lang w:eastAsia="zh-CN"/>
        </w:rPr>
        <w:t>和项目</w:t>
      </w:r>
      <w:r w:rsidR="007C629B" w:rsidRPr="00905EB6">
        <w:rPr>
          <w:rFonts w:hint="eastAsia"/>
          <w:sz w:val="24"/>
          <w:szCs w:val="24"/>
          <w:lang w:eastAsia="zh-CN"/>
        </w:rPr>
        <w:t>编制</w:t>
      </w:r>
      <w:r w:rsidRPr="00905EB6">
        <w:rPr>
          <w:rFonts w:hint="eastAsia"/>
          <w:sz w:val="24"/>
          <w:szCs w:val="24"/>
          <w:lang w:eastAsia="zh-CN"/>
        </w:rPr>
        <w:t>补助金（</w:t>
      </w:r>
      <w:r w:rsidRPr="00905EB6">
        <w:rPr>
          <w:sz w:val="24"/>
          <w:szCs w:val="24"/>
          <w:lang w:eastAsia="zh-CN"/>
        </w:rPr>
        <w:t>PPG</w:t>
      </w:r>
      <w:r w:rsidRPr="00905EB6">
        <w:rPr>
          <w:rFonts w:hint="eastAsia"/>
          <w:sz w:val="24"/>
          <w:szCs w:val="24"/>
          <w:lang w:eastAsia="zh-CN"/>
        </w:rPr>
        <w:t>）。</w:t>
      </w:r>
    </w:p>
    <w:p w14:paraId="66C4B22B" w14:textId="1435FC1E" w:rsidR="007C629B" w:rsidRPr="00905EB6" w:rsidRDefault="003A77FC" w:rsidP="006C0191">
      <w:pPr>
        <w:pStyle w:val="ListParagraph"/>
        <w:numPr>
          <w:ilvl w:val="0"/>
          <w:numId w:val="23"/>
        </w:numPr>
        <w:spacing w:before="240" w:after="240" w:line="240" w:lineRule="auto"/>
        <w:ind w:left="0" w:firstLine="0"/>
        <w:contextualSpacing w:val="0"/>
        <w:rPr>
          <w:sz w:val="24"/>
          <w:szCs w:val="24"/>
          <w:lang w:val="en-GB" w:eastAsia="zh-CN"/>
        </w:rPr>
      </w:pPr>
      <w:r w:rsidRPr="00905EB6">
        <w:rPr>
          <w:rFonts w:hint="eastAsia"/>
          <w:sz w:val="24"/>
          <w:szCs w:val="24"/>
          <w:lang w:eastAsia="zh-CN"/>
        </w:rPr>
        <w:t>在全环基金第七次增资的前</w:t>
      </w:r>
      <w:r w:rsidRPr="00905EB6">
        <w:rPr>
          <w:rFonts w:hint="eastAsia"/>
          <w:sz w:val="24"/>
          <w:szCs w:val="24"/>
          <w:lang w:eastAsia="zh-CN"/>
        </w:rPr>
        <w:t>18</w:t>
      </w:r>
      <w:r w:rsidRPr="00905EB6">
        <w:rPr>
          <w:rFonts w:hint="eastAsia"/>
          <w:sz w:val="24"/>
          <w:szCs w:val="24"/>
          <w:lang w:eastAsia="zh-CN"/>
        </w:rPr>
        <w:t>个月中，</w:t>
      </w:r>
      <w:r w:rsidR="007C629B" w:rsidRPr="00905EB6">
        <w:rPr>
          <w:rFonts w:hint="eastAsia"/>
          <w:sz w:val="24"/>
          <w:szCs w:val="24"/>
          <w:lang w:eastAsia="zh-CN"/>
        </w:rPr>
        <w:t>全环基金所有资源为实现全环基金第七次</w:t>
      </w:r>
      <w:r w:rsidR="00F00284" w:rsidRPr="00905EB6">
        <w:rPr>
          <w:rFonts w:hint="eastAsia"/>
          <w:sz w:val="24"/>
          <w:szCs w:val="24"/>
          <w:lang w:eastAsia="zh-CN"/>
        </w:rPr>
        <w:t>增资</w:t>
      </w:r>
      <w:r w:rsidRPr="00905EB6">
        <w:rPr>
          <w:rFonts w:hint="eastAsia"/>
          <w:sz w:val="24"/>
          <w:szCs w:val="24"/>
          <w:lang w:eastAsia="zh-CN"/>
        </w:rPr>
        <w:t>所有相关规划项目（</w:t>
      </w:r>
      <w:r w:rsidR="002B16DF" w:rsidRPr="00905EB6">
        <w:rPr>
          <w:rFonts w:hint="eastAsia"/>
          <w:sz w:val="24"/>
          <w:szCs w:val="24"/>
          <w:lang w:eastAsia="zh-CN"/>
        </w:rPr>
        <w:t>生物多样性重点领域战略、全环基金第七次增资影响方案、国际</w:t>
      </w:r>
      <w:r w:rsidR="002B16DF" w:rsidRPr="00905EB6">
        <w:rPr>
          <w:rFonts w:hint="eastAsia"/>
          <w:sz w:val="24"/>
          <w:szCs w:val="24"/>
          <w:lang w:eastAsia="zh-CN"/>
        </w:rPr>
        <w:lastRenderedPageBreak/>
        <w:t>水域重点领域、用于适应气候变化的最不发达国家基金、非赠款机制和小额赠款计划</w:t>
      </w:r>
      <w:r w:rsidRPr="00905EB6">
        <w:rPr>
          <w:rFonts w:hint="eastAsia"/>
          <w:sz w:val="24"/>
          <w:szCs w:val="24"/>
          <w:lang w:eastAsia="zh-CN"/>
        </w:rPr>
        <w:t>）的爱知生物多样性目标</w:t>
      </w:r>
      <w:r w:rsidR="002B16DF" w:rsidRPr="00905EB6">
        <w:rPr>
          <w:rFonts w:hint="eastAsia"/>
          <w:sz w:val="24"/>
          <w:szCs w:val="24"/>
          <w:lang w:eastAsia="zh-CN"/>
        </w:rPr>
        <w:t>提供</w:t>
      </w:r>
      <w:r w:rsidRPr="00905EB6">
        <w:rPr>
          <w:rFonts w:hint="eastAsia"/>
          <w:sz w:val="24"/>
          <w:szCs w:val="24"/>
          <w:lang w:eastAsia="zh-CN"/>
        </w:rPr>
        <w:t>的</w:t>
      </w:r>
      <w:r w:rsidR="002B16DF" w:rsidRPr="00905EB6">
        <w:rPr>
          <w:rFonts w:hint="eastAsia"/>
          <w:sz w:val="24"/>
          <w:szCs w:val="24"/>
          <w:lang w:eastAsia="zh-CN"/>
        </w:rPr>
        <w:t>总</w:t>
      </w:r>
      <w:r w:rsidRPr="00905EB6">
        <w:rPr>
          <w:rFonts w:hint="eastAsia"/>
          <w:sz w:val="24"/>
          <w:szCs w:val="24"/>
          <w:lang w:eastAsia="zh-CN"/>
        </w:rPr>
        <w:t>投资</w:t>
      </w:r>
      <w:r w:rsidR="002B16DF" w:rsidRPr="00905EB6">
        <w:rPr>
          <w:rFonts w:hint="eastAsia"/>
          <w:sz w:val="24"/>
          <w:szCs w:val="24"/>
          <w:lang w:eastAsia="zh-CN"/>
        </w:rPr>
        <w:t>额</w:t>
      </w:r>
      <w:r w:rsidR="007C629B" w:rsidRPr="00905EB6">
        <w:rPr>
          <w:rFonts w:hint="eastAsia"/>
          <w:sz w:val="24"/>
          <w:szCs w:val="24"/>
          <w:lang w:eastAsia="zh-CN"/>
        </w:rPr>
        <w:t>为</w:t>
      </w:r>
      <w:r w:rsidR="007C629B" w:rsidRPr="00905EB6">
        <w:rPr>
          <w:rFonts w:hint="eastAsia"/>
          <w:sz w:val="24"/>
          <w:szCs w:val="24"/>
          <w:lang w:eastAsia="zh-CN"/>
        </w:rPr>
        <w:t>10.56</w:t>
      </w:r>
      <w:r w:rsidR="007C629B" w:rsidRPr="00905EB6">
        <w:rPr>
          <w:rFonts w:hint="eastAsia"/>
          <w:sz w:val="24"/>
          <w:szCs w:val="24"/>
          <w:lang w:eastAsia="zh-CN"/>
        </w:rPr>
        <w:t>亿美元，</w:t>
      </w:r>
      <w:r w:rsidRPr="00905EB6">
        <w:rPr>
          <w:rFonts w:hint="eastAsia"/>
          <w:sz w:val="24"/>
          <w:szCs w:val="24"/>
          <w:lang w:eastAsia="zh-CN"/>
        </w:rPr>
        <w:t>外加共同融资</w:t>
      </w:r>
      <w:r w:rsidR="007C629B" w:rsidRPr="00905EB6">
        <w:rPr>
          <w:rFonts w:hint="eastAsia"/>
          <w:sz w:val="24"/>
          <w:szCs w:val="24"/>
          <w:lang w:eastAsia="zh-CN"/>
        </w:rPr>
        <w:t>89.55</w:t>
      </w:r>
      <w:r w:rsidR="007C629B" w:rsidRPr="00905EB6">
        <w:rPr>
          <w:rFonts w:hint="eastAsia"/>
          <w:sz w:val="24"/>
          <w:szCs w:val="24"/>
          <w:lang w:eastAsia="zh-CN"/>
        </w:rPr>
        <w:t>亿美元，</w:t>
      </w:r>
      <w:r w:rsidRPr="00905EB6">
        <w:rPr>
          <w:rFonts w:hint="eastAsia"/>
          <w:sz w:val="24"/>
          <w:szCs w:val="24"/>
          <w:lang w:eastAsia="zh-CN"/>
        </w:rPr>
        <w:t>达到</w:t>
      </w:r>
      <w:r w:rsidR="007C629B" w:rsidRPr="00905EB6">
        <w:rPr>
          <w:rFonts w:hint="eastAsia"/>
          <w:sz w:val="24"/>
          <w:szCs w:val="24"/>
          <w:lang w:eastAsia="zh-CN"/>
        </w:rPr>
        <w:t>总投资</w:t>
      </w:r>
      <w:r w:rsidRPr="00905EB6">
        <w:rPr>
          <w:rFonts w:hint="eastAsia"/>
          <w:sz w:val="24"/>
          <w:szCs w:val="24"/>
          <w:lang w:eastAsia="zh-CN"/>
        </w:rPr>
        <w:t>额</w:t>
      </w:r>
      <w:r w:rsidR="007C629B" w:rsidRPr="00905EB6">
        <w:rPr>
          <w:rFonts w:hint="eastAsia"/>
          <w:sz w:val="24"/>
          <w:szCs w:val="24"/>
          <w:lang w:eastAsia="zh-CN"/>
        </w:rPr>
        <w:t>10</w:t>
      </w:r>
      <w:r w:rsidRPr="00905EB6">
        <w:rPr>
          <w:rFonts w:hint="eastAsia"/>
          <w:sz w:val="24"/>
          <w:szCs w:val="24"/>
          <w:lang w:eastAsia="zh-CN"/>
        </w:rPr>
        <w:t>0.</w:t>
      </w:r>
      <w:r w:rsidR="007C629B" w:rsidRPr="00905EB6">
        <w:rPr>
          <w:rFonts w:hint="eastAsia"/>
          <w:sz w:val="24"/>
          <w:szCs w:val="24"/>
          <w:lang w:eastAsia="zh-CN"/>
        </w:rPr>
        <w:t>1</w:t>
      </w:r>
      <w:r w:rsidR="007C629B" w:rsidRPr="00905EB6">
        <w:rPr>
          <w:rFonts w:hint="eastAsia"/>
          <w:sz w:val="24"/>
          <w:szCs w:val="24"/>
          <w:lang w:eastAsia="zh-CN"/>
        </w:rPr>
        <w:t>亿美元。</w:t>
      </w:r>
    </w:p>
    <w:p w14:paraId="7615D992" w14:textId="3CEEE806" w:rsidR="002B16DF" w:rsidRPr="00905EB6" w:rsidRDefault="002B16DF" w:rsidP="006C0191">
      <w:pPr>
        <w:pStyle w:val="ListParagraph"/>
        <w:numPr>
          <w:ilvl w:val="0"/>
          <w:numId w:val="23"/>
        </w:numPr>
        <w:spacing w:before="240" w:after="240" w:line="240" w:lineRule="auto"/>
        <w:ind w:left="0" w:firstLine="0"/>
        <w:contextualSpacing w:val="0"/>
        <w:rPr>
          <w:sz w:val="24"/>
          <w:szCs w:val="24"/>
          <w:lang w:eastAsia="zh-CN"/>
        </w:rPr>
      </w:pPr>
      <w:r w:rsidRPr="00905EB6">
        <w:rPr>
          <w:rFonts w:hint="eastAsia"/>
          <w:sz w:val="24"/>
          <w:szCs w:val="24"/>
          <w:lang w:eastAsia="zh-CN"/>
        </w:rPr>
        <w:t>在缔约方大会第十四届会议上，缔约方就各种主题向全环基金提供了指导意见。</w:t>
      </w:r>
      <w:r w:rsidRPr="00905EB6">
        <w:rPr>
          <w:rStyle w:val="FootnoteReference"/>
          <w:sz w:val="24"/>
          <w:szCs w:val="24"/>
        </w:rPr>
        <w:footnoteReference w:id="3"/>
      </w:r>
      <w:r w:rsidRPr="00905EB6">
        <w:rPr>
          <w:rFonts w:hint="eastAsia"/>
          <w:sz w:val="24"/>
          <w:szCs w:val="24"/>
          <w:lang w:eastAsia="zh-CN"/>
        </w:rPr>
        <w:t>有关全环基金的运行情况和特定生物多样性专题的具体指导意见都已得到适当处理，报告中提供了全环基金的工作进度报告。</w:t>
      </w:r>
    </w:p>
    <w:p w14:paraId="42457F5E" w14:textId="7C966BC1" w:rsidR="0057665D" w:rsidRPr="00905EB6" w:rsidRDefault="0057665D" w:rsidP="006C0191">
      <w:pPr>
        <w:pStyle w:val="ListParagraph"/>
        <w:numPr>
          <w:ilvl w:val="0"/>
          <w:numId w:val="23"/>
        </w:numPr>
        <w:spacing w:before="240" w:after="240" w:line="240" w:lineRule="auto"/>
        <w:ind w:left="0" w:firstLine="0"/>
        <w:contextualSpacing w:val="0"/>
        <w:rPr>
          <w:sz w:val="24"/>
          <w:szCs w:val="24"/>
          <w:lang w:eastAsia="zh-CN"/>
        </w:rPr>
      </w:pPr>
      <w:r w:rsidRPr="00905EB6">
        <w:rPr>
          <w:rFonts w:hint="eastAsia"/>
          <w:sz w:val="24"/>
          <w:szCs w:val="24"/>
          <w:lang w:eastAsia="zh-CN"/>
        </w:rPr>
        <w:t>在本报告所述期间，目前正在执行的生物多样性项目中</w:t>
      </w:r>
      <w:r w:rsidR="00043E3F" w:rsidRPr="00905EB6">
        <w:rPr>
          <w:rFonts w:hint="eastAsia"/>
          <w:sz w:val="24"/>
          <w:szCs w:val="24"/>
          <w:lang w:eastAsia="zh-CN"/>
        </w:rPr>
        <w:t>，</w:t>
      </w:r>
      <w:r w:rsidRPr="00905EB6">
        <w:rPr>
          <w:rFonts w:hint="eastAsia"/>
          <w:sz w:val="24"/>
          <w:szCs w:val="24"/>
          <w:lang w:eastAsia="zh-CN"/>
        </w:rPr>
        <w:t>有</w:t>
      </w:r>
      <w:r w:rsidRPr="00905EB6">
        <w:rPr>
          <w:rFonts w:hint="eastAsia"/>
          <w:sz w:val="24"/>
          <w:szCs w:val="24"/>
          <w:lang w:eastAsia="zh-CN"/>
        </w:rPr>
        <w:t>84</w:t>
      </w:r>
      <w:r w:rsidRPr="00905EB6">
        <w:rPr>
          <w:rFonts w:hint="eastAsia"/>
          <w:sz w:val="24"/>
          <w:szCs w:val="24"/>
          <w:lang w:eastAsia="zh-CN"/>
        </w:rPr>
        <w:t>％</w:t>
      </w:r>
      <w:r w:rsidR="00043E3F" w:rsidRPr="00905EB6">
        <w:rPr>
          <w:rFonts w:hint="eastAsia"/>
          <w:sz w:val="24"/>
          <w:szCs w:val="24"/>
          <w:lang w:eastAsia="zh-CN"/>
        </w:rPr>
        <w:t>的项目</w:t>
      </w:r>
      <w:r w:rsidRPr="00905EB6">
        <w:rPr>
          <w:rFonts w:hint="eastAsia"/>
          <w:sz w:val="24"/>
          <w:szCs w:val="24"/>
          <w:lang w:eastAsia="zh-CN"/>
        </w:rPr>
        <w:t>被评为在实现执行进度和项目发展目标方面令人满意。此外，在多重点领域项目中，有</w:t>
      </w:r>
      <w:r w:rsidRPr="00905EB6">
        <w:rPr>
          <w:rFonts w:hint="eastAsia"/>
          <w:sz w:val="24"/>
          <w:szCs w:val="24"/>
          <w:lang w:eastAsia="zh-CN"/>
        </w:rPr>
        <w:t>84</w:t>
      </w:r>
      <w:r w:rsidRPr="00905EB6">
        <w:rPr>
          <w:rFonts w:hint="eastAsia"/>
          <w:sz w:val="24"/>
          <w:szCs w:val="24"/>
          <w:lang w:eastAsia="zh-CN"/>
        </w:rPr>
        <w:t>％的</w:t>
      </w:r>
      <w:r w:rsidR="00043E3F" w:rsidRPr="00905EB6">
        <w:rPr>
          <w:rFonts w:hint="eastAsia"/>
          <w:sz w:val="24"/>
          <w:szCs w:val="24"/>
          <w:lang w:eastAsia="zh-CN"/>
        </w:rPr>
        <w:t>项目被评为</w:t>
      </w:r>
      <w:r w:rsidRPr="00905EB6">
        <w:rPr>
          <w:rFonts w:hint="eastAsia"/>
          <w:sz w:val="24"/>
          <w:szCs w:val="24"/>
          <w:lang w:eastAsia="zh-CN"/>
        </w:rPr>
        <w:t>对实现</w:t>
      </w:r>
      <w:r w:rsidR="00043E3F" w:rsidRPr="00905EB6">
        <w:rPr>
          <w:rFonts w:hint="eastAsia"/>
          <w:sz w:val="24"/>
          <w:szCs w:val="24"/>
          <w:lang w:eastAsia="zh-CN"/>
        </w:rPr>
        <w:t>执行</w:t>
      </w:r>
      <w:r w:rsidRPr="00905EB6">
        <w:rPr>
          <w:rFonts w:hint="eastAsia"/>
          <w:sz w:val="24"/>
          <w:szCs w:val="24"/>
          <w:lang w:eastAsia="zh-CN"/>
        </w:rPr>
        <w:t>进度</w:t>
      </w:r>
      <w:r w:rsidR="00043E3F" w:rsidRPr="00905EB6">
        <w:rPr>
          <w:rFonts w:hint="eastAsia"/>
          <w:sz w:val="24"/>
          <w:szCs w:val="24"/>
          <w:lang w:eastAsia="zh-CN"/>
        </w:rPr>
        <w:t>令人</w:t>
      </w:r>
      <w:r w:rsidRPr="00905EB6">
        <w:rPr>
          <w:rFonts w:hint="eastAsia"/>
          <w:sz w:val="24"/>
          <w:szCs w:val="24"/>
          <w:lang w:eastAsia="zh-CN"/>
        </w:rPr>
        <w:t>满意，</w:t>
      </w:r>
      <w:r w:rsidR="00043E3F" w:rsidRPr="00905EB6">
        <w:rPr>
          <w:rFonts w:hint="eastAsia"/>
          <w:sz w:val="24"/>
          <w:szCs w:val="24"/>
          <w:lang w:eastAsia="zh-CN"/>
        </w:rPr>
        <w:t>并有</w:t>
      </w:r>
      <w:r w:rsidRPr="00905EB6">
        <w:rPr>
          <w:rFonts w:hint="eastAsia"/>
          <w:sz w:val="24"/>
          <w:szCs w:val="24"/>
          <w:lang w:eastAsia="zh-CN"/>
        </w:rPr>
        <w:t>90</w:t>
      </w:r>
      <w:r w:rsidRPr="00905EB6">
        <w:rPr>
          <w:rFonts w:hint="eastAsia"/>
          <w:sz w:val="24"/>
          <w:szCs w:val="24"/>
          <w:lang w:eastAsia="zh-CN"/>
        </w:rPr>
        <w:t>％的</w:t>
      </w:r>
      <w:r w:rsidR="00043E3F" w:rsidRPr="00905EB6">
        <w:rPr>
          <w:rFonts w:hint="eastAsia"/>
          <w:sz w:val="24"/>
          <w:szCs w:val="24"/>
          <w:lang w:eastAsia="zh-CN"/>
        </w:rPr>
        <w:t>项目</w:t>
      </w:r>
      <w:r w:rsidRPr="00905EB6">
        <w:rPr>
          <w:rFonts w:hint="eastAsia"/>
          <w:sz w:val="24"/>
          <w:szCs w:val="24"/>
          <w:lang w:eastAsia="zh-CN"/>
        </w:rPr>
        <w:t>对实现项目发展目标</w:t>
      </w:r>
      <w:r w:rsidR="00043E3F" w:rsidRPr="00905EB6">
        <w:rPr>
          <w:rFonts w:hint="eastAsia"/>
          <w:sz w:val="24"/>
          <w:szCs w:val="24"/>
          <w:lang w:eastAsia="zh-CN"/>
        </w:rPr>
        <w:t>令人</w:t>
      </w:r>
      <w:r w:rsidRPr="00905EB6">
        <w:rPr>
          <w:rFonts w:hint="eastAsia"/>
          <w:sz w:val="24"/>
          <w:szCs w:val="24"/>
          <w:lang w:eastAsia="zh-CN"/>
        </w:rPr>
        <w:t>满意。</w:t>
      </w:r>
    </w:p>
    <w:p w14:paraId="4A2D38C9" w14:textId="0EAEBF97" w:rsidR="001A6642" w:rsidRPr="00905EB6" w:rsidRDefault="001A6642" w:rsidP="006C0191">
      <w:pPr>
        <w:pStyle w:val="ListParagraph"/>
        <w:numPr>
          <w:ilvl w:val="0"/>
          <w:numId w:val="23"/>
        </w:numPr>
        <w:spacing w:before="240" w:after="240" w:line="240" w:lineRule="auto"/>
        <w:ind w:left="0" w:firstLine="0"/>
        <w:contextualSpacing w:val="0"/>
        <w:rPr>
          <w:sz w:val="24"/>
          <w:szCs w:val="24"/>
          <w:lang w:eastAsia="zh-CN"/>
        </w:rPr>
      </w:pPr>
      <w:r w:rsidRPr="00905EB6">
        <w:rPr>
          <w:rFonts w:hint="eastAsia"/>
          <w:sz w:val="24"/>
          <w:szCs w:val="24"/>
          <w:lang w:eastAsia="zh-CN"/>
        </w:rPr>
        <w:t>作为全环基金第七次增资协议的一部分，商定了一系列共同目标。</w:t>
      </w:r>
      <w:r w:rsidR="004A4EC9" w:rsidRPr="00905EB6">
        <w:rPr>
          <w:sz w:val="24"/>
          <w:szCs w:val="24"/>
          <w:vertAlign w:val="superscript"/>
        </w:rPr>
        <w:footnoteReference w:id="4"/>
      </w:r>
      <w:r w:rsidR="004A4EC9" w:rsidRPr="00905EB6">
        <w:rPr>
          <w:rFonts w:hint="eastAsia"/>
          <w:sz w:val="24"/>
          <w:szCs w:val="24"/>
          <w:lang w:eastAsia="zh-CN"/>
        </w:rPr>
        <w:t xml:space="preserve"> </w:t>
      </w:r>
      <w:r w:rsidRPr="00905EB6">
        <w:rPr>
          <w:rFonts w:hint="eastAsia"/>
          <w:sz w:val="24"/>
          <w:szCs w:val="24"/>
          <w:lang w:eastAsia="zh-CN"/>
        </w:rPr>
        <w:t>该报告包括</w:t>
      </w:r>
      <w:r w:rsidRPr="00905EB6">
        <w:rPr>
          <w:rFonts w:hint="eastAsia"/>
          <w:sz w:val="24"/>
          <w:szCs w:val="24"/>
          <w:lang w:eastAsia="zh-CN"/>
        </w:rPr>
        <w:t>2018</w:t>
      </w:r>
      <w:r w:rsidRPr="00905EB6">
        <w:rPr>
          <w:rFonts w:hint="eastAsia"/>
          <w:sz w:val="24"/>
          <w:szCs w:val="24"/>
          <w:lang w:eastAsia="zh-CN"/>
        </w:rPr>
        <w:t>年</w:t>
      </w:r>
      <w:r w:rsidRPr="00905EB6">
        <w:rPr>
          <w:rFonts w:hint="eastAsia"/>
          <w:sz w:val="24"/>
          <w:szCs w:val="24"/>
          <w:lang w:eastAsia="zh-CN"/>
        </w:rPr>
        <w:t>7</w:t>
      </w:r>
      <w:r w:rsidRPr="00905EB6">
        <w:rPr>
          <w:rFonts w:hint="eastAsia"/>
          <w:sz w:val="24"/>
          <w:szCs w:val="24"/>
          <w:lang w:eastAsia="zh-CN"/>
        </w:rPr>
        <w:t>月</w:t>
      </w:r>
      <w:r w:rsidRPr="00905EB6">
        <w:rPr>
          <w:rFonts w:hint="eastAsia"/>
          <w:sz w:val="24"/>
          <w:szCs w:val="24"/>
          <w:lang w:eastAsia="zh-CN"/>
        </w:rPr>
        <w:t>1</w:t>
      </w:r>
      <w:r w:rsidRPr="00905EB6">
        <w:rPr>
          <w:rFonts w:hint="eastAsia"/>
          <w:sz w:val="24"/>
          <w:szCs w:val="24"/>
          <w:lang w:eastAsia="zh-CN"/>
        </w:rPr>
        <w:t>日至</w:t>
      </w:r>
      <w:r w:rsidRPr="00905EB6">
        <w:rPr>
          <w:rFonts w:hint="eastAsia"/>
          <w:sz w:val="24"/>
          <w:szCs w:val="24"/>
          <w:lang w:eastAsia="zh-CN"/>
        </w:rPr>
        <w:t>2019</w:t>
      </w:r>
      <w:r w:rsidRPr="00905EB6">
        <w:rPr>
          <w:rFonts w:hint="eastAsia"/>
          <w:sz w:val="24"/>
          <w:szCs w:val="24"/>
          <w:lang w:eastAsia="zh-CN"/>
        </w:rPr>
        <w:t>年</w:t>
      </w:r>
      <w:r w:rsidRPr="00905EB6">
        <w:rPr>
          <w:rFonts w:hint="eastAsia"/>
          <w:sz w:val="24"/>
          <w:szCs w:val="24"/>
          <w:lang w:eastAsia="zh-CN"/>
        </w:rPr>
        <w:t>12</w:t>
      </w:r>
      <w:r w:rsidRPr="00905EB6">
        <w:rPr>
          <w:rFonts w:hint="eastAsia"/>
          <w:sz w:val="24"/>
          <w:szCs w:val="24"/>
          <w:lang w:eastAsia="zh-CN"/>
        </w:rPr>
        <w:t>月</w:t>
      </w:r>
      <w:r w:rsidRPr="00905EB6">
        <w:rPr>
          <w:rFonts w:hint="eastAsia"/>
          <w:sz w:val="24"/>
          <w:szCs w:val="24"/>
          <w:lang w:eastAsia="zh-CN"/>
        </w:rPr>
        <w:t>31</w:t>
      </w:r>
      <w:r w:rsidRPr="00905EB6">
        <w:rPr>
          <w:rFonts w:hint="eastAsia"/>
          <w:sz w:val="24"/>
          <w:szCs w:val="24"/>
          <w:lang w:eastAsia="zh-CN"/>
        </w:rPr>
        <w:t>日全球环境基金理事会批准的概念中提出的与《生物多样性公约》和《</w:t>
      </w:r>
      <w:r w:rsidRPr="00905EB6">
        <w:rPr>
          <w:rFonts w:hint="eastAsia"/>
          <w:sz w:val="24"/>
          <w:szCs w:val="24"/>
          <w:lang w:eastAsia="zh-CN"/>
        </w:rPr>
        <w:t xml:space="preserve"> 2010-2020</w:t>
      </w:r>
      <w:r w:rsidRPr="00905EB6">
        <w:rPr>
          <w:rFonts w:hint="eastAsia"/>
          <w:sz w:val="24"/>
          <w:szCs w:val="24"/>
          <w:lang w:eastAsia="zh-CN"/>
        </w:rPr>
        <w:t>年生物多样性战略计划》有关的累计目标。累计目标代表了这些项目的关键预期成果。下表总结了</w:t>
      </w:r>
      <w:r w:rsidR="004C6CE0" w:rsidRPr="00905EB6">
        <w:rPr>
          <w:rFonts w:hint="eastAsia"/>
          <w:sz w:val="24"/>
          <w:szCs w:val="24"/>
          <w:lang w:eastAsia="zh-CN"/>
        </w:rPr>
        <w:t>就各项</w:t>
      </w:r>
      <w:r w:rsidRPr="00905EB6">
        <w:rPr>
          <w:rFonts w:hint="eastAsia"/>
          <w:sz w:val="24"/>
          <w:szCs w:val="24"/>
          <w:lang w:eastAsia="zh-CN"/>
        </w:rPr>
        <w:t>生物多样性公约关键目标</w:t>
      </w:r>
      <w:r w:rsidR="004C6CE0" w:rsidRPr="00905EB6">
        <w:rPr>
          <w:rFonts w:hint="eastAsia"/>
          <w:sz w:val="24"/>
          <w:szCs w:val="24"/>
          <w:lang w:eastAsia="zh-CN"/>
        </w:rPr>
        <w:t>达成</w:t>
      </w:r>
      <w:r w:rsidRPr="00905EB6">
        <w:rPr>
          <w:rFonts w:hint="eastAsia"/>
          <w:sz w:val="24"/>
          <w:szCs w:val="24"/>
          <w:lang w:eastAsia="zh-CN"/>
        </w:rPr>
        <w:t>的</w:t>
      </w:r>
      <w:r w:rsidR="004C6CE0" w:rsidRPr="00905EB6">
        <w:rPr>
          <w:rFonts w:hint="eastAsia"/>
          <w:sz w:val="24"/>
          <w:szCs w:val="24"/>
          <w:lang w:eastAsia="zh-CN"/>
        </w:rPr>
        <w:t>进展</w:t>
      </w:r>
      <w:r w:rsidRPr="00905EB6">
        <w:rPr>
          <w:rFonts w:hint="eastAsia"/>
          <w:sz w:val="24"/>
          <w:szCs w:val="24"/>
          <w:lang w:eastAsia="zh-CN"/>
        </w:rPr>
        <w:t>。</w:t>
      </w:r>
    </w:p>
    <w:p w14:paraId="0864D25F" w14:textId="015627F8" w:rsidR="000347FD" w:rsidRPr="000347FD" w:rsidRDefault="000347FD" w:rsidP="000347FD">
      <w:pPr>
        <w:jc w:val="center"/>
        <w:rPr>
          <w:lang w:eastAsia="zh-CN"/>
        </w:rPr>
      </w:pPr>
      <w:r w:rsidRPr="000347FD">
        <w:rPr>
          <w:rFonts w:hint="eastAsia"/>
          <w:b/>
          <w:lang w:eastAsia="zh-CN"/>
        </w:rPr>
        <w:t>全环基金第七次增资期间与《生物多样性公约》相关的关键核心指标目标的进展</w:t>
      </w:r>
      <w:r w:rsidRPr="00905EB6">
        <w:rPr>
          <w:rStyle w:val="FootnoteReference"/>
          <w:sz w:val="24"/>
          <w:szCs w:val="24"/>
        </w:rPr>
        <w:footnoteReference w:id="5"/>
      </w:r>
    </w:p>
    <w:tbl>
      <w:tblPr>
        <w:tblStyle w:val="TableGrid"/>
        <w:tblW w:w="0" w:type="auto"/>
        <w:tblLook w:val="04A0" w:firstRow="1" w:lastRow="0" w:firstColumn="1" w:lastColumn="0" w:noHBand="0" w:noVBand="1"/>
      </w:tblPr>
      <w:tblGrid>
        <w:gridCol w:w="6123"/>
        <w:gridCol w:w="1857"/>
        <w:gridCol w:w="1370"/>
      </w:tblGrid>
      <w:tr w:rsidR="003F6C8E" w14:paraId="4A453D3F" w14:textId="77777777" w:rsidTr="00D56C20">
        <w:trPr>
          <w:trHeight w:val="1070"/>
          <w:tblHeader/>
        </w:trPr>
        <w:tc>
          <w:tcPr>
            <w:tcW w:w="0" w:type="auto"/>
          </w:tcPr>
          <w:p w14:paraId="62ED3C31" w14:textId="3D80953D" w:rsidR="005341E9" w:rsidRPr="000347FD" w:rsidRDefault="000347FD" w:rsidP="006F6973">
            <w:pPr>
              <w:rPr>
                <w:b/>
                <w:sz w:val="24"/>
                <w:szCs w:val="24"/>
              </w:rPr>
            </w:pPr>
            <w:proofErr w:type="spellStart"/>
            <w:r w:rsidRPr="000347FD">
              <w:rPr>
                <w:rFonts w:hint="eastAsia"/>
                <w:b/>
              </w:rPr>
              <w:t>核心指标目标</w:t>
            </w:r>
            <w:proofErr w:type="spellEnd"/>
            <w:r w:rsidR="005341E9" w:rsidRPr="000347FD">
              <w:rPr>
                <w:b/>
                <w:sz w:val="24"/>
                <w:szCs w:val="24"/>
              </w:rPr>
              <w:t xml:space="preserve"> </w:t>
            </w:r>
          </w:p>
        </w:tc>
        <w:tc>
          <w:tcPr>
            <w:tcW w:w="0" w:type="auto"/>
          </w:tcPr>
          <w:p w14:paraId="422B1744" w14:textId="3049F957" w:rsidR="005341E9" w:rsidRPr="00D56C20" w:rsidRDefault="000347FD" w:rsidP="000347FD">
            <w:pPr>
              <w:rPr>
                <w:b/>
                <w:sz w:val="24"/>
                <w:szCs w:val="24"/>
                <w:lang w:eastAsia="zh-CN"/>
              </w:rPr>
            </w:pPr>
            <w:r>
              <w:rPr>
                <w:b/>
                <w:sz w:val="24"/>
                <w:szCs w:val="24"/>
                <w:lang w:eastAsia="zh-CN"/>
              </w:rPr>
              <w:t>目标进展情况</w:t>
            </w:r>
            <w:r>
              <w:rPr>
                <w:rFonts w:hint="eastAsia"/>
                <w:b/>
                <w:sz w:val="24"/>
                <w:szCs w:val="24"/>
                <w:lang w:eastAsia="zh-CN"/>
              </w:rPr>
              <w:br/>
            </w:r>
            <w:r w:rsidR="00A62194">
              <w:rPr>
                <w:rFonts w:hint="eastAsia"/>
                <w:b/>
                <w:sz w:val="24"/>
                <w:szCs w:val="24"/>
                <w:lang w:eastAsia="zh-CN"/>
              </w:rPr>
              <w:t>(</w:t>
            </w:r>
            <w:r>
              <w:rPr>
                <w:rFonts w:hint="eastAsia"/>
                <w:b/>
                <w:sz w:val="24"/>
                <w:szCs w:val="24"/>
                <w:lang w:eastAsia="zh-CN"/>
              </w:rPr>
              <w:t>数字</w:t>
            </w:r>
            <w:r w:rsidR="00A62194">
              <w:rPr>
                <w:rFonts w:hint="eastAsia"/>
                <w:b/>
                <w:sz w:val="24"/>
                <w:szCs w:val="24"/>
                <w:lang w:eastAsia="zh-CN"/>
              </w:rPr>
              <w:t>)</w:t>
            </w:r>
          </w:p>
        </w:tc>
        <w:tc>
          <w:tcPr>
            <w:tcW w:w="0" w:type="auto"/>
          </w:tcPr>
          <w:p w14:paraId="0A286206" w14:textId="7E6A1EC3" w:rsidR="005341E9" w:rsidRPr="00D56C20" w:rsidRDefault="000347FD" w:rsidP="000347FD">
            <w:pPr>
              <w:rPr>
                <w:b/>
                <w:sz w:val="24"/>
                <w:szCs w:val="24"/>
                <w:lang w:eastAsia="zh-CN"/>
              </w:rPr>
            </w:pPr>
            <w:r>
              <w:rPr>
                <w:b/>
                <w:sz w:val="24"/>
                <w:szCs w:val="24"/>
                <w:lang w:eastAsia="zh-CN"/>
              </w:rPr>
              <w:t>目标进展情况</w:t>
            </w:r>
            <w:r>
              <w:rPr>
                <w:rFonts w:hint="eastAsia"/>
                <w:b/>
                <w:sz w:val="24"/>
                <w:szCs w:val="24"/>
                <w:lang w:eastAsia="zh-CN"/>
              </w:rPr>
              <w:br/>
            </w:r>
            <w:r w:rsidR="00A62194">
              <w:rPr>
                <w:rFonts w:hint="eastAsia"/>
                <w:b/>
                <w:sz w:val="24"/>
                <w:szCs w:val="24"/>
                <w:lang w:eastAsia="zh-CN"/>
              </w:rPr>
              <w:t>(</w:t>
            </w:r>
            <w:r>
              <w:rPr>
                <w:rFonts w:hint="eastAsia"/>
                <w:b/>
                <w:sz w:val="24"/>
                <w:szCs w:val="24"/>
                <w:lang w:eastAsia="zh-CN"/>
              </w:rPr>
              <w:t>百分比</w:t>
            </w:r>
            <w:r w:rsidR="00A62194">
              <w:rPr>
                <w:rFonts w:hint="eastAsia"/>
                <w:b/>
                <w:sz w:val="24"/>
                <w:szCs w:val="24"/>
                <w:lang w:eastAsia="zh-CN"/>
              </w:rPr>
              <w:t>)</w:t>
            </w:r>
          </w:p>
        </w:tc>
      </w:tr>
      <w:tr w:rsidR="003F6C8E" w14:paraId="3C9A06ED" w14:textId="77777777" w:rsidTr="00E2525C">
        <w:tc>
          <w:tcPr>
            <w:tcW w:w="0" w:type="auto"/>
          </w:tcPr>
          <w:p w14:paraId="387222C5" w14:textId="7C001D7A" w:rsidR="00D13DE4" w:rsidRDefault="000347FD" w:rsidP="000347FD">
            <w:pPr>
              <w:rPr>
                <w:sz w:val="24"/>
                <w:szCs w:val="24"/>
                <w:lang w:eastAsia="zh-CN"/>
              </w:rPr>
            </w:pPr>
            <w:r>
              <w:rPr>
                <w:rFonts w:hint="eastAsia"/>
                <w:lang w:eastAsia="zh-CN"/>
              </w:rPr>
              <w:t>核心指标目标</w:t>
            </w:r>
            <w:r>
              <w:rPr>
                <w:rFonts w:hint="eastAsia"/>
                <w:lang w:eastAsia="zh-CN"/>
              </w:rPr>
              <w:t>1</w:t>
            </w:r>
            <w:r>
              <w:rPr>
                <w:rFonts w:hint="eastAsia"/>
                <w:lang w:eastAsia="zh-CN"/>
              </w:rPr>
              <w:t>：为保护和可持续利用的目的设立或改善管理</w:t>
            </w:r>
            <w:r>
              <w:rPr>
                <w:rFonts w:hint="eastAsia"/>
                <w:lang w:eastAsia="zh-CN"/>
              </w:rPr>
              <w:t>2</w:t>
            </w:r>
            <w:r>
              <w:rPr>
                <w:rFonts w:hint="eastAsia"/>
                <w:lang w:eastAsia="zh-CN"/>
              </w:rPr>
              <w:t>亿公顷陆地保护区</w:t>
            </w:r>
          </w:p>
        </w:tc>
        <w:tc>
          <w:tcPr>
            <w:tcW w:w="0" w:type="auto"/>
          </w:tcPr>
          <w:p w14:paraId="0DACC0AD" w14:textId="17071469" w:rsidR="000347FD" w:rsidRDefault="000347FD" w:rsidP="006F6973">
            <w:pPr>
              <w:rPr>
                <w:sz w:val="24"/>
                <w:szCs w:val="24"/>
                <w:lang w:eastAsia="zh-CN"/>
              </w:rPr>
            </w:pPr>
            <w:r>
              <w:rPr>
                <w:rFonts w:hint="eastAsia"/>
              </w:rPr>
              <w:t>7860</w:t>
            </w:r>
            <w:r>
              <w:rPr>
                <w:rFonts w:hint="eastAsia"/>
              </w:rPr>
              <w:t>万公顷</w:t>
            </w:r>
          </w:p>
        </w:tc>
        <w:tc>
          <w:tcPr>
            <w:tcW w:w="0" w:type="auto"/>
          </w:tcPr>
          <w:p w14:paraId="37686FE9" w14:textId="14A98D87" w:rsidR="00D13DE4" w:rsidRDefault="00117B63" w:rsidP="006F6973">
            <w:pPr>
              <w:rPr>
                <w:sz w:val="24"/>
                <w:szCs w:val="24"/>
              </w:rPr>
            </w:pPr>
            <w:r>
              <w:rPr>
                <w:sz w:val="24"/>
                <w:szCs w:val="24"/>
              </w:rPr>
              <w:t>39</w:t>
            </w:r>
            <w:r w:rsidR="001E553B">
              <w:rPr>
                <w:sz w:val="24"/>
                <w:szCs w:val="24"/>
              </w:rPr>
              <w:t>.3</w:t>
            </w:r>
          </w:p>
        </w:tc>
      </w:tr>
      <w:tr w:rsidR="003F6C8E" w14:paraId="4A520F0B" w14:textId="77777777" w:rsidTr="00E2525C">
        <w:tc>
          <w:tcPr>
            <w:tcW w:w="0" w:type="auto"/>
          </w:tcPr>
          <w:p w14:paraId="74DCE213" w14:textId="2B77D3B2" w:rsidR="00EA6FB7" w:rsidRDefault="000347FD" w:rsidP="000347FD">
            <w:pPr>
              <w:rPr>
                <w:sz w:val="24"/>
                <w:szCs w:val="24"/>
                <w:lang w:eastAsia="zh-CN"/>
              </w:rPr>
            </w:pPr>
            <w:r>
              <w:rPr>
                <w:rFonts w:hint="eastAsia"/>
                <w:lang w:eastAsia="zh-CN"/>
              </w:rPr>
              <w:t>核心指标目标</w:t>
            </w:r>
            <w:r>
              <w:rPr>
                <w:rFonts w:hint="eastAsia"/>
                <w:lang w:eastAsia="zh-CN"/>
              </w:rPr>
              <w:t>2</w:t>
            </w:r>
            <w:r>
              <w:rPr>
                <w:rFonts w:hint="eastAsia"/>
                <w:lang w:eastAsia="zh-CN"/>
              </w:rPr>
              <w:t>：为保护和可持续利用的目的设立或改善管理</w:t>
            </w:r>
            <w:r>
              <w:rPr>
                <w:rFonts w:hint="eastAsia"/>
                <w:lang w:eastAsia="zh-CN"/>
              </w:rPr>
              <w:t>800</w:t>
            </w:r>
            <w:r>
              <w:rPr>
                <w:rFonts w:hint="eastAsia"/>
                <w:lang w:eastAsia="zh-CN"/>
              </w:rPr>
              <w:t>万公顷海洋保护区</w:t>
            </w:r>
          </w:p>
        </w:tc>
        <w:tc>
          <w:tcPr>
            <w:tcW w:w="0" w:type="auto"/>
          </w:tcPr>
          <w:p w14:paraId="58D9EA0A" w14:textId="5DF430C7" w:rsidR="00EA6FB7" w:rsidRDefault="000347FD" w:rsidP="000347FD">
            <w:pPr>
              <w:rPr>
                <w:sz w:val="24"/>
                <w:szCs w:val="24"/>
              </w:rPr>
            </w:pPr>
            <w:r>
              <w:rPr>
                <w:rFonts w:hint="eastAsia"/>
              </w:rPr>
              <w:t>&gt; 800</w:t>
            </w:r>
            <w:r>
              <w:rPr>
                <w:rFonts w:hint="eastAsia"/>
              </w:rPr>
              <w:t>万公顷</w:t>
            </w:r>
          </w:p>
        </w:tc>
        <w:tc>
          <w:tcPr>
            <w:tcW w:w="0" w:type="auto"/>
          </w:tcPr>
          <w:p w14:paraId="3AF45448" w14:textId="6C6B2344" w:rsidR="00EA6FB7" w:rsidRDefault="00B113B0" w:rsidP="006F6973">
            <w:pPr>
              <w:rPr>
                <w:sz w:val="24"/>
                <w:szCs w:val="24"/>
              </w:rPr>
            </w:pPr>
            <w:r>
              <w:rPr>
                <w:sz w:val="24"/>
                <w:szCs w:val="24"/>
              </w:rPr>
              <w:t>&gt;</w:t>
            </w:r>
            <w:r w:rsidR="00117B63">
              <w:rPr>
                <w:sz w:val="24"/>
                <w:szCs w:val="24"/>
              </w:rPr>
              <w:t>100</w:t>
            </w:r>
          </w:p>
        </w:tc>
      </w:tr>
      <w:tr w:rsidR="003F6C8E" w14:paraId="002136EF" w14:textId="77777777" w:rsidTr="00E2525C">
        <w:tc>
          <w:tcPr>
            <w:tcW w:w="0" w:type="auto"/>
          </w:tcPr>
          <w:p w14:paraId="23A66902" w14:textId="4E3443DE" w:rsidR="000347FD" w:rsidRDefault="000347FD" w:rsidP="000347FD">
            <w:pPr>
              <w:rPr>
                <w:sz w:val="24"/>
                <w:szCs w:val="24"/>
                <w:lang w:eastAsia="zh-CN"/>
              </w:rPr>
            </w:pPr>
            <w:r>
              <w:rPr>
                <w:rFonts w:hint="eastAsia"/>
                <w:lang w:eastAsia="zh-CN"/>
              </w:rPr>
              <w:t>核心指标目标</w:t>
            </w:r>
            <w:r>
              <w:rPr>
                <w:rFonts w:hint="eastAsia"/>
                <w:lang w:eastAsia="zh-CN"/>
              </w:rPr>
              <w:t>3</w:t>
            </w:r>
            <w:r>
              <w:rPr>
                <w:rFonts w:hint="eastAsia"/>
                <w:lang w:eastAsia="zh-CN"/>
              </w:rPr>
              <w:t>：恢复</w:t>
            </w:r>
            <w:r>
              <w:rPr>
                <w:rFonts w:hint="eastAsia"/>
                <w:lang w:eastAsia="zh-CN"/>
              </w:rPr>
              <w:t>600</w:t>
            </w:r>
            <w:r>
              <w:rPr>
                <w:rFonts w:hint="eastAsia"/>
                <w:lang w:eastAsia="zh-CN"/>
              </w:rPr>
              <w:t>万公顷土地</w:t>
            </w:r>
          </w:p>
        </w:tc>
        <w:tc>
          <w:tcPr>
            <w:tcW w:w="0" w:type="auto"/>
          </w:tcPr>
          <w:p w14:paraId="4217383C" w14:textId="25778D7A" w:rsidR="00EA6FB7" w:rsidRDefault="000347FD" w:rsidP="006F6973">
            <w:pPr>
              <w:rPr>
                <w:sz w:val="24"/>
                <w:szCs w:val="24"/>
              </w:rPr>
            </w:pPr>
            <w:r>
              <w:rPr>
                <w:rFonts w:hint="eastAsia"/>
                <w:lang w:eastAsia="zh-CN"/>
              </w:rPr>
              <w:t>570</w:t>
            </w:r>
            <w:r>
              <w:rPr>
                <w:rFonts w:hint="eastAsia"/>
                <w:lang w:eastAsia="zh-CN"/>
              </w:rPr>
              <w:t>万公顷</w:t>
            </w:r>
          </w:p>
        </w:tc>
        <w:tc>
          <w:tcPr>
            <w:tcW w:w="0" w:type="auto"/>
          </w:tcPr>
          <w:p w14:paraId="0FD52CB8" w14:textId="149E4453" w:rsidR="00EA6FB7" w:rsidRDefault="001D0D41" w:rsidP="006F6973">
            <w:pPr>
              <w:rPr>
                <w:sz w:val="24"/>
                <w:szCs w:val="24"/>
              </w:rPr>
            </w:pPr>
            <w:r>
              <w:rPr>
                <w:sz w:val="24"/>
                <w:szCs w:val="24"/>
              </w:rPr>
              <w:t>94.5</w:t>
            </w:r>
          </w:p>
        </w:tc>
      </w:tr>
      <w:tr w:rsidR="003F6C8E" w14:paraId="200950B7" w14:textId="77777777" w:rsidTr="00E2525C">
        <w:tc>
          <w:tcPr>
            <w:tcW w:w="0" w:type="auto"/>
          </w:tcPr>
          <w:p w14:paraId="15015FC4" w14:textId="500F1078" w:rsidR="000347FD" w:rsidRDefault="000347FD" w:rsidP="000347FD">
            <w:pPr>
              <w:rPr>
                <w:sz w:val="24"/>
                <w:szCs w:val="24"/>
                <w:lang w:eastAsia="zh-CN"/>
              </w:rPr>
            </w:pPr>
            <w:r>
              <w:rPr>
                <w:rFonts w:hint="eastAsia"/>
                <w:lang w:eastAsia="zh-CN"/>
              </w:rPr>
              <w:t>核心指标目标</w:t>
            </w:r>
            <w:r>
              <w:rPr>
                <w:rFonts w:hint="eastAsia"/>
                <w:lang w:eastAsia="zh-CN"/>
              </w:rPr>
              <w:t>4</w:t>
            </w:r>
            <w:r>
              <w:rPr>
                <w:rFonts w:hint="eastAsia"/>
                <w:lang w:eastAsia="zh-CN"/>
              </w:rPr>
              <w:t>：</w:t>
            </w:r>
            <w:r>
              <w:rPr>
                <w:rFonts w:hint="eastAsia"/>
                <w:lang w:eastAsia="zh-CN"/>
              </w:rPr>
              <w:t>3.2</w:t>
            </w:r>
            <w:r>
              <w:rPr>
                <w:rFonts w:hint="eastAsia"/>
                <w:lang w:eastAsia="zh-CN"/>
              </w:rPr>
              <w:t>亿公顷陆地景观得到改善，但保护区除外</w:t>
            </w:r>
          </w:p>
        </w:tc>
        <w:tc>
          <w:tcPr>
            <w:tcW w:w="0" w:type="auto"/>
          </w:tcPr>
          <w:p w14:paraId="70C3AB8E" w14:textId="370583F2" w:rsidR="00EA6FB7" w:rsidRDefault="000347FD" w:rsidP="006F6973">
            <w:pPr>
              <w:rPr>
                <w:sz w:val="24"/>
                <w:szCs w:val="24"/>
              </w:rPr>
            </w:pPr>
            <w:r>
              <w:rPr>
                <w:rFonts w:hint="eastAsia"/>
                <w:lang w:eastAsia="zh-CN"/>
              </w:rPr>
              <w:t>9750</w:t>
            </w:r>
            <w:r>
              <w:rPr>
                <w:rFonts w:hint="eastAsia"/>
                <w:lang w:eastAsia="zh-CN"/>
              </w:rPr>
              <w:t>万公顷</w:t>
            </w:r>
          </w:p>
        </w:tc>
        <w:tc>
          <w:tcPr>
            <w:tcW w:w="0" w:type="auto"/>
          </w:tcPr>
          <w:p w14:paraId="1D99601F" w14:textId="75476C98" w:rsidR="00EA6FB7" w:rsidRDefault="001D0D41" w:rsidP="006F6973">
            <w:pPr>
              <w:rPr>
                <w:sz w:val="24"/>
                <w:szCs w:val="24"/>
              </w:rPr>
            </w:pPr>
            <w:r>
              <w:rPr>
                <w:sz w:val="24"/>
                <w:szCs w:val="24"/>
              </w:rPr>
              <w:t>30</w:t>
            </w:r>
            <w:r w:rsidR="001E553B">
              <w:rPr>
                <w:sz w:val="24"/>
                <w:szCs w:val="24"/>
              </w:rPr>
              <w:t>.5</w:t>
            </w:r>
          </w:p>
        </w:tc>
      </w:tr>
      <w:tr w:rsidR="003F6C8E" w14:paraId="19A7698C" w14:textId="77777777" w:rsidTr="00E2525C">
        <w:tc>
          <w:tcPr>
            <w:tcW w:w="0" w:type="auto"/>
          </w:tcPr>
          <w:p w14:paraId="3F91006E" w14:textId="22555F4F" w:rsidR="000347FD" w:rsidRDefault="000347FD" w:rsidP="003F6C8E">
            <w:pPr>
              <w:rPr>
                <w:sz w:val="24"/>
                <w:szCs w:val="24"/>
                <w:lang w:eastAsia="zh-CN"/>
              </w:rPr>
            </w:pPr>
            <w:r>
              <w:rPr>
                <w:rFonts w:hint="eastAsia"/>
                <w:lang w:eastAsia="zh-CN"/>
              </w:rPr>
              <w:t>核心指标目标</w:t>
            </w:r>
            <w:r>
              <w:rPr>
                <w:rFonts w:hint="eastAsia"/>
                <w:lang w:eastAsia="zh-CN"/>
              </w:rPr>
              <w:t>5</w:t>
            </w:r>
            <w:r>
              <w:rPr>
                <w:rFonts w:hint="eastAsia"/>
                <w:lang w:eastAsia="zh-CN"/>
              </w:rPr>
              <w:t>：</w:t>
            </w:r>
            <w:r w:rsidR="003F6C8E">
              <w:rPr>
                <w:rFonts w:hint="eastAsia"/>
                <w:lang w:eastAsia="zh-CN"/>
              </w:rPr>
              <w:t>改善</w:t>
            </w:r>
            <w:r>
              <w:rPr>
                <w:rFonts w:hint="eastAsia"/>
                <w:lang w:eastAsia="zh-CN"/>
              </w:rPr>
              <w:t>2 800</w:t>
            </w:r>
            <w:r>
              <w:rPr>
                <w:rFonts w:hint="eastAsia"/>
                <w:lang w:eastAsia="zh-CN"/>
              </w:rPr>
              <w:t>万公顷的海洋生境，使生物多样性受益，</w:t>
            </w:r>
            <w:r w:rsidR="003F6C8E">
              <w:rPr>
                <w:rFonts w:hint="eastAsia"/>
                <w:lang w:eastAsia="zh-CN"/>
              </w:rPr>
              <w:t>但</w:t>
            </w:r>
            <w:r>
              <w:rPr>
                <w:rFonts w:hint="eastAsia"/>
                <w:lang w:eastAsia="zh-CN"/>
              </w:rPr>
              <w:t>保护区除外</w:t>
            </w:r>
          </w:p>
        </w:tc>
        <w:tc>
          <w:tcPr>
            <w:tcW w:w="0" w:type="auto"/>
          </w:tcPr>
          <w:p w14:paraId="38CA4B3D" w14:textId="45DB5C79" w:rsidR="00EA6FB7" w:rsidRDefault="003F6C8E" w:rsidP="003F6C8E">
            <w:pPr>
              <w:rPr>
                <w:sz w:val="24"/>
                <w:szCs w:val="24"/>
              </w:rPr>
            </w:pPr>
            <w:r>
              <w:rPr>
                <w:rFonts w:hint="eastAsia"/>
                <w:lang w:eastAsia="zh-CN"/>
              </w:rPr>
              <w:t>550</w:t>
            </w:r>
            <w:r>
              <w:rPr>
                <w:rFonts w:hint="eastAsia"/>
                <w:lang w:eastAsia="zh-CN"/>
              </w:rPr>
              <w:t>万公顷</w:t>
            </w:r>
          </w:p>
        </w:tc>
        <w:tc>
          <w:tcPr>
            <w:tcW w:w="0" w:type="auto"/>
          </w:tcPr>
          <w:p w14:paraId="43B53462" w14:textId="230BD8CE" w:rsidR="00EA6FB7" w:rsidRDefault="00CB2DC2" w:rsidP="006F6973">
            <w:pPr>
              <w:rPr>
                <w:sz w:val="24"/>
                <w:szCs w:val="24"/>
              </w:rPr>
            </w:pPr>
            <w:r>
              <w:rPr>
                <w:sz w:val="24"/>
                <w:szCs w:val="24"/>
              </w:rPr>
              <w:t>19</w:t>
            </w:r>
            <w:r w:rsidR="00CC1D5D">
              <w:rPr>
                <w:sz w:val="24"/>
                <w:szCs w:val="24"/>
              </w:rPr>
              <w:t>.6</w:t>
            </w:r>
          </w:p>
        </w:tc>
      </w:tr>
      <w:tr w:rsidR="003F6C8E" w14:paraId="2C5E2B60" w14:textId="77777777" w:rsidTr="00E2525C">
        <w:tc>
          <w:tcPr>
            <w:tcW w:w="0" w:type="auto"/>
          </w:tcPr>
          <w:p w14:paraId="5311C0C2" w14:textId="4437B309" w:rsidR="003F6C8E" w:rsidRDefault="003F6C8E" w:rsidP="003F6C8E">
            <w:pPr>
              <w:rPr>
                <w:sz w:val="24"/>
                <w:szCs w:val="24"/>
                <w:lang w:eastAsia="zh-CN"/>
              </w:rPr>
            </w:pPr>
            <w:r>
              <w:rPr>
                <w:rFonts w:hint="eastAsia"/>
                <w:lang w:eastAsia="zh-CN"/>
              </w:rPr>
              <w:t>核心指标目标</w:t>
            </w:r>
            <w:r>
              <w:rPr>
                <w:rFonts w:hint="eastAsia"/>
                <w:lang w:eastAsia="zh-CN"/>
              </w:rPr>
              <w:t>7</w:t>
            </w:r>
            <w:r>
              <w:rPr>
                <w:rFonts w:hint="eastAsia"/>
                <w:lang w:eastAsia="zh-CN"/>
              </w:rPr>
              <w:t>：</w:t>
            </w:r>
            <w:r>
              <w:rPr>
                <w:rFonts w:hint="eastAsia"/>
                <w:lang w:eastAsia="zh-CN"/>
              </w:rPr>
              <w:t>32</w:t>
            </w:r>
            <w:r>
              <w:rPr>
                <w:rFonts w:hint="eastAsia"/>
                <w:lang w:eastAsia="zh-CN"/>
              </w:rPr>
              <w:t>个共享水生态系统（淡水或海洋）受到新的或改进的合作管理</w:t>
            </w:r>
          </w:p>
        </w:tc>
        <w:tc>
          <w:tcPr>
            <w:tcW w:w="0" w:type="auto"/>
          </w:tcPr>
          <w:p w14:paraId="6B1CA9B1" w14:textId="74F013DC" w:rsidR="00EA6FB7" w:rsidRDefault="003F6C8E" w:rsidP="003F6C8E">
            <w:pPr>
              <w:rPr>
                <w:sz w:val="24"/>
                <w:szCs w:val="24"/>
              </w:rPr>
            </w:pPr>
            <w:r>
              <w:rPr>
                <w:rFonts w:hint="eastAsia"/>
                <w:lang w:eastAsia="zh-CN"/>
              </w:rPr>
              <w:t>14</w:t>
            </w:r>
            <w:r>
              <w:rPr>
                <w:rFonts w:hint="eastAsia"/>
                <w:lang w:eastAsia="zh-CN"/>
              </w:rPr>
              <w:t>个共享水生态系统</w:t>
            </w:r>
          </w:p>
        </w:tc>
        <w:tc>
          <w:tcPr>
            <w:tcW w:w="0" w:type="auto"/>
          </w:tcPr>
          <w:p w14:paraId="45A6D5A0" w14:textId="0FCD8DD2" w:rsidR="00EA6FB7" w:rsidRDefault="00CB2DC2" w:rsidP="006F6973">
            <w:pPr>
              <w:rPr>
                <w:sz w:val="24"/>
                <w:szCs w:val="24"/>
              </w:rPr>
            </w:pPr>
            <w:r>
              <w:rPr>
                <w:sz w:val="24"/>
                <w:szCs w:val="24"/>
              </w:rPr>
              <w:t>43.8</w:t>
            </w:r>
          </w:p>
        </w:tc>
      </w:tr>
      <w:tr w:rsidR="003F6C8E" w14:paraId="309766C7" w14:textId="77777777" w:rsidTr="00E2525C">
        <w:tc>
          <w:tcPr>
            <w:tcW w:w="0" w:type="auto"/>
          </w:tcPr>
          <w:p w14:paraId="2E3A7276" w14:textId="27E139CB" w:rsidR="003F6C8E" w:rsidRDefault="003F6C8E" w:rsidP="003F6C8E">
            <w:pPr>
              <w:rPr>
                <w:sz w:val="24"/>
                <w:szCs w:val="24"/>
                <w:lang w:eastAsia="zh-CN"/>
              </w:rPr>
            </w:pPr>
            <w:r>
              <w:rPr>
                <w:rFonts w:hint="eastAsia"/>
                <w:lang w:eastAsia="zh-CN"/>
              </w:rPr>
              <w:t>核心指标目标</w:t>
            </w:r>
            <w:r>
              <w:rPr>
                <w:rFonts w:hint="eastAsia"/>
                <w:lang w:eastAsia="zh-CN"/>
              </w:rPr>
              <w:t>8</w:t>
            </w:r>
            <w:r>
              <w:rPr>
                <w:rFonts w:hint="eastAsia"/>
                <w:lang w:eastAsia="zh-CN"/>
              </w:rPr>
              <w:t>：</w:t>
            </w:r>
            <w:r>
              <w:rPr>
                <w:rFonts w:hint="eastAsia"/>
                <w:lang w:eastAsia="zh-CN"/>
              </w:rPr>
              <w:t>3,500,000</w:t>
            </w:r>
            <w:r>
              <w:rPr>
                <w:rFonts w:hint="eastAsia"/>
                <w:lang w:eastAsia="zh-CN"/>
              </w:rPr>
              <w:t>公吨全球过度开发的渔场转移到更可持续的水平</w:t>
            </w:r>
          </w:p>
        </w:tc>
        <w:tc>
          <w:tcPr>
            <w:tcW w:w="0" w:type="auto"/>
          </w:tcPr>
          <w:p w14:paraId="1345E05A" w14:textId="01385E5F" w:rsidR="00D13DE4" w:rsidRDefault="003F6C8E" w:rsidP="006F6973">
            <w:pPr>
              <w:rPr>
                <w:sz w:val="24"/>
                <w:szCs w:val="24"/>
              </w:rPr>
            </w:pPr>
            <w:r>
              <w:rPr>
                <w:rFonts w:hint="eastAsia"/>
                <w:lang w:eastAsia="zh-CN"/>
              </w:rPr>
              <w:t>127,000</w:t>
            </w:r>
            <w:r>
              <w:rPr>
                <w:rFonts w:hint="eastAsia"/>
                <w:lang w:eastAsia="zh-CN"/>
              </w:rPr>
              <w:t>公吨</w:t>
            </w:r>
          </w:p>
        </w:tc>
        <w:tc>
          <w:tcPr>
            <w:tcW w:w="0" w:type="auto"/>
          </w:tcPr>
          <w:p w14:paraId="7ABC9B1B" w14:textId="79106231" w:rsidR="00D13DE4" w:rsidRDefault="00CB2DC2" w:rsidP="006F6973">
            <w:pPr>
              <w:rPr>
                <w:sz w:val="24"/>
                <w:szCs w:val="24"/>
              </w:rPr>
            </w:pPr>
            <w:r>
              <w:rPr>
                <w:sz w:val="24"/>
                <w:szCs w:val="24"/>
              </w:rPr>
              <w:t>3.6</w:t>
            </w:r>
          </w:p>
        </w:tc>
      </w:tr>
    </w:tbl>
    <w:p w14:paraId="22E34DB8" w14:textId="23D24327" w:rsidR="003F6C8E" w:rsidRPr="00905EB6" w:rsidRDefault="009C3FBE" w:rsidP="006C0191">
      <w:pPr>
        <w:pStyle w:val="ListParagraph"/>
        <w:numPr>
          <w:ilvl w:val="0"/>
          <w:numId w:val="23"/>
        </w:numPr>
        <w:spacing w:before="240" w:after="240" w:line="240" w:lineRule="auto"/>
        <w:ind w:left="0" w:firstLine="0"/>
        <w:contextualSpacing w:val="0"/>
        <w:rPr>
          <w:sz w:val="24"/>
          <w:szCs w:val="24"/>
          <w:lang w:val="en" w:eastAsia="zh-CN"/>
        </w:rPr>
      </w:pPr>
      <w:r w:rsidRPr="00905EB6">
        <w:rPr>
          <w:rFonts w:hint="eastAsia"/>
          <w:sz w:val="24"/>
          <w:szCs w:val="24"/>
          <w:lang w:eastAsia="zh-CN"/>
        </w:rPr>
        <w:t>在本报告所涉期间，全球环境基金独立评估办公室（</w:t>
      </w:r>
      <w:r w:rsidRPr="00905EB6">
        <w:rPr>
          <w:rFonts w:hint="eastAsia"/>
          <w:sz w:val="24"/>
          <w:szCs w:val="24"/>
          <w:lang w:eastAsia="zh-CN"/>
        </w:rPr>
        <w:t>IEO</w:t>
      </w:r>
      <w:r w:rsidRPr="00905EB6">
        <w:rPr>
          <w:rFonts w:hint="eastAsia"/>
          <w:sz w:val="24"/>
          <w:szCs w:val="24"/>
          <w:lang w:eastAsia="zh-CN"/>
        </w:rPr>
        <w:t>）进行了四次与生物多样性重点领域有关的评估和审查，其中包括：</w:t>
      </w:r>
      <w:r w:rsidRPr="00905EB6">
        <w:rPr>
          <w:rFonts w:hint="eastAsia"/>
          <w:sz w:val="24"/>
          <w:szCs w:val="24"/>
          <w:lang w:eastAsia="zh-CN"/>
        </w:rPr>
        <w:t>1</w:t>
      </w:r>
      <w:r w:rsidRPr="00905EB6">
        <w:rPr>
          <w:rFonts w:hint="eastAsia"/>
          <w:sz w:val="24"/>
          <w:szCs w:val="24"/>
          <w:lang w:eastAsia="zh-CN"/>
        </w:rPr>
        <w:t>）评估全球环境基金对将生物多样性纳入主流的支持；</w:t>
      </w:r>
      <w:r w:rsidRPr="00905EB6">
        <w:rPr>
          <w:rFonts w:hint="eastAsia"/>
          <w:sz w:val="24"/>
          <w:szCs w:val="24"/>
          <w:lang w:eastAsia="zh-CN"/>
        </w:rPr>
        <w:t>2</w:t>
      </w:r>
      <w:r w:rsidRPr="00905EB6">
        <w:rPr>
          <w:rFonts w:hint="eastAsia"/>
          <w:sz w:val="24"/>
          <w:szCs w:val="24"/>
          <w:lang w:eastAsia="zh-CN"/>
        </w:rPr>
        <w:t>）综合办法试点项目的</w:t>
      </w:r>
      <w:r w:rsidR="000A426F" w:rsidRPr="00905EB6">
        <w:rPr>
          <w:rFonts w:hint="eastAsia"/>
          <w:sz w:val="24"/>
          <w:szCs w:val="24"/>
          <w:lang w:eastAsia="zh-CN"/>
        </w:rPr>
        <w:t>形式</w:t>
      </w:r>
      <w:r w:rsidRPr="00905EB6">
        <w:rPr>
          <w:rFonts w:hint="eastAsia"/>
          <w:sz w:val="24"/>
          <w:szCs w:val="24"/>
          <w:lang w:eastAsia="zh-CN"/>
        </w:rPr>
        <w:t>审查；</w:t>
      </w:r>
      <w:r w:rsidRPr="00905EB6">
        <w:rPr>
          <w:rFonts w:hint="eastAsia"/>
          <w:sz w:val="24"/>
          <w:szCs w:val="24"/>
          <w:lang w:eastAsia="zh-CN"/>
        </w:rPr>
        <w:t>3</w:t>
      </w:r>
      <w:r w:rsidRPr="00905EB6">
        <w:rPr>
          <w:rFonts w:hint="eastAsia"/>
          <w:sz w:val="24"/>
          <w:szCs w:val="24"/>
          <w:lang w:eastAsia="zh-CN"/>
        </w:rPr>
        <w:t>）</w:t>
      </w:r>
      <w:r w:rsidR="000A426F" w:rsidRPr="00905EB6">
        <w:rPr>
          <w:rFonts w:hint="eastAsia"/>
          <w:sz w:val="24"/>
          <w:szCs w:val="24"/>
          <w:lang w:eastAsia="zh-CN"/>
        </w:rPr>
        <w:t>评估</w:t>
      </w:r>
      <w:r w:rsidRPr="00905EB6">
        <w:rPr>
          <w:rFonts w:hint="eastAsia"/>
          <w:sz w:val="24"/>
          <w:szCs w:val="24"/>
          <w:lang w:eastAsia="zh-CN"/>
        </w:rPr>
        <w:t>全球环境基金对变革</w:t>
      </w:r>
      <w:r w:rsidR="000A426F" w:rsidRPr="00905EB6">
        <w:rPr>
          <w:rFonts w:hint="eastAsia"/>
          <w:sz w:val="24"/>
          <w:szCs w:val="24"/>
          <w:lang w:eastAsia="zh-CN"/>
        </w:rPr>
        <w:t>性改变</w:t>
      </w:r>
      <w:r w:rsidRPr="00905EB6">
        <w:rPr>
          <w:rFonts w:hint="eastAsia"/>
          <w:sz w:val="24"/>
          <w:szCs w:val="24"/>
          <w:lang w:eastAsia="zh-CN"/>
        </w:rPr>
        <w:t>的支</w:t>
      </w:r>
      <w:r w:rsidRPr="00905EB6">
        <w:rPr>
          <w:rFonts w:hint="eastAsia"/>
          <w:sz w:val="24"/>
          <w:szCs w:val="24"/>
          <w:lang w:eastAsia="zh-CN"/>
        </w:rPr>
        <w:lastRenderedPageBreak/>
        <w:t>持；</w:t>
      </w:r>
      <w:r w:rsidRPr="00905EB6">
        <w:rPr>
          <w:rFonts w:hint="eastAsia"/>
          <w:sz w:val="24"/>
          <w:szCs w:val="24"/>
          <w:lang w:eastAsia="zh-CN"/>
        </w:rPr>
        <w:t>4</w:t>
      </w:r>
      <w:r w:rsidRPr="00905EB6">
        <w:rPr>
          <w:rFonts w:hint="eastAsia"/>
          <w:sz w:val="24"/>
          <w:szCs w:val="24"/>
          <w:lang w:eastAsia="zh-CN"/>
        </w:rPr>
        <w:t>）</w:t>
      </w:r>
      <w:r w:rsidR="000A426F" w:rsidRPr="00905EB6">
        <w:rPr>
          <w:rFonts w:hint="eastAsia"/>
          <w:sz w:val="24"/>
          <w:szCs w:val="24"/>
          <w:lang w:eastAsia="zh-CN"/>
        </w:rPr>
        <w:t>评估</w:t>
      </w:r>
      <w:r w:rsidRPr="00905EB6">
        <w:rPr>
          <w:rFonts w:hint="eastAsia"/>
          <w:sz w:val="24"/>
          <w:szCs w:val="24"/>
          <w:lang w:eastAsia="zh-CN"/>
        </w:rPr>
        <w:t>全球环境基金对扩大影响的支持。</w:t>
      </w:r>
      <w:r w:rsidR="000A426F" w:rsidRPr="00905EB6">
        <w:rPr>
          <w:rFonts w:hint="eastAsia"/>
          <w:sz w:val="24"/>
          <w:szCs w:val="24"/>
          <w:lang w:eastAsia="zh-CN"/>
        </w:rPr>
        <w:t>独立评估办公室</w:t>
      </w:r>
      <w:r w:rsidRPr="00905EB6">
        <w:rPr>
          <w:rFonts w:hint="eastAsia"/>
          <w:sz w:val="24"/>
          <w:szCs w:val="24"/>
          <w:lang w:eastAsia="zh-CN"/>
        </w:rPr>
        <w:t>在本报告总结了</w:t>
      </w:r>
      <w:r w:rsidR="000A426F" w:rsidRPr="00905EB6">
        <w:rPr>
          <w:rFonts w:hint="eastAsia"/>
          <w:sz w:val="24"/>
          <w:szCs w:val="24"/>
          <w:lang w:eastAsia="zh-CN"/>
        </w:rPr>
        <w:t>从</w:t>
      </w:r>
      <w:r w:rsidRPr="00905EB6">
        <w:rPr>
          <w:rFonts w:hint="eastAsia"/>
          <w:sz w:val="24"/>
          <w:szCs w:val="24"/>
          <w:lang w:eastAsia="zh-CN"/>
        </w:rPr>
        <w:t>这些评估</w:t>
      </w:r>
      <w:r w:rsidR="000A426F" w:rsidRPr="00905EB6">
        <w:rPr>
          <w:rFonts w:hint="eastAsia"/>
          <w:sz w:val="24"/>
          <w:szCs w:val="24"/>
          <w:lang w:eastAsia="zh-CN"/>
        </w:rPr>
        <w:t>取得</w:t>
      </w:r>
      <w:r w:rsidRPr="00905EB6">
        <w:rPr>
          <w:rFonts w:hint="eastAsia"/>
          <w:sz w:val="24"/>
          <w:szCs w:val="24"/>
          <w:lang w:eastAsia="zh-CN"/>
        </w:rPr>
        <w:t>的关键信息。</w:t>
      </w:r>
    </w:p>
    <w:p w14:paraId="6253CDBE" w14:textId="77777777" w:rsidR="003F6C8E" w:rsidRPr="003F6C8E" w:rsidRDefault="003F6C8E" w:rsidP="003F6C8E">
      <w:pPr>
        <w:spacing w:before="240" w:after="240" w:line="240" w:lineRule="auto"/>
        <w:rPr>
          <w:sz w:val="24"/>
          <w:szCs w:val="24"/>
          <w:lang w:val="en" w:eastAsia="zh-CN"/>
        </w:rPr>
        <w:sectPr w:rsidR="003F6C8E" w:rsidRPr="003F6C8E" w:rsidSect="004451ED">
          <w:footerReference w:type="default" r:id="rId19"/>
          <w:pgSz w:w="12240" w:h="15840"/>
          <w:pgMar w:top="1440" w:right="1440" w:bottom="1440" w:left="1440" w:header="720" w:footer="720" w:gutter="0"/>
          <w:pgNumType w:start="1"/>
          <w:cols w:space="720"/>
          <w:docGrid w:linePitch="360"/>
        </w:sectPr>
      </w:pPr>
    </w:p>
    <w:p w14:paraId="557F5F22" w14:textId="3C4B7523" w:rsidR="00BC29AF" w:rsidRPr="00AF1807" w:rsidRDefault="003B2346" w:rsidP="004D5062">
      <w:pPr>
        <w:pStyle w:val="Heading1"/>
      </w:pPr>
      <w:r>
        <w:rPr>
          <w:rFonts w:hint="eastAsia"/>
        </w:rPr>
        <w:lastRenderedPageBreak/>
        <w:t xml:space="preserve">一． </w:t>
      </w:r>
      <w:r w:rsidR="00C14111">
        <w:rPr>
          <w:rFonts w:hint="eastAsia"/>
        </w:rPr>
        <w:t>支持</w:t>
      </w:r>
      <w:r w:rsidR="00C14111">
        <w:rPr>
          <w:rFonts w:cs="SimSun" w:hint="eastAsia"/>
        </w:rPr>
        <w:t>实施</w:t>
      </w:r>
      <w:r w:rsidR="00C14111">
        <w:rPr>
          <w:rFonts w:hint="eastAsia"/>
        </w:rPr>
        <w:t>《生物多</w:t>
      </w:r>
      <w:r w:rsidR="00C14111">
        <w:rPr>
          <w:rFonts w:cs="SimSun" w:hint="eastAsia"/>
        </w:rPr>
        <w:t>样</w:t>
      </w:r>
      <w:r w:rsidR="00C14111">
        <w:rPr>
          <w:rFonts w:ascii="Yu Gothic Light" w:eastAsia="Yu Gothic Light" w:hAnsi="Yu Gothic Light" w:cs="Yu Gothic Light" w:hint="eastAsia"/>
        </w:rPr>
        <w:t>性公</w:t>
      </w:r>
      <w:r w:rsidR="00C14111">
        <w:rPr>
          <w:rFonts w:cs="SimSun" w:hint="eastAsia"/>
        </w:rPr>
        <w:t>约</w:t>
      </w:r>
      <w:r w:rsidR="00C14111">
        <w:rPr>
          <w:rFonts w:ascii="Yu Gothic Light" w:eastAsia="Yu Gothic Light" w:hAnsi="Yu Gothic Light" w:cs="Yu Gothic Light" w:hint="eastAsia"/>
        </w:rPr>
        <w:t>》</w:t>
      </w:r>
      <w:r w:rsidR="00C14111">
        <w:rPr>
          <w:rFonts w:hint="eastAsia"/>
        </w:rPr>
        <w:t>的</w:t>
      </w:r>
      <w:r w:rsidR="00C14111">
        <w:rPr>
          <w:rFonts w:cs="SimSun" w:hint="eastAsia"/>
        </w:rPr>
        <w:t>项</w:t>
      </w:r>
      <w:r w:rsidR="00C14111">
        <w:rPr>
          <w:rFonts w:ascii="Yu Gothic Light" w:eastAsia="Yu Gothic Light" w:hAnsi="Yu Gothic Light" w:cs="Yu Gothic Light" w:hint="eastAsia"/>
        </w:rPr>
        <w:t>目活</w:t>
      </w:r>
      <w:r w:rsidR="00C14111">
        <w:rPr>
          <w:rFonts w:cs="SimSun" w:hint="eastAsia"/>
        </w:rPr>
        <w:t>动</w:t>
      </w:r>
      <w:r w:rsidR="00BC29AF" w:rsidRPr="00020E95">
        <w:tab/>
      </w:r>
    </w:p>
    <w:p w14:paraId="01512722" w14:textId="09938644" w:rsidR="00C14111" w:rsidRPr="003B2346" w:rsidRDefault="00C14111" w:rsidP="00F7014F">
      <w:pPr>
        <w:pStyle w:val="ListParagraph"/>
        <w:numPr>
          <w:ilvl w:val="0"/>
          <w:numId w:val="25"/>
        </w:numPr>
        <w:spacing w:before="240" w:after="240" w:line="240" w:lineRule="auto"/>
        <w:ind w:left="0" w:firstLine="0"/>
        <w:contextualSpacing w:val="0"/>
        <w:rPr>
          <w:sz w:val="24"/>
          <w:szCs w:val="24"/>
          <w:lang w:val="en-GB" w:eastAsia="zh-CN"/>
        </w:rPr>
      </w:pPr>
      <w:r w:rsidRPr="003B2346">
        <w:rPr>
          <w:rFonts w:ascii="SimSun" w:hAnsi="SimSun" w:cs="SimSun" w:hint="eastAsia"/>
          <w:sz w:val="24"/>
          <w:szCs w:val="24"/>
          <w:lang w:eastAsia="zh-CN"/>
        </w:rPr>
        <w:t>提交给生物多样性公约缔约方大会的这份报告草稿提供了全球环境基金（全环基金）根据2018年11月收到的缔约方大会第十四届会议对全环基金提出的指导意见在生物多样性重点领域进行的活动的信息。报告草稿涵盖</w:t>
      </w:r>
      <w:r w:rsidRPr="003B2346">
        <w:rPr>
          <w:rFonts w:hint="eastAsia"/>
          <w:sz w:val="24"/>
          <w:szCs w:val="24"/>
          <w:lang w:eastAsia="zh-CN"/>
        </w:rPr>
        <w:t>2018</w:t>
      </w:r>
      <w:r w:rsidRPr="003B2346">
        <w:rPr>
          <w:rFonts w:ascii="SimSun" w:hAnsi="SimSun" w:cs="SimSun" w:hint="eastAsia"/>
          <w:sz w:val="24"/>
          <w:szCs w:val="24"/>
          <w:lang w:eastAsia="zh-CN"/>
        </w:rPr>
        <w:t>年</w:t>
      </w:r>
      <w:r w:rsidRPr="003B2346">
        <w:rPr>
          <w:rFonts w:hint="eastAsia"/>
          <w:sz w:val="24"/>
          <w:szCs w:val="24"/>
          <w:lang w:eastAsia="zh-CN"/>
        </w:rPr>
        <w:t>7</w:t>
      </w:r>
      <w:r w:rsidRPr="003B2346">
        <w:rPr>
          <w:rFonts w:ascii="SimSun" w:hAnsi="SimSun" w:cs="SimSun" w:hint="eastAsia"/>
          <w:sz w:val="24"/>
          <w:szCs w:val="24"/>
          <w:lang w:eastAsia="zh-CN"/>
        </w:rPr>
        <w:t>月</w:t>
      </w:r>
      <w:r w:rsidRPr="003B2346">
        <w:rPr>
          <w:rFonts w:hint="eastAsia"/>
          <w:sz w:val="24"/>
          <w:szCs w:val="24"/>
          <w:lang w:eastAsia="zh-CN"/>
        </w:rPr>
        <w:t>1</w:t>
      </w:r>
      <w:r w:rsidRPr="003B2346">
        <w:rPr>
          <w:rFonts w:ascii="SimSun" w:hAnsi="SimSun" w:cs="SimSun" w:hint="eastAsia"/>
          <w:sz w:val="24"/>
          <w:szCs w:val="24"/>
          <w:lang w:eastAsia="zh-CN"/>
        </w:rPr>
        <w:t>日至</w:t>
      </w:r>
      <w:r w:rsidRPr="003B2346">
        <w:rPr>
          <w:rFonts w:hint="eastAsia"/>
          <w:sz w:val="24"/>
          <w:szCs w:val="24"/>
          <w:lang w:eastAsia="zh-CN"/>
        </w:rPr>
        <w:t>2019</w:t>
      </w:r>
      <w:r w:rsidRPr="003B2346">
        <w:rPr>
          <w:rFonts w:ascii="SimSun" w:hAnsi="SimSun" w:cs="SimSun" w:hint="eastAsia"/>
          <w:sz w:val="24"/>
          <w:szCs w:val="24"/>
          <w:lang w:eastAsia="zh-CN"/>
        </w:rPr>
        <w:t>年</w:t>
      </w:r>
      <w:r w:rsidRPr="003B2346">
        <w:rPr>
          <w:rFonts w:hint="eastAsia"/>
          <w:sz w:val="24"/>
          <w:szCs w:val="24"/>
          <w:lang w:eastAsia="zh-CN"/>
        </w:rPr>
        <w:t>12</w:t>
      </w:r>
      <w:r w:rsidRPr="003B2346">
        <w:rPr>
          <w:rFonts w:ascii="SimSun" w:hAnsi="SimSun" w:cs="SimSun" w:hint="eastAsia"/>
          <w:sz w:val="24"/>
          <w:szCs w:val="24"/>
          <w:lang w:eastAsia="zh-CN"/>
        </w:rPr>
        <w:t>月</w:t>
      </w:r>
      <w:r w:rsidRPr="003B2346">
        <w:rPr>
          <w:rFonts w:hint="eastAsia"/>
          <w:sz w:val="24"/>
          <w:szCs w:val="24"/>
          <w:lang w:eastAsia="zh-CN"/>
        </w:rPr>
        <w:t>31</w:t>
      </w:r>
      <w:r w:rsidRPr="003B2346">
        <w:rPr>
          <w:rFonts w:ascii="SimSun" w:hAnsi="SimSun" w:cs="SimSun" w:hint="eastAsia"/>
          <w:sz w:val="24"/>
          <w:szCs w:val="24"/>
          <w:lang w:eastAsia="zh-CN"/>
        </w:rPr>
        <w:t>日期间的活动。提交给缔约方大会第十五届会议的最后报告将涵盖</w:t>
      </w:r>
      <w:r w:rsidRPr="003B2346">
        <w:rPr>
          <w:rFonts w:hint="eastAsia"/>
          <w:sz w:val="24"/>
          <w:szCs w:val="24"/>
          <w:lang w:eastAsia="zh-CN"/>
        </w:rPr>
        <w:t>2018</w:t>
      </w:r>
      <w:r w:rsidRPr="003B2346">
        <w:rPr>
          <w:rFonts w:ascii="SimSun" w:hAnsi="SimSun" w:cs="SimSun" w:hint="eastAsia"/>
          <w:sz w:val="24"/>
          <w:szCs w:val="24"/>
          <w:lang w:eastAsia="zh-CN"/>
        </w:rPr>
        <w:t>年</w:t>
      </w:r>
      <w:r w:rsidRPr="003B2346">
        <w:rPr>
          <w:rFonts w:hint="eastAsia"/>
          <w:sz w:val="24"/>
          <w:szCs w:val="24"/>
          <w:lang w:eastAsia="zh-CN"/>
        </w:rPr>
        <w:t>7</w:t>
      </w:r>
      <w:r w:rsidRPr="003B2346">
        <w:rPr>
          <w:rFonts w:ascii="SimSun" w:hAnsi="SimSun" w:cs="SimSun" w:hint="eastAsia"/>
          <w:sz w:val="24"/>
          <w:szCs w:val="24"/>
          <w:lang w:eastAsia="zh-CN"/>
        </w:rPr>
        <w:t>月</w:t>
      </w:r>
      <w:r w:rsidRPr="003B2346">
        <w:rPr>
          <w:rFonts w:hint="eastAsia"/>
          <w:sz w:val="24"/>
          <w:szCs w:val="24"/>
          <w:lang w:eastAsia="zh-CN"/>
        </w:rPr>
        <w:t>1</w:t>
      </w:r>
      <w:r w:rsidRPr="003B2346">
        <w:rPr>
          <w:rFonts w:ascii="SimSun" w:hAnsi="SimSun" w:cs="SimSun" w:hint="eastAsia"/>
          <w:sz w:val="24"/>
          <w:szCs w:val="24"/>
          <w:lang w:eastAsia="zh-CN"/>
        </w:rPr>
        <w:t>日至</w:t>
      </w:r>
      <w:r w:rsidRPr="003B2346">
        <w:rPr>
          <w:rFonts w:hint="eastAsia"/>
          <w:sz w:val="24"/>
          <w:szCs w:val="24"/>
          <w:lang w:eastAsia="zh-CN"/>
        </w:rPr>
        <w:t>2020</w:t>
      </w:r>
      <w:r w:rsidRPr="003B2346">
        <w:rPr>
          <w:rFonts w:ascii="SimSun" w:hAnsi="SimSun" w:cs="SimSun" w:hint="eastAsia"/>
          <w:sz w:val="24"/>
          <w:szCs w:val="24"/>
          <w:lang w:eastAsia="zh-CN"/>
        </w:rPr>
        <w:t>年</w:t>
      </w:r>
      <w:r w:rsidRPr="003B2346">
        <w:rPr>
          <w:rFonts w:hint="eastAsia"/>
          <w:sz w:val="24"/>
          <w:szCs w:val="24"/>
          <w:lang w:eastAsia="zh-CN"/>
        </w:rPr>
        <w:t>6</w:t>
      </w:r>
      <w:r w:rsidRPr="003B2346">
        <w:rPr>
          <w:rFonts w:ascii="SimSun" w:hAnsi="SimSun" w:cs="SimSun" w:hint="eastAsia"/>
          <w:sz w:val="24"/>
          <w:szCs w:val="24"/>
          <w:lang w:eastAsia="zh-CN"/>
        </w:rPr>
        <w:t>月</w:t>
      </w:r>
      <w:r w:rsidRPr="003B2346">
        <w:rPr>
          <w:rFonts w:hint="eastAsia"/>
          <w:sz w:val="24"/>
          <w:szCs w:val="24"/>
          <w:lang w:eastAsia="zh-CN"/>
        </w:rPr>
        <w:t>30</w:t>
      </w:r>
      <w:r w:rsidRPr="003B2346">
        <w:rPr>
          <w:rFonts w:ascii="SimSun" w:hAnsi="SimSun" w:cs="SimSun" w:hint="eastAsia"/>
          <w:sz w:val="24"/>
          <w:szCs w:val="24"/>
          <w:lang w:eastAsia="zh-CN"/>
        </w:rPr>
        <w:t>日期间的活动，这段期间对应于</w:t>
      </w:r>
      <w:r w:rsidRPr="003B2346">
        <w:rPr>
          <w:rFonts w:hint="eastAsia"/>
          <w:sz w:val="24"/>
          <w:szCs w:val="24"/>
          <w:lang w:eastAsia="zh-CN"/>
        </w:rPr>
        <w:t>2018</w:t>
      </w:r>
      <w:r w:rsidRPr="003B2346">
        <w:rPr>
          <w:rFonts w:ascii="SimSun" w:hAnsi="SimSun" w:cs="SimSun" w:hint="eastAsia"/>
          <w:sz w:val="24"/>
          <w:szCs w:val="24"/>
          <w:lang w:eastAsia="zh-CN"/>
        </w:rPr>
        <w:t>年</w:t>
      </w:r>
      <w:r w:rsidRPr="003B2346">
        <w:rPr>
          <w:rFonts w:hint="eastAsia"/>
          <w:sz w:val="24"/>
          <w:szCs w:val="24"/>
          <w:lang w:eastAsia="zh-CN"/>
        </w:rPr>
        <w:t>7</w:t>
      </w:r>
      <w:r w:rsidRPr="003B2346">
        <w:rPr>
          <w:rFonts w:ascii="SimSun" w:hAnsi="SimSun" w:cs="SimSun" w:hint="eastAsia"/>
          <w:sz w:val="24"/>
          <w:szCs w:val="24"/>
          <w:lang w:eastAsia="zh-CN"/>
        </w:rPr>
        <w:t>月</w:t>
      </w:r>
      <w:r w:rsidRPr="003B2346">
        <w:rPr>
          <w:rFonts w:hint="eastAsia"/>
          <w:sz w:val="24"/>
          <w:szCs w:val="24"/>
          <w:lang w:eastAsia="zh-CN"/>
        </w:rPr>
        <w:t>1</w:t>
      </w:r>
      <w:r w:rsidRPr="003B2346">
        <w:rPr>
          <w:rFonts w:ascii="SimSun" w:hAnsi="SimSun" w:cs="SimSun" w:hint="eastAsia"/>
          <w:sz w:val="24"/>
          <w:szCs w:val="24"/>
          <w:lang w:eastAsia="zh-CN"/>
        </w:rPr>
        <w:t>日至</w:t>
      </w:r>
      <w:r w:rsidRPr="003B2346">
        <w:rPr>
          <w:rFonts w:hint="eastAsia"/>
          <w:sz w:val="24"/>
          <w:szCs w:val="24"/>
          <w:lang w:eastAsia="zh-CN"/>
        </w:rPr>
        <w:t>2022</w:t>
      </w:r>
      <w:r w:rsidRPr="003B2346">
        <w:rPr>
          <w:rFonts w:ascii="SimSun" w:hAnsi="SimSun" w:cs="SimSun" w:hint="eastAsia"/>
          <w:sz w:val="24"/>
          <w:szCs w:val="24"/>
          <w:lang w:eastAsia="zh-CN"/>
        </w:rPr>
        <w:t>年</w:t>
      </w:r>
      <w:r w:rsidRPr="003B2346">
        <w:rPr>
          <w:rFonts w:hint="eastAsia"/>
          <w:sz w:val="24"/>
          <w:szCs w:val="24"/>
          <w:lang w:eastAsia="zh-CN"/>
        </w:rPr>
        <w:t>6</w:t>
      </w:r>
      <w:r w:rsidRPr="003B2346">
        <w:rPr>
          <w:rFonts w:ascii="SimSun" w:hAnsi="SimSun" w:cs="SimSun" w:hint="eastAsia"/>
          <w:sz w:val="24"/>
          <w:szCs w:val="24"/>
          <w:lang w:eastAsia="zh-CN"/>
        </w:rPr>
        <w:t>月</w:t>
      </w:r>
      <w:r w:rsidRPr="003B2346">
        <w:rPr>
          <w:rFonts w:hint="eastAsia"/>
          <w:sz w:val="24"/>
          <w:szCs w:val="24"/>
          <w:lang w:eastAsia="zh-CN"/>
        </w:rPr>
        <w:t>30</w:t>
      </w:r>
      <w:r w:rsidRPr="003B2346">
        <w:rPr>
          <w:rFonts w:ascii="SimSun" w:hAnsi="SimSun" w:cs="SimSun" w:hint="eastAsia"/>
          <w:sz w:val="24"/>
          <w:szCs w:val="24"/>
          <w:lang w:eastAsia="zh-CN"/>
        </w:rPr>
        <w:t>日的全环基金第七次增资期间的前两年。</w:t>
      </w:r>
    </w:p>
    <w:p w14:paraId="29408B21" w14:textId="02C34D73" w:rsidR="00983521" w:rsidRPr="003B2346" w:rsidRDefault="00C14111" w:rsidP="00CF090D">
      <w:pPr>
        <w:pStyle w:val="Heading2"/>
        <w:rPr>
          <w:sz w:val="24"/>
          <w:szCs w:val="24"/>
        </w:rPr>
      </w:pPr>
      <w:r w:rsidRPr="003B2346">
        <w:rPr>
          <w:sz w:val="24"/>
          <w:szCs w:val="24"/>
        </w:rPr>
        <w:t>全环基金第七次增资的生物多样性战略</w:t>
      </w:r>
    </w:p>
    <w:p w14:paraId="7CD9BA56" w14:textId="77777777" w:rsidR="00C14111" w:rsidRPr="003B2346" w:rsidRDefault="00C14111" w:rsidP="00C14111">
      <w:pPr>
        <w:pStyle w:val="ListParagraph"/>
        <w:numPr>
          <w:ilvl w:val="0"/>
          <w:numId w:val="25"/>
        </w:numPr>
        <w:spacing w:before="240" w:after="240" w:line="240" w:lineRule="auto"/>
        <w:ind w:left="0" w:firstLine="0"/>
        <w:contextualSpacing w:val="0"/>
        <w:rPr>
          <w:sz w:val="24"/>
          <w:szCs w:val="24"/>
          <w:lang w:eastAsia="zh-CN"/>
        </w:rPr>
      </w:pPr>
      <w:bookmarkStart w:id="6" w:name="_Hlk32178223"/>
      <w:r w:rsidRPr="003B2346">
        <w:rPr>
          <w:rFonts w:hint="eastAsia"/>
          <w:sz w:val="24"/>
          <w:szCs w:val="24"/>
          <w:lang w:eastAsia="zh-CN"/>
        </w:rPr>
        <w:t>全环基金第七次增资的生物多样性重点领域战略目标旨在维持陆地景观和海洋景观的全球重要生物多样性。为了实现这一目标，全环基金的投资有助于各国实现</w:t>
      </w:r>
      <w:r w:rsidRPr="003B2346">
        <w:rPr>
          <w:rFonts w:hint="eastAsia"/>
          <w:sz w:val="24"/>
          <w:szCs w:val="24"/>
          <w:lang w:eastAsia="zh-CN"/>
        </w:rPr>
        <w:t>2016</w:t>
      </w:r>
      <w:r w:rsidRPr="003B2346">
        <w:rPr>
          <w:rFonts w:hint="eastAsia"/>
          <w:sz w:val="24"/>
          <w:szCs w:val="24"/>
          <w:lang w:eastAsia="zh-CN"/>
        </w:rPr>
        <w:t>年</w:t>
      </w:r>
      <w:r w:rsidRPr="003B2346">
        <w:rPr>
          <w:rFonts w:hint="eastAsia"/>
          <w:sz w:val="24"/>
          <w:szCs w:val="24"/>
          <w:lang w:eastAsia="zh-CN"/>
        </w:rPr>
        <w:t>12</w:t>
      </w:r>
      <w:r w:rsidRPr="003B2346">
        <w:rPr>
          <w:rFonts w:hint="eastAsia"/>
          <w:sz w:val="24"/>
          <w:szCs w:val="24"/>
          <w:lang w:eastAsia="zh-CN"/>
        </w:rPr>
        <w:t>月以来在缔约方大会第十三届会议对全环基金提出的指导意见中指明的三个目标，这些目标载列于</w:t>
      </w:r>
      <w:r w:rsidRPr="003B2346">
        <w:rPr>
          <w:rFonts w:ascii="Segoe UI" w:hAnsi="Segoe UI" w:cs="Segoe UI"/>
          <w:sz w:val="24"/>
          <w:szCs w:val="24"/>
          <w:lang w:eastAsia="zh-CN"/>
        </w:rPr>
        <w:t>四年期方案优先事项框</w:t>
      </w:r>
      <w:r w:rsidRPr="003B2346">
        <w:rPr>
          <w:rFonts w:ascii="SimSun" w:hAnsi="SimSun" w:cs="SimSun" w:hint="eastAsia"/>
          <w:sz w:val="24"/>
          <w:szCs w:val="24"/>
          <w:lang w:eastAsia="zh-CN"/>
        </w:rPr>
        <w:t>架</w:t>
      </w:r>
      <w:r w:rsidRPr="003B2346">
        <w:rPr>
          <w:rFonts w:hint="eastAsia"/>
          <w:sz w:val="24"/>
          <w:szCs w:val="24"/>
          <w:lang w:eastAsia="zh-CN"/>
        </w:rPr>
        <w:t>：</w:t>
      </w:r>
      <w:bookmarkStart w:id="7" w:name="_Toc476081881"/>
      <w:bookmarkStart w:id="8" w:name="_Toc476693266"/>
      <w:bookmarkEnd w:id="6"/>
    </w:p>
    <w:p w14:paraId="47CE773E" w14:textId="77777777" w:rsidR="00C14111" w:rsidRPr="003B2346" w:rsidRDefault="00C14111" w:rsidP="00C14111">
      <w:pPr>
        <w:numPr>
          <w:ilvl w:val="0"/>
          <w:numId w:val="8"/>
        </w:numPr>
        <w:spacing w:before="120" w:after="120" w:line="240" w:lineRule="auto"/>
        <w:ind w:left="1080"/>
        <w:rPr>
          <w:sz w:val="24"/>
          <w:szCs w:val="24"/>
          <w:lang w:eastAsia="zh-CN"/>
        </w:rPr>
      </w:pPr>
      <w:r w:rsidRPr="003B2346">
        <w:rPr>
          <w:rStyle w:val="style21"/>
          <w:rFonts w:ascii="Segoe UI" w:hAnsi="Segoe UI" w:cs="Segoe UI"/>
          <w:color w:val="auto"/>
          <w:lang w:eastAsia="zh-CN"/>
        </w:rPr>
        <w:t>生物多样性作为各部门以及陆地景观和海洋景观的主流；</w:t>
      </w:r>
    </w:p>
    <w:p w14:paraId="56C1650E" w14:textId="77777777" w:rsidR="00C14111" w:rsidRPr="003B2346" w:rsidRDefault="00C14111" w:rsidP="00C14111">
      <w:pPr>
        <w:numPr>
          <w:ilvl w:val="0"/>
          <w:numId w:val="8"/>
        </w:numPr>
        <w:spacing w:before="120" w:after="120" w:line="240" w:lineRule="auto"/>
        <w:ind w:left="1080"/>
        <w:rPr>
          <w:sz w:val="24"/>
          <w:szCs w:val="24"/>
          <w:lang w:eastAsia="zh-CN"/>
        </w:rPr>
      </w:pPr>
      <w:r w:rsidRPr="003B2346">
        <w:rPr>
          <w:rStyle w:val="style21"/>
          <w:rFonts w:ascii="Segoe UI" w:hAnsi="Segoe UI" w:cs="Segoe UI"/>
          <w:color w:val="auto"/>
          <w:lang w:eastAsia="zh-CN"/>
        </w:rPr>
        <w:t>运用保护生境和物种的直接驱动因素</w:t>
      </w:r>
      <w:r w:rsidRPr="003B2346">
        <w:rPr>
          <w:rStyle w:val="style21"/>
          <w:rFonts w:ascii="Segoe UI" w:hAnsi="Segoe UI" w:cs="Segoe UI" w:hint="eastAsia"/>
          <w:color w:val="auto"/>
          <w:lang w:eastAsia="zh-CN"/>
        </w:rPr>
        <w:t>；</w:t>
      </w:r>
      <w:r w:rsidRPr="003B2346">
        <w:rPr>
          <w:rStyle w:val="style21"/>
          <w:rFonts w:ascii="Segoe UI" w:hAnsi="Segoe UI" w:cs="Segoe UI"/>
          <w:color w:val="auto"/>
          <w:lang w:eastAsia="zh-CN"/>
        </w:rPr>
        <w:t>和</w:t>
      </w:r>
    </w:p>
    <w:p w14:paraId="544EBAA1" w14:textId="77777777" w:rsidR="00C14111" w:rsidRPr="003B2346" w:rsidRDefault="00C14111" w:rsidP="00C14111">
      <w:pPr>
        <w:numPr>
          <w:ilvl w:val="0"/>
          <w:numId w:val="8"/>
        </w:numPr>
        <w:spacing w:before="120" w:after="120" w:line="240" w:lineRule="auto"/>
        <w:ind w:left="1080"/>
        <w:rPr>
          <w:sz w:val="24"/>
          <w:szCs w:val="24"/>
          <w:lang w:eastAsia="zh-CN"/>
        </w:rPr>
      </w:pPr>
      <w:r w:rsidRPr="003B2346">
        <w:rPr>
          <w:rStyle w:val="style21"/>
          <w:rFonts w:ascii="Segoe UI" w:hAnsi="Segoe UI" w:cs="Segoe UI"/>
          <w:color w:val="auto"/>
          <w:lang w:eastAsia="zh-CN"/>
        </w:rPr>
        <w:t>进一步制订生物多样性政策和体制框架</w:t>
      </w:r>
      <w:r w:rsidRPr="003B2346">
        <w:rPr>
          <w:rStyle w:val="style21"/>
          <w:rFonts w:ascii="SimSun" w:hAnsi="SimSun" w:cs="SimSun" w:hint="eastAsia"/>
          <w:color w:val="auto"/>
          <w:lang w:eastAsia="zh-CN"/>
        </w:rPr>
        <w:t>。</w:t>
      </w:r>
    </w:p>
    <w:p w14:paraId="00025A67" w14:textId="44D81B8C" w:rsidR="00211425" w:rsidRPr="003B2346" w:rsidRDefault="00211425" w:rsidP="00C14111">
      <w:pPr>
        <w:pStyle w:val="ListParagraph"/>
        <w:numPr>
          <w:ilvl w:val="0"/>
          <w:numId w:val="25"/>
        </w:numPr>
        <w:spacing w:before="240" w:after="240" w:line="240" w:lineRule="auto"/>
        <w:ind w:left="0" w:firstLine="0"/>
        <w:contextualSpacing w:val="0"/>
        <w:rPr>
          <w:sz w:val="24"/>
          <w:szCs w:val="24"/>
          <w:lang w:eastAsia="zh-CN"/>
        </w:rPr>
      </w:pPr>
      <w:r w:rsidRPr="003B2346">
        <w:rPr>
          <w:rFonts w:hint="eastAsia"/>
          <w:sz w:val="24"/>
          <w:szCs w:val="24"/>
          <w:lang w:eastAsia="zh-CN"/>
        </w:rPr>
        <w:t>生物多样性重点领域战略和重点领域方案规划项目、粮食系统</w:t>
      </w:r>
      <w:r w:rsidR="001F640C" w:rsidRPr="003B2346">
        <w:rPr>
          <w:rFonts w:hint="eastAsia"/>
          <w:sz w:val="24"/>
          <w:szCs w:val="24"/>
          <w:lang w:eastAsia="zh-CN"/>
        </w:rPr>
        <w:t>、</w:t>
      </w:r>
      <w:r w:rsidRPr="003B2346">
        <w:rPr>
          <w:rFonts w:hint="eastAsia"/>
          <w:sz w:val="24"/>
          <w:szCs w:val="24"/>
          <w:lang w:eastAsia="zh-CN"/>
        </w:rPr>
        <w:t>土地利用和恢复影响</w:t>
      </w:r>
      <w:r w:rsidR="001F640C" w:rsidRPr="003B2346">
        <w:rPr>
          <w:rFonts w:hint="eastAsia"/>
          <w:sz w:val="24"/>
          <w:szCs w:val="24"/>
          <w:lang w:eastAsia="zh-CN"/>
        </w:rPr>
        <w:t>方案、</w:t>
      </w:r>
      <w:r w:rsidRPr="003B2346">
        <w:rPr>
          <w:rFonts w:hint="eastAsia"/>
          <w:sz w:val="24"/>
          <w:szCs w:val="24"/>
          <w:lang w:eastAsia="zh-CN"/>
        </w:rPr>
        <w:t>可持续城市影响</w:t>
      </w:r>
      <w:r w:rsidR="001F640C" w:rsidRPr="003B2346">
        <w:rPr>
          <w:rFonts w:hint="eastAsia"/>
          <w:sz w:val="24"/>
          <w:szCs w:val="24"/>
          <w:lang w:eastAsia="zh-CN"/>
        </w:rPr>
        <w:t>方案、</w:t>
      </w:r>
      <w:r w:rsidRPr="003B2346">
        <w:rPr>
          <w:rFonts w:hint="eastAsia"/>
          <w:sz w:val="24"/>
          <w:szCs w:val="24"/>
          <w:lang w:eastAsia="zh-CN"/>
        </w:rPr>
        <w:t>可持续森林管理影响</w:t>
      </w:r>
      <w:r w:rsidR="001F640C" w:rsidRPr="003B2346">
        <w:rPr>
          <w:rFonts w:hint="eastAsia"/>
          <w:sz w:val="24"/>
          <w:szCs w:val="24"/>
          <w:lang w:eastAsia="zh-CN"/>
        </w:rPr>
        <w:t>方案</w:t>
      </w:r>
      <w:r w:rsidRPr="003B2346">
        <w:rPr>
          <w:rFonts w:hint="eastAsia"/>
          <w:sz w:val="24"/>
          <w:szCs w:val="24"/>
          <w:lang w:eastAsia="zh-CN"/>
        </w:rPr>
        <w:t>以及国际水域重点领域投资</w:t>
      </w:r>
      <w:r w:rsidR="001F640C" w:rsidRPr="003B2346">
        <w:rPr>
          <w:rFonts w:hint="eastAsia"/>
          <w:sz w:val="24"/>
          <w:szCs w:val="24"/>
          <w:lang w:eastAsia="zh-CN"/>
        </w:rPr>
        <w:t>项目</w:t>
      </w:r>
      <w:r w:rsidRPr="003B2346">
        <w:rPr>
          <w:rFonts w:hint="eastAsia"/>
          <w:sz w:val="24"/>
          <w:szCs w:val="24"/>
          <w:lang w:eastAsia="zh-CN"/>
        </w:rPr>
        <w:t>共同为实现</w:t>
      </w:r>
      <w:r w:rsidR="001F640C" w:rsidRPr="003B2346">
        <w:rPr>
          <w:rFonts w:hint="eastAsia"/>
          <w:sz w:val="24"/>
          <w:szCs w:val="24"/>
          <w:lang w:eastAsia="zh-CN"/>
        </w:rPr>
        <w:t>全环基金第七次增资这一</w:t>
      </w:r>
      <w:r w:rsidRPr="003B2346">
        <w:rPr>
          <w:rFonts w:hint="eastAsia"/>
          <w:sz w:val="24"/>
          <w:szCs w:val="24"/>
          <w:lang w:eastAsia="zh-CN"/>
        </w:rPr>
        <w:t>目标</w:t>
      </w:r>
      <w:r w:rsidR="001F640C" w:rsidRPr="003B2346">
        <w:rPr>
          <w:rFonts w:hint="eastAsia"/>
          <w:sz w:val="24"/>
          <w:szCs w:val="24"/>
          <w:lang w:eastAsia="zh-CN"/>
        </w:rPr>
        <w:t>和三个目的</w:t>
      </w:r>
      <w:r w:rsidRPr="003B2346">
        <w:rPr>
          <w:rFonts w:hint="eastAsia"/>
          <w:sz w:val="24"/>
          <w:szCs w:val="24"/>
          <w:lang w:eastAsia="zh-CN"/>
        </w:rPr>
        <w:t>做出了贡献</w:t>
      </w:r>
      <w:r w:rsidR="001F640C" w:rsidRPr="003B2346">
        <w:rPr>
          <w:rFonts w:hint="eastAsia"/>
          <w:sz w:val="24"/>
          <w:szCs w:val="24"/>
          <w:lang w:eastAsia="zh-CN"/>
        </w:rPr>
        <w:t>，细节载于下表</w:t>
      </w:r>
      <w:r w:rsidRPr="003B2346">
        <w:rPr>
          <w:rFonts w:hint="eastAsia"/>
          <w:sz w:val="24"/>
          <w:szCs w:val="24"/>
          <w:lang w:eastAsia="zh-CN"/>
        </w:rPr>
        <w:t>1</w:t>
      </w:r>
      <w:r w:rsidRPr="003B2346">
        <w:rPr>
          <w:rFonts w:hint="eastAsia"/>
          <w:sz w:val="24"/>
          <w:szCs w:val="24"/>
          <w:lang w:eastAsia="zh-CN"/>
        </w:rPr>
        <w:t>。</w:t>
      </w:r>
    </w:p>
    <w:bookmarkEnd w:id="7"/>
    <w:bookmarkEnd w:id="8"/>
    <w:p w14:paraId="138F4381" w14:textId="785626FE" w:rsidR="007708B4" w:rsidRPr="000F274C" w:rsidRDefault="000F274C" w:rsidP="00CB6102">
      <w:pPr>
        <w:spacing w:before="240" w:after="240" w:line="240" w:lineRule="auto"/>
        <w:jc w:val="center"/>
        <w:rPr>
          <w:rFonts w:ascii="Times New Roman" w:hAnsi="Times New Roman" w:cs="Times New Roman"/>
          <w:b/>
          <w:iCs/>
          <w:sz w:val="24"/>
          <w:szCs w:val="24"/>
          <w:lang w:val="en-GB" w:eastAsia="zh-CN"/>
        </w:rPr>
      </w:pPr>
      <w:r w:rsidRPr="000F274C">
        <w:rPr>
          <w:rFonts w:ascii="Times New Roman" w:hAnsi="Times New Roman" w:cs="Times New Roman"/>
          <w:b/>
          <w:lang w:eastAsia="zh-CN"/>
        </w:rPr>
        <w:t>表</w:t>
      </w:r>
      <w:r w:rsidRPr="000F274C">
        <w:rPr>
          <w:rFonts w:ascii="Times New Roman" w:hAnsi="Times New Roman" w:cs="Times New Roman"/>
          <w:b/>
          <w:lang w:eastAsia="zh-CN"/>
        </w:rPr>
        <w:t xml:space="preserve">1.  </w:t>
      </w:r>
      <w:r w:rsidRPr="000F274C">
        <w:rPr>
          <w:rFonts w:ascii="Times New Roman" w:hAnsi="Times New Roman" w:cs="Times New Roman"/>
          <w:b/>
          <w:lang w:eastAsia="zh-CN"/>
        </w:rPr>
        <w:t>全环基金第七次增资中的生物多样性公约指导意见和交付机制</w:t>
      </w:r>
    </w:p>
    <w:tbl>
      <w:tblPr>
        <w:tblW w:w="9455" w:type="dxa"/>
        <w:jc w:val="center"/>
        <w:tblLayout w:type="fixed"/>
        <w:tblLook w:val="0000" w:firstRow="0" w:lastRow="0" w:firstColumn="0" w:lastColumn="0" w:noHBand="0" w:noVBand="0"/>
      </w:tblPr>
      <w:tblGrid>
        <w:gridCol w:w="4415"/>
        <w:gridCol w:w="5040"/>
      </w:tblGrid>
      <w:tr w:rsidR="00925FCB" w:rsidRPr="00925FCB" w14:paraId="53F2CA4C" w14:textId="77777777" w:rsidTr="00B926E0">
        <w:trPr>
          <w:tblHeade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0" w:type="dxa"/>
              <w:bottom w:w="0" w:type="dxa"/>
              <w:right w:w="0" w:type="dxa"/>
            </w:tcMar>
            <w:vAlign w:val="center"/>
          </w:tcPr>
          <w:p w14:paraId="42372935" w14:textId="082C9FFC" w:rsidR="000F274C" w:rsidRPr="00925FCB" w:rsidRDefault="000F274C" w:rsidP="000F274C">
            <w:pPr>
              <w:ind w:left="288"/>
              <w:rPr>
                <w:lang w:eastAsia="zh-CN"/>
              </w:rPr>
            </w:pPr>
            <w:r>
              <w:rPr>
                <w:rFonts w:hint="eastAsia"/>
                <w:lang w:eastAsia="zh-CN"/>
              </w:rPr>
              <w:t>生物多样性公约缔约方大会第十三届会议的指导意见：四年期方案优先事项框架</w:t>
            </w:r>
          </w:p>
        </w:tc>
        <w:tc>
          <w:tcPr>
            <w:tcW w:w="50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934A6E0" w14:textId="7F272289" w:rsidR="00925FCB" w:rsidRPr="00925FCB" w:rsidRDefault="000F274C" w:rsidP="000F274C">
            <w:pPr>
              <w:ind w:left="288"/>
            </w:pPr>
            <w:r>
              <w:rPr>
                <w:rFonts w:hint="eastAsia"/>
                <w:lang w:eastAsia="zh-CN"/>
              </w:rPr>
              <w:t>交付机制</w:t>
            </w:r>
          </w:p>
        </w:tc>
      </w:tr>
      <w:tr w:rsidR="00925FCB" w:rsidRPr="00925FCB" w14:paraId="66A58B5C" w14:textId="77777777" w:rsidTr="00665E66">
        <w:trP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C33DFA" w14:textId="66FE60A3" w:rsidR="000F274C" w:rsidRPr="000F274C" w:rsidRDefault="000F274C" w:rsidP="000F274C">
            <w:pPr>
              <w:ind w:left="288"/>
              <w:rPr>
                <w:b/>
                <w:lang w:eastAsia="zh-CN"/>
              </w:rPr>
            </w:pPr>
            <w:r>
              <w:rPr>
                <w:rStyle w:val="style21"/>
                <w:rFonts w:ascii="Segoe UI" w:hAnsi="Segoe UI" w:cs="Segoe UI"/>
                <w:b/>
                <w:color w:val="auto"/>
                <w:sz w:val="22"/>
                <w:szCs w:val="22"/>
                <w:lang w:eastAsia="zh-CN"/>
              </w:rPr>
              <w:t>一</w:t>
            </w:r>
            <w:r>
              <w:rPr>
                <w:rStyle w:val="style21"/>
                <w:rFonts w:ascii="Segoe UI" w:hAnsi="Segoe UI" w:cs="Segoe UI" w:hint="eastAsia"/>
                <w:b/>
                <w:color w:val="auto"/>
                <w:sz w:val="22"/>
                <w:szCs w:val="22"/>
                <w:lang w:eastAsia="zh-CN"/>
              </w:rPr>
              <w:t>．</w:t>
            </w:r>
            <w:r w:rsidRPr="000F274C">
              <w:rPr>
                <w:rStyle w:val="style21"/>
                <w:rFonts w:ascii="Segoe UI" w:hAnsi="Segoe UI" w:cs="Segoe UI"/>
                <w:b/>
                <w:color w:val="auto"/>
                <w:sz w:val="22"/>
                <w:szCs w:val="22"/>
                <w:lang w:eastAsia="zh-CN"/>
              </w:rPr>
              <w:t>生物多样性作为各部门以及陆地景观和海洋景观的主流</w:t>
            </w:r>
          </w:p>
          <w:p w14:paraId="08198291" w14:textId="30069688" w:rsidR="009B3D0F" w:rsidRDefault="009B3D0F" w:rsidP="009B3D0F">
            <w:pPr>
              <w:ind w:left="288"/>
              <w:rPr>
                <w:lang w:eastAsia="zh-CN"/>
              </w:rPr>
            </w:pPr>
            <w:r>
              <w:rPr>
                <w:rFonts w:hint="eastAsia"/>
                <w:lang w:eastAsia="zh-CN"/>
              </w:rPr>
              <w:t>A</w:t>
            </w:r>
            <w:r>
              <w:rPr>
                <w:rFonts w:hint="eastAsia"/>
                <w:lang w:eastAsia="zh-CN"/>
              </w:rPr>
              <w:t>）根据生物多样性和生态系统的价值，改善政策和决策</w:t>
            </w:r>
          </w:p>
          <w:p w14:paraId="55B2AD19" w14:textId="2645275C" w:rsidR="009B3D0F" w:rsidRDefault="009B3D0F" w:rsidP="009B3D0F">
            <w:pPr>
              <w:ind w:left="288"/>
              <w:rPr>
                <w:lang w:eastAsia="zh-CN"/>
              </w:rPr>
            </w:pPr>
            <w:r>
              <w:rPr>
                <w:rFonts w:hint="eastAsia"/>
                <w:lang w:eastAsia="zh-CN"/>
              </w:rPr>
              <w:t>B</w:t>
            </w:r>
            <w:r>
              <w:rPr>
                <w:rFonts w:hint="eastAsia"/>
                <w:lang w:eastAsia="zh-CN"/>
              </w:rPr>
              <w:t>）管理陆地景观和海洋景观中的生物多样性</w:t>
            </w:r>
          </w:p>
          <w:p w14:paraId="68775A62" w14:textId="35DC650E" w:rsidR="009B3D0F" w:rsidRPr="00925FCB" w:rsidRDefault="009B3D0F" w:rsidP="009B3D0F">
            <w:pPr>
              <w:ind w:left="288"/>
              <w:rPr>
                <w:lang w:eastAsia="zh-CN"/>
              </w:rPr>
            </w:pPr>
            <w:r>
              <w:rPr>
                <w:rFonts w:hint="eastAsia"/>
                <w:lang w:eastAsia="zh-CN"/>
              </w:rPr>
              <w:t>C</w:t>
            </w:r>
            <w:r>
              <w:rPr>
                <w:rFonts w:hint="eastAsia"/>
                <w:lang w:eastAsia="zh-CN"/>
              </w:rPr>
              <w:t>）利用生物多样性促进可持续农业</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4FD7D6EC" w14:textId="135B9996" w:rsidR="007347FC" w:rsidRPr="007B4AC4" w:rsidRDefault="009B3D0F" w:rsidP="00814F5E">
            <w:pPr>
              <w:ind w:left="288"/>
              <w:rPr>
                <w:lang w:eastAsia="zh-CN"/>
              </w:rPr>
            </w:pPr>
            <w:r w:rsidRPr="009B3D0F">
              <w:rPr>
                <w:b/>
                <w:bCs/>
                <w:lang w:eastAsia="zh-CN"/>
              </w:rPr>
              <w:t>生物多样性</w:t>
            </w:r>
            <w:r w:rsidRPr="009B3D0F">
              <w:rPr>
                <w:rFonts w:hint="eastAsia"/>
                <w:b/>
                <w:lang w:eastAsia="zh-CN"/>
              </w:rPr>
              <w:t>重点领域的投资和规划项目</w:t>
            </w:r>
          </w:p>
          <w:p w14:paraId="5A799B3B" w14:textId="786D9183" w:rsidR="009B3D0F" w:rsidRPr="007B4AC4" w:rsidRDefault="009B3D0F" w:rsidP="00814F5E">
            <w:pPr>
              <w:ind w:left="288"/>
              <w:rPr>
                <w:lang w:eastAsia="zh-CN"/>
              </w:rPr>
            </w:pPr>
            <w:r>
              <w:rPr>
                <w:rFonts w:hint="eastAsia"/>
                <w:lang w:eastAsia="zh-CN"/>
              </w:rPr>
              <w:t>将生物多样性纳入优先部门</w:t>
            </w:r>
            <w:r w:rsidR="00CF64E2">
              <w:rPr>
                <w:rFonts w:hint="eastAsia"/>
                <w:lang w:eastAsia="zh-CN"/>
              </w:rPr>
              <w:t>的</w:t>
            </w:r>
            <w:r>
              <w:rPr>
                <w:rFonts w:hint="eastAsia"/>
                <w:lang w:eastAsia="zh-CN"/>
              </w:rPr>
              <w:t>主流</w:t>
            </w:r>
          </w:p>
          <w:p w14:paraId="59DA6406" w14:textId="028947F3" w:rsidR="00CF64E2" w:rsidRPr="007B4AC4" w:rsidRDefault="00CF64E2" w:rsidP="00814F5E">
            <w:pPr>
              <w:ind w:left="288"/>
              <w:rPr>
                <w:lang w:eastAsia="zh-CN"/>
              </w:rPr>
            </w:pPr>
            <w:r>
              <w:rPr>
                <w:rFonts w:hint="eastAsia"/>
                <w:lang w:eastAsia="zh-CN"/>
              </w:rPr>
              <w:t>全球野生动物方案（防止已知受威胁物种的灭绝和野生动物促进可持续发展）</w:t>
            </w:r>
          </w:p>
          <w:p w14:paraId="7C546DD8" w14:textId="6C8B006A" w:rsidR="00CF64E2" w:rsidRPr="007B4AC4" w:rsidRDefault="00CF64E2" w:rsidP="00814F5E">
            <w:pPr>
              <w:ind w:left="288"/>
              <w:rPr>
                <w:lang w:eastAsia="zh-CN"/>
              </w:rPr>
            </w:pPr>
            <w:r>
              <w:rPr>
                <w:rFonts w:hint="eastAsia"/>
                <w:lang w:eastAsia="zh-CN"/>
              </w:rPr>
              <w:t>自然资本评估与核算</w:t>
            </w:r>
          </w:p>
          <w:p w14:paraId="4E4BE85E" w14:textId="511E4194" w:rsidR="00CF64E2" w:rsidRPr="007B4AC4" w:rsidRDefault="00CF64E2" w:rsidP="00814F5E">
            <w:pPr>
              <w:ind w:left="288"/>
              <w:rPr>
                <w:lang w:eastAsia="zh-CN"/>
              </w:rPr>
            </w:pPr>
            <w:r>
              <w:rPr>
                <w:rFonts w:hint="eastAsia"/>
                <w:lang w:eastAsia="zh-CN"/>
              </w:rPr>
              <w:t>动植物遗传资源的可持续利用</w:t>
            </w:r>
          </w:p>
          <w:p w14:paraId="10C6A608" w14:textId="2FDC3D86" w:rsidR="00CF64E2" w:rsidRPr="007B4AC4" w:rsidRDefault="00CF64E2" w:rsidP="00814F5E">
            <w:pPr>
              <w:ind w:left="288"/>
              <w:rPr>
                <w:lang w:eastAsia="zh-CN"/>
              </w:rPr>
            </w:pPr>
            <w:r>
              <w:rPr>
                <w:rFonts w:hint="eastAsia"/>
                <w:lang w:eastAsia="zh-CN"/>
              </w:rPr>
              <w:t>包容性保护</w:t>
            </w:r>
          </w:p>
          <w:p w14:paraId="2F31157F" w14:textId="621523B9" w:rsidR="00CF64E2" w:rsidRPr="007B4AC4" w:rsidRDefault="00CF64E2" w:rsidP="00814F5E">
            <w:pPr>
              <w:ind w:left="288"/>
              <w:rPr>
                <w:lang w:eastAsia="zh-CN"/>
              </w:rPr>
            </w:pPr>
            <w:r>
              <w:rPr>
                <w:rFonts w:hint="eastAsia"/>
                <w:b/>
                <w:bCs/>
                <w:lang w:eastAsia="zh-CN"/>
              </w:rPr>
              <w:t>影响方案</w:t>
            </w:r>
          </w:p>
          <w:p w14:paraId="63A32010" w14:textId="6B3BE60A" w:rsidR="00CF64E2" w:rsidRPr="007B4AC4" w:rsidRDefault="00CF64E2" w:rsidP="00814F5E">
            <w:pPr>
              <w:ind w:left="288"/>
              <w:rPr>
                <w:lang w:eastAsia="zh-CN"/>
              </w:rPr>
            </w:pPr>
            <w:r>
              <w:rPr>
                <w:rFonts w:hint="eastAsia"/>
                <w:lang w:eastAsia="zh-CN"/>
              </w:rPr>
              <w:t>粮食系统、土地利用和恢复的影响方案</w:t>
            </w:r>
          </w:p>
          <w:p w14:paraId="06F49E0D" w14:textId="65994754" w:rsidR="00CF64E2" w:rsidRPr="007B4AC4" w:rsidRDefault="00CF64E2" w:rsidP="00814F5E">
            <w:pPr>
              <w:ind w:left="288"/>
              <w:rPr>
                <w:lang w:eastAsia="zh-CN"/>
              </w:rPr>
            </w:pPr>
            <w:r>
              <w:rPr>
                <w:rFonts w:hint="eastAsia"/>
                <w:lang w:eastAsia="zh-CN"/>
              </w:rPr>
              <w:lastRenderedPageBreak/>
              <w:t>可持续城市影响方案</w:t>
            </w:r>
          </w:p>
          <w:p w14:paraId="6B719A14" w14:textId="122ADFAF" w:rsidR="00A6673B" w:rsidRPr="007B4AC4" w:rsidRDefault="00A6673B" w:rsidP="00814F5E">
            <w:pPr>
              <w:ind w:left="288"/>
              <w:rPr>
                <w:lang w:eastAsia="zh-CN"/>
              </w:rPr>
            </w:pPr>
            <w:r>
              <w:rPr>
                <w:rFonts w:hint="eastAsia"/>
                <w:lang w:eastAsia="zh-CN"/>
              </w:rPr>
              <w:t>可持续森林管理影响</w:t>
            </w:r>
            <w:r w:rsidR="000A15D5">
              <w:rPr>
                <w:rFonts w:hint="eastAsia"/>
                <w:lang w:eastAsia="zh-CN"/>
              </w:rPr>
              <w:t>方案</w:t>
            </w:r>
            <w:r>
              <w:rPr>
                <w:rFonts w:hint="eastAsia"/>
                <w:lang w:eastAsia="zh-CN"/>
              </w:rPr>
              <w:t>（亚马逊</w:t>
            </w:r>
            <w:r w:rsidR="00C119B4">
              <w:rPr>
                <w:rFonts w:hint="eastAsia"/>
                <w:lang w:eastAsia="zh-CN"/>
              </w:rPr>
              <w:t>、</w:t>
            </w:r>
            <w:r>
              <w:rPr>
                <w:rFonts w:hint="eastAsia"/>
                <w:lang w:eastAsia="zh-CN"/>
              </w:rPr>
              <w:t>刚果盆地</w:t>
            </w:r>
            <w:r w:rsidR="000A15D5">
              <w:rPr>
                <w:rFonts w:hint="eastAsia"/>
                <w:lang w:eastAsia="zh-CN"/>
              </w:rPr>
              <w:t>、</w:t>
            </w:r>
            <w:r>
              <w:rPr>
                <w:rFonts w:hint="eastAsia"/>
                <w:lang w:eastAsia="zh-CN"/>
              </w:rPr>
              <w:t>旱地可持续景观）</w:t>
            </w:r>
          </w:p>
          <w:p w14:paraId="0C6BBE87" w14:textId="600D41CE" w:rsidR="00925FCB" w:rsidRPr="00925FCB" w:rsidRDefault="000A15D5" w:rsidP="00814F5E">
            <w:pPr>
              <w:ind w:left="288"/>
              <w:rPr>
                <w:lang w:eastAsia="zh-CN"/>
              </w:rPr>
            </w:pPr>
            <w:r>
              <w:rPr>
                <w:b/>
                <w:bCs/>
                <w:lang w:eastAsia="zh-CN"/>
              </w:rPr>
              <w:t>其他重点领域</w:t>
            </w:r>
          </w:p>
          <w:p w14:paraId="1C78F040" w14:textId="5B9280F0" w:rsidR="000A15D5" w:rsidRPr="00925FCB" w:rsidRDefault="000A15D5" w:rsidP="00814F5E">
            <w:pPr>
              <w:ind w:left="288"/>
              <w:rPr>
                <w:lang w:eastAsia="zh-CN"/>
              </w:rPr>
            </w:pPr>
            <w:r>
              <w:rPr>
                <w:rFonts w:hint="eastAsia"/>
                <w:lang w:eastAsia="zh-CN"/>
              </w:rPr>
              <w:t>国际水域</w:t>
            </w:r>
            <w:r>
              <w:rPr>
                <w:rFonts w:hint="eastAsia"/>
                <w:lang w:eastAsia="zh-CN"/>
              </w:rPr>
              <w:t>/</w:t>
            </w:r>
            <w:r>
              <w:rPr>
                <w:rFonts w:hint="eastAsia"/>
                <w:lang w:eastAsia="zh-CN"/>
              </w:rPr>
              <w:t>可持续渔业</w:t>
            </w:r>
          </w:p>
        </w:tc>
      </w:tr>
      <w:tr w:rsidR="00925FCB" w:rsidRPr="00925FCB" w14:paraId="2A41A1B1" w14:textId="77777777" w:rsidTr="00665E66">
        <w:trPr>
          <w:jc w:val="center"/>
        </w:trPr>
        <w:tc>
          <w:tcPr>
            <w:tcW w:w="4415"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7E02687" w14:textId="09642ABD" w:rsidR="00925FCB" w:rsidRPr="009B3D0F" w:rsidRDefault="009B3D0F" w:rsidP="00AD0667">
            <w:pPr>
              <w:ind w:left="288"/>
              <w:rPr>
                <w:b/>
                <w:bCs/>
                <w:lang w:eastAsia="zh-CN"/>
              </w:rPr>
            </w:pPr>
            <w:r w:rsidRPr="009B3D0F">
              <w:rPr>
                <w:b/>
                <w:bCs/>
                <w:lang w:eastAsia="zh-CN"/>
              </w:rPr>
              <w:lastRenderedPageBreak/>
              <w:t>二</w:t>
            </w:r>
            <w:r w:rsidRPr="009B3D0F">
              <w:rPr>
                <w:rFonts w:hint="eastAsia"/>
                <w:b/>
                <w:bCs/>
                <w:lang w:eastAsia="zh-CN"/>
              </w:rPr>
              <w:t>．</w:t>
            </w:r>
            <w:r w:rsidR="000F274C" w:rsidRPr="009B3D0F">
              <w:rPr>
                <w:rStyle w:val="style21"/>
                <w:rFonts w:ascii="Segoe UI" w:hAnsi="Segoe UI" w:cs="Segoe UI"/>
                <w:b/>
                <w:color w:val="auto"/>
                <w:sz w:val="22"/>
                <w:szCs w:val="22"/>
                <w:lang w:eastAsia="zh-CN"/>
              </w:rPr>
              <w:t>运用保护生境和物种的直接驱动因素</w:t>
            </w:r>
          </w:p>
          <w:p w14:paraId="6D330EA3" w14:textId="02EB99E5" w:rsidR="00925FCB" w:rsidRPr="00925FCB" w:rsidRDefault="00925FCB" w:rsidP="00814F5E">
            <w:pPr>
              <w:ind w:left="288"/>
              <w:rPr>
                <w:lang w:eastAsia="zh-CN"/>
              </w:rPr>
            </w:pPr>
            <w:r w:rsidRPr="00925FCB">
              <w:rPr>
                <w:lang w:eastAsia="zh-CN"/>
              </w:rPr>
              <w:t>D)</w:t>
            </w:r>
            <w:r w:rsidR="000A15D5">
              <w:rPr>
                <w:rFonts w:hint="eastAsia"/>
                <w:lang w:eastAsia="zh-CN"/>
              </w:rPr>
              <w:t xml:space="preserve"> </w:t>
            </w:r>
            <w:r w:rsidR="000A15D5">
              <w:rPr>
                <w:rFonts w:hint="eastAsia"/>
                <w:lang w:eastAsia="zh-CN"/>
              </w:rPr>
              <w:t>预防和控制外来入侵物种</w:t>
            </w:r>
          </w:p>
          <w:p w14:paraId="5AC57E52" w14:textId="7AAF9966" w:rsidR="00925FCB" w:rsidRPr="00925FCB" w:rsidRDefault="00925FCB" w:rsidP="00814F5E">
            <w:pPr>
              <w:ind w:left="288"/>
              <w:rPr>
                <w:lang w:eastAsia="zh-CN"/>
              </w:rPr>
            </w:pPr>
            <w:r w:rsidRPr="00925FCB">
              <w:rPr>
                <w:lang w:eastAsia="zh-CN"/>
              </w:rPr>
              <w:t>E)</w:t>
            </w:r>
            <w:r w:rsidR="000A15D5">
              <w:rPr>
                <w:rFonts w:hint="eastAsia"/>
                <w:lang w:eastAsia="zh-CN"/>
              </w:rPr>
              <w:t xml:space="preserve"> </w:t>
            </w:r>
            <w:r w:rsidR="000A15D5">
              <w:rPr>
                <w:rFonts w:hint="eastAsia"/>
                <w:lang w:eastAsia="zh-CN"/>
              </w:rPr>
              <w:t>减轻对珊瑚礁和其他脆弱的沿海和海洋生态系统的压力</w:t>
            </w:r>
          </w:p>
          <w:p w14:paraId="658BFA69" w14:textId="306BA8E5" w:rsidR="00925FCB" w:rsidRPr="00925FCB" w:rsidRDefault="00925FCB" w:rsidP="00814F5E">
            <w:pPr>
              <w:ind w:left="288"/>
              <w:rPr>
                <w:lang w:eastAsia="zh-CN"/>
              </w:rPr>
            </w:pPr>
            <w:r w:rsidRPr="00925FCB">
              <w:rPr>
                <w:lang w:eastAsia="zh-CN"/>
              </w:rPr>
              <w:t>F)</w:t>
            </w:r>
            <w:r w:rsidR="000A15D5">
              <w:rPr>
                <w:rFonts w:hint="eastAsia"/>
                <w:lang w:eastAsia="zh-CN"/>
              </w:rPr>
              <w:t xml:space="preserve"> </w:t>
            </w:r>
            <w:r w:rsidR="000A15D5">
              <w:rPr>
                <w:rFonts w:hint="eastAsia"/>
                <w:lang w:eastAsia="zh-CN"/>
              </w:rPr>
              <w:t>增强保护区系统的效用</w:t>
            </w:r>
          </w:p>
          <w:p w14:paraId="46127A31" w14:textId="3C96C27F" w:rsidR="00925FCB" w:rsidRPr="00925FCB" w:rsidRDefault="00925FCB" w:rsidP="000A15D5">
            <w:pPr>
              <w:ind w:left="288"/>
              <w:rPr>
                <w:lang w:eastAsia="zh-CN"/>
              </w:rPr>
            </w:pPr>
            <w:r w:rsidRPr="00925FCB">
              <w:rPr>
                <w:lang w:eastAsia="zh-CN"/>
              </w:rPr>
              <w:t>G)</w:t>
            </w:r>
            <w:r w:rsidR="000A15D5">
              <w:rPr>
                <w:rFonts w:hint="eastAsia"/>
                <w:lang w:eastAsia="zh-CN"/>
              </w:rPr>
              <w:t xml:space="preserve"> </w:t>
            </w:r>
            <w:r w:rsidR="000A15D5">
              <w:rPr>
                <w:rFonts w:hint="eastAsia"/>
                <w:lang w:eastAsia="zh-CN"/>
              </w:rPr>
              <w:t>打击非法和不可持续的物种使用，对受威胁物种采取优先行动</w:t>
            </w:r>
          </w:p>
        </w:tc>
        <w:tc>
          <w:tcPr>
            <w:tcW w:w="5040" w:type="dxa"/>
            <w:tcBorders>
              <w:top w:val="single" w:sz="4" w:space="0" w:color="000000"/>
              <w:left w:val="single" w:sz="4" w:space="0" w:color="000000"/>
              <w:bottom w:val="single" w:sz="4" w:space="0" w:color="auto"/>
              <w:right w:val="single" w:sz="4" w:space="0" w:color="000000"/>
            </w:tcBorders>
            <w:shd w:val="clear" w:color="auto" w:fill="FFFFFF"/>
          </w:tcPr>
          <w:p w14:paraId="5ACF94FD" w14:textId="353FAED2" w:rsidR="00D87049" w:rsidRPr="007B4AC4" w:rsidRDefault="000A15D5" w:rsidP="00814F5E">
            <w:pPr>
              <w:ind w:left="144"/>
              <w:rPr>
                <w:lang w:eastAsia="zh-CN"/>
              </w:rPr>
            </w:pPr>
            <w:r w:rsidRPr="009B3D0F">
              <w:rPr>
                <w:b/>
                <w:bCs/>
                <w:lang w:eastAsia="zh-CN"/>
              </w:rPr>
              <w:t>生物多样性</w:t>
            </w:r>
            <w:r w:rsidRPr="009B3D0F">
              <w:rPr>
                <w:rFonts w:hint="eastAsia"/>
                <w:b/>
                <w:lang w:eastAsia="zh-CN"/>
              </w:rPr>
              <w:t>重点领域的投资和规划项目</w:t>
            </w:r>
          </w:p>
          <w:p w14:paraId="1F157DB3" w14:textId="391D3FB1" w:rsidR="000A15D5" w:rsidRPr="007B4AC4" w:rsidRDefault="000A15D5" w:rsidP="00814F5E">
            <w:pPr>
              <w:ind w:left="144"/>
              <w:rPr>
                <w:lang w:eastAsia="zh-CN"/>
              </w:rPr>
            </w:pPr>
            <w:r>
              <w:rPr>
                <w:rFonts w:hint="eastAsia"/>
                <w:lang w:eastAsia="zh-CN"/>
              </w:rPr>
              <w:t>预防、控制和管理外来入侵物种（</w:t>
            </w:r>
            <w:r w:rsidR="00212F82">
              <w:rPr>
                <w:rFonts w:hint="eastAsia"/>
                <w:lang w:eastAsia="zh-CN"/>
              </w:rPr>
              <w:t>重点为</w:t>
            </w:r>
            <w:r>
              <w:rPr>
                <w:rFonts w:hint="eastAsia"/>
                <w:lang w:eastAsia="zh-CN"/>
              </w:rPr>
              <w:t>岛屿）</w:t>
            </w:r>
          </w:p>
          <w:p w14:paraId="65B718E7" w14:textId="6331F940" w:rsidR="00717F52" w:rsidRPr="007B4AC4" w:rsidRDefault="00717F52" w:rsidP="00814F5E">
            <w:pPr>
              <w:ind w:left="144"/>
              <w:rPr>
                <w:lang w:eastAsia="zh-CN"/>
              </w:rPr>
            </w:pPr>
            <w:r>
              <w:rPr>
                <w:rFonts w:hint="eastAsia"/>
                <w:lang w:eastAsia="zh-CN"/>
              </w:rPr>
              <w:t>改善全球保护区的财务可持续性、有效管理和生态系统覆盖率</w:t>
            </w:r>
          </w:p>
          <w:p w14:paraId="14AC5881" w14:textId="58A6A8A4" w:rsidR="00D87049" w:rsidRPr="007B4AC4" w:rsidRDefault="00717F52" w:rsidP="00814F5E">
            <w:pPr>
              <w:ind w:left="144"/>
              <w:rPr>
                <w:lang w:eastAsia="zh-CN"/>
              </w:rPr>
            </w:pPr>
            <w:r>
              <w:rPr>
                <w:b/>
                <w:bCs/>
                <w:lang w:eastAsia="zh-CN"/>
              </w:rPr>
              <w:t>其他重点领域</w:t>
            </w:r>
          </w:p>
          <w:p w14:paraId="6D4FD23F" w14:textId="47D67E5C" w:rsidR="00717F52" w:rsidRPr="00925FCB" w:rsidRDefault="00717F52" w:rsidP="00510C36">
            <w:pPr>
              <w:ind w:left="144"/>
              <w:rPr>
                <w:lang w:eastAsia="zh-CN"/>
              </w:rPr>
            </w:pPr>
            <w:r>
              <w:rPr>
                <w:rFonts w:hint="eastAsia"/>
                <w:lang w:eastAsia="zh-CN"/>
              </w:rPr>
              <w:t>国际水域</w:t>
            </w:r>
            <w:r>
              <w:rPr>
                <w:rFonts w:hint="eastAsia"/>
                <w:lang w:eastAsia="zh-CN"/>
              </w:rPr>
              <w:t>/</w:t>
            </w:r>
            <w:r>
              <w:rPr>
                <w:rFonts w:hint="eastAsia"/>
                <w:lang w:eastAsia="zh-CN"/>
              </w:rPr>
              <w:t>沿海和海洋保护区</w:t>
            </w:r>
          </w:p>
        </w:tc>
      </w:tr>
      <w:tr w:rsidR="00925FCB" w:rsidRPr="00925FCB" w14:paraId="02C71119" w14:textId="77777777" w:rsidTr="00665E66">
        <w:trPr>
          <w:jc w:val="center"/>
        </w:trPr>
        <w:tc>
          <w:tcPr>
            <w:tcW w:w="4415"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84E6E" w14:textId="179E6DB4" w:rsidR="009B3D0F" w:rsidRPr="009B3D0F" w:rsidRDefault="009B3D0F" w:rsidP="007B4AC4">
            <w:pPr>
              <w:ind w:left="288"/>
              <w:rPr>
                <w:b/>
                <w:lang w:eastAsia="zh-CN"/>
              </w:rPr>
            </w:pPr>
            <w:r w:rsidRPr="009B3D0F">
              <w:rPr>
                <w:rStyle w:val="style21"/>
                <w:rFonts w:ascii="Segoe UI" w:hAnsi="Segoe UI" w:cs="Segoe UI"/>
                <w:b/>
                <w:color w:val="auto"/>
                <w:sz w:val="22"/>
                <w:szCs w:val="22"/>
                <w:lang w:eastAsia="zh-CN"/>
              </w:rPr>
              <w:t>三</w:t>
            </w:r>
            <w:r w:rsidRPr="009B3D0F">
              <w:rPr>
                <w:rStyle w:val="style21"/>
                <w:rFonts w:ascii="Segoe UI" w:hAnsi="Segoe UI" w:cs="Segoe UI" w:hint="eastAsia"/>
                <w:b/>
                <w:color w:val="auto"/>
                <w:sz w:val="22"/>
                <w:szCs w:val="22"/>
                <w:lang w:eastAsia="zh-CN"/>
              </w:rPr>
              <w:t>．</w:t>
            </w:r>
            <w:r w:rsidRPr="009B3D0F">
              <w:rPr>
                <w:rStyle w:val="style21"/>
                <w:rFonts w:ascii="Segoe UI" w:hAnsi="Segoe UI" w:cs="Segoe UI"/>
                <w:b/>
                <w:color w:val="auto"/>
                <w:sz w:val="22"/>
                <w:szCs w:val="22"/>
                <w:lang w:eastAsia="zh-CN"/>
              </w:rPr>
              <w:t>进一步制订生物多样性政策和体制框架</w:t>
            </w:r>
          </w:p>
          <w:p w14:paraId="68680E22" w14:textId="77777777" w:rsidR="00EA7323" w:rsidRDefault="00EA7323" w:rsidP="00EA7323">
            <w:pPr>
              <w:ind w:left="288"/>
              <w:rPr>
                <w:lang w:eastAsia="zh-CN"/>
              </w:rPr>
            </w:pPr>
            <w:r>
              <w:rPr>
                <w:rFonts w:hint="eastAsia"/>
                <w:lang w:eastAsia="zh-CN"/>
              </w:rPr>
              <w:t>H</w:t>
            </w:r>
            <w:r>
              <w:rPr>
                <w:rFonts w:hint="eastAsia"/>
                <w:lang w:eastAsia="zh-CN"/>
              </w:rPr>
              <w:t>）实施《卡塔赫纳生物安全议定书》</w:t>
            </w:r>
          </w:p>
          <w:p w14:paraId="76FEAEB5" w14:textId="17B8F39A" w:rsidR="00EA7323" w:rsidRDefault="00EA7323" w:rsidP="00EA7323">
            <w:pPr>
              <w:ind w:left="288"/>
              <w:rPr>
                <w:lang w:eastAsia="zh-CN"/>
              </w:rPr>
            </w:pPr>
            <w:r>
              <w:rPr>
                <w:lang w:eastAsia="zh-CN"/>
              </w:rPr>
              <w:t>I</w:t>
            </w:r>
            <w:r>
              <w:rPr>
                <w:rFonts w:hint="eastAsia"/>
                <w:lang w:eastAsia="zh-CN"/>
              </w:rPr>
              <w:t>）实施《关于获取遗传资源和惠益分享的名古屋议定书》</w:t>
            </w:r>
          </w:p>
          <w:p w14:paraId="61A71B62" w14:textId="55A396F1" w:rsidR="00EA7323" w:rsidRPr="00925FCB" w:rsidRDefault="00EA7323" w:rsidP="00EA7323">
            <w:pPr>
              <w:ind w:left="288"/>
              <w:rPr>
                <w:lang w:val="en-GB" w:eastAsia="zh-CN"/>
              </w:rPr>
            </w:pPr>
            <w:r>
              <w:rPr>
                <w:rFonts w:hint="eastAsia"/>
                <w:lang w:eastAsia="zh-CN"/>
              </w:rPr>
              <w:t>J</w:t>
            </w:r>
            <w:r>
              <w:rPr>
                <w:rFonts w:hint="eastAsia"/>
                <w:lang w:eastAsia="zh-CN"/>
              </w:rPr>
              <w:t>）改进生物多样性政策、规划并审查</w:t>
            </w:r>
          </w:p>
        </w:tc>
        <w:tc>
          <w:tcPr>
            <w:tcW w:w="5040" w:type="dxa"/>
            <w:tcBorders>
              <w:top w:val="single" w:sz="4" w:space="0" w:color="auto"/>
              <w:left w:val="single" w:sz="4" w:space="0" w:color="000000"/>
              <w:bottom w:val="single" w:sz="4" w:space="0" w:color="000000"/>
              <w:right w:val="single" w:sz="4" w:space="0" w:color="000000"/>
            </w:tcBorders>
            <w:shd w:val="clear" w:color="auto" w:fill="auto"/>
          </w:tcPr>
          <w:p w14:paraId="78E32EE7" w14:textId="321AF3AE" w:rsidR="00D87049" w:rsidRPr="007B4AC4" w:rsidRDefault="000A15D5" w:rsidP="007B4AC4">
            <w:pPr>
              <w:ind w:left="288"/>
              <w:rPr>
                <w:lang w:eastAsia="zh-CN"/>
              </w:rPr>
            </w:pPr>
            <w:r w:rsidRPr="009B3D0F">
              <w:rPr>
                <w:b/>
                <w:bCs/>
                <w:lang w:eastAsia="zh-CN"/>
              </w:rPr>
              <w:t>生物多样性</w:t>
            </w:r>
            <w:r w:rsidRPr="009B3D0F">
              <w:rPr>
                <w:rFonts w:hint="eastAsia"/>
                <w:b/>
                <w:lang w:eastAsia="zh-CN"/>
              </w:rPr>
              <w:t>重点领域的投资和规划项目</w:t>
            </w:r>
          </w:p>
          <w:p w14:paraId="0639C8D7" w14:textId="71DA99A6" w:rsidR="00EA7323" w:rsidRPr="007B4AC4" w:rsidRDefault="00EA7323" w:rsidP="007B4AC4">
            <w:pPr>
              <w:ind w:left="288"/>
              <w:rPr>
                <w:lang w:eastAsia="zh-CN"/>
              </w:rPr>
            </w:pPr>
            <w:r>
              <w:rPr>
                <w:rFonts w:hint="eastAsia"/>
                <w:lang w:eastAsia="zh-CN"/>
              </w:rPr>
              <w:t>实施《卡塔赫纳生物安全议定书》</w:t>
            </w:r>
          </w:p>
          <w:p w14:paraId="41724D20" w14:textId="59059493" w:rsidR="00EA7323" w:rsidRPr="007B4AC4" w:rsidRDefault="00EA7323" w:rsidP="007B4AC4">
            <w:pPr>
              <w:ind w:left="288"/>
              <w:rPr>
                <w:lang w:eastAsia="zh-CN"/>
              </w:rPr>
            </w:pPr>
            <w:r>
              <w:rPr>
                <w:rFonts w:hint="eastAsia"/>
                <w:lang w:eastAsia="zh-CN"/>
              </w:rPr>
              <w:t>实施《关于获取遗传资源和惠益分享的名古屋议定书》</w:t>
            </w:r>
          </w:p>
          <w:p w14:paraId="1684E161" w14:textId="5E5F0EB0" w:rsidR="00EA7323" w:rsidRPr="00EA7323" w:rsidRDefault="00EA7323" w:rsidP="00EA7323">
            <w:pPr>
              <w:ind w:left="288"/>
              <w:rPr>
                <w:lang w:eastAsia="zh-CN"/>
              </w:rPr>
            </w:pPr>
            <w:r w:rsidRPr="00EA7323">
              <w:rPr>
                <w:rFonts w:hint="eastAsia"/>
                <w:lang w:eastAsia="zh-CN"/>
              </w:rPr>
              <w:t>支持国家报告和</w:t>
            </w:r>
            <w:r w:rsidRPr="00EA7323">
              <w:rPr>
                <w:rFonts w:ascii="Segoe UI" w:hAnsi="Segoe UI" w:cs="Segoe UI"/>
                <w:lang w:eastAsia="zh-CN"/>
              </w:rPr>
              <w:t>国家生物多样性战略和行动计</w:t>
            </w:r>
            <w:r w:rsidRPr="00EA7323">
              <w:rPr>
                <w:rFonts w:ascii="SimSun" w:hAnsi="SimSun" w:cs="SimSun" w:hint="eastAsia"/>
                <w:lang w:eastAsia="zh-CN"/>
              </w:rPr>
              <w:t>划的制定</w:t>
            </w:r>
          </w:p>
        </w:tc>
      </w:tr>
    </w:tbl>
    <w:p w14:paraId="12EB7ADB" w14:textId="77777777" w:rsidR="00EC6F7A" w:rsidRDefault="00EC6F7A" w:rsidP="003B7507">
      <w:pPr>
        <w:ind w:left="720"/>
        <w:rPr>
          <w:b/>
          <w:sz w:val="24"/>
          <w:szCs w:val="24"/>
          <w:lang w:val="en-GB" w:eastAsia="zh-CN"/>
        </w:rPr>
      </w:pPr>
    </w:p>
    <w:p w14:paraId="6B5A7AE4" w14:textId="0FF54E2E" w:rsidR="005E76E1" w:rsidRPr="003B2346" w:rsidRDefault="004C6147" w:rsidP="00CF090D">
      <w:pPr>
        <w:pStyle w:val="Heading2"/>
        <w:rPr>
          <w:rFonts w:eastAsia="DengXian"/>
          <w:sz w:val="24"/>
          <w:szCs w:val="24"/>
        </w:rPr>
      </w:pPr>
      <w:r w:rsidRPr="003B2346">
        <w:rPr>
          <w:sz w:val="24"/>
          <w:szCs w:val="24"/>
        </w:rPr>
        <w:t>全环基金第七次增资期间方案编制使用情况</w:t>
      </w:r>
    </w:p>
    <w:p w14:paraId="182E7D4E" w14:textId="116232A1" w:rsidR="00EA7323" w:rsidRPr="003B2346" w:rsidRDefault="00EA7323" w:rsidP="00665E66">
      <w:pPr>
        <w:pStyle w:val="ListParagraph"/>
        <w:numPr>
          <w:ilvl w:val="0"/>
          <w:numId w:val="25"/>
        </w:numPr>
        <w:spacing w:before="240" w:after="240" w:line="240" w:lineRule="auto"/>
        <w:ind w:left="0" w:firstLine="0"/>
        <w:contextualSpacing w:val="0"/>
        <w:rPr>
          <w:sz w:val="24"/>
          <w:szCs w:val="24"/>
          <w:lang w:val="en-GB" w:eastAsia="zh-CN"/>
        </w:rPr>
      </w:pPr>
      <w:r w:rsidRPr="003B2346">
        <w:rPr>
          <w:rFonts w:hint="eastAsia"/>
          <w:sz w:val="24"/>
          <w:szCs w:val="24"/>
          <w:lang w:eastAsia="zh-CN"/>
        </w:rPr>
        <w:t>在全环基金第七次</w:t>
      </w:r>
      <w:r w:rsidR="00AD619D" w:rsidRPr="003B2346">
        <w:rPr>
          <w:rFonts w:hint="eastAsia"/>
          <w:sz w:val="24"/>
          <w:szCs w:val="24"/>
          <w:lang w:eastAsia="zh-CN"/>
        </w:rPr>
        <w:t>增资</w:t>
      </w:r>
      <w:r w:rsidRPr="003B2346">
        <w:rPr>
          <w:rFonts w:hint="eastAsia"/>
          <w:sz w:val="24"/>
          <w:szCs w:val="24"/>
          <w:lang w:eastAsia="zh-CN"/>
        </w:rPr>
        <w:t>期间，为生物多样性重点领域</w:t>
      </w:r>
      <w:r w:rsidR="00AD619D" w:rsidRPr="003B2346">
        <w:rPr>
          <w:rFonts w:hint="eastAsia"/>
          <w:sz w:val="24"/>
          <w:szCs w:val="24"/>
          <w:lang w:eastAsia="zh-CN"/>
        </w:rPr>
        <w:t>共</w:t>
      </w:r>
      <w:r w:rsidRPr="003B2346">
        <w:rPr>
          <w:rFonts w:hint="eastAsia"/>
          <w:sz w:val="24"/>
          <w:szCs w:val="24"/>
          <w:lang w:eastAsia="zh-CN"/>
        </w:rPr>
        <w:t>分配了</w:t>
      </w:r>
      <w:r w:rsidRPr="003B2346">
        <w:rPr>
          <w:rFonts w:hint="eastAsia"/>
          <w:sz w:val="24"/>
          <w:szCs w:val="24"/>
          <w:lang w:eastAsia="zh-CN"/>
        </w:rPr>
        <w:t>12.92</w:t>
      </w:r>
      <w:r w:rsidRPr="003B2346">
        <w:rPr>
          <w:rFonts w:hint="eastAsia"/>
          <w:sz w:val="24"/>
          <w:szCs w:val="24"/>
          <w:lang w:eastAsia="zh-CN"/>
        </w:rPr>
        <w:t>亿美元，其中</w:t>
      </w:r>
      <w:r w:rsidRPr="003B2346">
        <w:rPr>
          <w:rFonts w:hint="eastAsia"/>
          <w:sz w:val="24"/>
          <w:szCs w:val="24"/>
          <w:lang w:eastAsia="zh-CN"/>
        </w:rPr>
        <w:t>10.31</w:t>
      </w:r>
      <w:r w:rsidRPr="003B2346">
        <w:rPr>
          <w:rFonts w:hint="eastAsia"/>
          <w:sz w:val="24"/>
          <w:szCs w:val="24"/>
          <w:lang w:eastAsia="zh-CN"/>
        </w:rPr>
        <w:t>亿美元通过</w:t>
      </w:r>
      <w:r w:rsidR="00AD619D" w:rsidRPr="003B2346">
        <w:rPr>
          <w:rFonts w:hint="eastAsia"/>
          <w:sz w:val="24"/>
          <w:szCs w:val="24"/>
          <w:lang w:eastAsia="zh-CN"/>
        </w:rPr>
        <w:t>资金</w:t>
      </w:r>
      <w:r w:rsidRPr="003B2346">
        <w:rPr>
          <w:rFonts w:hint="eastAsia"/>
          <w:sz w:val="24"/>
          <w:szCs w:val="24"/>
          <w:lang w:eastAsia="zh-CN"/>
        </w:rPr>
        <w:t>透明分配系统（</w:t>
      </w:r>
      <w:r w:rsidRPr="003B2346">
        <w:rPr>
          <w:rFonts w:hint="eastAsia"/>
          <w:sz w:val="24"/>
          <w:szCs w:val="24"/>
          <w:lang w:eastAsia="zh-CN"/>
        </w:rPr>
        <w:t>STAR</w:t>
      </w:r>
      <w:r w:rsidRPr="003B2346">
        <w:rPr>
          <w:rFonts w:hint="eastAsia"/>
          <w:sz w:val="24"/>
          <w:szCs w:val="24"/>
          <w:lang w:eastAsia="zh-CN"/>
        </w:rPr>
        <w:t>）提供给各国。</w:t>
      </w:r>
    </w:p>
    <w:p w14:paraId="7F3CF425" w14:textId="4F92B8EF" w:rsidR="00AD619D" w:rsidRPr="003B2346" w:rsidRDefault="00AD619D" w:rsidP="00665E66">
      <w:pPr>
        <w:pStyle w:val="ListParagraph"/>
        <w:numPr>
          <w:ilvl w:val="0"/>
          <w:numId w:val="25"/>
        </w:numPr>
        <w:spacing w:before="240" w:after="240" w:line="240" w:lineRule="auto"/>
        <w:ind w:left="0" w:firstLine="0"/>
        <w:contextualSpacing w:val="0"/>
        <w:rPr>
          <w:bCs/>
          <w:sz w:val="24"/>
          <w:szCs w:val="24"/>
          <w:lang w:val="en-GB" w:eastAsia="zh-CN"/>
        </w:rPr>
      </w:pPr>
      <w:r w:rsidRPr="003B2346">
        <w:rPr>
          <w:rFonts w:hint="eastAsia"/>
          <w:sz w:val="24"/>
          <w:szCs w:val="24"/>
          <w:lang w:eastAsia="zh-CN"/>
        </w:rPr>
        <w:t>下表</w:t>
      </w:r>
      <w:r w:rsidRPr="003B2346">
        <w:rPr>
          <w:rFonts w:hint="eastAsia"/>
          <w:sz w:val="24"/>
          <w:szCs w:val="24"/>
          <w:lang w:eastAsia="zh-CN"/>
        </w:rPr>
        <w:t>2</w:t>
      </w:r>
      <w:r w:rsidRPr="003B2346">
        <w:rPr>
          <w:rFonts w:hint="eastAsia"/>
          <w:sz w:val="24"/>
          <w:szCs w:val="24"/>
          <w:lang w:eastAsia="zh-CN"/>
        </w:rPr>
        <w:t>概述了从</w:t>
      </w:r>
      <w:r w:rsidRPr="003B2346">
        <w:rPr>
          <w:rFonts w:hint="eastAsia"/>
          <w:sz w:val="24"/>
          <w:szCs w:val="24"/>
          <w:lang w:eastAsia="zh-CN"/>
        </w:rPr>
        <w:t>2018</w:t>
      </w:r>
      <w:r w:rsidRPr="003B2346">
        <w:rPr>
          <w:rFonts w:hint="eastAsia"/>
          <w:sz w:val="24"/>
          <w:szCs w:val="24"/>
          <w:lang w:eastAsia="zh-CN"/>
        </w:rPr>
        <w:t>年</w:t>
      </w:r>
      <w:r w:rsidRPr="003B2346">
        <w:rPr>
          <w:rFonts w:hint="eastAsia"/>
          <w:sz w:val="24"/>
          <w:szCs w:val="24"/>
          <w:lang w:eastAsia="zh-CN"/>
        </w:rPr>
        <w:t>7</w:t>
      </w:r>
      <w:r w:rsidRPr="003B2346">
        <w:rPr>
          <w:rFonts w:hint="eastAsia"/>
          <w:sz w:val="24"/>
          <w:szCs w:val="24"/>
          <w:lang w:eastAsia="zh-CN"/>
        </w:rPr>
        <w:t>月</w:t>
      </w:r>
      <w:r w:rsidRPr="003B2346">
        <w:rPr>
          <w:rFonts w:hint="eastAsia"/>
          <w:sz w:val="24"/>
          <w:szCs w:val="24"/>
          <w:lang w:eastAsia="zh-CN"/>
        </w:rPr>
        <w:t>1</w:t>
      </w:r>
      <w:r w:rsidRPr="003B2346">
        <w:rPr>
          <w:rFonts w:hint="eastAsia"/>
          <w:sz w:val="24"/>
          <w:szCs w:val="24"/>
          <w:lang w:eastAsia="zh-CN"/>
        </w:rPr>
        <w:t>日全球环境基金第七次增资期间开始至</w:t>
      </w:r>
      <w:r w:rsidRPr="003B2346">
        <w:rPr>
          <w:rFonts w:hint="eastAsia"/>
          <w:sz w:val="24"/>
          <w:szCs w:val="24"/>
          <w:lang w:eastAsia="zh-CN"/>
        </w:rPr>
        <w:t>2019</w:t>
      </w:r>
      <w:r w:rsidRPr="003B2346">
        <w:rPr>
          <w:rFonts w:hint="eastAsia"/>
          <w:sz w:val="24"/>
          <w:szCs w:val="24"/>
          <w:lang w:eastAsia="zh-CN"/>
        </w:rPr>
        <w:t>年</w:t>
      </w:r>
      <w:r w:rsidRPr="003B2346">
        <w:rPr>
          <w:rFonts w:hint="eastAsia"/>
          <w:sz w:val="24"/>
          <w:szCs w:val="24"/>
          <w:lang w:eastAsia="zh-CN"/>
        </w:rPr>
        <w:t>12</w:t>
      </w:r>
      <w:r w:rsidRPr="003B2346">
        <w:rPr>
          <w:rFonts w:hint="eastAsia"/>
          <w:sz w:val="24"/>
          <w:szCs w:val="24"/>
          <w:lang w:eastAsia="zh-CN"/>
        </w:rPr>
        <w:t>月</w:t>
      </w:r>
      <w:r w:rsidRPr="003B2346">
        <w:rPr>
          <w:rFonts w:hint="eastAsia"/>
          <w:sz w:val="24"/>
          <w:szCs w:val="24"/>
          <w:lang w:eastAsia="zh-CN"/>
        </w:rPr>
        <w:t>31</w:t>
      </w:r>
      <w:r w:rsidRPr="003B2346">
        <w:rPr>
          <w:rFonts w:hint="eastAsia"/>
          <w:sz w:val="24"/>
          <w:szCs w:val="24"/>
          <w:lang w:eastAsia="zh-CN"/>
        </w:rPr>
        <w:t>日生物多样性重点领域的资源使用情况。</w:t>
      </w:r>
    </w:p>
    <w:p w14:paraId="30ADAE70" w14:textId="6AA9A658" w:rsidR="00AD619D" w:rsidRPr="003B2346" w:rsidRDefault="00AD619D" w:rsidP="00665E66">
      <w:pPr>
        <w:pStyle w:val="ListParagraph"/>
        <w:numPr>
          <w:ilvl w:val="0"/>
          <w:numId w:val="25"/>
        </w:numPr>
        <w:spacing w:before="240" w:after="240" w:line="240" w:lineRule="auto"/>
        <w:ind w:left="0" w:firstLine="0"/>
        <w:contextualSpacing w:val="0"/>
        <w:rPr>
          <w:sz w:val="24"/>
          <w:szCs w:val="24"/>
          <w:lang w:val="en-GB" w:eastAsia="zh-CN"/>
        </w:rPr>
      </w:pPr>
      <w:r w:rsidRPr="003B2346">
        <w:rPr>
          <w:rFonts w:hint="eastAsia"/>
          <w:sz w:val="24"/>
          <w:szCs w:val="24"/>
          <w:lang w:eastAsia="zh-CN"/>
        </w:rPr>
        <w:t>截至</w:t>
      </w:r>
      <w:r w:rsidRPr="003B2346">
        <w:rPr>
          <w:rFonts w:hint="eastAsia"/>
          <w:sz w:val="24"/>
          <w:szCs w:val="24"/>
          <w:lang w:eastAsia="zh-CN"/>
        </w:rPr>
        <w:t>2019</w:t>
      </w:r>
      <w:r w:rsidRPr="003B2346">
        <w:rPr>
          <w:rFonts w:hint="eastAsia"/>
          <w:sz w:val="24"/>
          <w:szCs w:val="24"/>
          <w:lang w:eastAsia="zh-CN"/>
        </w:rPr>
        <w:t>年</w:t>
      </w:r>
      <w:r w:rsidRPr="003B2346">
        <w:rPr>
          <w:rFonts w:hint="eastAsia"/>
          <w:sz w:val="24"/>
          <w:szCs w:val="24"/>
          <w:lang w:eastAsia="zh-CN"/>
        </w:rPr>
        <w:t>12</w:t>
      </w:r>
      <w:r w:rsidRPr="003B2346">
        <w:rPr>
          <w:rFonts w:hint="eastAsia"/>
          <w:sz w:val="24"/>
          <w:szCs w:val="24"/>
          <w:lang w:eastAsia="zh-CN"/>
        </w:rPr>
        <w:t>月</w:t>
      </w:r>
      <w:r w:rsidRPr="003B2346">
        <w:rPr>
          <w:rFonts w:hint="eastAsia"/>
          <w:sz w:val="24"/>
          <w:szCs w:val="24"/>
          <w:lang w:eastAsia="zh-CN"/>
        </w:rPr>
        <w:t>31</w:t>
      </w:r>
      <w:r w:rsidRPr="003B2346">
        <w:rPr>
          <w:rFonts w:hint="eastAsia"/>
          <w:sz w:val="24"/>
          <w:szCs w:val="24"/>
          <w:lang w:eastAsia="zh-CN"/>
        </w:rPr>
        <w:t>日，通过全球环境基金第七次增资期间的资金透明分配系统已将生物多样性资源总额中的</w:t>
      </w:r>
      <w:r w:rsidRPr="003B2346">
        <w:rPr>
          <w:rFonts w:hint="eastAsia"/>
          <w:sz w:val="24"/>
          <w:szCs w:val="24"/>
          <w:lang w:eastAsia="zh-CN"/>
        </w:rPr>
        <w:t>4.68</w:t>
      </w:r>
      <w:r w:rsidRPr="003B2346">
        <w:rPr>
          <w:rFonts w:hint="eastAsia"/>
          <w:sz w:val="24"/>
          <w:szCs w:val="24"/>
          <w:lang w:eastAsia="zh-CN"/>
        </w:rPr>
        <w:t>亿美元即</w:t>
      </w:r>
      <w:r w:rsidRPr="003B2346">
        <w:rPr>
          <w:rFonts w:hint="eastAsia"/>
          <w:sz w:val="24"/>
          <w:szCs w:val="24"/>
          <w:lang w:eastAsia="zh-CN"/>
        </w:rPr>
        <w:t>45</w:t>
      </w:r>
      <w:r w:rsidRPr="003B2346">
        <w:rPr>
          <w:rFonts w:hint="eastAsia"/>
          <w:sz w:val="24"/>
          <w:szCs w:val="24"/>
          <w:lang w:eastAsia="zh-CN"/>
        </w:rPr>
        <w:t>％</w:t>
      </w:r>
      <w:r w:rsidR="00531F12" w:rsidRPr="003B2346">
        <w:rPr>
          <w:rFonts w:hint="eastAsia"/>
          <w:sz w:val="24"/>
          <w:szCs w:val="24"/>
          <w:lang w:eastAsia="zh-CN"/>
        </w:rPr>
        <w:t>分配给各个国家</w:t>
      </w:r>
      <w:r w:rsidRPr="003B2346">
        <w:rPr>
          <w:rFonts w:hint="eastAsia"/>
          <w:sz w:val="24"/>
          <w:szCs w:val="24"/>
          <w:lang w:eastAsia="zh-CN"/>
        </w:rPr>
        <w:t>。</w:t>
      </w:r>
    </w:p>
    <w:p w14:paraId="095F7290" w14:textId="2057FA58" w:rsidR="00531F12" w:rsidRPr="003B2346" w:rsidRDefault="00531F12" w:rsidP="00665E66">
      <w:pPr>
        <w:pStyle w:val="ListParagraph"/>
        <w:numPr>
          <w:ilvl w:val="0"/>
          <w:numId w:val="25"/>
        </w:numPr>
        <w:spacing w:before="240" w:after="240" w:line="240" w:lineRule="auto"/>
        <w:ind w:left="0" w:firstLine="0"/>
        <w:contextualSpacing w:val="0"/>
        <w:rPr>
          <w:sz w:val="24"/>
          <w:szCs w:val="24"/>
          <w:lang w:val="en-GB" w:eastAsia="zh-CN"/>
        </w:rPr>
      </w:pPr>
      <w:r w:rsidRPr="003B2346">
        <w:rPr>
          <w:rFonts w:hint="eastAsia"/>
          <w:sz w:val="24"/>
          <w:szCs w:val="24"/>
          <w:lang w:eastAsia="zh-CN"/>
        </w:rPr>
        <w:t>已规划的全环基金生物多样性重点领域资源总额为</w:t>
      </w:r>
      <w:r w:rsidRPr="003B2346">
        <w:rPr>
          <w:rFonts w:hint="eastAsia"/>
          <w:sz w:val="24"/>
          <w:szCs w:val="24"/>
          <w:lang w:eastAsia="zh-CN"/>
        </w:rPr>
        <w:t>6.38</w:t>
      </w:r>
      <w:r w:rsidRPr="003B2346">
        <w:rPr>
          <w:rFonts w:hint="eastAsia"/>
          <w:sz w:val="24"/>
          <w:szCs w:val="24"/>
          <w:lang w:eastAsia="zh-CN"/>
        </w:rPr>
        <w:t>亿美元，占全环基金第七次增资</w:t>
      </w:r>
      <w:r w:rsidR="00C77C44" w:rsidRPr="003B2346">
        <w:rPr>
          <w:rFonts w:hint="eastAsia"/>
          <w:sz w:val="24"/>
          <w:szCs w:val="24"/>
          <w:lang w:eastAsia="zh-CN"/>
        </w:rPr>
        <w:t>用于</w:t>
      </w:r>
      <w:r w:rsidRPr="003B2346">
        <w:rPr>
          <w:rFonts w:hint="eastAsia"/>
          <w:sz w:val="24"/>
          <w:szCs w:val="24"/>
          <w:lang w:eastAsia="zh-CN"/>
        </w:rPr>
        <w:t>重点领域资源的</w:t>
      </w:r>
      <w:r w:rsidRPr="003B2346">
        <w:rPr>
          <w:rFonts w:hint="eastAsia"/>
          <w:sz w:val="24"/>
          <w:szCs w:val="24"/>
          <w:lang w:eastAsia="zh-CN"/>
        </w:rPr>
        <w:t>49</w:t>
      </w:r>
      <w:r w:rsidRPr="003B2346">
        <w:rPr>
          <w:rFonts w:hint="eastAsia"/>
          <w:sz w:val="24"/>
          <w:szCs w:val="24"/>
          <w:lang w:eastAsia="zh-CN"/>
        </w:rPr>
        <w:t>％。</w:t>
      </w:r>
    </w:p>
    <w:p w14:paraId="7183C94A" w14:textId="1CAC3B1F" w:rsidR="00C77C44" w:rsidRPr="003B2346" w:rsidRDefault="00C77C44" w:rsidP="00665E66">
      <w:pPr>
        <w:pStyle w:val="ListParagraph"/>
        <w:numPr>
          <w:ilvl w:val="0"/>
          <w:numId w:val="25"/>
        </w:numPr>
        <w:spacing w:before="240" w:after="240" w:line="240" w:lineRule="auto"/>
        <w:ind w:left="0" w:firstLine="0"/>
        <w:contextualSpacing w:val="0"/>
        <w:rPr>
          <w:sz w:val="24"/>
          <w:szCs w:val="24"/>
          <w:lang w:val="en-GB" w:eastAsia="zh-CN"/>
        </w:rPr>
      </w:pPr>
      <w:r w:rsidRPr="003B2346">
        <w:rPr>
          <w:rFonts w:hint="eastAsia"/>
          <w:sz w:val="24"/>
          <w:szCs w:val="24"/>
          <w:lang w:eastAsia="zh-CN"/>
        </w:rPr>
        <w:lastRenderedPageBreak/>
        <w:t>这些资源支持了</w:t>
      </w:r>
      <w:r w:rsidRPr="003B2346">
        <w:rPr>
          <w:sz w:val="24"/>
          <w:szCs w:val="24"/>
          <w:lang w:eastAsia="zh-CN"/>
        </w:rPr>
        <w:t>38</w:t>
      </w:r>
      <w:r w:rsidRPr="003B2346">
        <w:rPr>
          <w:rFonts w:hint="eastAsia"/>
          <w:sz w:val="24"/>
          <w:szCs w:val="24"/>
          <w:lang w:eastAsia="zh-CN"/>
        </w:rPr>
        <w:t>个生物多样性重点领域项目和</w:t>
      </w:r>
      <w:r w:rsidRPr="003B2346">
        <w:rPr>
          <w:sz w:val="24"/>
          <w:szCs w:val="24"/>
          <w:lang w:eastAsia="zh-CN"/>
        </w:rPr>
        <w:t>99</w:t>
      </w:r>
      <w:r w:rsidRPr="003B2346">
        <w:rPr>
          <w:rFonts w:hint="eastAsia"/>
          <w:sz w:val="24"/>
          <w:szCs w:val="24"/>
          <w:lang w:eastAsia="zh-CN"/>
        </w:rPr>
        <w:t>个多重点领域项目，包括影响方案</w:t>
      </w:r>
      <w:r w:rsidRPr="003B2346">
        <w:rPr>
          <w:rFonts w:ascii="SimSun" w:hAnsi="SimSun" w:cs="SimSun" w:hint="eastAsia"/>
          <w:sz w:val="24"/>
          <w:szCs w:val="24"/>
          <w:lang w:eastAsia="zh-CN"/>
        </w:rPr>
        <w:t>在内的六种方案编制方法已经包括了这些项目中的</w:t>
      </w:r>
      <w:r w:rsidRPr="003B2346">
        <w:rPr>
          <w:sz w:val="24"/>
          <w:szCs w:val="24"/>
          <w:lang w:eastAsia="zh-CN"/>
        </w:rPr>
        <w:t>75</w:t>
      </w:r>
      <w:r w:rsidRPr="003B2346">
        <w:rPr>
          <w:rFonts w:hint="eastAsia"/>
          <w:sz w:val="24"/>
          <w:szCs w:val="24"/>
          <w:lang w:eastAsia="zh-CN"/>
        </w:rPr>
        <w:t>个。这些投资已使</w:t>
      </w:r>
      <w:r w:rsidRPr="003B2346">
        <w:rPr>
          <w:sz w:val="24"/>
          <w:szCs w:val="24"/>
          <w:lang w:eastAsia="zh-CN"/>
        </w:rPr>
        <w:t>83</w:t>
      </w:r>
      <w:r w:rsidRPr="003B2346">
        <w:rPr>
          <w:rFonts w:hint="eastAsia"/>
          <w:sz w:val="24"/>
          <w:szCs w:val="24"/>
          <w:lang w:eastAsia="zh-CN"/>
        </w:rPr>
        <w:t>个国家受益。这些数字包括机构费用和项目编制补助金（</w:t>
      </w:r>
      <w:r w:rsidRPr="003B2346">
        <w:rPr>
          <w:sz w:val="24"/>
          <w:szCs w:val="24"/>
          <w:lang w:eastAsia="zh-CN"/>
        </w:rPr>
        <w:t>PPG</w:t>
      </w:r>
      <w:r w:rsidRPr="003B2346">
        <w:rPr>
          <w:rFonts w:hint="eastAsia"/>
          <w:sz w:val="24"/>
          <w:szCs w:val="24"/>
          <w:lang w:eastAsia="zh-CN"/>
        </w:rPr>
        <w:t>）。</w:t>
      </w:r>
    </w:p>
    <w:p w14:paraId="4F4224FF" w14:textId="7A1AF904" w:rsidR="00C77C44" w:rsidRPr="007478F2" w:rsidRDefault="00C77C44" w:rsidP="00C77C44">
      <w:pPr>
        <w:jc w:val="center"/>
        <w:rPr>
          <w:rFonts w:ascii="Times New Roman" w:hAnsi="Times New Roman" w:cs="Times New Roman"/>
          <w:b/>
          <w:lang w:eastAsia="zh-CN"/>
        </w:rPr>
      </w:pPr>
      <w:r w:rsidRPr="007478F2">
        <w:rPr>
          <w:rFonts w:ascii="Times New Roman" w:hAnsi="Times New Roman" w:cs="Times New Roman"/>
          <w:b/>
          <w:lang w:eastAsia="zh-CN"/>
        </w:rPr>
        <w:t>表</w:t>
      </w:r>
      <w:r w:rsidRPr="007478F2">
        <w:rPr>
          <w:rFonts w:ascii="Times New Roman" w:hAnsi="Times New Roman" w:cs="Times New Roman"/>
          <w:b/>
          <w:lang w:eastAsia="zh-CN"/>
        </w:rPr>
        <w:t xml:space="preserve">2. </w:t>
      </w:r>
      <w:r w:rsidR="00416AF1" w:rsidRPr="007478F2">
        <w:rPr>
          <w:rFonts w:ascii="Times New Roman" w:hAnsi="Times New Roman" w:cs="Times New Roman"/>
          <w:b/>
          <w:lang w:eastAsia="zh-CN"/>
        </w:rPr>
        <w:t>全环基金第七次增资期间</w:t>
      </w:r>
      <w:r w:rsidRPr="007478F2">
        <w:rPr>
          <w:rFonts w:ascii="Times New Roman" w:hAnsi="Times New Roman" w:cs="Times New Roman"/>
          <w:b/>
          <w:lang w:eastAsia="zh-CN"/>
        </w:rPr>
        <w:t>生物多样性重点领域</w:t>
      </w:r>
      <w:r w:rsidR="00416AF1" w:rsidRPr="007478F2">
        <w:rPr>
          <w:rFonts w:ascii="Times New Roman" w:hAnsi="Times New Roman" w:cs="Times New Roman"/>
          <w:b/>
          <w:lang w:eastAsia="zh-CN"/>
        </w:rPr>
        <w:t>方案编制使用情况</w:t>
      </w:r>
      <w:r w:rsidRPr="007478F2">
        <w:rPr>
          <w:rFonts w:ascii="Times New Roman" w:hAnsi="Times New Roman" w:cs="Times New Roman"/>
          <w:b/>
          <w:lang w:eastAsia="zh-CN"/>
        </w:rPr>
        <w:t>摘要</w:t>
      </w:r>
    </w:p>
    <w:p w14:paraId="13EB91B9" w14:textId="54F057CA" w:rsidR="00C77C44" w:rsidRPr="00B20283" w:rsidRDefault="00C77C44" w:rsidP="00C77C44">
      <w:pPr>
        <w:spacing w:after="240" w:line="240" w:lineRule="auto"/>
        <w:jc w:val="center"/>
        <w:rPr>
          <w:b/>
          <w:sz w:val="24"/>
          <w:szCs w:val="24"/>
          <w:lang w:val="en-GB" w:eastAsia="zh-CN"/>
        </w:rPr>
      </w:pPr>
      <w:r>
        <w:rPr>
          <w:rFonts w:hint="eastAsia"/>
          <w:lang w:eastAsia="zh-CN"/>
        </w:rPr>
        <w:t xml:space="preserve"> </w:t>
      </w:r>
      <w:r>
        <w:rPr>
          <w:rFonts w:hint="eastAsia"/>
        </w:rPr>
        <w:t>（</w:t>
      </w:r>
      <w:r>
        <w:rPr>
          <w:rFonts w:hint="eastAsia"/>
        </w:rPr>
        <w:t>2018</w:t>
      </w:r>
      <w:r>
        <w:rPr>
          <w:rFonts w:hint="eastAsia"/>
        </w:rPr>
        <w:t>年</w:t>
      </w:r>
      <w:r>
        <w:rPr>
          <w:rFonts w:hint="eastAsia"/>
        </w:rPr>
        <w:t>7</w:t>
      </w:r>
      <w:r>
        <w:rPr>
          <w:rFonts w:hint="eastAsia"/>
        </w:rPr>
        <w:t>月</w:t>
      </w:r>
      <w:r>
        <w:rPr>
          <w:rFonts w:hint="eastAsia"/>
        </w:rPr>
        <w:t>1</w:t>
      </w:r>
      <w:r>
        <w:rPr>
          <w:rFonts w:hint="eastAsia"/>
        </w:rPr>
        <w:t>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r w:rsidR="00416AF1" w:rsidRPr="00B20283">
        <w:rPr>
          <w:b/>
          <w:sz w:val="24"/>
          <w:szCs w:val="24"/>
          <w:vertAlign w:val="superscript"/>
          <w:lang w:val="en-GB"/>
        </w:rPr>
        <w:footnoteReference w:id="6"/>
      </w: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B20283" w:rsidRPr="00B20283" w14:paraId="0C910893" w14:textId="77777777" w:rsidTr="008354E6">
        <w:trPr>
          <w:trHeight w:val="432"/>
        </w:trPr>
        <w:tc>
          <w:tcPr>
            <w:tcW w:w="4519" w:type="dxa"/>
            <w:tcBorders>
              <w:bottom w:val="single" w:sz="6" w:space="0" w:color="008000"/>
            </w:tcBorders>
            <w:shd w:val="clear" w:color="auto" w:fill="auto"/>
          </w:tcPr>
          <w:p w14:paraId="006D2278" w14:textId="77777777" w:rsidR="00B20283" w:rsidRPr="00B20283" w:rsidRDefault="00B20283" w:rsidP="00D722AE">
            <w:pPr>
              <w:spacing w:after="120" w:line="240" w:lineRule="auto"/>
              <w:rPr>
                <w:rFonts w:cstheme="minorHAnsi"/>
                <w:b/>
                <w:bCs/>
              </w:rPr>
            </w:pPr>
          </w:p>
          <w:p w14:paraId="75CFFC7B" w14:textId="7898B0FB" w:rsidR="00416AF1" w:rsidRPr="00B20283" w:rsidRDefault="00416AF1" w:rsidP="00D722AE">
            <w:pPr>
              <w:spacing w:after="120" w:line="240" w:lineRule="auto"/>
              <w:rPr>
                <w:rFonts w:cstheme="minorHAnsi"/>
                <w:b/>
                <w:lang w:eastAsia="zh-CN"/>
              </w:rPr>
            </w:pPr>
            <w:r>
              <w:rPr>
                <w:rFonts w:cstheme="minorHAnsi" w:hint="eastAsia"/>
                <w:b/>
                <w:lang w:eastAsia="zh-CN"/>
              </w:rPr>
              <w:t>生物多样性重点领域</w:t>
            </w:r>
          </w:p>
        </w:tc>
        <w:tc>
          <w:tcPr>
            <w:tcW w:w="1710" w:type="dxa"/>
            <w:tcBorders>
              <w:bottom w:val="single" w:sz="6" w:space="0" w:color="008000"/>
            </w:tcBorders>
            <w:shd w:val="clear" w:color="auto" w:fill="auto"/>
          </w:tcPr>
          <w:p w14:paraId="4715DEF0" w14:textId="7170979D" w:rsidR="00B20283" w:rsidRPr="00B20283" w:rsidRDefault="00416AF1" w:rsidP="00D722AE">
            <w:pPr>
              <w:spacing w:after="120" w:line="240" w:lineRule="auto"/>
              <w:rPr>
                <w:rFonts w:cstheme="minorHAnsi"/>
                <w:b/>
                <w:lang w:eastAsia="zh-CN"/>
              </w:rPr>
            </w:pPr>
            <w:r>
              <w:rPr>
                <w:rFonts w:cstheme="minorHAnsi"/>
                <w:b/>
                <w:lang w:eastAsia="zh-CN"/>
              </w:rPr>
              <w:t>全环基金第七次增资期间</w:t>
            </w:r>
          </w:p>
          <w:p w14:paraId="2D1683EA" w14:textId="571D3F6B" w:rsidR="00B20283" w:rsidRPr="00B20283" w:rsidRDefault="00416AF1" w:rsidP="00D722AE">
            <w:pPr>
              <w:spacing w:after="120" w:line="240" w:lineRule="auto"/>
              <w:rPr>
                <w:rFonts w:cstheme="minorHAnsi"/>
                <w:b/>
                <w:lang w:eastAsia="zh-CN"/>
              </w:rPr>
            </w:pPr>
            <w:r>
              <w:rPr>
                <w:rFonts w:cstheme="minorHAnsi"/>
                <w:b/>
                <w:lang w:eastAsia="zh-CN"/>
              </w:rPr>
              <w:t>方案规划目标</w:t>
            </w:r>
          </w:p>
          <w:p w14:paraId="53CF82F8" w14:textId="6B126FD4" w:rsidR="00B20283" w:rsidRPr="00B20283" w:rsidRDefault="00B20283" w:rsidP="00416AF1">
            <w:pPr>
              <w:spacing w:after="120" w:line="240" w:lineRule="auto"/>
              <w:rPr>
                <w:rFonts w:cstheme="minorHAnsi"/>
                <w:b/>
                <w:lang w:eastAsia="zh-CN"/>
              </w:rPr>
            </w:pPr>
            <w:r w:rsidRPr="00B20283">
              <w:rPr>
                <w:rFonts w:cstheme="minorHAnsi"/>
                <w:b/>
                <w:lang w:eastAsia="zh-CN"/>
              </w:rPr>
              <w:t>(</w:t>
            </w:r>
            <w:r w:rsidR="00416AF1">
              <w:rPr>
                <w:rFonts w:cstheme="minorHAnsi"/>
                <w:b/>
                <w:lang w:eastAsia="zh-CN"/>
              </w:rPr>
              <w:t>百万美元</w:t>
            </w:r>
            <w:r w:rsidRPr="00B20283">
              <w:rPr>
                <w:rFonts w:cstheme="minorHAnsi"/>
                <w:b/>
                <w:lang w:eastAsia="zh-CN"/>
              </w:rPr>
              <w:t>)</w:t>
            </w:r>
          </w:p>
        </w:tc>
        <w:tc>
          <w:tcPr>
            <w:tcW w:w="1800" w:type="dxa"/>
            <w:tcBorders>
              <w:bottom w:val="single" w:sz="6" w:space="0" w:color="008000"/>
            </w:tcBorders>
            <w:shd w:val="clear" w:color="auto" w:fill="auto"/>
          </w:tcPr>
          <w:p w14:paraId="5AE05190" w14:textId="3BD3C084" w:rsidR="00B20283" w:rsidRPr="00B20283" w:rsidRDefault="00416AF1" w:rsidP="00D722AE">
            <w:pPr>
              <w:spacing w:after="120" w:line="240" w:lineRule="auto"/>
              <w:rPr>
                <w:rFonts w:cstheme="minorHAnsi"/>
                <w:b/>
                <w:lang w:eastAsia="zh-CN"/>
              </w:rPr>
            </w:pPr>
            <w:r>
              <w:rPr>
                <w:rFonts w:cstheme="minorHAnsi"/>
                <w:b/>
                <w:lang w:eastAsia="zh-CN"/>
              </w:rPr>
              <w:t>全环基金第七次增资期间</w:t>
            </w:r>
          </w:p>
          <w:p w14:paraId="6AA5E99C" w14:textId="32C194A3" w:rsidR="00B20283" w:rsidRPr="00B20283" w:rsidRDefault="00416AF1" w:rsidP="00D722AE">
            <w:pPr>
              <w:spacing w:after="120" w:line="240" w:lineRule="auto"/>
              <w:rPr>
                <w:rFonts w:cstheme="minorHAnsi"/>
                <w:b/>
              </w:rPr>
            </w:pPr>
            <w:proofErr w:type="spellStart"/>
            <w:r>
              <w:rPr>
                <w:rFonts w:cstheme="minorHAnsi"/>
                <w:b/>
              </w:rPr>
              <w:t>方案规划</w:t>
            </w:r>
            <w:proofErr w:type="spellEnd"/>
            <w:r w:rsidR="00B20283" w:rsidRPr="00B20283">
              <w:rPr>
                <w:rFonts w:cstheme="minorHAnsi"/>
                <w:b/>
              </w:rPr>
              <w:t xml:space="preserve"> </w:t>
            </w:r>
          </w:p>
          <w:p w14:paraId="79FFFFE0" w14:textId="2E72C19D" w:rsidR="00B20283" w:rsidRPr="00B20283" w:rsidRDefault="00B20283" w:rsidP="00416AF1">
            <w:pPr>
              <w:spacing w:after="120" w:line="240" w:lineRule="auto"/>
              <w:rPr>
                <w:rFonts w:cstheme="minorHAnsi"/>
                <w:b/>
              </w:rPr>
            </w:pPr>
            <w:r w:rsidRPr="00B20283">
              <w:rPr>
                <w:rFonts w:cstheme="minorHAnsi"/>
                <w:b/>
              </w:rPr>
              <w:t>(</w:t>
            </w:r>
            <w:proofErr w:type="spellStart"/>
            <w:r w:rsidR="00416AF1">
              <w:rPr>
                <w:rFonts w:cstheme="minorHAnsi"/>
                <w:b/>
              </w:rPr>
              <w:t>百万美元</w:t>
            </w:r>
            <w:proofErr w:type="spellEnd"/>
            <w:r w:rsidRPr="00B20283">
              <w:rPr>
                <w:rFonts w:cstheme="minorHAnsi"/>
                <w:b/>
              </w:rPr>
              <w:t>)</w:t>
            </w:r>
          </w:p>
        </w:tc>
        <w:tc>
          <w:tcPr>
            <w:tcW w:w="1975" w:type="dxa"/>
            <w:tcBorders>
              <w:bottom w:val="single" w:sz="6" w:space="0" w:color="008000"/>
            </w:tcBorders>
            <w:shd w:val="clear" w:color="auto" w:fill="auto"/>
          </w:tcPr>
          <w:p w14:paraId="6D083E64" w14:textId="407BEC54" w:rsidR="00B20283" w:rsidRPr="00B20283" w:rsidRDefault="00416AF1" w:rsidP="00D722AE">
            <w:pPr>
              <w:spacing w:after="120" w:line="240" w:lineRule="auto"/>
              <w:rPr>
                <w:rFonts w:cstheme="minorHAnsi"/>
                <w:b/>
                <w:lang w:eastAsia="zh-CN"/>
              </w:rPr>
            </w:pPr>
            <w:r>
              <w:rPr>
                <w:rFonts w:cstheme="minorHAnsi"/>
                <w:b/>
                <w:lang w:eastAsia="zh-CN"/>
              </w:rPr>
              <w:t>全环基金第七次增资期间</w:t>
            </w:r>
          </w:p>
          <w:p w14:paraId="0E48907E" w14:textId="77777777" w:rsidR="00416AF1" w:rsidRDefault="00416AF1" w:rsidP="00416AF1">
            <w:pPr>
              <w:spacing w:after="120" w:line="240" w:lineRule="auto"/>
              <w:rPr>
                <w:rFonts w:cstheme="minorHAnsi"/>
                <w:b/>
                <w:lang w:eastAsia="zh-CN"/>
              </w:rPr>
            </w:pPr>
            <w:proofErr w:type="spellStart"/>
            <w:r>
              <w:rPr>
                <w:rFonts w:cstheme="minorHAnsi"/>
                <w:b/>
              </w:rPr>
              <w:t>方案规划</w:t>
            </w:r>
            <w:proofErr w:type="spellEnd"/>
          </w:p>
          <w:p w14:paraId="704E72A5" w14:textId="10DBE2B4" w:rsidR="00B20283" w:rsidRPr="00B20283" w:rsidRDefault="00B20283" w:rsidP="00416AF1">
            <w:pPr>
              <w:spacing w:after="120" w:line="240" w:lineRule="auto"/>
              <w:rPr>
                <w:rFonts w:cstheme="minorHAnsi"/>
                <w:b/>
              </w:rPr>
            </w:pPr>
            <w:r w:rsidRPr="00B20283">
              <w:rPr>
                <w:rFonts w:cstheme="minorHAnsi"/>
                <w:b/>
              </w:rPr>
              <w:t xml:space="preserve"> (%)</w:t>
            </w:r>
          </w:p>
        </w:tc>
      </w:tr>
      <w:tr w:rsidR="00B20283" w:rsidRPr="00B20283" w14:paraId="000C4110" w14:textId="77777777" w:rsidTr="008354E6">
        <w:trPr>
          <w:trHeight w:val="432"/>
        </w:trPr>
        <w:tc>
          <w:tcPr>
            <w:tcW w:w="4519" w:type="dxa"/>
            <w:shd w:val="clear" w:color="auto" w:fill="auto"/>
          </w:tcPr>
          <w:p w14:paraId="3302A0C8" w14:textId="2C413FC2" w:rsidR="00B20283" w:rsidRPr="003B2346" w:rsidRDefault="00B20283" w:rsidP="00C119B4">
            <w:pPr>
              <w:spacing w:line="240" w:lineRule="auto"/>
              <w:rPr>
                <w:rFonts w:ascii="楷体" w:eastAsia="楷体" w:hAnsi="楷体" w:cstheme="minorHAnsi"/>
              </w:rPr>
            </w:pPr>
            <w:proofErr w:type="spellStart"/>
            <w:r w:rsidRPr="003B2346">
              <w:rPr>
                <w:rFonts w:ascii="楷体" w:eastAsia="楷体" w:hAnsi="楷体" w:cstheme="minorHAnsi"/>
              </w:rPr>
              <w:t>STAR</w:t>
            </w:r>
            <w:r w:rsidR="00C119B4" w:rsidRPr="003B2346">
              <w:rPr>
                <w:rFonts w:ascii="楷体" w:eastAsia="楷体" w:hAnsi="楷体" w:cstheme="minorHAnsi"/>
              </w:rPr>
              <w:t>国家分配额</w:t>
            </w:r>
            <w:proofErr w:type="spellEnd"/>
            <w:r w:rsidRPr="003B2346">
              <w:rPr>
                <w:rFonts w:ascii="楷体" w:eastAsia="楷体" w:hAnsi="楷体" w:cstheme="minorHAnsi"/>
              </w:rPr>
              <w:t xml:space="preserve"> </w:t>
            </w:r>
          </w:p>
        </w:tc>
        <w:tc>
          <w:tcPr>
            <w:tcW w:w="1710" w:type="dxa"/>
            <w:shd w:val="clear" w:color="auto" w:fill="auto"/>
          </w:tcPr>
          <w:p w14:paraId="06DEE709" w14:textId="03588EB5" w:rsidR="00B20283" w:rsidRPr="00B20283" w:rsidRDefault="00B20283" w:rsidP="00A238C7">
            <w:pPr>
              <w:spacing w:line="240" w:lineRule="auto"/>
              <w:rPr>
                <w:rFonts w:cstheme="minorHAnsi"/>
                <w:i/>
              </w:rPr>
            </w:pPr>
            <w:r w:rsidRPr="00B20283">
              <w:rPr>
                <w:rFonts w:cstheme="minorHAnsi"/>
                <w:i/>
              </w:rPr>
              <w:t>1</w:t>
            </w:r>
            <w:r w:rsidR="00D968C5">
              <w:rPr>
                <w:rFonts w:cstheme="minorHAnsi"/>
                <w:i/>
              </w:rPr>
              <w:t>,</w:t>
            </w:r>
            <w:r w:rsidRPr="00B20283">
              <w:rPr>
                <w:rFonts w:cstheme="minorHAnsi"/>
                <w:i/>
              </w:rPr>
              <w:t>0</w:t>
            </w:r>
            <w:r w:rsidR="00D31233" w:rsidRPr="001867BB">
              <w:rPr>
                <w:rFonts w:cstheme="minorHAnsi"/>
                <w:i/>
              </w:rPr>
              <w:t>31</w:t>
            </w:r>
          </w:p>
        </w:tc>
        <w:tc>
          <w:tcPr>
            <w:tcW w:w="1800" w:type="dxa"/>
            <w:shd w:val="clear" w:color="auto" w:fill="auto"/>
          </w:tcPr>
          <w:p w14:paraId="3051F799" w14:textId="1E7D9F9D" w:rsidR="00B20283" w:rsidRPr="00FF72CD" w:rsidRDefault="00341B7F" w:rsidP="00A238C7">
            <w:pPr>
              <w:spacing w:line="240" w:lineRule="auto"/>
              <w:rPr>
                <w:rFonts w:cstheme="minorHAnsi"/>
                <w:b/>
                <w:i/>
                <w:highlight w:val="yellow"/>
              </w:rPr>
            </w:pPr>
            <w:r w:rsidRPr="00715C73">
              <w:rPr>
                <w:rFonts w:cstheme="minorHAnsi"/>
                <w:b/>
                <w:i/>
              </w:rPr>
              <w:t>4</w:t>
            </w:r>
            <w:r w:rsidR="00EA30FA" w:rsidRPr="00715C73">
              <w:rPr>
                <w:rFonts w:cstheme="minorHAnsi"/>
                <w:b/>
                <w:i/>
              </w:rPr>
              <w:t>6</w:t>
            </w:r>
            <w:r w:rsidR="00CC12E9" w:rsidRPr="00715C73">
              <w:rPr>
                <w:rFonts w:cstheme="minorHAnsi"/>
                <w:b/>
                <w:i/>
              </w:rPr>
              <w:t>8</w:t>
            </w:r>
          </w:p>
        </w:tc>
        <w:tc>
          <w:tcPr>
            <w:tcW w:w="1975" w:type="dxa"/>
            <w:shd w:val="clear" w:color="auto" w:fill="auto"/>
          </w:tcPr>
          <w:p w14:paraId="53946C51" w14:textId="5D0207AE" w:rsidR="00B20283" w:rsidRPr="00D16D0B" w:rsidRDefault="004036CA" w:rsidP="00A238C7">
            <w:pPr>
              <w:spacing w:line="240" w:lineRule="auto"/>
              <w:rPr>
                <w:rFonts w:cstheme="minorHAnsi"/>
                <w:b/>
                <w:i/>
              </w:rPr>
            </w:pPr>
            <w:r w:rsidRPr="00D16D0B">
              <w:rPr>
                <w:rFonts w:cstheme="minorHAnsi"/>
                <w:b/>
                <w:i/>
              </w:rPr>
              <w:t>45</w:t>
            </w:r>
            <w:r w:rsidR="00B20283" w:rsidRPr="00D16D0B">
              <w:rPr>
                <w:rFonts w:cstheme="minorHAnsi"/>
                <w:b/>
                <w:i/>
              </w:rPr>
              <w:t xml:space="preserve">             </w:t>
            </w:r>
          </w:p>
        </w:tc>
      </w:tr>
      <w:tr w:rsidR="00B20283" w:rsidRPr="00B20283" w14:paraId="3413F0D0" w14:textId="77777777" w:rsidTr="008354E6">
        <w:trPr>
          <w:trHeight w:val="432"/>
        </w:trPr>
        <w:tc>
          <w:tcPr>
            <w:tcW w:w="4519" w:type="dxa"/>
            <w:shd w:val="clear" w:color="auto" w:fill="auto"/>
          </w:tcPr>
          <w:p w14:paraId="67DB4521" w14:textId="2D5233FB" w:rsidR="00B20283" w:rsidRPr="003B2346" w:rsidRDefault="00B20283" w:rsidP="003B2346">
            <w:pPr>
              <w:spacing w:line="240" w:lineRule="auto"/>
              <w:rPr>
                <w:rFonts w:ascii="楷体" w:eastAsia="楷体" w:hAnsi="楷体" w:cstheme="minorHAnsi"/>
              </w:rPr>
            </w:pPr>
            <w:proofErr w:type="spellStart"/>
            <w:r w:rsidRPr="003B2346">
              <w:rPr>
                <w:rFonts w:ascii="楷体" w:eastAsia="楷体" w:hAnsi="楷体" w:cstheme="minorHAnsi"/>
              </w:rPr>
              <w:t>STAR</w:t>
            </w:r>
            <w:r w:rsidR="00C119B4" w:rsidRPr="003B2346">
              <w:rPr>
                <w:rFonts w:ascii="楷体" w:eastAsia="楷体" w:hAnsi="楷体" w:cstheme="minorHAnsi"/>
              </w:rPr>
              <w:t>预留资金</w:t>
            </w:r>
            <w:proofErr w:type="spellEnd"/>
          </w:p>
        </w:tc>
        <w:tc>
          <w:tcPr>
            <w:tcW w:w="1710" w:type="dxa"/>
            <w:shd w:val="clear" w:color="auto" w:fill="auto"/>
          </w:tcPr>
          <w:p w14:paraId="61F7F062" w14:textId="77777777" w:rsidR="00B20283" w:rsidRPr="00B20283" w:rsidRDefault="00B20283" w:rsidP="00A238C7">
            <w:pPr>
              <w:spacing w:line="240" w:lineRule="auto"/>
              <w:rPr>
                <w:rFonts w:cstheme="minorHAnsi"/>
              </w:rPr>
            </w:pPr>
          </w:p>
        </w:tc>
        <w:tc>
          <w:tcPr>
            <w:tcW w:w="1800" w:type="dxa"/>
            <w:shd w:val="clear" w:color="auto" w:fill="auto"/>
          </w:tcPr>
          <w:p w14:paraId="7FCDC0EE" w14:textId="77777777" w:rsidR="00B20283" w:rsidRPr="00B20283" w:rsidRDefault="00B20283" w:rsidP="00A238C7">
            <w:pPr>
              <w:spacing w:line="240" w:lineRule="auto"/>
              <w:rPr>
                <w:rFonts w:cstheme="minorHAnsi"/>
                <w:b/>
              </w:rPr>
            </w:pPr>
          </w:p>
        </w:tc>
        <w:tc>
          <w:tcPr>
            <w:tcW w:w="1975" w:type="dxa"/>
            <w:shd w:val="clear" w:color="auto" w:fill="auto"/>
          </w:tcPr>
          <w:p w14:paraId="136F68CB" w14:textId="77777777" w:rsidR="00B20283" w:rsidRPr="00D16D0B" w:rsidRDefault="00B20283" w:rsidP="00A238C7">
            <w:pPr>
              <w:spacing w:line="240" w:lineRule="auto"/>
              <w:rPr>
                <w:rFonts w:cstheme="minorHAnsi"/>
                <w:b/>
              </w:rPr>
            </w:pPr>
          </w:p>
        </w:tc>
      </w:tr>
      <w:tr w:rsidR="00B20283" w:rsidRPr="00B20283" w14:paraId="11750A55" w14:textId="77777777" w:rsidTr="008354E6">
        <w:trPr>
          <w:trHeight w:val="432"/>
        </w:trPr>
        <w:tc>
          <w:tcPr>
            <w:tcW w:w="4519" w:type="dxa"/>
            <w:shd w:val="clear" w:color="auto" w:fill="auto"/>
          </w:tcPr>
          <w:p w14:paraId="07EC50CA" w14:textId="2CA2FB4D" w:rsidR="00B20283" w:rsidRPr="00B20283" w:rsidRDefault="00C119B4" w:rsidP="00A238C7">
            <w:pPr>
              <w:spacing w:line="240" w:lineRule="auto"/>
              <w:rPr>
                <w:rFonts w:cstheme="minorHAnsi"/>
              </w:rPr>
            </w:pPr>
            <w:proofErr w:type="spellStart"/>
            <w:r>
              <w:rPr>
                <w:rFonts w:cstheme="minorHAnsi"/>
              </w:rPr>
              <w:t>扶持活动</w:t>
            </w:r>
            <w:proofErr w:type="spellEnd"/>
          </w:p>
        </w:tc>
        <w:tc>
          <w:tcPr>
            <w:tcW w:w="1710" w:type="dxa"/>
            <w:shd w:val="clear" w:color="auto" w:fill="auto"/>
          </w:tcPr>
          <w:p w14:paraId="0FE409C3" w14:textId="24DE924D" w:rsidR="00B20283" w:rsidRPr="00B20283" w:rsidRDefault="00F636E8" w:rsidP="00A238C7">
            <w:pPr>
              <w:spacing w:line="240" w:lineRule="auto"/>
              <w:rPr>
                <w:rFonts w:cstheme="minorHAnsi"/>
              </w:rPr>
            </w:pPr>
            <w:r w:rsidRPr="001867BB">
              <w:rPr>
                <w:rFonts w:cstheme="minorHAnsi"/>
              </w:rPr>
              <w:t>46</w:t>
            </w:r>
          </w:p>
        </w:tc>
        <w:tc>
          <w:tcPr>
            <w:tcW w:w="1800" w:type="dxa"/>
            <w:shd w:val="clear" w:color="auto" w:fill="auto"/>
          </w:tcPr>
          <w:p w14:paraId="3A57300B" w14:textId="659AEBB6" w:rsidR="00B20283" w:rsidRPr="00B20283" w:rsidRDefault="00F80F37" w:rsidP="00A238C7">
            <w:pPr>
              <w:spacing w:line="240" w:lineRule="auto"/>
              <w:rPr>
                <w:rFonts w:cstheme="minorHAnsi"/>
                <w:b/>
              </w:rPr>
            </w:pPr>
            <w:r>
              <w:rPr>
                <w:rFonts w:cstheme="minorHAnsi"/>
                <w:b/>
              </w:rPr>
              <w:t>0</w:t>
            </w:r>
          </w:p>
        </w:tc>
        <w:tc>
          <w:tcPr>
            <w:tcW w:w="1975" w:type="dxa"/>
            <w:shd w:val="clear" w:color="auto" w:fill="auto"/>
          </w:tcPr>
          <w:p w14:paraId="3DDAE44C" w14:textId="0351888D" w:rsidR="00B20283" w:rsidRPr="00D16D0B" w:rsidRDefault="00F80F37" w:rsidP="00A238C7">
            <w:pPr>
              <w:spacing w:line="240" w:lineRule="auto"/>
              <w:rPr>
                <w:rFonts w:cstheme="minorHAnsi"/>
                <w:b/>
              </w:rPr>
            </w:pPr>
            <w:r w:rsidRPr="00D16D0B">
              <w:rPr>
                <w:rFonts w:cstheme="minorHAnsi"/>
                <w:b/>
              </w:rPr>
              <w:t>0</w:t>
            </w:r>
          </w:p>
        </w:tc>
      </w:tr>
      <w:tr w:rsidR="00B20283" w:rsidRPr="00B20283" w14:paraId="30C4BC5C" w14:textId="77777777" w:rsidTr="008354E6">
        <w:trPr>
          <w:trHeight w:val="432"/>
        </w:trPr>
        <w:tc>
          <w:tcPr>
            <w:tcW w:w="4519" w:type="dxa"/>
            <w:shd w:val="clear" w:color="auto" w:fill="auto"/>
          </w:tcPr>
          <w:p w14:paraId="521A26BC" w14:textId="1268778C" w:rsidR="00B20283" w:rsidRPr="00B20283" w:rsidRDefault="00C119B4" w:rsidP="00A238C7">
            <w:pPr>
              <w:spacing w:line="240" w:lineRule="auto"/>
              <w:rPr>
                <w:rFonts w:cstheme="minorHAnsi"/>
                <w:lang w:eastAsia="zh-CN"/>
              </w:rPr>
            </w:pPr>
            <w:r>
              <w:rPr>
                <w:rFonts w:cstheme="minorHAnsi"/>
                <w:lang w:eastAsia="zh-CN"/>
              </w:rPr>
              <w:t>全球和区域生物多样性项目和方案</w:t>
            </w:r>
          </w:p>
        </w:tc>
        <w:tc>
          <w:tcPr>
            <w:tcW w:w="1710" w:type="dxa"/>
            <w:shd w:val="clear" w:color="auto" w:fill="auto"/>
          </w:tcPr>
          <w:p w14:paraId="504CDB8E" w14:textId="04DC9A36" w:rsidR="00B20283" w:rsidRPr="00B20283" w:rsidRDefault="002C2FB9" w:rsidP="00A238C7">
            <w:pPr>
              <w:spacing w:line="240" w:lineRule="auto"/>
              <w:rPr>
                <w:rFonts w:cstheme="minorHAnsi"/>
              </w:rPr>
            </w:pPr>
            <w:r w:rsidRPr="001867BB">
              <w:rPr>
                <w:rFonts w:cstheme="minorHAnsi"/>
              </w:rPr>
              <w:t>55</w:t>
            </w:r>
          </w:p>
        </w:tc>
        <w:tc>
          <w:tcPr>
            <w:tcW w:w="1800" w:type="dxa"/>
            <w:shd w:val="clear" w:color="auto" w:fill="auto"/>
          </w:tcPr>
          <w:p w14:paraId="2F8FA796" w14:textId="155770E8" w:rsidR="00B20283" w:rsidRPr="00B20283" w:rsidRDefault="003938FF" w:rsidP="00A238C7">
            <w:pPr>
              <w:spacing w:line="240" w:lineRule="auto"/>
              <w:rPr>
                <w:rFonts w:cstheme="minorHAnsi"/>
                <w:b/>
              </w:rPr>
            </w:pPr>
            <w:r>
              <w:rPr>
                <w:rFonts w:cstheme="minorHAnsi"/>
                <w:b/>
              </w:rPr>
              <w:t>3</w:t>
            </w:r>
            <w:r w:rsidR="007A1EBB">
              <w:rPr>
                <w:rFonts w:cstheme="minorHAnsi"/>
                <w:b/>
              </w:rPr>
              <w:t>6</w:t>
            </w:r>
          </w:p>
        </w:tc>
        <w:tc>
          <w:tcPr>
            <w:tcW w:w="1975" w:type="dxa"/>
            <w:shd w:val="clear" w:color="auto" w:fill="auto"/>
          </w:tcPr>
          <w:p w14:paraId="351CE688" w14:textId="0670BF4A" w:rsidR="00B20283" w:rsidRPr="00D16D0B" w:rsidRDefault="00E9132C" w:rsidP="00A238C7">
            <w:pPr>
              <w:spacing w:line="240" w:lineRule="auto"/>
              <w:rPr>
                <w:rFonts w:cstheme="minorHAnsi"/>
                <w:b/>
              </w:rPr>
            </w:pPr>
            <w:r w:rsidRPr="00D16D0B">
              <w:rPr>
                <w:rFonts w:cstheme="minorHAnsi"/>
                <w:b/>
              </w:rPr>
              <w:t>6</w:t>
            </w:r>
            <w:r w:rsidR="003642E7" w:rsidRPr="00D16D0B">
              <w:rPr>
                <w:rFonts w:cstheme="minorHAnsi"/>
                <w:b/>
              </w:rPr>
              <w:t>5</w:t>
            </w:r>
          </w:p>
        </w:tc>
      </w:tr>
      <w:tr w:rsidR="00B20283" w:rsidRPr="00B20283" w14:paraId="2A71946C" w14:textId="77777777" w:rsidTr="008354E6">
        <w:trPr>
          <w:trHeight w:val="432"/>
        </w:trPr>
        <w:tc>
          <w:tcPr>
            <w:tcW w:w="4519" w:type="dxa"/>
            <w:shd w:val="clear" w:color="auto" w:fill="auto"/>
          </w:tcPr>
          <w:p w14:paraId="067ADDCE" w14:textId="1D907F5C" w:rsidR="00CF53CC" w:rsidRPr="00B20283" w:rsidRDefault="00CF53CC" w:rsidP="00A238C7">
            <w:pPr>
              <w:spacing w:line="240" w:lineRule="auto"/>
              <w:rPr>
                <w:rFonts w:cstheme="minorHAnsi"/>
                <w:lang w:eastAsia="zh-CN"/>
              </w:rPr>
            </w:pPr>
            <w:r>
              <w:rPr>
                <w:rFonts w:cstheme="minorHAnsi" w:hint="eastAsia"/>
                <w:lang w:eastAsia="zh-CN"/>
              </w:rPr>
              <w:t>综合方案编制</w:t>
            </w:r>
          </w:p>
        </w:tc>
        <w:tc>
          <w:tcPr>
            <w:tcW w:w="1710" w:type="dxa"/>
            <w:shd w:val="clear" w:color="auto" w:fill="auto"/>
          </w:tcPr>
          <w:p w14:paraId="329BED25" w14:textId="392497DB" w:rsidR="00B20283" w:rsidRPr="00B20283" w:rsidRDefault="00A923DD" w:rsidP="00A238C7">
            <w:pPr>
              <w:spacing w:line="240" w:lineRule="auto"/>
              <w:rPr>
                <w:rFonts w:cstheme="minorHAnsi"/>
              </w:rPr>
            </w:pPr>
            <w:r w:rsidRPr="001867BB">
              <w:rPr>
                <w:rFonts w:cstheme="minorHAnsi"/>
              </w:rPr>
              <w:t>160</w:t>
            </w:r>
          </w:p>
        </w:tc>
        <w:tc>
          <w:tcPr>
            <w:tcW w:w="1800" w:type="dxa"/>
            <w:shd w:val="clear" w:color="auto" w:fill="auto"/>
          </w:tcPr>
          <w:p w14:paraId="22E57EF5" w14:textId="07BAB741" w:rsidR="00B20283" w:rsidRPr="00B20283" w:rsidRDefault="00B20283" w:rsidP="00A238C7">
            <w:pPr>
              <w:spacing w:line="240" w:lineRule="auto"/>
              <w:rPr>
                <w:rFonts w:cstheme="minorHAnsi"/>
                <w:b/>
              </w:rPr>
            </w:pPr>
          </w:p>
        </w:tc>
        <w:tc>
          <w:tcPr>
            <w:tcW w:w="1975" w:type="dxa"/>
            <w:shd w:val="clear" w:color="auto" w:fill="auto"/>
          </w:tcPr>
          <w:p w14:paraId="594440AA" w14:textId="530B91EA" w:rsidR="00B20283" w:rsidRPr="00D16D0B" w:rsidRDefault="00B20283" w:rsidP="00A238C7">
            <w:pPr>
              <w:spacing w:line="240" w:lineRule="auto"/>
              <w:rPr>
                <w:rFonts w:cstheme="minorHAnsi"/>
                <w:b/>
              </w:rPr>
            </w:pPr>
          </w:p>
        </w:tc>
      </w:tr>
      <w:tr w:rsidR="00B20283" w:rsidRPr="00CA2C08" w14:paraId="5848D59E" w14:textId="77777777" w:rsidTr="008354E6">
        <w:trPr>
          <w:trHeight w:val="432"/>
        </w:trPr>
        <w:tc>
          <w:tcPr>
            <w:tcW w:w="4519" w:type="dxa"/>
            <w:shd w:val="clear" w:color="auto" w:fill="auto"/>
          </w:tcPr>
          <w:p w14:paraId="6257C4D4" w14:textId="524761E2" w:rsidR="006A5CB6" w:rsidRPr="00B926E0" w:rsidRDefault="00C119B4" w:rsidP="00C119B4">
            <w:pPr>
              <w:pStyle w:val="ListParagraph"/>
              <w:numPr>
                <w:ilvl w:val="0"/>
                <w:numId w:val="9"/>
              </w:numPr>
              <w:spacing w:line="240" w:lineRule="auto"/>
              <w:rPr>
                <w:rFonts w:cstheme="minorHAnsi"/>
                <w:lang w:eastAsia="zh-CN"/>
              </w:rPr>
            </w:pPr>
            <w:r>
              <w:rPr>
                <w:rFonts w:hint="eastAsia"/>
                <w:lang w:eastAsia="zh-CN"/>
              </w:rPr>
              <w:t>粮食、土地利用和恢复</w:t>
            </w:r>
          </w:p>
        </w:tc>
        <w:tc>
          <w:tcPr>
            <w:tcW w:w="1710" w:type="dxa"/>
            <w:shd w:val="clear" w:color="auto" w:fill="auto"/>
          </w:tcPr>
          <w:p w14:paraId="5C26F1CC" w14:textId="566E0572" w:rsidR="00B20283" w:rsidRPr="00CA2C08" w:rsidRDefault="00773F4F" w:rsidP="00A238C7">
            <w:pPr>
              <w:spacing w:line="240" w:lineRule="auto"/>
              <w:rPr>
                <w:rFonts w:cstheme="minorHAnsi"/>
              </w:rPr>
            </w:pPr>
            <w:r w:rsidRPr="00CA2C08">
              <w:rPr>
                <w:rFonts w:cstheme="minorHAnsi"/>
              </w:rPr>
              <w:t>92</w:t>
            </w:r>
          </w:p>
        </w:tc>
        <w:tc>
          <w:tcPr>
            <w:tcW w:w="1800" w:type="dxa"/>
            <w:shd w:val="clear" w:color="auto" w:fill="auto"/>
          </w:tcPr>
          <w:p w14:paraId="5D1717D1" w14:textId="0EC8B442" w:rsidR="00B20283" w:rsidRPr="00CA2C08" w:rsidRDefault="00085DDE" w:rsidP="00A238C7">
            <w:pPr>
              <w:spacing w:line="240" w:lineRule="auto"/>
              <w:rPr>
                <w:rFonts w:cstheme="minorHAnsi"/>
                <w:b/>
              </w:rPr>
            </w:pPr>
            <w:r>
              <w:rPr>
                <w:rFonts w:cstheme="minorHAnsi"/>
                <w:b/>
              </w:rPr>
              <w:t>70</w:t>
            </w:r>
          </w:p>
        </w:tc>
        <w:tc>
          <w:tcPr>
            <w:tcW w:w="1975" w:type="dxa"/>
            <w:shd w:val="clear" w:color="auto" w:fill="auto"/>
          </w:tcPr>
          <w:p w14:paraId="59F99EAA" w14:textId="4F57BA26" w:rsidR="00AC4C9E" w:rsidRPr="00D16D0B" w:rsidRDefault="00D16D0B" w:rsidP="00A238C7">
            <w:pPr>
              <w:spacing w:line="240" w:lineRule="auto"/>
              <w:rPr>
                <w:rFonts w:cstheme="minorHAnsi"/>
                <w:b/>
              </w:rPr>
            </w:pPr>
            <w:r w:rsidRPr="00D16D0B">
              <w:rPr>
                <w:rFonts w:cstheme="minorHAnsi"/>
                <w:b/>
              </w:rPr>
              <w:t>76</w:t>
            </w:r>
          </w:p>
        </w:tc>
      </w:tr>
      <w:tr w:rsidR="00B20283" w:rsidRPr="00CA2C08" w14:paraId="33A64C8D" w14:textId="77777777" w:rsidTr="00AA4E66">
        <w:trPr>
          <w:trHeight w:val="639"/>
        </w:trPr>
        <w:tc>
          <w:tcPr>
            <w:tcW w:w="4519" w:type="dxa"/>
            <w:shd w:val="clear" w:color="auto" w:fill="auto"/>
          </w:tcPr>
          <w:p w14:paraId="7D3803E2" w14:textId="11D3FA18" w:rsidR="00AC4C9E" w:rsidRPr="00AA4E66" w:rsidRDefault="00C119B4" w:rsidP="00C119B4">
            <w:pPr>
              <w:pStyle w:val="ListParagraph"/>
              <w:numPr>
                <w:ilvl w:val="0"/>
                <w:numId w:val="10"/>
              </w:numPr>
              <w:spacing w:line="240" w:lineRule="auto"/>
              <w:rPr>
                <w:rFonts w:cstheme="minorHAnsi"/>
                <w:lang w:eastAsia="zh-CN"/>
              </w:rPr>
            </w:pPr>
            <w:r>
              <w:rPr>
                <w:rFonts w:hint="eastAsia"/>
                <w:lang w:eastAsia="zh-CN"/>
              </w:rPr>
              <w:t>可持续森林管理主要群落（亚马逊、刚果、干旱地）</w:t>
            </w:r>
          </w:p>
        </w:tc>
        <w:tc>
          <w:tcPr>
            <w:tcW w:w="1710" w:type="dxa"/>
            <w:shd w:val="clear" w:color="auto" w:fill="auto"/>
          </w:tcPr>
          <w:p w14:paraId="68F9EE1C" w14:textId="6C0AD0C6" w:rsidR="00503D75" w:rsidRPr="00CA2C08" w:rsidRDefault="00AC4C9E" w:rsidP="00A238C7">
            <w:pPr>
              <w:spacing w:line="240" w:lineRule="auto"/>
              <w:rPr>
                <w:rFonts w:cstheme="minorHAnsi"/>
              </w:rPr>
            </w:pPr>
            <w:r w:rsidRPr="00CA2C08">
              <w:rPr>
                <w:rFonts w:cstheme="minorHAnsi"/>
              </w:rPr>
              <w:t>53</w:t>
            </w:r>
          </w:p>
        </w:tc>
        <w:tc>
          <w:tcPr>
            <w:tcW w:w="1800" w:type="dxa"/>
            <w:shd w:val="clear" w:color="auto" w:fill="auto"/>
          </w:tcPr>
          <w:p w14:paraId="57308F7F" w14:textId="7F5B6B5A" w:rsidR="002E6C14" w:rsidRPr="00CA2C08" w:rsidRDefault="002E6C14" w:rsidP="00A238C7">
            <w:pPr>
              <w:spacing w:line="240" w:lineRule="auto"/>
              <w:rPr>
                <w:rFonts w:cstheme="minorHAnsi"/>
                <w:b/>
              </w:rPr>
            </w:pPr>
            <w:r w:rsidRPr="00CA2C08">
              <w:rPr>
                <w:rFonts w:cstheme="minorHAnsi"/>
                <w:b/>
              </w:rPr>
              <w:t>5</w:t>
            </w:r>
            <w:r w:rsidR="002E6BA0">
              <w:rPr>
                <w:rFonts w:cstheme="minorHAnsi"/>
                <w:b/>
              </w:rPr>
              <w:t>0</w:t>
            </w:r>
          </w:p>
        </w:tc>
        <w:tc>
          <w:tcPr>
            <w:tcW w:w="1975" w:type="dxa"/>
            <w:shd w:val="clear" w:color="auto" w:fill="auto"/>
          </w:tcPr>
          <w:p w14:paraId="7CFDE77B" w14:textId="19873BC6" w:rsidR="002E6C14" w:rsidRPr="00D16D0B" w:rsidRDefault="002E6C14" w:rsidP="00A238C7">
            <w:pPr>
              <w:spacing w:line="240" w:lineRule="auto"/>
              <w:rPr>
                <w:rFonts w:cstheme="minorHAnsi"/>
                <w:b/>
              </w:rPr>
            </w:pPr>
            <w:r w:rsidRPr="00D16D0B">
              <w:rPr>
                <w:rFonts w:cstheme="minorHAnsi"/>
                <w:b/>
              </w:rPr>
              <w:t>100</w:t>
            </w:r>
          </w:p>
        </w:tc>
      </w:tr>
      <w:tr w:rsidR="00A05F23" w:rsidRPr="00CA2C08" w14:paraId="7920A253" w14:textId="77777777" w:rsidTr="008354E6">
        <w:trPr>
          <w:trHeight w:val="432"/>
        </w:trPr>
        <w:tc>
          <w:tcPr>
            <w:tcW w:w="4519" w:type="dxa"/>
            <w:shd w:val="clear" w:color="auto" w:fill="auto"/>
          </w:tcPr>
          <w:p w14:paraId="2B01E6D4" w14:textId="61040D6E" w:rsidR="00A05F23" w:rsidRPr="00A05F23" w:rsidRDefault="00C119B4" w:rsidP="00A238C7">
            <w:pPr>
              <w:pStyle w:val="ListParagraph"/>
              <w:numPr>
                <w:ilvl w:val="0"/>
                <w:numId w:val="10"/>
              </w:numPr>
              <w:spacing w:line="240" w:lineRule="auto"/>
              <w:rPr>
                <w:rFonts w:cstheme="minorHAnsi"/>
              </w:rPr>
            </w:pPr>
            <w:proofErr w:type="spellStart"/>
            <w:r>
              <w:rPr>
                <w:rFonts w:cstheme="minorHAnsi"/>
              </w:rPr>
              <w:t>可持续城市</w:t>
            </w:r>
            <w:proofErr w:type="spellEnd"/>
          </w:p>
        </w:tc>
        <w:tc>
          <w:tcPr>
            <w:tcW w:w="1710" w:type="dxa"/>
            <w:shd w:val="clear" w:color="auto" w:fill="auto"/>
          </w:tcPr>
          <w:p w14:paraId="03011DDF" w14:textId="6AC6ACD2" w:rsidR="00A05F23" w:rsidRPr="00CA2C08" w:rsidRDefault="00A05F23" w:rsidP="00A238C7">
            <w:pPr>
              <w:spacing w:line="240" w:lineRule="auto"/>
              <w:rPr>
                <w:rFonts w:cstheme="minorHAnsi"/>
                <w:i/>
              </w:rPr>
            </w:pPr>
            <w:r w:rsidRPr="00CA2C08">
              <w:rPr>
                <w:rFonts w:cstheme="minorHAnsi"/>
              </w:rPr>
              <w:t>15</w:t>
            </w:r>
          </w:p>
        </w:tc>
        <w:tc>
          <w:tcPr>
            <w:tcW w:w="1800" w:type="dxa"/>
            <w:shd w:val="clear" w:color="auto" w:fill="auto"/>
          </w:tcPr>
          <w:p w14:paraId="5CE3B918" w14:textId="7DC5FF7D" w:rsidR="00A05F23" w:rsidRPr="00CA2C08" w:rsidRDefault="00A05F23" w:rsidP="00A238C7">
            <w:pPr>
              <w:spacing w:line="240" w:lineRule="auto"/>
              <w:rPr>
                <w:rFonts w:cstheme="minorHAnsi"/>
                <w:b/>
                <w:i/>
              </w:rPr>
            </w:pPr>
            <w:r w:rsidRPr="00CA2C08">
              <w:rPr>
                <w:rFonts w:cstheme="minorHAnsi"/>
                <w:b/>
              </w:rPr>
              <w:t>15</w:t>
            </w:r>
          </w:p>
        </w:tc>
        <w:tc>
          <w:tcPr>
            <w:tcW w:w="1975" w:type="dxa"/>
            <w:shd w:val="clear" w:color="auto" w:fill="auto"/>
          </w:tcPr>
          <w:p w14:paraId="2740B9B2" w14:textId="23F4C671" w:rsidR="00A05F23" w:rsidRPr="00AA4E66" w:rsidRDefault="00A05F23" w:rsidP="00A238C7">
            <w:pPr>
              <w:spacing w:line="240" w:lineRule="auto"/>
              <w:rPr>
                <w:rFonts w:cstheme="minorHAnsi"/>
                <w:b/>
              </w:rPr>
            </w:pPr>
            <w:r w:rsidRPr="00D16D0B">
              <w:rPr>
                <w:rFonts w:cstheme="minorHAnsi"/>
                <w:b/>
              </w:rPr>
              <w:t>100</w:t>
            </w:r>
          </w:p>
        </w:tc>
      </w:tr>
      <w:tr w:rsidR="00A05F23" w:rsidRPr="00B20283" w14:paraId="31084C34" w14:textId="77777777" w:rsidTr="008354E6">
        <w:trPr>
          <w:trHeight w:val="432"/>
        </w:trPr>
        <w:tc>
          <w:tcPr>
            <w:tcW w:w="4519" w:type="dxa"/>
            <w:tcBorders>
              <w:top w:val="single" w:sz="6" w:space="0" w:color="008000"/>
            </w:tcBorders>
            <w:shd w:val="clear" w:color="auto" w:fill="auto"/>
          </w:tcPr>
          <w:p w14:paraId="53B4F2E3" w14:textId="54867EA9" w:rsidR="00A05F23" w:rsidRPr="00CA2C08" w:rsidRDefault="00C119B4" w:rsidP="00A05F23">
            <w:pPr>
              <w:rPr>
                <w:rFonts w:cstheme="minorHAnsi"/>
                <w:b/>
              </w:rPr>
            </w:pPr>
            <w:proofErr w:type="spellStart"/>
            <w:r>
              <w:rPr>
                <w:rFonts w:cstheme="minorHAnsi"/>
                <w:b/>
              </w:rPr>
              <w:t>资源总额</w:t>
            </w:r>
            <w:proofErr w:type="spellEnd"/>
          </w:p>
        </w:tc>
        <w:tc>
          <w:tcPr>
            <w:tcW w:w="1710" w:type="dxa"/>
            <w:tcBorders>
              <w:top w:val="single" w:sz="6" w:space="0" w:color="008000"/>
            </w:tcBorders>
            <w:shd w:val="clear" w:color="auto" w:fill="auto"/>
          </w:tcPr>
          <w:p w14:paraId="5FD6C501" w14:textId="52572F79" w:rsidR="00A05F23" w:rsidRPr="00CA2C08" w:rsidRDefault="00A05F23" w:rsidP="00A05F23">
            <w:pPr>
              <w:rPr>
                <w:rFonts w:cstheme="minorHAnsi"/>
                <w:b/>
              </w:rPr>
            </w:pPr>
            <w:r w:rsidRPr="00CA2C08">
              <w:rPr>
                <w:rFonts w:cstheme="minorHAnsi"/>
                <w:b/>
              </w:rPr>
              <w:t>1</w:t>
            </w:r>
            <w:r w:rsidR="00D968C5">
              <w:rPr>
                <w:rFonts w:cstheme="minorHAnsi"/>
                <w:b/>
              </w:rPr>
              <w:t>,</w:t>
            </w:r>
            <w:r w:rsidRPr="00CA2C08">
              <w:rPr>
                <w:rFonts w:cstheme="minorHAnsi"/>
                <w:b/>
              </w:rPr>
              <w:t>292</w:t>
            </w:r>
          </w:p>
        </w:tc>
        <w:tc>
          <w:tcPr>
            <w:tcW w:w="1800" w:type="dxa"/>
            <w:tcBorders>
              <w:top w:val="single" w:sz="6" w:space="0" w:color="008000"/>
            </w:tcBorders>
            <w:shd w:val="clear" w:color="auto" w:fill="auto"/>
          </w:tcPr>
          <w:p w14:paraId="4D50AFB3" w14:textId="635576AC" w:rsidR="00A05F23" w:rsidRPr="00CA2C08" w:rsidRDefault="00A05F23" w:rsidP="00A05F23">
            <w:pPr>
              <w:rPr>
                <w:rFonts w:cstheme="minorHAnsi"/>
                <w:b/>
              </w:rPr>
            </w:pPr>
            <w:r w:rsidRPr="00CA2C08">
              <w:rPr>
                <w:rFonts w:cstheme="minorHAnsi"/>
                <w:b/>
              </w:rPr>
              <w:t>6</w:t>
            </w:r>
            <w:r>
              <w:rPr>
                <w:rFonts w:cstheme="minorHAnsi"/>
                <w:b/>
              </w:rPr>
              <w:t>38</w:t>
            </w:r>
          </w:p>
        </w:tc>
        <w:tc>
          <w:tcPr>
            <w:tcW w:w="1975" w:type="dxa"/>
            <w:tcBorders>
              <w:top w:val="single" w:sz="6" w:space="0" w:color="008000"/>
            </w:tcBorders>
            <w:shd w:val="clear" w:color="auto" w:fill="auto"/>
          </w:tcPr>
          <w:p w14:paraId="2B7134EE" w14:textId="6F959062" w:rsidR="00A05F23" w:rsidRPr="00D16D0B" w:rsidRDefault="00A05F23" w:rsidP="00A05F23">
            <w:pPr>
              <w:rPr>
                <w:rFonts w:cstheme="minorHAnsi"/>
                <w:b/>
              </w:rPr>
            </w:pPr>
            <w:r w:rsidRPr="00D16D0B">
              <w:rPr>
                <w:rFonts w:cstheme="minorHAnsi"/>
                <w:b/>
              </w:rPr>
              <w:t>49</w:t>
            </w:r>
          </w:p>
        </w:tc>
      </w:tr>
    </w:tbl>
    <w:p w14:paraId="50C4E831" w14:textId="77777777" w:rsidR="001F245D" w:rsidRDefault="001F245D" w:rsidP="00CF090D">
      <w:pPr>
        <w:pStyle w:val="Heading2"/>
      </w:pPr>
      <w:bookmarkStart w:id="9" w:name="_Toc32494916"/>
    </w:p>
    <w:bookmarkEnd w:id="9"/>
    <w:p w14:paraId="3B4F4605" w14:textId="6345713E" w:rsidR="008D31D4" w:rsidRPr="003D54E3" w:rsidRDefault="008D31D4" w:rsidP="008D31D4">
      <w:pPr>
        <w:jc w:val="center"/>
        <w:rPr>
          <w:b/>
          <w:sz w:val="24"/>
          <w:szCs w:val="24"/>
          <w:lang w:eastAsia="zh-CN"/>
        </w:rPr>
      </w:pPr>
      <w:r w:rsidRPr="003D54E3">
        <w:rPr>
          <w:rFonts w:hint="eastAsia"/>
          <w:b/>
          <w:sz w:val="24"/>
          <w:szCs w:val="24"/>
          <w:lang w:eastAsia="zh-CN"/>
        </w:rPr>
        <w:t>全环基金第七次增资对实现爱知生物多样性目标的方案规划作出的贡献</w:t>
      </w:r>
    </w:p>
    <w:p w14:paraId="7A164D02" w14:textId="281B4BFC" w:rsidR="008D31D4" w:rsidRPr="003D54E3" w:rsidRDefault="008D31D4" w:rsidP="00665E66">
      <w:pPr>
        <w:pStyle w:val="ListParagraph"/>
        <w:numPr>
          <w:ilvl w:val="0"/>
          <w:numId w:val="25"/>
        </w:numPr>
        <w:spacing w:before="240" w:after="240" w:line="240" w:lineRule="auto"/>
        <w:ind w:left="0" w:firstLine="0"/>
        <w:contextualSpacing w:val="0"/>
        <w:rPr>
          <w:rFonts w:ascii="Calibri" w:hAnsi="Calibri" w:cs="Times New Roman"/>
          <w:sz w:val="24"/>
          <w:szCs w:val="24"/>
          <w:lang w:eastAsia="zh-CN"/>
        </w:rPr>
      </w:pPr>
      <w:r w:rsidRPr="003D54E3">
        <w:rPr>
          <w:rFonts w:hint="eastAsia"/>
          <w:sz w:val="24"/>
          <w:szCs w:val="24"/>
          <w:lang w:eastAsia="zh-CN"/>
        </w:rPr>
        <w:t>如下表</w:t>
      </w:r>
      <w:r w:rsidRPr="003D54E3">
        <w:rPr>
          <w:rFonts w:hint="eastAsia"/>
          <w:sz w:val="24"/>
          <w:szCs w:val="24"/>
          <w:lang w:eastAsia="zh-CN"/>
        </w:rPr>
        <w:t>3</w:t>
      </w:r>
      <w:r w:rsidRPr="003D54E3">
        <w:rPr>
          <w:rFonts w:hint="eastAsia"/>
          <w:sz w:val="24"/>
          <w:szCs w:val="24"/>
          <w:lang w:eastAsia="zh-CN"/>
        </w:rPr>
        <w:t>所示，全环基金第七次增资期间的生物多样性战略由九个方案规划投资项目</w:t>
      </w:r>
      <w:r w:rsidR="001A30D2" w:rsidRPr="003D54E3">
        <w:rPr>
          <w:rFonts w:hint="eastAsia"/>
          <w:sz w:val="24"/>
          <w:szCs w:val="24"/>
          <w:lang w:eastAsia="zh-CN"/>
        </w:rPr>
        <w:t>及</w:t>
      </w:r>
      <w:r w:rsidR="001122D3" w:rsidRPr="003D54E3">
        <w:rPr>
          <w:rFonts w:hint="eastAsia"/>
          <w:sz w:val="24"/>
          <w:szCs w:val="24"/>
          <w:lang w:eastAsia="zh-CN"/>
        </w:rPr>
        <w:t>各种</w:t>
      </w:r>
      <w:r w:rsidRPr="003D54E3">
        <w:rPr>
          <w:rFonts w:hint="eastAsia"/>
          <w:sz w:val="24"/>
          <w:szCs w:val="24"/>
          <w:lang w:eastAsia="zh-CN"/>
        </w:rPr>
        <w:t>方案组成，</w:t>
      </w:r>
      <w:r w:rsidR="00D605F6" w:rsidRPr="003D54E3">
        <w:rPr>
          <w:rFonts w:hint="eastAsia"/>
          <w:sz w:val="24"/>
          <w:szCs w:val="24"/>
          <w:lang w:eastAsia="zh-CN"/>
        </w:rPr>
        <w:t>通过一系列解决整个陆地景观和海洋景观中生物多样性丧失的最主要驱动因素的措施，这些投资项目和方案</w:t>
      </w:r>
      <w:r w:rsidRPr="003D54E3">
        <w:rPr>
          <w:rFonts w:hint="eastAsia"/>
          <w:sz w:val="24"/>
          <w:szCs w:val="24"/>
          <w:lang w:eastAsia="zh-CN"/>
        </w:rPr>
        <w:t>直接有助于实施《</w:t>
      </w:r>
      <w:r w:rsidRPr="003D54E3">
        <w:rPr>
          <w:rFonts w:hint="eastAsia"/>
          <w:sz w:val="24"/>
          <w:szCs w:val="24"/>
          <w:lang w:eastAsia="zh-CN"/>
        </w:rPr>
        <w:t xml:space="preserve"> 2010-2020</w:t>
      </w:r>
      <w:r w:rsidRPr="003D54E3">
        <w:rPr>
          <w:rFonts w:hint="eastAsia"/>
          <w:sz w:val="24"/>
          <w:szCs w:val="24"/>
          <w:lang w:eastAsia="zh-CN"/>
        </w:rPr>
        <w:t>年生物多样性战略计划》</w:t>
      </w:r>
      <w:r w:rsidR="00D605F6" w:rsidRPr="003D54E3">
        <w:rPr>
          <w:rFonts w:hint="eastAsia"/>
          <w:sz w:val="24"/>
          <w:szCs w:val="24"/>
          <w:lang w:eastAsia="zh-CN"/>
        </w:rPr>
        <w:t>和</w:t>
      </w:r>
      <w:r w:rsidRPr="003D54E3">
        <w:rPr>
          <w:rFonts w:hint="eastAsia"/>
          <w:sz w:val="24"/>
          <w:szCs w:val="24"/>
          <w:lang w:eastAsia="zh-CN"/>
        </w:rPr>
        <w:t>实现爱知生物多样性目标。总体而言，该战略中包括的</w:t>
      </w:r>
      <w:r w:rsidR="001A30D2" w:rsidRPr="003D54E3">
        <w:rPr>
          <w:rFonts w:hint="eastAsia"/>
          <w:sz w:val="24"/>
          <w:szCs w:val="24"/>
          <w:lang w:eastAsia="zh-CN"/>
        </w:rPr>
        <w:t>这组</w:t>
      </w:r>
      <w:r w:rsidRPr="003D54E3">
        <w:rPr>
          <w:rFonts w:hint="eastAsia"/>
          <w:sz w:val="24"/>
          <w:szCs w:val="24"/>
          <w:lang w:eastAsia="zh-CN"/>
        </w:rPr>
        <w:t>方案</w:t>
      </w:r>
      <w:r w:rsidR="001A30D2" w:rsidRPr="003D54E3">
        <w:rPr>
          <w:rFonts w:hint="eastAsia"/>
          <w:sz w:val="24"/>
          <w:szCs w:val="24"/>
          <w:lang w:eastAsia="zh-CN"/>
        </w:rPr>
        <w:t>规划</w:t>
      </w:r>
      <w:r w:rsidRPr="003D54E3">
        <w:rPr>
          <w:rFonts w:hint="eastAsia"/>
          <w:sz w:val="24"/>
          <w:szCs w:val="24"/>
          <w:lang w:eastAsia="zh-CN"/>
        </w:rPr>
        <w:t>备选方案直接回应了全环基金第七次</w:t>
      </w:r>
      <w:r w:rsidR="001A30D2" w:rsidRPr="003D54E3">
        <w:rPr>
          <w:rFonts w:hint="eastAsia"/>
          <w:sz w:val="24"/>
          <w:szCs w:val="24"/>
          <w:lang w:eastAsia="zh-CN"/>
        </w:rPr>
        <w:t>增资</w:t>
      </w:r>
      <w:r w:rsidRPr="003D54E3">
        <w:rPr>
          <w:rFonts w:hint="eastAsia"/>
          <w:sz w:val="24"/>
          <w:szCs w:val="24"/>
          <w:lang w:eastAsia="zh-CN"/>
        </w:rPr>
        <w:t>的四年期方案</w:t>
      </w:r>
      <w:r w:rsidR="001A30D2" w:rsidRPr="003D54E3">
        <w:rPr>
          <w:rFonts w:hint="eastAsia"/>
          <w:sz w:val="24"/>
          <w:szCs w:val="24"/>
          <w:lang w:eastAsia="zh-CN"/>
        </w:rPr>
        <w:t>优先事项</w:t>
      </w:r>
      <w:r w:rsidRPr="003D54E3">
        <w:rPr>
          <w:rFonts w:hint="eastAsia"/>
          <w:sz w:val="24"/>
          <w:szCs w:val="24"/>
          <w:lang w:eastAsia="zh-CN"/>
        </w:rPr>
        <w:t>框架以及《</w:t>
      </w:r>
      <w:r w:rsidRPr="003D54E3">
        <w:rPr>
          <w:rFonts w:hint="eastAsia"/>
          <w:sz w:val="24"/>
          <w:szCs w:val="24"/>
          <w:lang w:eastAsia="zh-CN"/>
        </w:rPr>
        <w:t xml:space="preserve"> 2011-2020</w:t>
      </w:r>
      <w:r w:rsidRPr="003D54E3">
        <w:rPr>
          <w:rFonts w:hint="eastAsia"/>
          <w:sz w:val="24"/>
          <w:szCs w:val="24"/>
          <w:lang w:eastAsia="zh-CN"/>
        </w:rPr>
        <w:t>年生物多样性战略计划》，特别是在日益重要的生物多样性主流化议程。</w:t>
      </w:r>
    </w:p>
    <w:p w14:paraId="3A3EDA24" w14:textId="1A3B1CA1" w:rsidR="001122D3" w:rsidRPr="003D54E3" w:rsidRDefault="001122D3" w:rsidP="00665E66">
      <w:pPr>
        <w:pStyle w:val="ListParagraph"/>
        <w:numPr>
          <w:ilvl w:val="0"/>
          <w:numId w:val="25"/>
        </w:numPr>
        <w:spacing w:before="240" w:after="240" w:line="240" w:lineRule="auto"/>
        <w:ind w:left="0" w:firstLine="0"/>
        <w:contextualSpacing w:val="0"/>
        <w:rPr>
          <w:rFonts w:ascii="Calibri" w:hAnsi="Calibri" w:cs="Times New Roman"/>
          <w:sz w:val="24"/>
          <w:szCs w:val="24"/>
          <w:lang w:eastAsia="zh-CN"/>
        </w:rPr>
      </w:pPr>
      <w:r w:rsidRPr="003D54E3">
        <w:rPr>
          <w:rFonts w:hint="eastAsia"/>
          <w:sz w:val="24"/>
          <w:szCs w:val="24"/>
          <w:lang w:eastAsia="zh-CN"/>
        </w:rPr>
        <w:t>此外，方案规划备选方案包括通过影响方案进行的投资，这些方案可通过寻求对一个以上部门出现的问题</w:t>
      </w:r>
      <w:r w:rsidR="00282719" w:rsidRPr="003D54E3">
        <w:rPr>
          <w:rFonts w:hint="eastAsia"/>
          <w:sz w:val="24"/>
          <w:szCs w:val="24"/>
          <w:lang w:eastAsia="zh-CN"/>
        </w:rPr>
        <w:t>作出</w:t>
      </w:r>
      <w:r w:rsidRPr="003D54E3">
        <w:rPr>
          <w:rFonts w:hint="eastAsia"/>
          <w:sz w:val="24"/>
          <w:szCs w:val="24"/>
          <w:lang w:eastAsia="zh-CN"/>
        </w:rPr>
        <w:t>系统</w:t>
      </w:r>
      <w:r w:rsidR="00282719" w:rsidRPr="003D54E3">
        <w:rPr>
          <w:rFonts w:hint="eastAsia"/>
          <w:sz w:val="24"/>
          <w:szCs w:val="24"/>
          <w:lang w:eastAsia="zh-CN"/>
        </w:rPr>
        <w:t>性</w:t>
      </w:r>
      <w:r w:rsidRPr="003D54E3">
        <w:rPr>
          <w:rFonts w:hint="eastAsia"/>
          <w:sz w:val="24"/>
          <w:szCs w:val="24"/>
          <w:lang w:eastAsia="zh-CN"/>
        </w:rPr>
        <w:t>反应，</w:t>
      </w:r>
      <w:r w:rsidR="00282719" w:rsidRPr="003D54E3">
        <w:rPr>
          <w:rFonts w:hint="eastAsia"/>
          <w:sz w:val="24"/>
          <w:szCs w:val="24"/>
          <w:lang w:eastAsia="zh-CN"/>
        </w:rPr>
        <w:t>使</w:t>
      </w:r>
      <w:r w:rsidRPr="003D54E3">
        <w:rPr>
          <w:rFonts w:hint="eastAsia"/>
          <w:sz w:val="24"/>
          <w:szCs w:val="24"/>
          <w:lang w:eastAsia="zh-CN"/>
        </w:rPr>
        <w:t>提供</w:t>
      </w:r>
      <w:r w:rsidR="00282719" w:rsidRPr="003D54E3">
        <w:rPr>
          <w:rFonts w:hint="eastAsia"/>
          <w:sz w:val="24"/>
          <w:szCs w:val="24"/>
          <w:lang w:eastAsia="zh-CN"/>
        </w:rPr>
        <w:t>的</w:t>
      </w:r>
      <w:r w:rsidRPr="003D54E3">
        <w:rPr>
          <w:rFonts w:hint="eastAsia"/>
          <w:sz w:val="24"/>
          <w:szCs w:val="24"/>
          <w:lang w:eastAsia="zh-CN"/>
        </w:rPr>
        <w:t>每单位投资</w:t>
      </w:r>
      <w:r w:rsidR="00282719" w:rsidRPr="003D54E3">
        <w:rPr>
          <w:rFonts w:hint="eastAsia"/>
          <w:sz w:val="24"/>
          <w:szCs w:val="24"/>
          <w:lang w:eastAsia="zh-CN"/>
        </w:rPr>
        <w:t>获得</w:t>
      </w:r>
      <w:r w:rsidRPr="003D54E3">
        <w:rPr>
          <w:rFonts w:hint="eastAsia"/>
          <w:sz w:val="24"/>
          <w:szCs w:val="24"/>
          <w:lang w:eastAsia="zh-CN"/>
        </w:rPr>
        <w:t>更多回报。它们将为缔</w:t>
      </w:r>
      <w:r w:rsidRPr="003D54E3">
        <w:rPr>
          <w:rFonts w:hint="eastAsia"/>
          <w:sz w:val="24"/>
          <w:szCs w:val="24"/>
          <w:lang w:eastAsia="zh-CN"/>
        </w:rPr>
        <w:lastRenderedPageBreak/>
        <w:t>约方</w:t>
      </w:r>
      <w:r w:rsidR="00282719" w:rsidRPr="003D54E3">
        <w:rPr>
          <w:rFonts w:hint="eastAsia"/>
          <w:sz w:val="24"/>
          <w:szCs w:val="24"/>
          <w:lang w:eastAsia="zh-CN"/>
        </w:rPr>
        <w:t>大会第十三届</w:t>
      </w:r>
      <w:r w:rsidRPr="003D54E3">
        <w:rPr>
          <w:rFonts w:hint="eastAsia"/>
          <w:sz w:val="24"/>
          <w:szCs w:val="24"/>
          <w:lang w:eastAsia="zh-CN"/>
        </w:rPr>
        <w:t>会议商定的全环基金第七次</w:t>
      </w:r>
      <w:r w:rsidR="00282719" w:rsidRPr="003D54E3">
        <w:rPr>
          <w:rFonts w:hint="eastAsia"/>
          <w:sz w:val="24"/>
          <w:szCs w:val="24"/>
          <w:lang w:eastAsia="zh-CN"/>
        </w:rPr>
        <w:t>增资</w:t>
      </w:r>
      <w:r w:rsidRPr="003D54E3">
        <w:rPr>
          <w:rFonts w:hint="eastAsia"/>
          <w:sz w:val="24"/>
          <w:szCs w:val="24"/>
          <w:lang w:eastAsia="zh-CN"/>
        </w:rPr>
        <w:t>的四年期方案重点框架和相关的预期成果作出重要的协同贡献。</w:t>
      </w:r>
    </w:p>
    <w:p w14:paraId="20EB795D" w14:textId="348ACF47" w:rsidR="00273B2C" w:rsidRPr="003D183D" w:rsidRDefault="003D183D" w:rsidP="00CB6102">
      <w:pPr>
        <w:pStyle w:val="Para1"/>
        <w:numPr>
          <w:ilvl w:val="0"/>
          <w:numId w:val="0"/>
        </w:numPr>
        <w:spacing w:before="240" w:after="240"/>
        <w:jc w:val="center"/>
        <w:rPr>
          <w:rFonts w:eastAsia="SimSun" w:cs="Times New Roman"/>
          <w:b/>
          <w:sz w:val="24"/>
          <w:szCs w:val="24"/>
          <w:lang w:val="en-US" w:eastAsia="zh-CN"/>
        </w:rPr>
      </w:pPr>
      <w:r w:rsidRPr="003D183D">
        <w:rPr>
          <w:rFonts w:eastAsia="SimSun" w:cs="Times New Roman"/>
          <w:b/>
          <w:lang w:eastAsia="zh-CN"/>
        </w:rPr>
        <w:t>表</w:t>
      </w:r>
      <w:r w:rsidRPr="003D183D">
        <w:rPr>
          <w:rFonts w:eastAsia="SimSun" w:cs="Times New Roman"/>
          <w:b/>
          <w:lang w:eastAsia="zh-CN"/>
        </w:rPr>
        <w:t xml:space="preserve">3. </w:t>
      </w:r>
      <w:r w:rsidRPr="003D183D">
        <w:rPr>
          <w:rFonts w:eastAsia="SimSun" w:cs="Times New Roman"/>
          <w:b/>
          <w:lang w:eastAsia="zh-CN"/>
        </w:rPr>
        <w:t>生物多样性战略目标和方案规划项目</w:t>
      </w:r>
    </w:p>
    <w:tbl>
      <w:tblPr>
        <w:tblStyle w:val="TableGrid"/>
        <w:tblW w:w="0" w:type="auto"/>
        <w:tblLook w:val="04A0" w:firstRow="1" w:lastRow="0" w:firstColumn="1" w:lastColumn="0" w:noHBand="0" w:noVBand="1"/>
      </w:tblPr>
      <w:tblGrid>
        <w:gridCol w:w="1795"/>
        <w:gridCol w:w="7555"/>
      </w:tblGrid>
      <w:tr w:rsidR="00273B2C" w:rsidRPr="00273B2C" w14:paraId="2DA71236" w14:textId="77777777" w:rsidTr="008354E6">
        <w:tc>
          <w:tcPr>
            <w:tcW w:w="9350" w:type="dxa"/>
            <w:gridSpan w:val="2"/>
          </w:tcPr>
          <w:p w14:paraId="71CBAC8A" w14:textId="5CCC12D4" w:rsidR="00273B2C" w:rsidRPr="00655498" w:rsidRDefault="003D183D" w:rsidP="00A238C7">
            <w:pPr>
              <w:spacing w:after="40"/>
              <w:jc w:val="center"/>
              <w:rPr>
                <w:b/>
                <w:lang w:eastAsia="zh-CN"/>
              </w:rPr>
            </w:pPr>
            <w:bookmarkStart w:id="10" w:name="_Hlk26452414"/>
            <w:r>
              <w:rPr>
                <w:b/>
                <w:lang w:eastAsia="zh-CN"/>
              </w:rPr>
              <w:t>生物多样性战略目标和方案规划项目</w:t>
            </w:r>
          </w:p>
        </w:tc>
      </w:tr>
      <w:tr w:rsidR="00273B2C" w:rsidRPr="00D52A9D" w14:paraId="27F1F77A" w14:textId="77777777" w:rsidTr="00D52A9D">
        <w:tc>
          <w:tcPr>
            <w:tcW w:w="9350" w:type="dxa"/>
            <w:gridSpan w:val="2"/>
            <w:shd w:val="clear" w:color="auto" w:fill="auto"/>
          </w:tcPr>
          <w:p w14:paraId="7D7260A1" w14:textId="141ACAA1" w:rsidR="00273B2C" w:rsidRPr="003D183D" w:rsidRDefault="003D183D" w:rsidP="00A238C7">
            <w:pPr>
              <w:spacing w:after="40"/>
              <w:rPr>
                <w:b/>
                <w:lang w:eastAsia="zh-CN"/>
              </w:rPr>
            </w:pPr>
            <w:r w:rsidRPr="003D183D">
              <w:rPr>
                <w:rFonts w:hint="eastAsia"/>
                <w:b/>
                <w:lang w:eastAsia="zh-CN"/>
              </w:rPr>
              <w:t>目标</w:t>
            </w:r>
            <w:r w:rsidRPr="003D183D">
              <w:rPr>
                <w:rFonts w:hint="eastAsia"/>
                <w:b/>
                <w:lang w:eastAsia="zh-CN"/>
              </w:rPr>
              <w:t xml:space="preserve">1. </w:t>
            </w:r>
            <w:r w:rsidRPr="003D183D">
              <w:rPr>
                <w:rFonts w:hint="eastAsia"/>
                <w:b/>
                <w:lang w:eastAsia="zh-CN"/>
              </w:rPr>
              <w:t>将生物多样性纳入各部门以及陆地景观和海洋景观的主流</w:t>
            </w:r>
          </w:p>
        </w:tc>
      </w:tr>
      <w:tr w:rsidR="00273B2C" w:rsidRPr="00273B2C" w14:paraId="76A9FE1D" w14:textId="77777777" w:rsidTr="00010A23">
        <w:tc>
          <w:tcPr>
            <w:tcW w:w="1795" w:type="dxa"/>
          </w:tcPr>
          <w:p w14:paraId="08AFC7E2" w14:textId="77777777" w:rsidR="00273B2C" w:rsidRPr="00273B2C" w:rsidRDefault="00273B2C" w:rsidP="00273B2C">
            <w:r w:rsidRPr="00273B2C">
              <w:t>1-1</w:t>
            </w:r>
          </w:p>
        </w:tc>
        <w:tc>
          <w:tcPr>
            <w:tcW w:w="7555" w:type="dxa"/>
          </w:tcPr>
          <w:p w14:paraId="5A93E44B" w14:textId="67674696" w:rsidR="00273B2C" w:rsidRPr="00273B2C" w:rsidRDefault="000218F1" w:rsidP="00A238C7">
            <w:pPr>
              <w:spacing w:after="40"/>
              <w:rPr>
                <w:lang w:eastAsia="zh-CN"/>
              </w:rPr>
            </w:pPr>
            <w:r>
              <w:rPr>
                <w:rFonts w:hint="eastAsia"/>
                <w:lang w:eastAsia="zh-CN"/>
              </w:rPr>
              <w:t>将生物多样性纳入优先部门的主流</w:t>
            </w:r>
          </w:p>
        </w:tc>
      </w:tr>
      <w:tr w:rsidR="00273B2C" w:rsidRPr="00273B2C" w14:paraId="7801969B" w14:textId="77777777" w:rsidTr="00010A23">
        <w:tc>
          <w:tcPr>
            <w:tcW w:w="1795" w:type="dxa"/>
          </w:tcPr>
          <w:p w14:paraId="72869BD0" w14:textId="77777777" w:rsidR="00273B2C" w:rsidRPr="00273B2C" w:rsidRDefault="00273B2C" w:rsidP="00273B2C">
            <w:r w:rsidRPr="00273B2C">
              <w:t>1-2a</w:t>
            </w:r>
          </w:p>
        </w:tc>
        <w:tc>
          <w:tcPr>
            <w:tcW w:w="7555" w:type="dxa"/>
          </w:tcPr>
          <w:p w14:paraId="31146F60" w14:textId="587B7A30" w:rsidR="00273B2C" w:rsidRPr="00273B2C" w:rsidRDefault="00FC75F0" w:rsidP="00FC75F0">
            <w:pPr>
              <w:spacing w:after="40"/>
              <w:rPr>
                <w:lang w:eastAsia="zh-CN"/>
              </w:rPr>
            </w:pPr>
            <w:r>
              <w:rPr>
                <w:rFonts w:hint="eastAsia"/>
                <w:lang w:eastAsia="zh-CN"/>
              </w:rPr>
              <w:t>全球野生动物方案</w:t>
            </w:r>
            <w:r>
              <w:rPr>
                <w:rFonts w:hint="eastAsia"/>
                <w:lang w:eastAsia="zh-CN"/>
              </w:rPr>
              <w:t xml:space="preserve"> - </w:t>
            </w:r>
            <w:r>
              <w:rPr>
                <w:rFonts w:hint="eastAsia"/>
                <w:lang w:eastAsia="zh-CN"/>
              </w:rPr>
              <w:t>防止已知受威胁物种的灭绝和野生动物促进可持续发展</w:t>
            </w:r>
          </w:p>
        </w:tc>
      </w:tr>
      <w:tr w:rsidR="00273B2C" w:rsidRPr="00273B2C" w14:paraId="1DC394A6" w14:textId="77777777" w:rsidTr="00010A23">
        <w:tc>
          <w:tcPr>
            <w:tcW w:w="1795" w:type="dxa"/>
          </w:tcPr>
          <w:p w14:paraId="6FFBA540" w14:textId="77777777" w:rsidR="00273B2C" w:rsidRPr="00273B2C" w:rsidRDefault="00273B2C" w:rsidP="00273B2C">
            <w:r w:rsidRPr="00273B2C">
              <w:t>1-2b</w:t>
            </w:r>
          </w:p>
        </w:tc>
        <w:tc>
          <w:tcPr>
            <w:tcW w:w="7555" w:type="dxa"/>
          </w:tcPr>
          <w:p w14:paraId="23FF8CA6" w14:textId="1CA6672E" w:rsidR="00273B2C" w:rsidRPr="00273B2C" w:rsidRDefault="00FC75F0" w:rsidP="00FC75F0">
            <w:pPr>
              <w:spacing w:after="40"/>
              <w:rPr>
                <w:lang w:eastAsia="zh-CN"/>
              </w:rPr>
            </w:pPr>
            <w:r>
              <w:rPr>
                <w:rFonts w:hint="eastAsia"/>
                <w:lang w:eastAsia="zh-CN"/>
              </w:rPr>
              <w:t>全球野生动物方案</w:t>
            </w:r>
            <w:r>
              <w:rPr>
                <w:rFonts w:hint="eastAsia"/>
                <w:lang w:eastAsia="zh-CN"/>
              </w:rPr>
              <w:t xml:space="preserve"> - </w:t>
            </w:r>
            <w:r>
              <w:rPr>
                <w:rFonts w:hint="eastAsia"/>
                <w:lang w:eastAsia="zh-CN"/>
              </w:rPr>
              <w:t>野生动物促进可持续发展</w:t>
            </w:r>
          </w:p>
        </w:tc>
      </w:tr>
      <w:tr w:rsidR="00273B2C" w:rsidRPr="00273B2C" w14:paraId="72D4CE57" w14:textId="77777777" w:rsidTr="00010A23">
        <w:tc>
          <w:tcPr>
            <w:tcW w:w="1795" w:type="dxa"/>
          </w:tcPr>
          <w:p w14:paraId="732A5DB2" w14:textId="77777777" w:rsidR="00273B2C" w:rsidRPr="00273B2C" w:rsidRDefault="00273B2C" w:rsidP="00273B2C">
            <w:r w:rsidRPr="00273B2C">
              <w:t>1-3</w:t>
            </w:r>
          </w:p>
        </w:tc>
        <w:tc>
          <w:tcPr>
            <w:tcW w:w="7555" w:type="dxa"/>
          </w:tcPr>
          <w:p w14:paraId="3B597B1D" w14:textId="3C23FDCA" w:rsidR="00273B2C" w:rsidRPr="00273B2C" w:rsidRDefault="00FC75F0" w:rsidP="00A238C7">
            <w:pPr>
              <w:spacing w:after="40"/>
            </w:pPr>
            <w:r>
              <w:rPr>
                <w:rFonts w:hint="eastAsia"/>
                <w:lang w:eastAsia="zh-CN"/>
              </w:rPr>
              <w:t>自然资本评估与核算</w:t>
            </w:r>
          </w:p>
        </w:tc>
      </w:tr>
      <w:tr w:rsidR="00273B2C" w:rsidRPr="00273B2C" w14:paraId="60D10EF9" w14:textId="77777777" w:rsidTr="00010A23">
        <w:tc>
          <w:tcPr>
            <w:tcW w:w="1795" w:type="dxa"/>
          </w:tcPr>
          <w:p w14:paraId="68FCD265" w14:textId="77777777" w:rsidR="00273B2C" w:rsidRPr="00273B2C" w:rsidRDefault="00273B2C" w:rsidP="00273B2C">
            <w:r w:rsidRPr="00273B2C">
              <w:t>1-4</w:t>
            </w:r>
          </w:p>
        </w:tc>
        <w:tc>
          <w:tcPr>
            <w:tcW w:w="7555" w:type="dxa"/>
          </w:tcPr>
          <w:p w14:paraId="46205105" w14:textId="04940B6D" w:rsidR="00273B2C" w:rsidRPr="00273B2C" w:rsidRDefault="00FC75F0" w:rsidP="00A238C7">
            <w:pPr>
              <w:spacing w:after="40"/>
              <w:rPr>
                <w:lang w:eastAsia="zh-CN"/>
              </w:rPr>
            </w:pPr>
            <w:r>
              <w:rPr>
                <w:rFonts w:hint="eastAsia"/>
                <w:lang w:eastAsia="zh-CN"/>
              </w:rPr>
              <w:t>动植物遗传资源的可持续利用</w:t>
            </w:r>
          </w:p>
        </w:tc>
      </w:tr>
      <w:tr w:rsidR="00273B2C" w:rsidRPr="00273B2C" w14:paraId="52046363" w14:textId="77777777" w:rsidTr="00010A23">
        <w:tc>
          <w:tcPr>
            <w:tcW w:w="1795" w:type="dxa"/>
          </w:tcPr>
          <w:p w14:paraId="4F383E59" w14:textId="77777777" w:rsidR="00273B2C" w:rsidRPr="00273B2C" w:rsidRDefault="00273B2C" w:rsidP="00273B2C">
            <w:r w:rsidRPr="00273B2C">
              <w:t>1-5</w:t>
            </w:r>
          </w:p>
        </w:tc>
        <w:tc>
          <w:tcPr>
            <w:tcW w:w="7555" w:type="dxa"/>
          </w:tcPr>
          <w:p w14:paraId="3BBCB8A5" w14:textId="5E6745E6" w:rsidR="00273B2C" w:rsidRPr="00273B2C" w:rsidRDefault="00FC75F0" w:rsidP="00A238C7">
            <w:pPr>
              <w:spacing w:after="40"/>
            </w:pPr>
            <w:proofErr w:type="spellStart"/>
            <w:r>
              <w:t>包容性保护</w:t>
            </w:r>
            <w:proofErr w:type="spellEnd"/>
          </w:p>
        </w:tc>
      </w:tr>
      <w:tr w:rsidR="00273B2C" w:rsidRPr="00273B2C" w14:paraId="28EC7FCC" w14:textId="77777777" w:rsidTr="00010A23">
        <w:tc>
          <w:tcPr>
            <w:tcW w:w="1795" w:type="dxa"/>
          </w:tcPr>
          <w:p w14:paraId="0D65B7D1" w14:textId="1896A705" w:rsidR="00273B2C" w:rsidRPr="00273B2C" w:rsidRDefault="00FC75F0" w:rsidP="00FC75F0">
            <w:proofErr w:type="spellStart"/>
            <w:r>
              <w:t>其他相关重点领域</w:t>
            </w:r>
            <w:proofErr w:type="spellEnd"/>
          </w:p>
        </w:tc>
        <w:tc>
          <w:tcPr>
            <w:tcW w:w="7555" w:type="dxa"/>
          </w:tcPr>
          <w:p w14:paraId="12498127" w14:textId="51A5EDF7" w:rsidR="00273B2C" w:rsidRPr="00273B2C" w:rsidRDefault="00FC75F0" w:rsidP="00A238C7">
            <w:pPr>
              <w:spacing w:after="40"/>
              <w:rPr>
                <w:lang w:eastAsia="zh-CN"/>
              </w:rPr>
            </w:pPr>
            <w:r>
              <w:rPr>
                <w:rFonts w:hint="eastAsia"/>
                <w:lang w:eastAsia="zh-CN"/>
              </w:rPr>
              <w:t>国际水域重点领域</w:t>
            </w:r>
            <w:r>
              <w:rPr>
                <w:rFonts w:hint="eastAsia"/>
                <w:lang w:eastAsia="zh-CN"/>
              </w:rPr>
              <w:t>/</w:t>
            </w:r>
            <w:r>
              <w:rPr>
                <w:rFonts w:hint="eastAsia"/>
                <w:lang w:eastAsia="zh-CN"/>
              </w:rPr>
              <w:t>可持续渔业</w:t>
            </w:r>
          </w:p>
        </w:tc>
      </w:tr>
      <w:tr w:rsidR="00273B2C" w:rsidRPr="00273B2C" w14:paraId="4BA7FD7A" w14:textId="77777777" w:rsidTr="00010A23">
        <w:tc>
          <w:tcPr>
            <w:tcW w:w="1795" w:type="dxa"/>
          </w:tcPr>
          <w:p w14:paraId="13EF8BA8" w14:textId="70CE3511" w:rsidR="00273B2C" w:rsidRPr="00273B2C" w:rsidRDefault="00FC75F0" w:rsidP="00FC75F0">
            <w:proofErr w:type="spellStart"/>
            <w:r>
              <w:t>影响方案</w:t>
            </w:r>
            <w:proofErr w:type="spellEnd"/>
          </w:p>
        </w:tc>
        <w:tc>
          <w:tcPr>
            <w:tcW w:w="7555" w:type="dxa"/>
          </w:tcPr>
          <w:p w14:paraId="67CD57A3" w14:textId="016BCB33" w:rsidR="00273B2C" w:rsidRPr="00273B2C" w:rsidRDefault="00FC75F0" w:rsidP="00FC75F0">
            <w:pPr>
              <w:spacing w:after="40"/>
              <w:rPr>
                <w:lang w:eastAsia="zh-CN"/>
              </w:rPr>
            </w:pPr>
            <w:r>
              <w:rPr>
                <w:rFonts w:hint="eastAsia"/>
                <w:lang w:eastAsia="zh-CN"/>
              </w:rPr>
              <w:t>粮食系统、土地利用和恢复的影响方案（</w:t>
            </w:r>
            <w:r w:rsidR="00273B2C" w:rsidRPr="00273B2C">
              <w:rPr>
                <w:lang w:eastAsia="zh-CN"/>
              </w:rPr>
              <w:t>FOLUR</w:t>
            </w:r>
            <w:r>
              <w:rPr>
                <w:rFonts w:hint="eastAsia"/>
                <w:lang w:eastAsia="zh-CN"/>
              </w:rPr>
              <w:t>）</w:t>
            </w:r>
          </w:p>
        </w:tc>
      </w:tr>
      <w:tr w:rsidR="00273B2C" w:rsidRPr="00273B2C" w14:paraId="29B44016" w14:textId="77777777" w:rsidTr="00010A23">
        <w:tc>
          <w:tcPr>
            <w:tcW w:w="1795" w:type="dxa"/>
          </w:tcPr>
          <w:p w14:paraId="06B4156E" w14:textId="77777777" w:rsidR="00273B2C" w:rsidRPr="00273B2C" w:rsidRDefault="00273B2C" w:rsidP="00273B2C">
            <w:pPr>
              <w:rPr>
                <w:lang w:eastAsia="zh-CN"/>
              </w:rPr>
            </w:pPr>
          </w:p>
        </w:tc>
        <w:tc>
          <w:tcPr>
            <w:tcW w:w="7555" w:type="dxa"/>
          </w:tcPr>
          <w:p w14:paraId="45A6C3D9" w14:textId="0D091F58" w:rsidR="00273B2C" w:rsidRPr="00273B2C" w:rsidRDefault="00FC75F0" w:rsidP="00A238C7">
            <w:pPr>
              <w:spacing w:after="40"/>
            </w:pPr>
            <w:r>
              <w:rPr>
                <w:rFonts w:hint="eastAsia"/>
                <w:lang w:eastAsia="zh-CN"/>
              </w:rPr>
              <w:t>可持续城市影响方案</w:t>
            </w:r>
          </w:p>
        </w:tc>
      </w:tr>
      <w:tr w:rsidR="00273B2C" w:rsidRPr="00273B2C" w14:paraId="07D43426" w14:textId="77777777" w:rsidTr="00010A23">
        <w:tc>
          <w:tcPr>
            <w:tcW w:w="1795" w:type="dxa"/>
          </w:tcPr>
          <w:p w14:paraId="030B672F" w14:textId="77777777" w:rsidR="00273B2C" w:rsidRPr="00273B2C" w:rsidRDefault="00273B2C" w:rsidP="00273B2C"/>
        </w:tc>
        <w:tc>
          <w:tcPr>
            <w:tcW w:w="7555" w:type="dxa"/>
          </w:tcPr>
          <w:p w14:paraId="67822BB9" w14:textId="360C632A" w:rsidR="00273B2C" w:rsidRPr="00273B2C" w:rsidRDefault="00FC75F0" w:rsidP="00A238C7">
            <w:pPr>
              <w:spacing w:after="40"/>
              <w:rPr>
                <w:lang w:eastAsia="zh-CN"/>
              </w:rPr>
            </w:pPr>
            <w:r>
              <w:rPr>
                <w:rFonts w:hint="eastAsia"/>
                <w:lang w:eastAsia="zh-CN"/>
              </w:rPr>
              <w:t>可持续森林管理影响方案</w:t>
            </w:r>
          </w:p>
        </w:tc>
      </w:tr>
      <w:tr w:rsidR="00273B2C" w:rsidRPr="00D52A9D" w14:paraId="4A7CC188" w14:textId="77777777" w:rsidTr="00D52A9D">
        <w:tc>
          <w:tcPr>
            <w:tcW w:w="9350" w:type="dxa"/>
            <w:gridSpan w:val="2"/>
            <w:shd w:val="clear" w:color="auto" w:fill="auto"/>
          </w:tcPr>
          <w:p w14:paraId="72E15B69" w14:textId="4784A53F" w:rsidR="00273B2C" w:rsidRPr="00D52A9D" w:rsidRDefault="003D183D" w:rsidP="003D183D">
            <w:pPr>
              <w:spacing w:after="40"/>
              <w:rPr>
                <w:b/>
                <w:lang w:eastAsia="zh-CN"/>
              </w:rPr>
            </w:pPr>
            <w:r w:rsidRPr="003D183D">
              <w:rPr>
                <w:rFonts w:hint="eastAsia"/>
                <w:b/>
                <w:lang w:eastAsia="zh-CN"/>
              </w:rPr>
              <w:t>目标</w:t>
            </w:r>
            <w:r>
              <w:rPr>
                <w:rFonts w:hint="eastAsia"/>
                <w:b/>
                <w:lang w:eastAsia="zh-CN"/>
              </w:rPr>
              <w:t>2</w:t>
            </w:r>
            <w:r w:rsidRPr="003D183D">
              <w:rPr>
                <w:rFonts w:hint="eastAsia"/>
                <w:b/>
                <w:lang w:eastAsia="zh-CN"/>
              </w:rPr>
              <w:t>.</w:t>
            </w:r>
            <w:r>
              <w:rPr>
                <w:rFonts w:hint="eastAsia"/>
                <w:b/>
                <w:lang w:eastAsia="zh-CN"/>
              </w:rPr>
              <w:t xml:space="preserve"> </w:t>
            </w:r>
            <w:r w:rsidRPr="009B3D0F">
              <w:rPr>
                <w:rStyle w:val="style21"/>
                <w:rFonts w:ascii="Segoe UI" w:hAnsi="Segoe UI" w:cs="Segoe UI"/>
                <w:b/>
                <w:color w:val="auto"/>
                <w:sz w:val="22"/>
                <w:szCs w:val="22"/>
                <w:lang w:eastAsia="zh-CN"/>
              </w:rPr>
              <w:t>运用保护生境和物种的直接驱动因素</w:t>
            </w:r>
          </w:p>
        </w:tc>
      </w:tr>
      <w:tr w:rsidR="00273B2C" w:rsidRPr="00273B2C" w14:paraId="5FC8B1C6" w14:textId="77777777" w:rsidTr="00010A23">
        <w:tc>
          <w:tcPr>
            <w:tcW w:w="1795" w:type="dxa"/>
          </w:tcPr>
          <w:p w14:paraId="2F1957F2" w14:textId="77777777" w:rsidR="00273B2C" w:rsidRPr="00273B2C" w:rsidRDefault="00273B2C" w:rsidP="00273B2C">
            <w:r w:rsidRPr="00273B2C">
              <w:t>2-6</w:t>
            </w:r>
          </w:p>
        </w:tc>
        <w:tc>
          <w:tcPr>
            <w:tcW w:w="7555" w:type="dxa"/>
          </w:tcPr>
          <w:p w14:paraId="7A4FBB13" w14:textId="0FAE5097" w:rsidR="00273B2C" w:rsidRPr="00273B2C" w:rsidRDefault="00AF4612" w:rsidP="00A238C7">
            <w:pPr>
              <w:spacing w:after="40"/>
              <w:rPr>
                <w:lang w:eastAsia="zh-CN"/>
              </w:rPr>
            </w:pPr>
            <w:r>
              <w:rPr>
                <w:rFonts w:hint="eastAsia"/>
                <w:lang w:eastAsia="zh-CN"/>
              </w:rPr>
              <w:t>预防、控制和管理外来入侵物种</w:t>
            </w:r>
          </w:p>
        </w:tc>
      </w:tr>
      <w:tr w:rsidR="00273B2C" w:rsidRPr="00273B2C" w14:paraId="5B204998" w14:textId="77777777" w:rsidTr="00010A23">
        <w:tc>
          <w:tcPr>
            <w:tcW w:w="1795" w:type="dxa"/>
          </w:tcPr>
          <w:p w14:paraId="3158EC18" w14:textId="77777777" w:rsidR="00273B2C" w:rsidRPr="00273B2C" w:rsidRDefault="00273B2C" w:rsidP="00273B2C">
            <w:r w:rsidRPr="00273B2C">
              <w:t>2-7</w:t>
            </w:r>
          </w:p>
        </w:tc>
        <w:tc>
          <w:tcPr>
            <w:tcW w:w="7555" w:type="dxa"/>
          </w:tcPr>
          <w:p w14:paraId="3B663587" w14:textId="1792BCE0" w:rsidR="00273B2C" w:rsidRPr="00273B2C" w:rsidRDefault="00AF4612" w:rsidP="00A238C7">
            <w:pPr>
              <w:spacing w:after="40"/>
              <w:rPr>
                <w:lang w:eastAsia="zh-CN"/>
              </w:rPr>
            </w:pPr>
            <w:r>
              <w:rPr>
                <w:rFonts w:hint="eastAsia"/>
                <w:lang w:eastAsia="zh-CN"/>
              </w:rPr>
              <w:t>改善全球保护区的财务可持续性、有效管理和生态系统覆盖率</w:t>
            </w:r>
          </w:p>
        </w:tc>
      </w:tr>
      <w:tr w:rsidR="00010A23" w:rsidRPr="00273B2C" w14:paraId="3B08F8CA" w14:textId="77777777" w:rsidTr="00010A23">
        <w:tc>
          <w:tcPr>
            <w:tcW w:w="1795" w:type="dxa"/>
          </w:tcPr>
          <w:p w14:paraId="3169A2D3" w14:textId="77FB2CDF" w:rsidR="00010A23" w:rsidRPr="00273B2C" w:rsidRDefault="00AF4612" w:rsidP="00AF4612">
            <w:proofErr w:type="spellStart"/>
            <w:r>
              <w:t>影响方案</w:t>
            </w:r>
            <w:proofErr w:type="spellEnd"/>
          </w:p>
        </w:tc>
        <w:tc>
          <w:tcPr>
            <w:tcW w:w="7555" w:type="dxa"/>
          </w:tcPr>
          <w:p w14:paraId="3C985530" w14:textId="1A6A5508" w:rsidR="00010A23" w:rsidRPr="00273B2C" w:rsidRDefault="00AD67C1" w:rsidP="00A238C7">
            <w:pPr>
              <w:spacing w:after="40"/>
              <w:rPr>
                <w:lang w:eastAsia="zh-CN"/>
              </w:rPr>
            </w:pPr>
            <w:r>
              <w:rPr>
                <w:rFonts w:hint="eastAsia"/>
                <w:lang w:eastAsia="zh-CN"/>
              </w:rPr>
              <w:t>可持续森林管理影响方案</w:t>
            </w:r>
          </w:p>
        </w:tc>
      </w:tr>
      <w:tr w:rsidR="00273B2C" w:rsidRPr="00273B2C" w14:paraId="254A17C3" w14:textId="77777777" w:rsidTr="00010A23">
        <w:tc>
          <w:tcPr>
            <w:tcW w:w="1795" w:type="dxa"/>
          </w:tcPr>
          <w:p w14:paraId="00B425FD" w14:textId="01113B79" w:rsidR="00273B2C" w:rsidRPr="00273B2C" w:rsidRDefault="00AD67C1" w:rsidP="00AD67C1">
            <w:proofErr w:type="spellStart"/>
            <w:r>
              <w:t>其他相关重点领域</w:t>
            </w:r>
            <w:proofErr w:type="spellEnd"/>
          </w:p>
        </w:tc>
        <w:tc>
          <w:tcPr>
            <w:tcW w:w="7555" w:type="dxa"/>
          </w:tcPr>
          <w:p w14:paraId="1A21FF41" w14:textId="5DA9500C" w:rsidR="00273B2C" w:rsidRPr="00273B2C" w:rsidRDefault="00AD67C1" w:rsidP="00A238C7">
            <w:pPr>
              <w:spacing w:after="40"/>
              <w:rPr>
                <w:lang w:eastAsia="zh-CN"/>
              </w:rPr>
            </w:pPr>
            <w:r>
              <w:rPr>
                <w:rFonts w:hint="eastAsia"/>
                <w:lang w:eastAsia="zh-CN"/>
              </w:rPr>
              <w:t>国际水域重点领域</w:t>
            </w:r>
            <w:r>
              <w:rPr>
                <w:rFonts w:hint="eastAsia"/>
                <w:lang w:eastAsia="zh-CN"/>
              </w:rPr>
              <w:t>/</w:t>
            </w:r>
            <w:r>
              <w:rPr>
                <w:rFonts w:hint="eastAsia"/>
                <w:lang w:eastAsia="zh-CN"/>
              </w:rPr>
              <w:t>沿海和海洋保护区</w:t>
            </w:r>
          </w:p>
        </w:tc>
      </w:tr>
      <w:tr w:rsidR="00273B2C" w:rsidRPr="00D52A9D" w14:paraId="5B2FCEB9" w14:textId="77777777" w:rsidTr="005E3305">
        <w:tc>
          <w:tcPr>
            <w:tcW w:w="9350" w:type="dxa"/>
            <w:gridSpan w:val="2"/>
            <w:shd w:val="clear" w:color="auto" w:fill="auto"/>
          </w:tcPr>
          <w:p w14:paraId="267E6D32" w14:textId="50EE7778" w:rsidR="00273B2C" w:rsidRPr="00D52A9D" w:rsidRDefault="003D183D" w:rsidP="003D183D">
            <w:pPr>
              <w:spacing w:after="40"/>
              <w:rPr>
                <w:b/>
                <w:lang w:eastAsia="zh-CN"/>
              </w:rPr>
            </w:pPr>
            <w:r w:rsidRPr="003D183D">
              <w:rPr>
                <w:rFonts w:hint="eastAsia"/>
                <w:b/>
                <w:lang w:eastAsia="zh-CN"/>
              </w:rPr>
              <w:t>目标</w:t>
            </w:r>
            <w:r>
              <w:rPr>
                <w:rFonts w:hint="eastAsia"/>
                <w:b/>
                <w:lang w:eastAsia="zh-CN"/>
              </w:rPr>
              <w:t>3</w:t>
            </w:r>
            <w:r w:rsidRPr="003D183D">
              <w:rPr>
                <w:rFonts w:hint="eastAsia"/>
                <w:b/>
                <w:lang w:eastAsia="zh-CN"/>
              </w:rPr>
              <w:t>.</w:t>
            </w:r>
            <w:r>
              <w:rPr>
                <w:rFonts w:hint="eastAsia"/>
                <w:b/>
                <w:lang w:eastAsia="zh-CN"/>
              </w:rPr>
              <w:t xml:space="preserve"> </w:t>
            </w:r>
            <w:r w:rsidRPr="009B3D0F">
              <w:rPr>
                <w:rStyle w:val="style21"/>
                <w:rFonts w:ascii="Segoe UI" w:hAnsi="Segoe UI" w:cs="Segoe UI"/>
                <w:b/>
                <w:color w:val="auto"/>
                <w:sz w:val="22"/>
                <w:szCs w:val="22"/>
                <w:lang w:eastAsia="zh-CN"/>
              </w:rPr>
              <w:t>进一步制订生物多样性政策和体制框架</w:t>
            </w:r>
          </w:p>
        </w:tc>
      </w:tr>
      <w:tr w:rsidR="00273B2C" w:rsidRPr="00273B2C" w14:paraId="1D58D3CB" w14:textId="77777777" w:rsidTr="00010A23">
        <w:tc>
          <w:tcPr>
            <w:tcW w:w="1795" w:type="dxa"/>
          </w:tcPr>
          <w:p w14:paraId="541A7033" w14:textId="77777777" w:rsidR="00273B2C" w:rsidRPr="00273B2C" w:rsidRDefault="00273B2C" w:rsidP="00273B2C">
            <w:r w:rsidRPr="00273B2C">
              <w:t>3-8</w:t>
            </w:r>
          </w:p>
        </w:tc>
        <w:tc>
          <w:tcPr>
            <w:tcW w:w="7555" w:type="dxa"/>
          </w:tcPr>
          <w:p w14:paraId="154F46B9" w14:textId="1AB6574D" w:rsidR="00273B2C" w:rsidRPr="00273B2C" w:rsidRDefault="00AD67C1" w:rsidP="00A238C7">
            <w:pPr>
              <w:spacing w:after="40"/>
              <w:rPr>
                <w:lang w:eastAsia="zh-CN"/>
              </w:rPr>
            </w:pPr>
            <w:r>
              <w:rPr>
                <w:rFonts w:hint="eastAsia"/>
                <w:lang w:eastAsia="zh-CN"/>
              </w:rPr>
              <w:t>实施《卡塔赫纳生物安全议定书》</w:t>
            </w:r>
          </w:p>
        </w:tc>
      </w:tr>
      <w:tr w:rsidR="00273B2C" w:rsidRPr="00273B2C" w14:paraId="16926671" w14:textId="77777777" w:rsidTr="00010A23">
        <w:tc>
          <w:tcPr>
            <w:tcW w:w="1795" w:type="dxa"/>
          </w:tcPr>
          <w:p w14:paraId="73C1C924" w14:textId="77777777" w:rsidR="00273B2C" w:rsidRPr="00273B2C" w:rsidRDefault="00273B2C" w:rsidP="00273B2C">
            <w:r w:rsidRPr="00273B2C">
              <w:t>3-9</w:t>
            </w:r>
          </w:p>
        </w:tc>
        <w:tc>
          <w:tcPr>
            <w:tcW w:w="7555" w:type="dxa"/>
          </w:tcPr>
          <w:p w14:paraId="6C4E6555" w14:textId="00FE1FAD" w:rsidR="00273B2C" w:rsidRPr="00273B2C" w:rsidRDefault="00AD67C1" w:rsidP="00A238C7">
            <w:pPr>
              <w:spacing w:after="40"/>
              <w:rPr>
                <w:lang w:eastAsia="zh-CN"/>
              </w:rPr>
            </w:pPr>
            <w:r>
              <w:rPr>
                <w:rFonts w:hint="eastAsia"/>
                <w:lang w:eastAsia="zh-CN"/>
              </w:rPr>
              <w:t>实施《关于获取遗传资源和惠益分享的名古屋议定书》</w:t>
            </w:r>
          </w:p>
        </w:tc>
      </w:tr>
      <w:tr w:rsidR="00273B2C" w:rsidRPr="00273B2C" w14:paraId="02373F39" w14:textId="77777777" w:rsidTr="00010A23">
        <w:tc>
          <w:tcPr>
            <w:tcW w:w="1795" w:type="dxa"/>
          </w:tcPr>
          <w:p w14:paraId="0970BA92" w14:textId="6C8172D6" w:rsidR="00273B2C" w:rsidRPr="00273B2C" w:rsidRDefault="00AD67C1" w:rsidP="00AD67C1">
            <w:proofErr w:type="spellStart"/>
            <w:r>
              <w:t>扶持活动</w:t>
            </w:r>
            <w:proofErr w:type="spellEnd"/>
          </w:p>
        </w:tc>
        <w:tc>
          <w:tcPr>
            <w:tcW w:w="7555" w:type="dxa"/>
          </w:tcPr>
          <w:p w14:paraId="44B22B63" w14:textId="45BDC135" w:rsidR="00273B2C" w:rsidRPr="00273B2C" w:rsidRDefault="00AD67C1" w:rsidP="00AD67C1">
            <w:pPr>
              <w:spacing w:after="40"/>
              <w:rPr>
                <w:lang w:eastAsia="zh-CN"/>
              </w:rPr>
            </w:pPr>
            <w:r>
              <w:rPr>
                <w:rFonts w:hint="eastAsia"/>
                <w:lang w:eastAsia="zh-CN"/>
              </w:rPr>
              <w:t>改进生物多样性政策、规划和审查</w:t>
            </w:r>
          </w:p>
        </w:tc>
      </w:tr>
    </w:tbl>
    <w:bookmarkEnd w:id="10"/>
    <w:p w14:paraId="22C9B8A7" w14:textId="6363AF66" w:rsidR="00641026" w:rsidRPr="003D54E3" w:rsidRDefault="00641026" w:rsidP="00CA5440">
      <w:pPr>
        <w:pStyle w:val="ListParagraph"/>
        <w:numPr>
          <w:ilvl w:val="0"/>
          <w:numId w:val="25"/>
        </w:numPr>
        <w:spacing w:before="240" w:after="240" w:line="240" w:lineRule="auto"/>
        <w:ind w:left="0" w:firstLine="0"/>
        <w:contextualSpacing w:val="0"/>
        <w:rPr>
          <w:rFonts w:ascii="Calibri" w:hAnsi="Calibri" w:cs="Times New Roman"/>
          <w:sz w:val="24"/>
          <w:szCs w:val="24"/>
          <w:lang w:eastAsia="zh-CN"/>
        </w:rPr>
      </w:pPr>
      <w:r w:rsidRPr="003D54E3">
        <w:rPr>
          <w:rFonts w:hint="eastAsia"/>
          <w:sz w:val="24"/>
          <w:szCs w:val="24"/>
          <w:lang w:eastAsia="zh-CN"/>
        </w:rPr>
        <w:t>尽管全球环境基金的一些生物多样性投资与爱知生物多样性目标有一对一的</w:t>
      </w:r>
      <w:r w:rsidR="00D6516B" w:rsidRPr="003D54E3">
        <w:rPr>
          <w:rFonts w:hint="eastAsia"/>
          <w:sz w:val="24"/>
          <w:szCs w:val="24"/>
          <w:lang w:eastAsia="zh-CN"/>
        </w:rPr>
        <w:t>对应</w:t>
      </w:r>
      <w:r w:rsidRPr="003D54E3">
        <w:rPr>
          <w:rFonts w:hint="eastAsia"/>
          <w:sz w:val="24"/>
          <w:szCs w:val="24"/>
          <w:lang w:eastAsia="zh-CN"/>
        </w:rPr>
        <w:t>关系，例如关于保护区的目标</w:t>
      </w:r>
      <w:r w:rsidRPr="003D54E3">
        <w:rPr>
          <w:rFonts w:hint="eastAsia"/>
          <w:sz w:val="24"/>
          <w:szCs w:val="24"/>
          <w:lang w:eastAsia="zh-CN"/>
        </w:rPr>
        <w:t>11</w:t>
      </w:r>
      <w:r w:rsidRPr="003D54E3">
        <w:rPr>
          <w:rFonts w:hint="eastAsia"/>
          <w:sz w:val="24"/>
          <w:szCs w:val="24"/>
          <w:lang w:eastAsia="zh-CN"/>
        </w:rPr>
        <w:t>，但其他对多个爱知目标的投资使报告每个目标的资源分配情况变得非常困难。这在生物多样性主流化领域尤其如此，对以美元为基础的生物多样性主流化项目投入的资源进行分析后发现，鉴于这些投资的综合性质以及对</w:t>
      </w:r>
      <w:r w:rsidR="00D6516B" w:rsidRPr="003D54E3">
        <w:rPr>
          <w:rFonts w:hint="eastAsia"/>
          <w:sz w:val="24"/>
          <w:szCs w:val="24"/>
          <w:lang w:eastAsia="zh-CN"/>
        </w:rPr>
        <w:t>目标本身</w:t>
      </w:r>
      <w:r w:rsidRPr="003D54E3">
        <w:rPr>
          <w:rFonts w:hint="eastAsia"/>
          <w:sz w:val="24"/>
          <w:szCs w:val="24"/>
          <w:lang w:eastAsia="zh-CN"/>
        </w:rPr>
        <w:t>的描述，全球环境基金的项目活动往往有助于实现一个以上的爱知生物多样性目标。</w:t>
      </w:r>
    </w:p>
    <w:p w14:paraId="024CB9DF" w14:textId="184E0832" w:rsidR="00D6516B" w:rsidRPr="003D54E3" w:rsidRDefault="00D6516B" w:rsidP="00CA5440">
      <w:pPr>
        <w:pStyle w:val="ListParagraph"/>
        <w:numPr>
          <w:ilvl w:val="0"/>
          <w:numId w:val="25"/>
        </w:numPr>
        <w:spacing w:before="240" w:after="240" w:line="240" w:lineRule="auto"/>
        <w:ind w:left="0" w:firstLine="0"/>
        <w:contextualSpacing w:val="0"/>
        <w:rPr>
          <w:rFonts w:ascii="Calibri" w:hAnsi="Calibri" w:cs="Times New Roman"/>
          <w:sz w:val="24"/>
          <w:szCs w:val="24"/>
          <w:lang w:eastAsia="zh-CN"/>
        </w:rPr>
      </w:pPr>
      <w:r w:rsidRPr="003D54E3">
        <w:rPr>
          <w:rFonts w:hint="eastAsia"/>
          <w:sz w:val="24"/>
          <w:szCs w:val="24"/>
          <w:lang w:eastAsia="zh-CN"/>
        </w:rPr>
        <w:t>为了在以下各表显示方案规划资源，将一些目标合并在一起，并且没有按逐个目标的投资资源总额进行分类。</w:t>
      </w:r>
    </w:p>
    <w:p w14:paraId="386CD78D" w14:textId="0B675C37" w:rsidR="00D6516B" w:rsidRPr="003D54E3" w:rsidRDefault="00D6516B" w:rsidP="00CA5440">
      <w:pPr>
        <w:pStyle w:val="ListParagraph"/>
        <w:numPr>
          <w:ilvl w:val="0"/>
          <w:numId w:val="25"/>
        </w:numPr>
        <w:spacing w:before="240" w:after="240" w:line="240" w:lineRule="auto"/>
        <w:ind w:left="0" w:firstLine="0"/>
        <w:contextualSpacing w:val="0"/>
        <w:rPr>
          <w:sz w:val="24"/>
          <w:szCs w:val="24"/>
          <w:lang w:eastAsia="zh-CN"/>
        </w:rPr>
      </w:pPr>
      <w:bookmarkStart w:id="11" w:name="_Hlk32178128"/>
      <w:r w:rsidRPr="003D54E3">
        <w:rPr>
          <w:rFonts w:hint="eastAsia"/>
          <w:sz w:val="24"/>
          <w:szCs w:val="24"/>
          <w:lang w:eastAsia="zh-CN"/>
        </w:rPr>
        <w:t>下表</w:t>
      </w:r>
      <w:r w:rsidRPr="003D54E3">
        <w:rPr>
          <w:rFonts w:hint="eastAsia"/>
          <w:sz w:val="24"/>
          <w:szCs w:val="24"/>
          <w:lang w:eastAsia="zh-CN"/>
        </w:rPr>
        <w:t>4</w:t>
      </w:r>
      <w:r w:rsidRPr="003D54E3">
        <w:rPr>
          <w:rFonts w:hint="eastAsia"/>
          <w:sz w:val="24"/>
          <w:szCs w:val="24"/>
          <w:lang w:eastAsia="zh-CN"/>
        </w:rPr>
        <w:t>列出</w:t>
      </w:r>
      <w:r w:rsidR="00D054A7" w:rsidRPr="003D54E3">
        <w:rPr>
          <w:rFonts w:hint="eastAsia"/>
          <w:sz w:val="24"/>
          <w:szCs w:val="24"/>
          <w:lang w:eastAsia="zh-CN"/>
        </w:rPr>
        <w:t>全环基金资源按</w:t>
      </w:r>
      <w:r w:rsidRPr="003D54E3">
        <w:rPr>
          <w:rFonts w:hint="eastAsia"/>
          <w:sz w:val="24"/>
          <w:szCs w:val="24"/>
          <w:lang w:eastAsia="zh-CN"/>
        </w:rPr>
        <w:t>全环基金第七次增资的所有相关方案规划项目（生物多样性重点领域战略</w:t>
      </w:r>
      <w:r w:rsidR="00D054A7" w:rsidRPr="003D54E3">
        <w:rPr>
          <w:rFonts w:hint="eastAsia"/>
          <w:sz w:val="24"/>
          <w:szCs w:val="24"/>
          <w:lang w:eastAsia="zh-CN"/>
        </w:rPr>
        <w:t>、全环基金第七次增资</w:t>
      </w:r>
      <w:r w:rsidRPr="003D54E3">
        <w:rPr>
          <w:rFonts w:hint="eastAsia"/>
          <w:sz w:val="24"/>
          <w:szCs w:val="24"/>
          <w:lang w:eastAsia="zh-CN"/>
        </w:rPr>
        <w:t>影响</w:t>
      </w:r>
      <w:r w:rsidR="00D054A7" w:rsidRPr="003D54E3">
        <w:rPr>
          <w:rFonts w:hint="eastAsia"/>
          <w:sz w:val="24"/>
          <w:szCs w:val="24"/>
          <w:lang w:eastAsia="zh-CN"/>
        </w:rPr>
        <w:t>方案</w:t>
      </w:r>
      <w:r w:rsidRPr="003D54E3">
        <w:rPr>
          <w:rFonts w:hint="eastAsia"/>
          <w:sz w:val="24"/>
          <w:szCs w:val="24"/>
          <w:lang w:eastAsia="zh-CN"/>
        </w:rPr>
        <w:t>，国际水域重点领域</w:t>
      </w:r>
      <w:r w:rsidR="00D054A7" w:rsidRPr="003D54E3">
        <w:rPr>
          <w:rFonts w:hint="eastAsia"/>
          <w:sz w:val="24"/>
          <w:szCs w:val="24"/>
          <w:lang w:eastAsia="zh-CN"/>
        </w:rPr>
        <w:t>、促进</w:t>
      </w:r>
      <w:r w:rsidRPr="003D54E3">
        <w:rPr>
          <w:rFonts w:hint="eastAsia"/>
          <w:sz w:val="24"/>
          <w:szCs w:val="24"/>
          <w:lang w:eastAsia="zh-CN"/>
        </w:rPr>
        <w:t>适应气候变化</w:t>
      </w:r>
      <w:r w:rsidR="00D054A7" w:rsidRPr="003D54E3">
        <w:rPr>
          <w:rFonts w:hint="eastAsia"/>
          <w:sz w:val="24"/>
          <w:szCs w:val="24"/>
          <w:lang w:eastAsia="zh-CN"/>
        </w:rPr>
        <w:t>的最不发达国家基金、</w:t>
      </w:r>
      <w:r w:rsidRPr="003D54E3">
        <w:rPr>
          <w:rFonts w:hint="eastAsia"/>
          <w:sz w:val="24"/>
          <w:szCs w:val="24"/>
          <w:lang w:eastAsia="zh-CN"/>
        </w:rPr>
        <w:t>非赠款工具和小额赠款</w:t>
      </w:r>
      <w:r w:rsidR="00D054A7" w:rsidRPr="003D54E3">
        <w:rPr>
          <w:rFonts w:hint="eastAsia"/>
          <w:sz w:val="24"/>
          <w:szCs w:val="24"/>
          <w:lang w:eastAsia="zh-CN"/>
        </w:rPr>
        <w:t>方案）对爱知生物多样性目标提供的累</w:t>
      </w:r>
      <w:r w:rsidR="00D054A7" w:rsidRPr="003D54E3">
        <w:rPr>
          <w:rFonts w:hint="eastAsia"/>
          <w:sz w:val="24"/>
          <w:szCs w:val="24"/>
          <w:lang w:eastAsia="zh-CN"/>
        </w:rPr>
        <w:lastRenderedPageBreak/>
        <w:t>计直接方案编制捐助。在全环基金第七次增资期间</w:t>
      </w:r>
      <w:r w:rsidRPr="003D54E3">
        <w:rPr>
          <w:rFonts w:hint="eastAsia"/>
          <w:sz w:val="24"/>
          <w:szCs w:val="24"/>
          <w:lang w:eastAsia="zh-CN"/>
        </w:rPr>
        <w:t>的前</w:t>
      </w:r>
      <w:r w:rsidRPr="003D54E3">
        <w:rPr>
          <w:rFonts w:hint="eastAsia"/>
          <w:sz w:val="24"/>
          <w:szCs w:val="24"/>
          <w:lang w:eastAsia="zh-CN"/>
        </w:rPr>
        <w:t>18</w:t>
      </w:r>
      <w:r w:rsidRPr="003D54E3">
        <w:rPr>
          <w:rFonts w:hint="eastAsia"/>
          <w:sz w:val="24"/>
          <w:szCs w:val="24"/>
          <w:lang w:eastAsia="zh-CN"/>
        </w:rPr>
        <w:t>个月中，</w:t>
      </w:r>
      <w:r w:rsidR="00D054A7" w:rsidRPr="003D54E3">
        <w:rPr>
          <w:rFonts w:hint="eastAsia"/>
          <w:sz w:val="24"/>
          <w:szCs w:val="24"/>
          <w:lang w:eastAsia="zh-CN"/>
        </w:rPr>
        <w:t>全环基金的</w:t>
      </w:r>
      <w:r w:rsidRPr="003D54E3">
        <w:rPr>
          <w:rFonts w:hint="eastAsia"/>
          <w:sz w:val="24"/>
          <w:szCs w:val="24"/>
          <w:lang w:eastAsia="zh-CN"/>
        </w:rPr>
        <w:t>投资</w:t>
      </w:r>
      <w:r w:rsidR="00D054A7" w:rsidRPr="003D54E3">
        <w:rPr>
          <w:rFonts w:hint="eastAsia"/>
          <w:sz w:val="24"/>
          <w:szCs w:val="24"/>
          <w:lang w:eastAsia="zh-CN"/>
        </w:rPr>
        <w:t>总额</w:t>
      </w:r>
      <w:r w:rsidRPr="003D54E3">
        <w:rPr>
          <w:rFonts w:hint="eastAsia"/>
          <w:sz w:val="24"/>
          <w:szCs w:val="24"/>
          <w:lang w:eastAsia="zh-CN"/>
        </w:rPr>
        <w:t>为</w:t>
      </w:r>
      <w:r w:rsidRPr="003D54E3">
        <w:rPr>
          <w:rFonts w:hint="eastAsia"/>
          <w:sz w:val="24"/>
          <w:szCs w:val="24"/>
          <w:lang w:eastAsia="zh-CN"/>
        </w:rPr>
        <w:t>10.56</w:t>
      </w:r>
      <w:r w:rsidRPr="003D54E3">
        <w:rPr>
          <w:rFonts w:hint="eastAsia"/>
          <w:sz w:val="24"/>
          <w:szCs w:val="24"/>
          <w:lang w:eastAsia="zh-CN"/>
        </w:rPr>
        <w:t>亿美元，</w:t>
      </w:r>
      <w:r w:rsidR="0045272E" w:rsidRPr="003D54E3">
        <w:rPr>
          <w:rFonts w:hint="eastAsia"/>
          <w:sz w:val="24"/>
          <w:szCs w:val="24"/>
          <w:lang w:eastAsia="zh-CN"/>
        </w:rPr>
        <w:t>加上</w:t>
      </w:r>
      <w:r w:rsidR="00D054A7" w:rsidRPr="003D54E3">
        <w:rPr>
          <w:rFonts w:hint="eastAsia"/>
          <w:sz w:val="24"/>
          <w:szCs w:val="24"/>
          <w:lang w:eastAsia="zh-CN"/>
        </w:rPr>
        <w:t>共同</w:t>
      </w:r>
      <w:r w:rsidR="0045272E" w:rsidRPr="003D54E3">
        <w:rPr>
          <w:rFonts w:hint="eastAsia"/>
          <w:sz w:val="24"/>
          <w:szCs w:val="24"/>
          <w:lang w:eastAsia="zh-CN"/>
        </w:rPr>
        <w:t>筹资</w:t>
      </w:r>
      <w:r w:rsidR="00D054A7" w:rsidRPr="003D54E3">
        <w:rPr>
          <w:rFonts w:hint="eastAsia"/>
          <w:sz w:val="24"/>
          <w:szCs w:val="24"/>
          <w:lang w:eastAsia="zh-CN"/>
        </w:rPr>
        <w:t>的</w:t>
      </w:r>
      <w:r w:rsidRPr="003D54E3">
        <w:rPr>
          <w:rFonts w:hint="eastAsia"/>
          <w:sz w:val="24"/>
          <w:szCs w:val="24"/>
          <w:lang w:eastAsia="zh-CN"/>
        </w:rPr>
        <w:t>89.55</w:t>
      </w:r>
      <w:r w:rsidRPr="003D54E3">
        <w:rPr>
          <w:rFonts w:hint="eastAsia"/>
          <w:sz w:val="24"/>
          <w:szCs w:val="24"/>
          <w:lang w:eastAsia="zh-CN"/>
        </w:rPr>
        <w:t>亿美元，</w:t>
      </w:r>
      <w:r w:rsidR="00D054A7" w:rsidRPr="003D54E3">
        <w:rPr>
          <w:rFonts w:hint="eastAsia"/>
          <w:sz w:val="24"/>
          <w:szCs w:val="24"/>
          <w:lang w:eastAsia="zh-CN"/>
        </w:rPr>
        <w:t>达到</w:t>
      </w:r>
      <w:r w:rsidRPr="003D54E3">
        <w:rPr>
          <w:rFonts w:hint="eastAsia"/>
          <w:sz w:val="24"/>
          <w:szCs w:val="24"/>
          <w:lang w:eastAsia="zh-CN"/>
        </w:rPr>
        <w:t>总投资</w:t>
      </w:r>
      <w:r w:rsidRPr="003D54E3">
        <w:rPr>
          <w:rFonts w:hint="eastAsia"/>
          <w:sz w:val="24"/>
          <w:szCs w:val="24"/>
          <w:lang w:eastAsia="zh-CN"/>
        </w:rPr>
        <w:t>10</w:t>
      </w:r>
      <w:r w:rsidR="00D054A7" w:rsidRPr="003D54E3">
        <w:rPr>
          <w:rFonts w:hint="eastAsia"/>
          <w:sz w:val="24"/>
          <w:szCs w:val="24"/>
          <w:lang w:eastAsia="zh-CN"/>
        </w:rPr>
        <w:t>0</w:t>
      </w:r>
      <w:r w:rsidRPr="003D54E3">
        <w:rPr>
          <w:rFonts w:hint="eastAsia"/>
          <w:sz w:val="24"/>
          <w:szCs w:val="24"/>
          <w:lang w:eastAsia="zh-CN"/>
        </w:rPr>
        <w:t>.1</w:t>
      </w:r>
      <w:r w:rsidRPr="003D54E3">
        <w:rPr>
          <w:rFonts w:hint="eastAsia"/>
          <w:sz w:val="24"/>
          <w:szCs w:val="24"/>
          <w:lang w:eastAsia="zh-CN"/>
        </w:rPr>
        <w:t>亿美元。</w:t>
      </w:r>
    </w:p>
    <w:bookmarkEnd w:id="11"/>
    <w:p w14:paraId="17494EEC" w14:textId="36B00708" w:rsidR="0045272E" w:rsidRDefault="0045272E" w:rsidP="00102140">
      <w:pPr>
        <w:spacing w:before="240" w:after="0" w:line="240" w:lineRule="auto"/>
        <w:jc w:val="center"/>
        <w:rPr>
          <w:b/>
          <w:sz w:val="24"/>
          <w:szCs w:val="24"/>
          <w:lang w:eastAsia="zh-CN"/>
        </w:rPr>
      </w:pPr>
      <w:r>
        <w:rPr>
          <w:rFonts w:hint="eastAsia"/>
          <w:b/>
          <w:sz w:val="24"/>
          <w:szCs w:val="24"/>
          <w:lang w:eastAsia="zh-CN"/>
        </w:rPr>
        <w:t>表</w:t>
      </w:r>
      <w:r>
        <w:rPr>
          <w:rFonts w:hint="eastAsia"/>
          <w:b/>
          <w:sz w:val="24"/>
          <w:szCs w:val="24"/>
          <w:lang w:eastAsia="zh-CN"/>
        </w:rPr>
        <w:t xml:space="preserve">4. </w:t>
      </w:r>
      <w:r>
        <w:rPr>
          <w:rFonts w:hint="eastAsia"/>
          <w:b/>
          <w:sz w:val="24"/>
          <w:szCs w:val="24"/>
          <w:lang w:eastAsia="zh-CN"/>
        </w:rPr>
        <w:t>全环基金</w:t>
      </w:r>
      <w:r w:rsidR="0064716A">
        <w:rPr>
          <w:rFonts w:hint="eastAsia"/>
          <w:b/>
          <w:sz w:val="24"/>
          <w:szCs w:val="24"/>
          <w:lang w:eastAsia="zh-CN"/>
        </w:rPr>
        <w:t>的所有</w:t>
      </w:r>
      <w:r>
        <w:rPr>
          <w:rFonts w:hint="eastAsia"/>
          <w:b/>
          <w:sz w:val="24"/>
          <w:szCs w:val="24"/>
          <w:lang w:eastAsia="zh-CN"/>
        </w:rPr>
        <w:t>资源对《</w:t>
      </w:r>
      <w:r>
        <w:rPr>
          <w:rFonts w:hint="eastAsia"/>
          <w:b/>
          <w:sz w:val="24"/>
          <w:szCs w:val="24"/>
          <w:lang w:eastAsia="zh-CN"/>
        </w:rPr>
        <w:t>2011-2020</w:t>
      </w:r>
      <w:r>
        <w:rPr>
          <w:rFonts w:hint="eastAsia"/>
          <w:b/>
          <w:sz w:val="24"/>
          <w:szCs w:val="24"/>
          <w:lang w:eastAsia="zh-CN"/>
        </w:rPr>
        <w:t>年生物多样性战略计划》</w:t>
      </w:r>
      <w:r w:rsidR="0064716A">
        <w:rPr>
          <w:b/>
          <w:sz w:val="24"/>
          <w:szCs w:val="24"/>
          <w:lang w:eastAsia="zh-CN"/>
        </w:rPr>
        <w:br/>
      </w:r>
      <w:r>
        <w:rPr>
          <w:rFonts w:hint="eastAsia"/>
          <w:b/>
          <w:sz w:val="24"/>
          <w:szCs w:val="24"/>
          <w:lang w:eastAsia="zh-CN"/>
        </w:rPr>
        <w:t>和爱知生物多样性目标</w:t>
      </w:r>
      <w:r w:rsidR="0064716A">
        <w:rPr>
          <w:rFonts w:hint="eastAsia"/>
          <w:b/>
          <w:sz w:val="24"/>
          <w:szCs w:val="24"/>
          <w:lang w:eastAsia="zh-CN"/>
        </w:rPr>
        <w:t>作出</w:t>
      </w:r>
      <w:r>
        <w:rPr>
          <w:rFonts w:hint="eastAsia"/>
          <w:b/>
          <w:sz w:val="24"/>
          <w:szCs w:val="24"/>
          <w:lang w:eastAsia="zh-CN"/>
        </w:rPr>
        <w:t>的累计直接方案</w:t>
      </w:r>
      <w:r w:rsidR="0064716A">
        <w:rPr>
          <w:rFonts w:hint="eastAsia"/>
          <w:b/>
          <w:sz w:val="24"/>
          <w:szCs w:val="24"/>
          <w:lang w:eastAsia="zh-CN"/>
        </w:rPr>
        <w:t>规划捐助</w:t>
      </w:r>
    </w:p>
    <w:p w14:paraId="0D86C9D7" w14:textId="06A3DCED" w:rsidR="00DE0D6E" w:rsidRPr="00E30D88" w:rsidRDefault="00DE0D6E" w:rsidP="00D722AE">
      <w:pPr>
        <w:spacing w:after="240" w:line="240" w:lineRule="auto"/>
        <w:jc w:val="center"/>
        <w:rPr>
          <w:b/>
          <w:sz w:val="24"/>
          <w:szCs w:val="24"/>
          <w:lang w:val="en-GB"/>
        </w:rPr>
      </w:pPr>
      <w:r w:rsidRPr="009F23A8">
        <w:rPr>
          <w:b/>
          <w:sz w:val="24"/>
          <w:szCs w:val="24"/>
        </w:rPr>
        <w:t>(2018</w:t>
      </w:r>
      <w:r w:rsidR="0064716A">
        <w:rPr>
          <w:b/>
          <w:sz w:val="24"/>
          <w:szCs w:val="24"/>
        </w:rPr>
        <w:t>年</w:t>
      </w:r>
      <w:r w:rsidR="0064716A">
        <w:rPr>
          <w:rFonts w:hint="eastAsia"/>
          <w:b/>
          <w:sz w:val="24"/>
          <w:szCs w:val="24"/>
          <w:lang w:eastAsia="zh-CN"/>
        </w:rPr>
        <w:t>7</w:t>
      </w:r>
      <w:r w:rsidR="0064716A">
        <w:rPr>
          <w:rFonts w:hint="eastAsia"/>
          <w:b/>
          <w:sz w:val="24"/>
          <w:szCs w:val="24"/>
          <w:lang w:eastAsia="zh-CN"/>
        </w:rPr>
        <w:t>月</w:t>
      </w:r>
      <w:r w:rsidR="0064716A">
        <w:rPr>
          <w:rFonts w:hint="eastAsia"/>
          <w:b/>
          <w:sz w:val="24"/>
          <w:szCs w:val="24"/>
          <w:lang w:eastAsia="zh-CN"/>
        </w:rPr>
        <w:t>1</w:t>
      </w:r>
      <w:r w:rsidR="0064716A">
        <w:rPr>
          <w:rFonts w:hint="eastAsia"/>
          <w:b/>
          <w:sz w:val="24"/>
          <w:szCs w:val="24"/>
          <w:lang w:eastAsia="zh-CN"/>
        </w:rPr>
        <w:t>日至</w:t>
      </w:r>
      <w:r w:rsidRPr="009F23A8">
        <w:rPr>
          <w:b/>
          <w:sz w:val="24"/>
          <w:szCs w:val="24"/>
        </w:rPr>
        <w:t>2019</w:t>
      </w:r>
      <w:r w:rsidR="0064716A">
        <w:rPr>
          <w:b/>
          <w:sz w:val="24"/>
          <w:szCs w:val="24"/>
        </w:rPr>
        <w:t>年</w:t>
      </w:r>
      <w:r w:rsidR="0064716A">
        <w:rPr>
          <w:rFonts w:hint="eastAsia"/>
          <w:b/>
          <w:sz w:val="24"/>
          <w:szCs w:val="24"/>
          <w:lang w:eastAsia="zh-CN"/>
        </w:rPr>
        <w:t>12</w:t>
      </w:r>
      <w:r w:rsidR="0064716A">
        <w:rPr>
          <w:rFonts w:hint="eastAsia"/>
          <w:b/>
          <w:sz w:val="24"/>
          <w:szCs w:val="24"/>
          <w:lang w:eastAsia="zh-CN"/>
        </w:rPr>
        <w:t>月</w:t>
      </w:r>
      <w:r w:rsidR="0064716A">
        <w:rPr>
          <w:rFonts w:hint="eastAsia"/>
          <w:b/>
          <w:sz w:val="24"/>
          <w:szCs w:val="24"/>
          <w:lang w:eastAsia="zh-CN"/>
        </w:rPr>
        <w:t>31</w:t>
      </w:r>
      <w:r w:rsidR="0064716A">
        <w:rPr>
          <w:rFonts w:hint="eastAsia"/>
          <w:b/>
          <w:sz w:val="24"/>
          <w:szCs w:val="24"/>
          <w:lang w:eastAsia="zh-CN"/>
        </w:rPr>
        <w:t>日</w:t>
      </w:r>
      <w:r w:rsidRPr="009F23A8">
        <w:rPr>
          <w:b/>
          <w:sz w:val="24"/>
          <w:szCs w:val="24"/>
        </w:rPr>
        <w:t>)</w:t>
      </w:r>
      <w:r w:rsidRPr="003D54E3">
        <w:rPr>
          <w:sz w:val="24"/>
          <w:szCs w:val="24"/>
          <w:vertAlign w:val="superscript"/>
          <w:lang w:val="en-GB"/>
        </w:rPr>
        <w:footnoteReference w:id="7"/>
      </w:r>
    </w:p>
    <w:tbl>
      <w:tblPr>
        <w:tblW w:w="5000" w:type="pct"/>
        <w:tblBorders>
          <w:top w:val="single" w:sz="12" w:space="0" w:color="008000"/>
          <w:bottom w:val="single" w:sz="12" w:space="0" w:color="008000"/>
        </w:tblBorders>
        <w:tblLook w:val="04A0" w:firstRow="1" w:lastRow="0" w:firstColumn="1" w:lastColumn="0" w:noHBand="0" w:noVBand="1"/>
      </w:tblPr>
      <w:tblGrid>
        <w:gridCol w:w="1622"/>
        <w:gridCol w:w="1261"/>
        <w:gridCol w:w="1277"/>
        <w:gridCol w:w="1267"/>
        <w:gridCol w:w="1267"/>
        <w:gridCol w:w="1333"/>
        <w:gridCol w:w="1333"/>
      </w:tblGrid>
      <w:tr w:rsidR="00DE0D6E" w:rsidRPr="0055445F" w14:paraId="25874DF3" w14:textId="77777777" w:rsidTr="008C69DD">
        <w:trPr>
          <w:tblHeader/>
        </w:trPr>
        <w:tc>
          <w:tcPr>
            <w:tcW w:w="866" w:type="pct"/>
            <w:tcBorders>
              <w:bottom w:val="nil"/>
            </w:tcBorders>
            <w:shd w:val="clear" w:color="auto" w:fill="auto"/>
          </w:tcPr>
          <w:p w14:paraId="06F9EA37" w14:textId="32F61333" w:rsidR="00DE0D6E" w:rsidRPr="006E1745" w:rsidRDefault="0064716A" w:rsidP="0064716A">
            <w:pPr>
              <w:rPr>
                <w:b/>
                <w:lang w:val="en-GB"/>
              </w:rPr>
            </w:pPr>
            <w:proofErr w:type="spellStart"/>
            <w:r>
              <w:rPr>
                <w:b/>
                <w:lang w:val="en-GB"/>
              </w:rPr>
              <w:t>供资来源</w:t>
            </w:r>
            <w:proofErr w:type="spellEnd"/>
          </w:p>
        </w:tc>
        <w:tc>
          <w:tcPr>
            <w:tcW w:w="673" w:type="pct"/>
            <w:tcBorders>
              <w:bottom w:val="nil"/>
            </w:tcBorders>
            <w:shd w:val="clear" w:color="auto" w:fill="auto"/>
          </w:tcPr>
          <w:p w14:paraId="3C9B00CB" w14:textId="4ABCD1AC" w:rsidR="00DE0D6E" w:rsidRPr="006E1745" w:rsidRDefault="0064716A" w:rsidP="0064716A">
            <w:pPr>
              <w:rPr>
                <w:b/>
                <w:lang w:val="en-GB" w:eastAsia="zh-CN"/>
              </w:rPr>
            </w:pPr>
            <w:r>
              <w:rPr>
                <w:b/>
                <w:lang w:val="en-GB" w:eastAsia="zh-CN"/>
              </w:rPr>
              <w:t>全环基金项目供资</w:t>
            </w:r>
            <w:r w:rsidR="00DE0D6E" w:rsidRPr="006E1745">
              <w:rPr>
                <w:b/>
                <w:lang w:val="en-GB" w:eastAsia="zh-CN"/>
              </w:rPr>
              <w:t xml:space="preserve"> </w:t>
            </w:r>
            <w:r w:rsidR="00974FAC" w:rsidRPr="006E1745">
              <w:rPr>
                <w:b/>
                <w:lang w:val="en-GB" w:eastAsia="zh-CN"/>
              </w:rPr>
              <w:br/>
            </w:r>
            <w:r w:rsidR="001A7C45" w:rsidRPr="006E1745">
              <w:rPr>
                <w:b/>
                <w:lang w:val="en-GB" w:eastAsia="zh-CN"/>
              </w:rPr>
              <w:t>(</w:t>
            </w:r>
            <w:r>
              <w:rPr>
                <w:b/>
                <w:lang w:val="en-GB" w:eastAsia="zh-CN"/>
              </w:rPr>
              <w:t>百万美元</w:t>
            </w:r>
            <w:r w:rsidR="00DE0D6E" w:rsidRPr="006E1745">
              <w:rPr>
                <w:b/>
                <w:lang w:val="en-GB" w:eastAsia="zh-CN"/>
              </w:rPr>
              <w:t xml:space="preserve">) </w:t>
            </w:r>
          </w:p>
        </w:tc>
        <w:tc>
          <w:tcPr>
            <w:tcW w:w="682" w:type="pct"/>
            <w:tcBorders>
              <w:bottom w:val="nil"/>
            </w:tcBorders>
            <w:shd w:val="clear" w:color="auto" w:fill="auto"/>
          </w:tcPr>
          <w:p w14:paraId="217A4A28" w14:textId="3691F37D" w:rsidR="00DE0D6E" w:rsidRPr="006E1745" w:rsidRDefault="0064716A" w:rsidP="0064716A">
            <w:pPr>
              <w:rPr>
                <w:b/>
                <w:lang w:val="en-GB" w:eastAsia="zh-CN"/>
              </w:rPr>
            </w:pPr>
            <w:r>
              <w:rPr>
                <w:b/>
                <w:lang w:val="en-GB" w:eastAsia="zh-CN"/>
              </w:rPr>
              <w:t>占全环基金全部项目供资的百分比</w:t>
            </w:r>
            <w:r w:rsidR="00DE0D6E" w:rsidRPr="006E1745">
              <w:rPr>
                <w:b/>
                <w:lang w:val="en-GB" w:eastAsia="zh-CN"/>
              </w:rPr>
              <w:t xml:space="preserve">  </w:t>
            </w:r>
          </w:p>
        </w:tc>
        <w:tc>
          <w:tcPr>
            <w:tcW w:w="677" w:type="pct"/>
            <w:tcBorders>
              <w:bottom w:val="nil"/>
            </w:tcBorders>
            <w:shd w:val="clear" w:color="auto" w:fill="auto"/>
          </w:tcPr>
          <w:p w14:paraId="6B7BB546" w14:textId="250921DF" w:rsidR="00DE0D6E" w:rsidRPr="006E1745" w:rsidRDefault="0064716A" w:rsidP="0064716A">
            <w:pPr>
              <w:rPr>
                <w:b/>
                <w:lang w:val="en-GB"/>
              </w:rPr>
            </w:pPr>
            <w:proofErr w:type="spellStart"/>
            <w:r>
              <w:rPr>
                <w:b/>
                <w:lang w:val="en-GB"/>
              </w:rPr>
              <w:t>共同筹资</w:t>
            </w:r>
            <w:proofErr w:type="spellEnd"/>
            <w:r>
              <w:rPr>
                <w:rFonts w:hint="eastAsia"/>
                <w:b/>
                <w:lang w:val="en-GB" w:eastAsia="zh-CN"/>
              </w:rPr>
              <w:br/>
            </w:r>
            <w:r w:rsidR="00DE0D6E" w:rsidRPr="006E1745">
              <w:rPr>
                <w:b/>
                <w:lang w:val="en-GB"/>
              </w:rPr>
              <w:t>(</w:t>
            </w:r>
            <w:proofErr w:type="spellStart"/>
            <w:r>
              <w:rPr>
                <w:b/>
                <w:lang w:val="en-GB"/>
              </w:rPr>
              <w:t>百万美元</w:t>
            </w:r>
            <w:proofErr w:type="spellEnd"/>
            <w:r w:rsidR="00DE0D6E" w:rsidRPr="006E1745">
              <w:rPr>
                <w:b/>
                <w:lang w:val="en-GB"/>
              </w:rPr>
              <w:t>)</w:t>
            </w:r>
          </w:p>
        </w:tc>
        <w:tc>
          <w:tcPr>
            <w:tcW w:w="677" w:type="pct"/>
            <w:tcBorders>
              <w:bottom w:val="nil"/>
            </w:tcBorders>
            <w:shd w:val="clear" w:color="auto" w:fill="auto"/>
          </w:tcPr>
          <w:p w14:paraId="03E628FB" w14:textId="7CDFAE42" w:rsidR="00DE0D6E" w:rsidRPr="006E1745" w:rsidRDefault="0064716A" w:rsidP="0064716A">
            <w:pPr>
              <w:rPr>
                <w:b/>
                <w:lang w:val="en-GB"/>
              </w:rPr>
            </w:pPr>
            <w:proofErr w:type="spellStart"/>
            <w:r>
              <w:rPr>
                <w:b/>
                <w:lang w:val="en-GB"/>
              </w:rPr>
              <w:t>占共同筹资的百分比</w:t>
            </w:r>
            <w:proofErr w:type="spellEnd"/>
            <w:r w:rsidR="00DE0D6E" w:rsidRPr="006E1745">
              <w:rPr>
                <w:b/>
                <w:lang w:val="en-GB"/>
              </w:rPr>
              <w:t xml:space="preserve">  </w:t>
            </w:r>
          </w:p>
        </w:tc>
        <w:tc>
          <w:tcPr>
            <w:tcW w:w="712" w:type="pct"/>
            <w:tcBorders>
              <w:bottom w:val="nil"/>
            </w:tcBorders>
            <w:shd w:val="clear" w:color="auto" w:fill="auto"/>
          </w:tcPr>
          <w:p w14:paraId="2FBEE40D" w14:textId="650CBC53" w:rsidR="00DE0D6E" w:rsidRPr="006E1745" w:rsidRDefault="0064716A" w:rsidP="00042A32">
            <w:pPr>
              <w:rPr>
                <w:b/>
                <w:lang w:val="en-GB" w:eastAsia="zh-CN"/>
              </w:rPr>
            </w:pPr>
            <w:r>
              <w:rPr>
                <w:b/>
                <w:lang w:val="en-GB" w:eastAsia="zh-CN"/>
              </w:rPr>
              <w:t>总额</w:t>
            </w:r>
            <w:r w:rsidR="00DE0D6E" w:rsidRPr="006E1745">
              <w:rPr>
                <w:b/>
                <w:lang w:val="en-GB" w:eastAsia="zh-CN"/>
              </w:rPr>
              <w:br/>
              <w:t>(</w:t>
            </w:r>
            <w:r>
              <w:rPr>
                <w:b/>
                <w:lang w:val="en-GB" w:eastAsia="zh-CN"/>
              </w:rPr>
              <w:t>全环基金项目供资和共同筹资</w:t>
            </w:r>
            <w:r w:rsidR="00DE0D6E" w:rsidRPr="006E1745">
              <w:rPr>
                <w:b/>
                <w:lang w:val="en-GB" w:eastAsia="zh-CN"/>
              </w:rPr>
              <w:t xml:space="preserve">) </w:t>
            </w:r>
            <w:r w:rsidR="00974FAC" w:rsidRPr="006E1745">
              <w:rPr>
                <w:b/>
                <w:lang w:val="en-GB" w:eastAsia="zh-CN"/>
              </w:rPr>
              <w:br/>
            </w:r>
            <w:r w:rsidR="00DE0D6E" w:rsidRPr="006E1745">
              <w:rPr>
                <w:b/>
                <w:lang w:val="en-GB" w:eastAsia="zh-CN"/>
              </w:rPr>
              <w:t>(</w:t>
            </w:r>
            <w:r w:rsidR="00042A32">
              <w:rPr>
                <w:b/>
                <w:lang w:val="en-GB" w:eastAsia="zh-CN"/>
              </w:rPr>
              <w:t>百万美元</w:t>
            </w:r>
            <w:r w:rsidR="00DE0D6E" w:rsidRPr="006E1745">
              <w:rPr>
                <w:b/>
                <w:lang w:val="en-GB" w:eastAsia="zh-CN"/>
              </w:rPr>
              <w:t>)</w:t>
            </w:r>
          </w:p>
        </w:tc>
        <w:tc>
          <w:tcPr>
            <w:tcW w:w="712" w:type="pct"/>
            <w:tcBorders>
              <w:bottom w:val="nil"/>
            </w:tcBorders>
            <w:shd w:val="clear" w:color="auto" w:fill="auto"/>
          </w:tcPr>
          <w:p w14:paraId="493F8969" w14:textId="6DE1385E" w:rsidR="00DE0D6E" w:rsidRPr="006E1745" w:rsidRDefault="00042A32" w:rsidP="00042A32">
            <w:pPr>
              <w:rPr>
                <w:b/>
                <w:lang w:val="en-GB" w:eastAsia="zh-CN"/>
              </w:rPr>
            </w:pPr>
            <w:r>
              <w:rPr>
                <w:b/>
                <w:lang w:val="en-GB" w:eastAsia="zh-CN"/>
              </w:rPr>
              <w:t>占总额的百分比</w:t>
            </w:r>
            <w:r w:rsidR="00DE0D6E" w:rsidRPr="006E1745">
              <w:rPr>
                <w:b/>
                <w:lang w:val="en-GB" w:eastAsia="zh-CN"/>
              </w:rPr>
              <w:t>(</w:t>
            </w:r>
            <w:r>
              <w:rPr>
                <w:b/>
                <w:lang w:val="en-GB" w:eastAsia="zh-CN"/>
              </w:rPr>
              <w:t>全环基金项目供资和共同筹资</w:t>
            </w:r>
            <w:r w:rsidR="00DE0D6E" w:rsidRPr="006E1745">
              <w:rPr>
                <w:b/>
                <w:lang w:val="en-GB" w:eastAsia="zh-CN"/>
              </w:rPr>
              <w:t>)</w:t>
            </w:r>
          </w:p>
        </w:tc>
      </w:tr>
      <w:tr w:rsidR="002F3F78" w:rsidRPr="0055445F" w14:paraId="41AA6700" w14:textId="77777777" w:rsidTr="00A27713">
        <w:tc>
          <w:tcPr>
            <w:tcW w:w="866" w:type="pct"/>
            <w:tcBorders>
              <w:top w:val="single" w:sz="4" w:space="0" w:color="538135" w:themeColor="accent6" w:themeShade="BF"/>
              <w:left w:val="nil"/>
              <w:bottom w:val="nil"/>
              <w:right w:val="nil"/>
            </w:tcBorders>
            <w:shd w:val="clear" w:color="auto" w:fill="FFFFFF" w:themeFill="background1"/>
          </w:tcPr>
          <w:p w14:paraId="156F0FC3" w14:textId="597B20FF" w:rsidR="002F3F78" w:rsidRPr="0055445F" w:rsidRDefault="00042A32" w:rsidP="00042A32">
            <w:pPr>
              <w:rPr>
                <w:lang w:val="en-GB"/>
              </w:rPr>
            </w:pPr>
            <w:proofErr w:type="spellStart"/>
            <w:r>
              <w:t>生物多样性</w:t>
            </w:r>
            <w:proofErr w:type="spellEnd"/>
            <w:r w:rsidR="002F3F78" w:rsidRPr="0055445F">
              <w:rPr>
                <w:lang w:val="en-GB"/>
              </w:rPr>
              <w:t xml:space="preserve">STAR </w:t>
            </w:r>
            <w:proofErr w:type="spellStart"/>
            <w:r>
              <w:rPr>
                <w:lang w:val="en-GB"/>
              </w:rPr>
              <w:t>分配额</w:t>
            </w:r>
            <w:proofErr w:type="spellEnd"/>
            <w:r w:rsidR="002F3F78" w:rsidRPr="0055445F">
              <w:rPr>
                <w:rStyle w:val="FootnoteReference"/>
                <w:lang w:val="en-GB"/>
              </w:rPr>
              <w:footnoteReference w:id="8"/>
            </w:r>
          </w:p>
        </w:tc>
        <w:tc>
          <w:tcPr>
            <w:tcW w:w="673" w:type="pct"/>
            <w:tcBorders>
              <w:top w:val="single" w:sz="4" w:space="0" w:color="538135" w:themeColor="accent6" w:themeShade="BF"/>
              <w:left w:val="nil"/>
              <w:bottom w:val="nil"/>
              <w:right w:val="nil"/>
            </w:tcBorders>
            <w:shd w:val="clear" w:color="auto" w:fill="FFFFFF" w:themeFill="background1"/>
          </w:tcPr>
          <w:p w14:paraId="60BC5F3D" w14:textId="697F999E" w:rsidR="002F3F78" w:rsidRPr="0055445F" w:rsidRDefault="002F3F78" w:rsidP="00E768FE">
            <w:pPr>
              <w:jc w:val="right"/>
              <w:rPr>
                <w:lang w:val="en-GB"/>
              </w:rPr>
            </w:pPr>
            <w:r w:rsidRPr="0055445F">
              <w:rPr>
                <w:lang w:val="en-GB"/>
              </w:rPr>
              <w:t>201.3</w:t>
            </w:r>
          </w:p>
        </w:tc>
        <w:tc>
          <w:tcPr>
            <w:tcW w:w="682" w:type="pct"/>
            <w:tcBorders>
              <w:top w:val="single" w:sz="4" w:space="0" w:color="538135" w:themeColor="accent6" w:themeShade="BF"/>
              <w:left w:val="nil"/>
              <w:bottom w:val="nil"/>
              <w:right w:val="nil"/>
            </w:tcBorders>
            <w:shd w:val="clear" w:color="auto" w:fill="FFFFFF" w:themeFill="background1"/>
          </w:tcPr>
          <w:p w14:paraId="359E983A" w14:textId="098D780B" w:rsidR="002F3F78" w:rsidRPr="0055445F" w:rsidRDefault="002F3F78" w:rsidP="00640CBE">
            <w:pPr>
              <w:jc w:val="right"/>
            </w:pPr>
            <w:r w:rsidRPr="0055445F">
              <w:rPr>
                <w:rFonts w:ascii="Calibri" w:hAnsi="Calibri" w:cs="Calibri"/>
                <w:color w:val="000000"/>
              </w:rPr>
              <w:t>19%</w:t>
            </w:r>
          </w:p>
        </w:tc>
        <w:tc>
          <w:tcPr>
            <w:tcW w:w="677" w:type="pct"/>
            <w:tcBorders>
              <w:top w:val="single" w:sz="4" w:space="0" w:color="538135" w:themeColor="accent6" w:themeShade="BF"/>
              <w:left w:val="nil"/>
              <w:bottom w:val="nil"/>
              <w:right w:val="nil"/>
            </w:tcBorders>
            <w:shd w:val="clear" w:color="auto" w:fill="FFFFFF" w:themeFill="background1"/>
          </w:tcPr>
          <w:p w14:paraId="2042C695" w14:textId="0B223607" w:rsidR="002F3F78" w:rsidRPr="0055445F" w:rsidRDefault="002F3F78" w:rsidP="00640CBE">
            <w:pPr>
              <w:jc w:val="right"/>
              <w:rPr>
                <w:lang w:val="en-GB"/>
              </w:rPr>
            </w:pPr>
            <w:r w:rsidRPr="0055445F">
              <w:rPr>
                <w:rFonts w:ascii="Calibri" w:hAnsi="Calibri" w:cs="Calibri"/>
                <w:color w:val="000000"/>
                <w:lang w:val="en-GB"/>
              </w:rPr>
              <w:t>1,428.6</w:t>
            </w:r>
          </w:p>
        </w:tc>
        <w:tc>
          <w:tcPr>
            <w:tcW w:w="677" w:type="pct"/>
            <w:tcBorders>
              <w:top w:val="single" w:sz="4" w:space="0" w:color="538135" w:themeColor="accent6" w:themeShade="BF"/>
              <w:left w:val="nil"/>
              <w:bottom w:val="nil"/>
              <w:right w:val="nil"/>
            </w:tcBorders>
            <w:shd w:val="clear" w:color="auto" w:fill="FFFFFF" w:themeFill="background1"/>
          </w:tcPr>
          <w:p w14:paraId="3CC90FFB" w14:textId="444F2B97" w:rsidR="002F3F78" w:rsidRPr="0055445F" w:rsidRDefault="002F3F78" w:rsidP="00640CBE">
            <w:pPr>
              <w:jc w:val="right"/>
            </w:pPr>
            <w:r w:rsidRPr="0055445F">
              <w:rPr>
                <w:rFonts w:ascii="Calibri" w:hAnsi="Calibri" w:cs="Calibri"/>
                <w:color w:val="000000"/>
              </w:rPr>
              <w:t>16%</w:t>
            </w:r>
          </w:p>
        </w:tc>
        <w:tc>
          <w:tcPr>
            <w:tcW w:w="712" w:type="pct"/>
            <w:tcBorders>
              <w:top w:val="single" w:sz="4" w:space="0" w:color="538135" w:themeColor="accent6" w:themeShade="BF"/>
              <w:left w:val="nil"/>
              <w:bottom w:val="nil"/>
              <w:right w:val="nil"/>
            </w:tcBorders>
            <w:shd w:val="clear" w:color="auto" w:fill="FFFFFF" w:themeFill="background1"/>
          </w:tcPr>
          <w:p w14:paraId="0876DF76" w14:textId="65A9CC5A" w:rsidR="002F3F78" w:rsidRPr="0055445F" w:rsidRDefault="002F3F78" w:rsidP="00640CBE">
            <w:pPr>
              <w:jc w:val="right"/>
              <w:rPr>
                <w:lang w:val="en-GB"/>
              </w:rPr>
            </w:pPr>
            <w:r w:rsidRPr="0055445F">
              <w:rPr>
                <w:rFonts w:ascii="Calibri" w:hAnsi="Calibri" w:cs="Calibri"/>
                <w:color w:val="000000"/>
                <w:lang w:val="en-GB"/>
              </w:rPr>
              <w:t>1,629.9</w:t>
            </w:r>
          </w:p>
        </w:tc>
        <w:tc>
          <w:tcPr>
            <w:tcW w:w="712" w:type="pct"/>
            <w:tcBorders>
              <w:top w:val="single" w:sz="4" w:space="0" w:color="538135" w:themeColor="accent6" w:themeShade="BF"/>
              <w:left w:val="nil"/>
              <w:bottom w:val="nil"/>
              <w:right w:val="nil"/>
            </w:tcBorders>
            <w:shd w:val="clear" w:color="auto" w:fill="FFFFFF" w:themeFill="background1"/>
          </w:tcPr>
          <w:p w14:paraId="53676C16" w14:textId="3F77B707" w:rsidR="002F3F78" w:rsidRPr="0055445F" w:rsidRDefault="002F3F78" w:rsidP="00640CBE">
            <w:pPr>
              <w:jc w:val="right"/>
            </w:pPr>
            <w:r w:rsidRPr="0055445F">
              <w:rPr>
                <w:rFonts w:ascii="Calibri" w:hAnsi="Calibri" w:cs="Calibri"/>
                <w:color w:val="000000"/>
              </w:rPr>
              <w:t>16%</w:t>
            </w:r>
          </w:p>
        </w:tc>
      </w:tr>
      <w:tr w:rsidR="002F3F78" w:rsidRPr="0055445F" w14:paraId="50CA5CEB" w14:textId="77777777" w:rsidTr="00E768FE">
        <w:tc>
          <w:tcPr>
            <w:tcW w:w="866" w:type="pct"/>
            <w:tcBorders>
              <w:top w:val="nil"/>
              <w:left w:val="nil"/>
              <w:bottom w:val="nil"/>
              <w:right w:val="nil"/>
            </w:tcBorders>
            <w:shd w:val="clear" w:color="auto" w:fill="auto"/>
          </w:tcPr>
          <w:p w14:paraId="0EBB2892" w14:textId="188EDCAE" w:rsidR="002F3F78" w:rsidRPr="0055445F" w:rsidRDefault="00C20CCA" w:rsidP="00C20CCA">
            <w:pPr>
              <w:rPr>
                <w:lang w:val="en-GB" w:eastAsia="zh-CN"/>
              </w:rPr>
            </w:pPr>
            <w:r>
              <w:rPr>
                <w:rFonts w:hint="eastAsia"/>
                <w:lang w:eastAsia="zh-CN"/>
              </w:rPr>
              <w:t>粮食、土地利用和恢复的影响方案</w:t>
            </w:r>
          </w:p>
        </w:tc>
        <w:tc>
          <w:tcPr>
            <w:tcW w:w="673" w:type="pct"/>
            <w:tcBorders>
              <w:top w:val="nil"/>
              <w:left w:val="nil"/>
              <w:bottom w:val="nil"/>
              <w:right w:val="nil"/>
            </w:tcBorders>
            <w:shd w:val="clear" w:color="auto" w:fill="auto"/>
          </w:tcPr>
          <w:p w14:paraId="3D102AC0" w14:textId="77777777" w:rsidR="002F3F78" w:rsidRPr="0055445F" w:rsidRDefault="002F3F78" w:rsidP="00E768FE">
            <w:pPr>
              <w:jc w:val="right"/>
              <w:rPr>
                <w:lang w:val="en-GB"/>
              </w:rPr>
            </w:pPr>
            <w:r w:rsidRPr="0055445F">
              <w:rPr>
                <w:lang w:val="en-GB"/>
              </w:rPr>
              <w:t>281.2</w:t>
            </w:r>
          </w:p>
          <w:p w14:paraId="3044ED0E" w14:textId="61CD779E" w:rsidR="002F3F78" w:rsidRPr="0055445F" w:rsidRDefault="002F3F78" w:rsidP="00C20CCA">
            <w:pPr>
              <w:jc w:val="right"/>
              <w:rPr>
                <w:lang w:val="en-GB"/>
              </w:rPr>
            </w:pPr>
            <w:r w:rsidRPr="0055445F">
              <w:rPr>
                <w:lang w:val="en-GB"/>
              </w:rPr>
              <w:t>(</w:t>
            </w:r>
            <w:proofErr w:type="spellStart"/>
            <w:r w:rsidR="00C20CCA">
              <w:t>生物多样性</w:t>
            </w:r>
            <w:proofErr w:type="spellEnd"/>
            <w:r w:rsidR="00C20CCA" w:rsidRPr="0055445F">
              <w:rPr>
                <w:lang w:val="en-GB"/>
              </w:rPr>
              <w:t xml:space="preserve">STAR </w:t>
            </w:r>
            <w:proofErr w:type="spellStart"/>
            <w:r w:rsidR="00C20CCA">
              <w:rPr>
                <w:lang w:val="en-GB"/>
              </w:rPr>
              <w:t>分配额中的</w:t>
            </w:r>
            <w:proofErr w:type="spellEnd"/>
            <w:r w:rsidRPr="0055445F">
              <w:rPr>
                <w:lang w:val="en-GB"/>
              </w:rPr>
              <w:t>953</w:t>
            </w:r>
            <w:r w:rsidR="00C20CCA">
              <w:rPr>
                <w:rFonts w:hint="eastAsia"/>
                <w:lang w:val="en-GB" w:eastAsia="zh-CN"/>
              </w:rPr>
              <w:t>0</w:t>
            </w:r>
            <w:r w:rsidR="00C20CCA">
              <w:rPr>
                <w:rFonts w:hint="eastAsia"/>
                <w:lang w:val="en-GB" w:eastAsia="zh-CN"/>
              </w:rPr>
              <w:t>万美元</w:t>
            </w:r>
            <w:r w:rsidRPr="0055445F">
              <w:rPr>
                <w:lang w:val="en-GB"/>
              </w:rPr>
              <w:t>)</w:t>
            </w:r>
          </w:p>
        </w:tc>
        <w:tc>
          <w:tcPr>
            <w:tcW w:w="682" w:type="pct"/>
            <w:tcBorders>
              <w:top w:val="nil"/>
              <w:left w:val="nil"/>
              <w:bottom w:val="nil"/>
              <w:right w:val="nil"/>
            </w:tcBorders>
            <w:shd w:val="clear" w:color="auto" w:fill="auto"/>
          </w:tcPr>
          <w:p w14:paraId="413470B4" w14:textId="6EB554F1" w:rsidR="002F3F78" w:rsidRPr="0055445F" w:rsidRDefault="002F3F78" w:rsidP="00640CBE">
            <w:pPr>
              <w:jc w:val="right"/>
              <w:rPr>
                <w:lang w:val="en-GB"/>
              </w:rPr>
            </w:pPr>
            <w:r w:rsidRPr="0055445F">
              <w:rPr>
                <w:rFonts w:ascii="Calibri" w:hAnsi="Calibri" w:cs="Calibri"/>
                <w:color w:val="000000"/>
              </w:rPr>
              <w:t>27%</w:t>
            </w:r>
          </w:p>
        </w:tc>
        <w:tc>
          <w:tcPr>
            <w:tcW w:w="677" w:type="pct"/>
            <w:tcBorders>
              <w:top w:val="nil"/>
              <w:left w:val="nil"/>
              <w:bottom w:val="nil"/>
              <w:right w:val="nil"/>
            </w:tcBorders>
            <w:shd w:val="clear" w:color="auto" w:fill="auto"/>
          </w:tcPr>
          <w:p w14:paraId="5BD4F36E" w14:textId="3D8893BE" w:rsidR="002F3F78" w:rsidRPr="0055445F" w:rsidRDefault="002F3F78" w:rsidP="00640CBE">
            <w:pPr>
              <w:jc w:val="right"/>
              <w:rPr>
                <w:lang w:val="en-GB"/>
              </w:rPr>
            </w:pPr>
            <w:r w:rsidRPr="0055445F">
              <w:rPr>
                <w:rFonts w:ascii="Calibri" w:hAnsi="Calibri" w:cs="Calibri"/>
                <w:color w:val="000000"/>
                <w:lang w:val="en-GB"/>
              </w:rPr>
              <w:t>2,515.4</w:t>
            </w:r>
          </w:p>
        </w:tc>
        <w:tc>
          <w:tcPr>
            <w:tcW w:w="677" w:type="pct"/>
            <w:tcBorders>
              <w:top w:val="nil"/>
              <w:left w:val="nil"/>
              <w:bottom w:val="nil"/>
              <w:right w:val="nil"/>
            </w:tcBorders>
            <w:shd w:val="clear" w:color="auto" w:fill="auto"/>
          </w:tcPr>
          <w:p w14:paraId="70B1979F" w14:textId="3B98B2F8" w:rsidR="002F3F78" w:rsidRPr="0055445F" w:rsidRDefault="002F3F78" w:rsidP="00640CBE">
            <w:pPr>
              <w:jc w:val="right"/>
              <w:rPr>
                <w:lang w:val="en-GB"/>
              </w:rPr>
            </w:pPr>
            <w:r w:rsidRPr="0055445F">
              <w:rPr>
                <w:rFonts w:ascii="Calibri" w:hAnsi="Calibri" w:cs="Calibri"/>
                <w:color w:val="000000"/>
              </w:rPr>
              <w:t>28%</w:t>
            </w:r>
          </w:p>
        </w:tc>
        <w:tc>
          <w:tcPr>
            <w:tcW w:w="712" w:type="pct"/>
            <w:tcBorders>
              <w:top w:val="nil"/>
              <w:left w:val="nil"/>
              <w:bottom w:val="nil"/>
              <w:right w:val="nil"/>
            </w:tcBorders>
            <w:shd w:val="clear" w:color="auto" w:fill="auto"/>
          </w:tcPr>
          <w:p w14:paraId="37688332" w14:textId="7EAE92B1" w:rsidR="00C82F50" w:rsidRPr="0055445F" w:rsidRDefault="00C82F50" w:rsidP="00640CBE">
            <w:pPr>
              <w:jc w:val="right"/>
              <w:rPr>
                <w:rFonts w:ascii="Calibri" w:hAnsi="Calibri" w:cs="Calibri"/>
                <w:color w:val="000000"/>
                <w:lang w:val="en-GB"/>
              </w:rPr>
            </w:pPr>
            <w:r w:rsidRPr="0055445F">
              <w:rPr>
                <w:rFonts w:ascii="Calibri" w:hAnsi="Calibri" w:cs="Calibri"/>
                <w:color w:val="000000"/>
                <w:lang w:val="en-GB"/>
              </w:rPr>
              <w:t>2796.6</w:t>
            </w:r>
          </w:p>
          <w:p w14:paraId="2DB86389" w14:textId="288D3D26" w:rsidR="002F3F78" w:rsidRPr="0055445F" w:rsidRDefault="002F3F78" w:rsidP="00640CBE">
            <w:pPr>
              <w:jc w:val="right"/>
              <w:rPr>
                <w:lang w:val="en-GB"/>
              </w:rPr>
            </w:pPr>
          </w:p>
        </w:tc>
        <w:tc>
          <w:tcPr>
            <w:tcW w:w="712" w:type="pct"/>
            <w:tcBorders>
              <w:top w:val="nil"/>
              <w:left w:val="nil"/>
              <w:bottom w:val="nil"/>
              <w:right w:val="nil"/>
            </w:tcBorders>
            <w:shd w:val="clear" w:color="auto" w:fill="auto"/>
          </w:tcPr>
          <w:p w14:paraId="49A4C29A" w14:textId="3D8B9674" w:rsidR="002F3F78" w:rsidRPr="0055445F" w:rsidRDefault="002F3F78" w:rsidP="00640CBE">
            <w:pPr>
              <w:jc w:val="right"/>
              <w:rPr>
                <w:lang w:val="en-GB"/>
              </w:rPr>
            </w:pPr>
            <w:r w:rsidRPr="0055445F">
              <w:rPr>
                <w:rFonts w:ascii="Calibri" w:hAnsi="Calibri" w:cs="Calibri"/>
                <w:color w:val="000000"/>
              </w:rPr>
              <w:t>28%</w:t>
            </w:r>
          </w:p>
        </w:tc>
      </w:tr>
      <w:tr w:rsidR="002F3F78" w:rsidRPr="0055445F" w14:paraId="339A1609" w14:textId="77777777" w:rsidTr="00E768FE">
        <w:tc>
          <w:tcPr>
            <w:tcW w:w="866" w:type="pct"/>
            <w:tcBorders>
              <w:top w:val="nil"/>
              <w:left w:val="nil"/>
              <w:bottom w:val="nil"/>
              <w:right w:val="nil"/>
            </w:tcBorders>
            <w:shd w:val="clear" w:color="auto" w:fill="auto"/>
          </w:tcPr>
          <w:p w14:paraId="1974748C" w14:textId="4B326927" w:rsidR="002F3F78" w:rsidRPr="0055445F" w:rsidRDefault="00C20CCA" w:rsidP="00C20CCA">
            <w:pPr>
              <w:rPr>
                <w:lang w:val="en-GB" w:eastAsia="zh-CN"/>
              </w:rPr>
            </w:pPr>
            <w:r>
              <w:rPr>
                <w:rFonts w:hint="eastAsia"/>
                <w:lang w:eastAsia="zh-CN"/>
              </w:rPr>
              <w:t>可持续森林管理影响方案</w:t>
            </w:r>
          </w:p>
        </w:tc>
        <w:tc>
          <w:tcPr>
            <w:tcW w:w="673" w:type="pct"/>
            <w:tcBorders>
              <w:top w:val="nil"/>
              <w:left w:val="nil"/>
              <w:bottom w:val="nil"/>
              <w:right w:val="nil"/>
            </w:tcBorders>
            <w:shd w:val="clear" w:color="auto" w:fill="auto"/>
          </w:tcPr>
          <w:p w14:paraId="23A7DD20" w14:textId="1AB4CA22" w:rsidR="002F3F78" w:rsidRPr="0055445F" w:rsidRDefault="002F3F78" w:rsidP="00E768FE">
            <w:pPr>
              <w:jc w:val="right"/>
              <w:rPr>
                <w:lang w:val="en-GB"/>
              </w:rPr>
            </w:pPr>
            <w:r w:rsidRPr="0055445F">
              <w:rPr>
                <w:lang w:val="en-GB"/>
              </w:rPr>
              <w:t>241.3</w:t>
            </w:r>
          </w:p>
          <w:p w14:paraId="79DAEC4A" w14:textId="7EEBE954" w:rsidR="002F3F78" w:rsidRPr="0055445F" w:rsidRDefault="00D1036F" w:rsidP="00C20CCA">
            <w:pPr>
              <w:jc w:val="right"/>
              <w:rPr>
                <w:lang w:val="en-GB"/>
              </w:rPr>
            </w:pPr>
            <w:r w:rsidRPr="0055445F">
              <w:rPr>
                <w:lang w:val="en-GB"/>
              </w:rPr>
              <w:t>(</w:t>
            </w:r>
            <w:proofErr w:type="spellStart"/>
            <w:r w:rsidR="00C20CCA">
              <w:t>生物多样性</w:t>
            </w:r>
            <w:proofErr w:type="spellEnd"/>
            <w:r w:rsidR="00C20CCA" w:rsidRPr="0055445F">
              <w:rPr>
                <w:lang w:val="en-GB"/>
              </w:rPr>
              <w:t xml:space="preserve">STAR </w:t>
            </w:r>
            <w:proofErr w:type="spellStart"/>
            <w:r w:rsidR="00C20CCA">
              <w:rPr>
                <w:lang w:val="en-GB"/>
              </w:rPr>
              <w:t>分配额中的</w:t>
            </w:r>
            <w:proofErr w:type="spellEnd"/>
            <w:r w:rsidR="00C20CCA" w:rsidRPr="0055445F">
              <w:rPr>
                <w:lang w:val="en-GB"/>
              </w:rPr>
              <w:t>9</w:t>
            </w:r>
            <w:r w:rsidR="00C20CCA">
              <w:rPr>
                <w:rFonts w:hint="eastAsia"/>
                <w:lang w:val="en-GB" w:eastAsia="zh-CN"/>
              </w:rPr>
              <w:t>200</w:t>
            </w:r>
            <w:r w:rsidR="00C20CCA">
              <w:rPr>
                <w:rFonts w:hint="eastAsia"/>
                <w:lang w:val="en-GB" w:eastAsia="zh-CN"/>
              </w:rPr>
              <w:t>万美元</w:t>
            </w:r>
            <w:r w:rsidR="002F3F78" w:rsidRPr="0055445F">
              <w:rPr>
                <w:lang w:val="en-GB"/>
              </w:rPr>
              <w:t>)</w:t>
            </w:r>
          </w:p>
        </w:tc>
        <w:tc>
          <w:tcPr>
            <w:tcW w:w="682" w:type="pct"/>
            <w:tcBorders>
              <w:top w:val="nil"/>
              <w:left w:val="nil"/>
              <w:bottom w:val="nil"/>
              <w:right w:val="nil"/>
            </w:tcBorders>
            <w:shd w:val="clear" w:color="auto" w:fill="auto"/>
          </w:tcPr>
          <w:p w14:paraId="6496A48D" w14:textId="2F17B257" w:rsidR="002F3F78" w:rsidRPr="0055445F" w:rsidRDefault="002F3F78" w:rsidP="00640CBE">
            <w:pPr>
              <w:jc w:val="right"/>
              <w:rPr>
                <w:lang w:val="en-GB"/>
              </w:rPr>
            </w:pPr>
            <w:r w:rsidRPr="0055445F">
              <w:rPr>
                <w:rFonts w:ascii="Calibri" w:hAnsi="Calibri" w:cs="Calibri"/>
                <w:color w:val="000000"/>
              </w:rPr>
              <w:t>23%</w:t>
            </w:r>
          </w:p>
        </w:tc>
        <w:tc>
          <w:tcPr>
            <w:tcW w:w="677" w:type="pct"/>
            <w:tcBorders>
              <w:top w:val="nil"/>
              <w:left w:val="nil"/>
              <w:bottom w:val="nil"/>
              <w:right w:val="nil"/>
            </w:tcBorders>
            <w:shd w:val="clear" w:color="auto" w:fill="auto"/>
          </w:tcPr>
          <w:p w14:paraId="1270E30B" w14:textId="3B21710C" w:rsidR="002F3F78" w:rsidRPr="0055445F" w:rsidRDefault="002F3F78" w:rsidP="00640CBE">
            <w:pPr>
              <w:jc w:val="right"/>
              <w:rPr>
                <w:lang w:val="en-GB"/>
              </w:rPr>
            </w:pPr>
            <w:r w:rsidRPr="0055445F">
              <w:rPr>
                <w:rFonts w:ascii="Calibri" w:hAnsi="Calibri" w:cs="Calibri"/>
                <w:color w:val="000000"/>
                <w:lang w:val="en-GB"/>
              </w:rPr>
              <w:t>1,706.0</w:t>
            </w:r>
          </w:p>
        </w:tc>
        <w:tc>
          <w:tcPr>
            <w:tcW w:w="677" w:type="pct"/>
            <w:tcBorders>
              <w:top w:val="nil"/>
              <w:left w:val="nil"/>
              <w:bottom w:val="nil"/>
              <w:right w:val="nil"/>
            </w:tcBorders>
            <w:shd w:val="clear" w:color="auto" w:fill="auto"/>
          </w:tcPr>
          <w:p w14:paraId="410F2BC2" w14:textId="0CFAB11B" w:rsidR="002F3F78" w:rsidRPr="0055445F" w:rsidRDefault="002F3F78" w:rsidP="00640CBE">
            <w:pPr>
              <w:jc w:val="right"/>
              <w:rPr>
                <w:lang w:val="en-GB"/>
              </w:rPr>
            </w:pPr>
            <w:r w:rsidRPr="0055445F">
              <w:rPr>
                <w:rFonts w:ascii="Calibri" w:hAnsi="Calibri" w:cs="Calibri"/>
                <w:color w:val="000000"/>
              </w:rPr>
              <w:t>19%</w:t>
            </w:r>
          </w:p>
        </w:tc>
        <w:tc>
          <w:tcPr>
            <w:tcW w:w="712" w:type="pct"/>
            <w:tcBorders>
              <w:top w:val="nil"/>
              <w:left w:val="nil"/>
              <w:bottom w:val="nil"/>
              <w:right w:val="nil"/>
            </w:tcBorders>
            <w:shd w:val="clear" w:color="auto" w:fill="auto"/>
          </w:tcPr>
          <w:p w14:paraId="114DD9B8" w14:textId="086900D3" w:rsidR="002F3F78" w:rsidRPr="0055445F" w:rsidRDefault="002F3F78" w:rsidP="00640CBE">
            <w:pPr>
              <w:jc w:val="right"/>
              <w:rPr>
                <w:lang w:val="en-GB"/>
              </w:rPr>
            </w:pPr>
            <w:r w:rsidRPr="0055445F">
              <w:rPr>
                <w:rFonts w:ascii="Calibri" w:hAnsi="Calibri" w:cs="Calibri"/>
                <w:color w:val="000000"/>
                <w:lang w:val="en-GB"/>
              </w:rPr>
              <w:t>1,947.3</w:t>
            </w:r>
          </w:p>
        </w:tc>
        <w:tc>
          <w:tcPr>
            <w:tcW w:w="712" w:type="pct"/>
            <w:tcBorders>
              <w:top w:val="nil"/>
              <w:left w:val="nil"/>
              <w:bottom w:val="nil"/>
              <w:right w:val="nil"/>
            </w:tcBorders>
            <w:shd w:val="clear" w:color="auto" w:fill="auto"/>
          </w:tcPr>
          <w:p w14:paraId="69E5E549" w14:textId="3F5151FB" w:rsidR="002F3F78" w:rsidRPr="0055445F" w:rsidRDefault="002F3F78" w:rsidP="00640CBE">
            <w:pPr>
              <w:jc w:val="right"/>
              <w:rPr>
                <w:lang w:val="en-GB"/>
              </w:rPr>
            </w:pPr>
            <w:r w:rsidRPr="0055445F">
              <w:rPr>
                <w:rFonts w:ascii="Calibri" w:hAnsi="Calibri" w:cs="Calibri"/>
                <w:color w:val="000000"/>
              </w:rPr>
              <w:t>19%</w:t>
            </w:r>
          </w:p>
        </w:tc>
      </w:tr>
      <w:tr w:rsidR="002F3F78" w:rsidRPr="0055445F" w14:paraId="792909D7" w14:textId="77777777" w:rsidTr="00E768FE">
        <w:tc>
          <w:tcPr>
            <w:tcW w:w="866" w:type="pct"/>
            <w:tcBorders>
              <w:top w:val="nil"/>
              <w:left w:val="nil"/>
              <w:bottom w:val="nil"/>
              <w:right w:val="nil"/>
            </w:tcBorders>
            <w:shd w:val="clear" w:color="auto" w:fill="auto"/>
          </w:tcPr>
          <w:p w14:paraId="37DD152F" w14:textId="1EADFB31" w:rsidR="002F3F78" w:rsidRPr="0055445F" w:rsidRDefault="00C20CCA" w:rsidP="00C20CCA">
            <w:pPr>
              <w:rPr>
                <w:lang w:val="en-GB"/>
              </w:rPr>
            </w:pPr>
            <w:r>
              <w:rPr>
                <w:rFonts w:hint="eastAsia"/>
                <w:lang w:eastAsia="zh-CN"/>
              </w:rPr>
              <w:t>可持续城市影响方案</w:t>
            </w:r>
          </w:p>
        </w:tc>
        <w:tc>
          <w:tcPr>
            <w:tcW w:w="673" w:type="pct"/>
            <w:tcBorders>
              <w:top w:val="nil"/>
              <w:left w:val="nil"/>
              <w:bottom w:val="nil"/>
              <w:right w:val="nil"/>
            </w:tcBorders>
            <w:shd w:val="clear" w:color="auto" w:fill="auto"/>
          </w:tcPr>
          <w:p w14:paraId="202C94DC" w14:textId="77777777" w:rsidR="002F3F78" w:rsidRPr="0055445F" w:rsidRDefault="002F3F78" w:rsidP="00E768FE">
            <w:pPr>
              <w:jc w:val="right"/>
              <w:rPr>
                <w:lang w:val="en-GB"/>
              </w:rPr>
            </w:pPr>
            <w:r w:rsidRPr="0055445F">
              <w:rPr>
                <w:lang w:val="en-GB"/>
              </w:rPr>
              <w:t>146.7</w:t>
            </w:r>
          </w:p>
          <w:p w14:paraId="37828C95" w14:textId="75B38DC4" w:rsidR="002F3F78" w:rsidRPr="0055445F" w:rsidRDefault="002F3F78" w:rsidP="00C20CCA">
            <w:pPr>
              <w:jc w:val="right"/>
              <w:rPr>
                <w:lang w:val="en-GB"/>
              </w:rPr>
            </w:pPr>
            <w:r w:rsidRPr="0055445F">
              <w:rPr>
                <w:lang w:val="en-GB"/>
              </w:rPr>
              <w:t>(</w:t>
            </w:r>
            <w:proofErr w:type="spellStart"/>
            <w:r w:rsidR="00C20CCA">
              <w:t>生物多样性</w:t>
            </w:r>
            <w:proofErr w:type="spellEnd"/>
            <w:r w:rsidR="00C20CCA" w:rsidRPr="0055445F">
              <w:rPr>
                <w:lang w:val="en-GB"/>
              </w:rPr>
              <w:t xml:space="preserve">STAR </w:t>
            </w:r>
            <w:proofErr w:type="spellStart"/>
            <w:r w:rsidR="00C20CCA">
              <w:rPr>
                <w:lang w:val="en-GB"/>
              </w:rPr>
              <w:t>分配额中的</w:t>
            </w:r>
            <w:proofErr w:type="spellEnd"/>
            <w:r w:rsidR="00C20CCA">
              <w:rPr>
                <w:rFonts w:hint="eastAsia"/>
                <w:lang w:val="en-GB" w:eastAsia="zh-CN"/>
              </w:rPr>
              <w:t>3330</w:t>
            </w:r>
            <w:r w:rsidR="00C20CCA">
              <w:rPr>
                <w:rFonts w:hint="eastAsia"/>
                <w:lang w:val="en-GB" w:eastAsia="zh-CN"/>
              </w:rPr>
              <w:t>万美元</w:t>
            </w:r>
            <w:r w:rsidRPr="0055445F">
              <w:rPr>
                <w:lang w:val="en-GB"/>
              </w:rPr>
              <w:t>)</w:t>
            </w:r>
          </w:p>
        </w:tc>
        <w:tc>
          <w:tcPr>
            <w:tcW w:w="682" w:type="pct"/>
            <w:tcBorders>
              <w:top w:val="nil"/>
              <w:left w:val="nil"/>
              <w:bottom w:val="nil"/>
              <w:right w:val="nil"/>
            </w:tcBorders>
            <w:shd w:val="clear" w:color="auto" w:fill="auto"/>
          </w:tcPr>
          <w:p w14:paraId="2658082C" w14:textId="25629201" w:rsidR="002F3F78" w:rsidRPr="0055445F" w:rsidRDefault="002F3F78" w:rsidP="00640CBE">
            <w:pPr>
              <w:jc w:val="right"/>
              <w:rPr>
                <w:lang w:val="en-GB"/>
              </w:rPr>
            </w:pPr>
            <w:r w:rsidRPr="0055445F">
              <w:rPr>
                <w:rFonts w:ascii="Calibri" w:hAnsi="Calibri" w:cs="Calibri"/>
                <w:color w:val="000000"/>
              </w:rPr>
              <w:t>14%</w:t>
            </w:r>
          </w:p>
        </w:tc>
        <w:tc>
          <w:tcPr>
            <w:tcW w:w="677" w:type="pct"/>
            <w:tcBorders>
              <w:top w:val="nil"/>
              <w:left w:val="nil"/>
              <w:bottom w:val="nil"/>
              <w:right w:val="nil"/>
            </w:tcBorders>
            <w:shd w:val="clear" w:color="auto" w:fill="auto"/>
          </w:tcPr>
          <w:p w14:paraId="1A3E43DF" w14:textId="6921F3E6" w:rsidR="002F3F78" w:rsidRPr="0055445F" w:rsidRDefault="002F3F78" w:rsidP="00640CBE">
            <w:pPr>
              <w:jc w:val="right"/>
              <w:rPr>
                <w:lang w:val="en-GB"/>
              </w:rPr>
            </w:pPr>
            <w:r w:rsidRPr="0055445F">
              <w:rPr>
                <w:rFonts w:ascii="Calibri" w:hAnsi="Calibri" w:cs="Calibri"/>
                <w:color w:val="000000"/>
                <w:lang w:val="en-GB"/>
              </w:rPr>
              <w:t>1,689.8</w:t>
            </w:r>
          </w:p>
        </w:tc>
        <w:tc>
          <w:tcPr>
            <w:tcW w:w="677" w:type="pct"/>
            <w:tcBorders>
              <w:top w:val="nil"/>
              <w:left w:val="nil"/>
              <w:bottom w:val="nil"/>
              <w:right w:val="nil"/>
            </w:tcBorders>
            <w:shd w:val="clear" w:color="auto" w:fill="auto"/>
          </w:tcPr>
          <w:p w14:paraId="61BE8B37" w14:textId="6E7A5D28" w:rsidR="002F3F78" w:rsidRPr="0055445F" w:rsidRDefault="002F3F78" w:rsidP="00640CBE">
            <w:pPr>
              <w:jc w:val="right"/>
              <w:rPr>
                <w:lang w:val="en-GB"/>
              </w:rPr>
            </w:pPr>
            <w:r w:rsidRPr="0055445F">
              <w:rPr>
                <w:rFonts w:ascii="Calibri" w:hAnsi="Calibri" w:cs="Calibri"/>
                <w:color w:val="000000"/>
              </w:rPr>
              <w:t>19%</w:t>
            </w:r>
          </w:p>
        </w:tc>
        <w:tc>
          <w:tcPr>
            <w:tcW w:w="712" w:type="pct"/>
            <w:tcBorders>
              <w:top w:val="nil"/>
              <w:left w:val="nil"/>
              <w:bottom w:val="nil"/>
              <w:right w:val="nil"/>
            </w:tcBorders>
            <w:shd w:val="clear" w:color="auto" w:fill="auto"/>
          </w:tcPr>
          <w:p w14:paraId="65EFA893" w14:textId="4D056291" w:rsidR="002F3F78" w:rsidRPr="0055445F" w:rsidRDefault="002918CE" w:rsidP="00781F7B">
            <w:pPr>
              <w:jc w:val="right"/>
              <w:rPr>
                <w:lang w:val="en-GB"/>
              </w:rPr>
            </w:pPr>
            <w:r w:rsidRPr="0055445F">
              <w:rPr>
                <w:rFonts w:ascii="Calibri" w:hAnsi="Calibri" w:cs="Calibri"/>
                <w:color w:val="000000"/>
                <w:lang w:val="en-GB"/>
              </w:rPr>
              <w:t>18</w:t>
            </w:r>
            <w:r w:rsidR="00781F7B" w:rsidRPr="0055445F">
              <w:rPr>
                <w:rFonts w:ascii="Calibri" w:hAnsi="Calibri" w:cs="Calibri"/>
                <w:color w:val="000000"/>
                <w:lang w:val="en-GB"/>
              </w:rPr>
              <w:t>36</w:t>
            </w:r>
            <w:r w:rsidR="002A6865" w:rsidRPr="0055445F">
              <w:rPr>
                <w:rFonts w:ascii="Calibri" w:hAnsi="Calibri" w:cs="Calibri"/>
                <w:color w:val="000000"/>
                <w:lang w:val="en-GB"/>
              </w:rPr>
              <w:t>.5</w:t>
            </w:r>
            <w:r w:rsidR="00781F7B" w:rsidRPr="0055445F" w:rsidDel="002918CE">
              <w:rPr>
                <w:rFonts w:ascii="Calibri" w:hAnsi="Calibri" w:cs="Calibri"/>
                <w:color w:val="000000"/>
                <w:lang w:val="en-GB"/>
              </w:rPr>
              <w:t xml:space="preserve"> </w:t>
            </w:r>
          </w:p>
        </w:tc>
        <w:tc>
          <w:tcPr>
            <w:tcW w:w="712" w:type="pct"/>
            <w:tcBorders>
              <w:top w:val="nil"/>
              <w:left w:val="nil"/>
              <w:bottom w:val="nil"/>
              <w:right w:val="nil"/>
            </w:tcBorders>
            <w:shd w:val="clear" w:color="auto" w:fill="auto"/>
          </w:tcPr>
          <w:p w14:paraId="36230950" w14:textId="6EB16F23" w:rsidR="002F3F78" w:rsidRPr="0055445F" w:rsidRDefault="002F3F78" w:rsidP="00640CBE">
            <w:pPr>
              <w:jc w:val="right"/>
              <w:rPr>
                <w:lang w:val="en-GB"/>
              </w:rPr>
            </w:pPr>
            <w:r w:rsidRPr="0055445F">
              <w:rPr>
                <w:rFonts w:ascii="Calibri" w:hAnsi="Calibri" w:cs="Calibri"/>
                <w:color w:val="000000"/>
              </w:rPr>
              <w:t>18%</w:t>
            </w:r>
          </w:p>
        </w:tc>
      </w:tr>
      <w:tr w:rsidR="002F3F78" w:rsidRPr="0055445F" w14:paraId="58134AD1" w14:textId="77777777" w:rsidTr="00E768FE">
        <w:tc>
          <w:tcPr>
            <w:tcW w:w="866" w:type="pct"/>
            <w:tcBorders>
              <w:top w:val="nil"/>
              <w:left w:val="nil"/>
              <w:bottom w:val="nil"/>
              <w:right w:val="nil"/>
            </w:tcBorders>
            <w:shd w:val="clear" w:color="auto" w:fill="auto"/>
          </w:tcPr>
          <w:p w14:paraId="54C450AB" w14:textId="6EBF0A2F" w:rsidR="002F3F78" w:rsidRPr="0055445F" w:rsidRDefault="00C20CCA" w:rsidP="00C20CCA">
            <w:pPr>
              <w:rPr>
                <w:lang w:val="en-GB"/>
              </w:rPr>
            </w:pPr>
            <w:proofErr w:type="spellStart"/>
            <w:r>
              <w:rPr>
                <w:lang w:val="en-GB"/>
              </w:rPr>
              <w:t>生物多样性预留资金</w:t>
            </w:r>
            <w:proofErr w:type="spellEnd"/>
          </w:p>
        </w:tc>
        <w:tc>
          <w:tcPr>
            <w:tcW w:w="673" w:type="pct"/>
            <w:tcBorders>
              <w:top w:val="nil"/>
              <w:left w:val="nil"/>
              <w:bottom w:val="nil"/>
              <w:right w:val="nil"/>
            </w:tcBorders>
            <w:shd w:val="clear" w:color="auto" w:fill="auto"/>
          </w:tcPr>
          <w:p w14:paraId="0A579E1F" w14:textId="4315D1A2" w:rsidR="002F3F78" w:rsidRPr="0055445F" w:rsidRDefault="002F3F78" w:rsidP="00E768FE">
            <w:pPr>
              <w:jc w:val="right"/>
              <w:rPr>
                <w:lang w:val="en-GB"/>
              </w:rPr>
            </w:pPr>
            <w:r w:rsidRPr="0055445F">
              <w:rPr>
                <w:lang w:val="en-GB"/>
              </w:rPr>
              <w:t>33.4</w:t>
            </w:r>
          </w:p>
        </w:tc>
        <w:tc>
          <w:tcPr>
            <w:tcW w:w="682" w:type="pct"/>
            <w:tcBorders>
              <w:top w:val="nil"/>
              <w:left w:val="nil"/>
              <w:bottom w:val="nil"/>
              <w:right w:val="nil"/>
            </w:tcBorders>
            <w:shd w:val="clear" w:color="auto" w:fill="auto"/>
          </w:tcPr>
          <w:p w14:paraId="5E59B140" w14:textId="5F6D145C" w:rsidR="002F3F78" w:rsidRPr="0055445F" w:rsidRDefault="002F3F78" w:rsidP="00640CBE">
            <w:pPr>
              <w:jc w:val="right"/>
              <w:rPr>
                <w:lang w:val="en-GB"/>
              </w:rPr>
            </w:pPr>
            <w:r w:rsidRPr="0055445F">
              <w:rPr>
                <w:rFonts w:ascii="Calibri" w:hAnsi="Calibri" w:cs="Calibri"/>
                <w:color w:val="000000"/>
              </w:rPr>
              <w:t>3%</w:t>
            </w:r>
          </w:p>
        </w:tc>
        <w:tc>
          <w:tcPr>
            <w:tcW w:w="677" w:type="pct"/>
            <w:tcBorders>
              <w:top w:val="nil"/>
              <w:left w:val="nil"/>
              <w:bottom w:val="nil"/>
              <w:right w:val="nil"/>
            </w:tcBorders>
            <w:shd w:val="clear" w:color="auto" w:fill="auto"/>
          </w:tcPr>
          <w:p w14:paraId="31F1C19D" w14:textId="4BC5BFD3" w:rsidR="002F3F78" w:rsidRPr="0055445F" w:rsidRDefault="002F3F78" w:rsidP="00640CBE">
            <w:pPr>
              <w:jc w:val="right"/>
              <w:rPr>
                <w:lang w:val="en-GB"/>
              </w:rPr>
            </w:pPr>
            <w:r w:rsidRPr="0055445F">
              <w:rPr>
                <w:rFonts w:ascii="Calibri" w:hAnsi="Calibri" w:cs="Calibri"/>
                <w:color w:val="000000"/>
                <w:lang w:val="en-GB"/>
              </w:rPr>
              <w:t>90.4</w:t>
            </w:r>
          </w:p>
        </w:tc>
        <w:tc>
          <w:tcPr>
            <w:tcW w:w="677" w:type="pct"/>
            <w:tcBorders>
              <w:top w:val="nil"/>
              <w:left w:val="nil"/>
              <w:bottom w:val="nil"/>
              <w:right w:val="nil"/>
            </w:tcBorders>
            <w:shd w:val="clear" w:color="auto" w:fill="auto"/>
          </w:tcPr>
          <w:p w14:paraId="229D63F3" w14:textId="13E6E538" w:rsidR="002F3F78" w:rsidRPr="0055445F" w:rsidRDefault="002F3F78" w:rsidP="00640CBE">
            <w:pPr>
              <w:jc w:val="right"/>
              <w:rPr>
                <w:lang w:val="en-GB"/>
              </w:rPr>
            </w:pPr>
            <w:r w:rsidRPr="0055445F">
              <w:rPr>
                <w:rFonts w:ascii="Calibri" w:hAnsi="Calibri" w:cs="Calibri"/>
                <w:color w:val="000000"/>
              </w:rPr>
              <w:t>1%</w:t>
            </w:r>
          </w:p>
        </w:tc>
        <w:tc>
          <w:tcPr>
            <w:tcW w:w="712" w:type="pct"/>
            <w:tcBorders>
              <w:top w:val="nil"/>
              <w:left w:val="nil"/>
              <w:bottom w:val="nil"/>
              <w:right w:val="nil"/>
            </w:tcBorders>
            <w:shd w:val="clear" w:color="auto" w:fill="auto"/>
          </w:tcPr>
          <w:p w14:paraId="0B1038CC" w14:textId="09B0C2E4" w:rsidR="002F3F78" w:rsidRPr="0055445F" w:rsidRDefault="002F3F78" w:rsidP="00640CBE">
            <w:pPr>
              <w:jc w:val="right"/>
              <w:rPr>
                <w:lang w:val="en-GB"/>
              </w:rPr>
            </w:pPr>
            <w:r w:rsidRPr="0055445F">
              <w:rPr>
                <w:rFonts w:ascii="Calibri" w:hAnsi="Calibri" w:cs="Calibri"/>
                <w:color w:val="000000"/>
                <w:lang w:val="en-GB"/>
              </w:rPr>
              <w:t>123.8</w:t>
            </w:r>
          </w:p>
        </w:tc>
        <w:tc>
          <w:tcPr>
            <w:tcW w:w="712" w:type="pct"/>
            <w:tcBorders>
              <w:top w:val="nil"/>
              <w:left w:val="nil"/>
              <w:bottom w:val="nil"/>
              <w:right w:val="nil"/>
            </w:tcBorders>
            <w:shd w:val="clear" w:color="auto" w:fill="auto"/>
          </w:tcPr>
          <w:p w14:paraId="085FA395" w14:textId="486EC182" w:rsidR="002F3F78" w:rsidRPr="0055445F" w:rsidRDefault="002F3F78" w:rsidP="00640CBE">
            <w:pPr>
              <w:jc w:val="right"/>
              <w:rPr>
                <w:lang w:val="en-GB"/>
              </w:rPr>
            </w:pPr>
            <w:r w:rsidRPr="0055445F">
              <w:rPr>
                <w:rFonts w:ascii="Calibri" w:hAnsi="Calibri" w:cs="Calibri"/>
                <w:color w:val="000000"/>
              </w:rPr>
              <w:t>1%</w:t>
            </w:r>
          </w:p>
        </w:tc>
      </w:tr>
      <w:tr w:rsidR="002F3F78" w:rsidRPr="0055445F" w14:paraId="198C2001" w14:textId="77777777" w:rsidTr="00E768FE">
        <w:tc>
          <w:tcPr>
            <w:tcW w:w="866" w:type="pct"/>
            <w:tcBorders>
              <w:top w:val="nil"/>
              <w:left w:val="nil"/>
              <w:bottom w:val="nil"/>
              <w:right w:val="nil"/>
            </w:tcBorders>
            <w:shd w:val="clear" w:color="auto" w:fill="auto"/>
          </w:tcPr>
          <w:p w14:paraId="25A38FC1" w14:textId="5ED574CD" w:rsidR="002F3F78" w:rsidRPr="0055445F" w:rsidRDefault="00C20CCA" w:rsidP="00C20CCA">
            <w:pPr>
              <w:rPr>
                <w:lang w:val="en-GB"/>
              </w:rPr>
            </w:pPr>
            <w:proofErr w:type="spellStart"/>
            <w:r>
              <w:rPr>
                <w:lang w:val="en-GB"/>
              </w:rPr>
              <w:lastRenderedPageBreak/>
              <w:t>最不发达国家基金</w:t>
            </w:r>
            <w:proofErr w:type="spellEnd"/>
          </w:p>
        </w:tc>
        <w:tc>
          <w:tcPr>
            <w:tcW w:w="673" w:type="pct"/>
            <w:tcBorders>
              <w:top w:val="nil"/>
              <w:left w:val="nil"/>
              <w:bottom w:val="nil"/>
              <w:right w:val="nil"/>
            </w:tcBorders>
            <w:shd w:val="clear" w:color="auto" w:fill="auto"/>
          </w:tcPr>
          <w:p w14:paraId="0ECE9DAF" w14:textId="77777777" w:rsidR="002F3F78" w:rsidRPr="0055445F" w:rsidRDefault="002F3F78" w:rsidP="00E768FE">
            <w:pPr>
              <w:jc w:val="right"/>
              <w:rPr>
                <w:lang w:val="en-GB"/>
              </w:rPr>
            </w:pPr>
            <w:r w:rsidRPr="0055445F">
              <w:rPr>
                <w:lang w:val="en-GB"/>
              </w:rPr>
              <w:t>26.3</w:t>
            </w:r>
          </w:p>
        </w:tc>
        <w:tc>
          <w:tcPr>
            <w:tcW w:w="682" w:type="pct"/>
            <w:tcBorders>
              <w:top w:val="nil"/>
              <w:left w:val="nil"/>
              <w:bottom w:val="nil"/>
              <w:right w:val="nil"/>
            </w:tcBorders>
            <w:shd w:val="clear" w:color="auto" w:fill="auto"/>
          </w:tcPr>
          <w:p w14:paraId="2783E964" w14:textId="6620B95C" w:rsidR="002F3F78" w:rsidRPr="0055445F" w:rsidRDefault="002F3F78" w:rsidP="00640CBE">
            <w:pPr>
              <w:jc w:val="right"/>
              <w:rPr>
                <w:lang w:val="en-GB"/>
              </w:rPr>
            </w:pPr>
            <w:r w:rsidRPr="0055445F">
              <w:rPr>
                <w:rFonts w:ascii="Calibri" w:hAnsi="Calibri" w:cs="Calibri"/>
                <w:color w:val="000000"/>
              </w:rPr>
              <w:t>2%</w:t>
            </w:r>
          </w:p>
        </w:tc>
        <w:tc>
          <w:tcPr>
            <w:tcW w:w="677" w:type="pct"/>
            <w:tcBorders>
              <w:top w:val="nil"/>
              <w:left w:val="nil"/>
              <w:bottom w:val="nil"/>
              <w:right w:val="nil"/>
            </w:tcBorders>
            <w:shd w:val="clear" w:color="auto" w:fill="auto"/>
          </w:tcPr>
          <w:p w14:paraId="0A9D5841" w14:textId="4CBCD4A4" w:rsidR="002F3F78" w:rsidRPr="0055445F" w:rsidRDefault="002F3F78" w:rsidP="00640CBE">
            <w:pPr>
              <w:jc w:val="right"/>
              <w:rPr>
                <w:lang w:val="en-GB"/>
              </w:rPr>
            </w:pPr>
            <w:r w:rsidRPr="0055445F">
              <w:rPr>
                <w:rFonts w:ascii="Calibri" w:hAnsi="Calibri" w:cs="Calibri"/>
                <w:color w:val="000000"/>
                <w:lang w:val="en-GB"/>
              </w:rPr>
              <w:t>66.8</w:t>
            </w:r>
          </w:p>
        </w:tc>
        <w:tc>
          <w:tcPr>
            <w:tcW w:w="677" w:type="pct"/>
            <w:tcBorders>
              <w:top w:val="nil"/>
              <w:left w:val="nil"/>
              <w:bottom w:val="nil"/>
              <w:right w:val="nil"/>
            </w:tcBorders>
            <w:shd w:val="clear" w:color="auto" w:fill="auto"/>
          </w:tcPr>
          <w:p w14:paraId="514F6E8F" w14:textId="5CAF5043" w:rsidR="002F3F78" w:rsidRPr="0055445F" w:rsidRDefault="002F3F78" w:rsidP="00640CBE">
            <w:pPr>
              <w:jc w:val="right"/>
              <w:rPr>
                <w:lang w:val="en-GB"/>
              </w:rPr>
            </w:pPr>
            <w:r w:rsidRPr="0055445F">
              <w:rPr>
                <w:rFonts w:ascii="Calibri" w:hAnsi="Calibri" w:cs="Calibri"/>
                <w:color w:val="000000"/>
              </w:rPr>
              <w:t>1%</w:t>
            </w:r>
          </w:p>
        </w:tc>
        <w:tc>
          <w:tcPr>
            <w:tcW w:w="712" w:type="pct"/>
            <w:tcBorders>
              <w:top w:val="nil"/>
              <w:left w:val="nil"/>
              <w:bottom w:val="nil"/>
              <w:right w:val="nil"/>
            </w:tcBorders>
            <w:shd w:val="clear" w:color="auto" w:fill="auto"/>
          </w:tcPr>
          <w:p w14:paraId="21D73387" w14:textId="77777777" w:rsidR="00BA1BC3" w:rsidRPr="0055445F" w:rsidRDefault="00BA1BC3" w:rsidP="00640CBE">
            <w:pPr>
              <w:jc w:val="right"/>
              <w:rPr>
                <w:rFonts w:ascii="Calibri" w:hAnsi="Calibri" w:cs="Calibri"/>
                <w:color w:val="000000"/>
                <w:lang w:val="en-GB"/>
              </w:rPr>
            </w:pPr>
            <w:r w:rsidRPr="0055445F">
              <w:rPr>
                <w:rFonts w:ascii="Calibri" w:hAnsi="Calibri" w:cs="Calibri"/>
                <w:color w:val="000000"/>
                <w:lang w:val="en-GB"/>
              </w:rPr>
              <w:t>93.1</w:t>
            </w:r>
          </w:p>
          <w:p w14:paraId="6F513F95" w14:textId="62A33A80" w:rsidR="002F3F78" w:rsidRPr="0055445F" w:rsidRDefault="002F3F78" w:rsidP="00640CBE">
            <w:pPr>
              <w:jc w:val="right"/>
              <w:rPr>
                <w:lang w:val="en-GB"/>
              </w:rPr>
            </w:pPr>
          </w:p>
        </w:tc>
        <w:tc>
          <w:tcPr>
            <w:tcW w:w="712" w:type="pct"/>
            <w:tcBorders>
              <w:top w:val="nil"/>
              <w:left w:val="nil"/>
              <w:bottom w:val="nil"/>
              <w:right w:val="nil"/>
            </w:tcBorders>
            <w:shd w:val="clear" w:color="auto" w:fill="auto"/>
          </w:tcPr>
          <w:p w14:paraId="1B013CF4" w14:textId="3A1F90A8" w:rsidR="002F3F78" w:rsidRPr="0055445F" w:rsidRDefault="002F3F78" w:rsidP="00640CBE">
            <w:pPr>
              <w:jc w:val="right"/>
              <w:rPr>
                <w:lang w:val="en-GB"/>
              </w:rPr>
            </w:pPr>
            <w:r w:rsidRPr="0055445F">
              <w:rPr>
                <w:rFonts w:ascii="Calibri" w:hAnsi="Calibri" w:cs="Calibri"/>
                <w:color w:val="000000"/>
              </w:rPr>
              <w:t>1%</w:t>
            </w:r>
          </w:p>
        </w:tc>
      </w:tr>
      <w:tr w:rsidR="002F3F78" w:rsidRPr="0055445F" w14:paraId="1616846F" w14:textId="77777777" w:rsidTr="00E768FE">
        <w:trPr>
          <w:trHeight w:val="863"/>
        </w:trPr>
        <w:tc>
          <w:tcPr>
            <w:tcW w:w="866" w:type="pct"/>
            <w:tcBorders>
              <w:top w:val="nil"/>
              <w:left w:val="nil"/>
              <w:bottom w:val="nil"/>
              <w:right w:val="nil"/>
            </w:tcBorders>
            <w:shd w:val="clear" w:color="auto" w:fill="auto"/>
          </w:tcPr>
          <w:p w14:paraId="2FB48528" w14:textId="026BF8A6" w:rsidR="002F3F78" w:rsidRPr="0055445F" w:rsidRDefault="00B31AAA" w:rsidP="001D6F5D">
            <w:pPr>
              <w:rPr>
                <w:lang w:val="en-GB"/>
              </w:rPr>
            </w:pPr>
            <w:proofErr w:type="spellStart"/>
            <w:r>
              <w:rPr>
                <w:lang w:val="en-GB"/>
              </w:rPr>
              <w:t>国际水域重点领域</w:t>
            </w:r>
            <w:proofErr w:type="spellEnd"/>
          </w:p>
        </w:tc>
        <w:tc>
          <w:tcPr>
            <w:tcW w:w="673" w:type="pct"/>
            <w:tcBorders>
              <w:top w:val="nil"/>
              <w:left w:val="nil"/>
              <w:bottom w:val="nil"/>
              <w:right w:val="nil"/>
            </w:tcBorders>
            <w:shd w:val="clear" w:color="auto" w:fill="auto"/>
          </w:tcPr>
          <w:p w14:paraId="3B650B40" w14:textId="77777777" w:rsidR="002F3F78" w:rsidRPr="0055445F" w:rsidRDefault="002F3F78" w:rsidP="00E768FE">
            <w:pPr>
              <w:jc w:val="right"/>
              <w:rPr>
                <w:lang w:val="en-GB"/>
              </w:rPr>
            </w:pPr>
            <w:r w:rsidRPr="0055445F">
              <w:rPr>
                <w:lang w:val="en-GB"/>
              </w:rPr>
              <w:t>90.5</w:t>
            </w:r>
          </w:p>
        </w:tc>
        <w:tc>
          <w:tcPr>
            <w:tcW w:w="682" w:type="pct"/>
            <w:tcBorders>
              <w:top w:val="nil"/>
              <w:left w:val="nil"/>
              <w:bottom w:val="nil"/>
              <w:right w:val="nil"/>
            </w:tcBorders>
            <w:shd w:val="clear" w:color="auto" w:fill="auto"/>
          </w:tcPr>
          <w:p w14:paraId="2E6D672D" w14:textId="7CCF5C9F" w:rsidR="002F3F78" w:rsidRPr="0055445F" w:rsidRDefault="002F3F78" w:rsidP="00640CBE">
            <w:pPr>
              <w:jc w:val="right"/>
              <w:rPr>
                <w:lang w:val="en-GB"/>
              </w:rPr>
            </w:pPr>
            <w:r w:rsidRPr="0055445F">
              <w:rPr>
                <w:rFonts w:ascii="Calibri" w:hAnsi="Calibri" w:cs="Calibri"/>
                <w:color w:val="000000"/>
              </w:rPr>
              <w:t>9%</w:t>
            </w:r>
          </w:p>
        </w:tc>
        <w:tc>
          <w:tcPr>
            <w:tcW w:w="677" w:type="pct"/>
            <w:tcBorders>
              <w:top w:val="nil"/>
              <w:left w:val="nil"/>
              <w:bottom w:val="nil"/>
              <w:right w:val="nil"/>
            </w:tcBorders>
            <w:shd w:val="clear" w:color="auto" w:fill="auto"/>
          </w:tcPr>
          <w:p w14:paraId="361BE36B" w14:textId="26527311" w:rsidR="002F3F78" w:rsidRPr="0055445F" w:rsidRDefault="002F3F78" w:rsidP="00640CBE">
            <w:pPr>
              <w:jc w:val="right"/>
              <w:rPr>
                <w:lang w:val="en-GB"/>
              </w:rPr>
            </w:pPr>
            <w:r w:rsidRPr="0055445F">
              <w:rPr>
                <w:rFonts w:ascii="Calibri" w:hAnsi="Calibri" w:cs="Calibri"/>
                <w:color w:val="000000"/>
                <w:lang w:val="en-GB"/>
              </w:rPr>
              <w:t>664.4</w:t>
            </w:r>
          </w:p>
        </w:tc>
        <w:tc>
          <w:tcPr>
            <w:tcW w:w="677" w:type="pct"/>
            <w:tcBorders>
              <w:top w:val="nil"/>
              <w:left w:val="nil"/>
              <w:bottom w:val="nil"/>
              <w:right w:val="nil"/>
            </w:tcBorders>
            <w:shd w:val="clear" w:color="auto" w:fill="auto"/>
          </w:tcPr>
          <w:p w14:paraId="66F050F1" w14:textId="77D20DA3" w:rsidR="002F3F78" w:rsidRPr="0055445F" w:rsidRDefault="002F3F78" w:rsidP="00640CBE">
            <w:pPr>
              <w:jc w:val="right"/>
              <w:rPr>
                <w:lang w:val="en-GB"/>
              </w:rPr>
            </w:pPr>
            <w:r w:rsidRPr="0055445F">
              <w:rPr>
                <w:rFonts w:ascii="Calibri" w:hAnsi="Calibri" w:cs="Calibri"/>
                <w:color w:val="000000"/>
              </w:rPr>
              <w:t>7%</w:t>
            </w:r>
          </w:p>
        </w:tc>
        <w:tc>
          <w:tcPr>
            <w:tcW w:w="712" w:type="pct"/>
            <w:tcBorders>
              <w:top w:val="nil"/>
              <w:left w:val="nil"/>
              <w:bottom w:val="nil"/>
              <w:right w:val="nil"/>
            </w:tcBorders>
            <w:shd w:val="clear" w:color="auto" w:fill="auto"/>
          </w:tcPr>
          <w:p w14:paraId="2C5E1BEC" w14:textId="5D5DAB97" w:rsidR="002F3F78" w:rsidRPr="0055445F" w:rsidRDefault="002F3F78" w:rsidP="00640CBE">
            <w:pPr>
              <w:jc w:val="right"/>
              <w:rPr>
                <w:lang w:val="en-GB"/>
              </w:rPr>
            </w:pPr>
            <w:r w:rsidRPr="0055445F">
              <w:rPr>
                <w:rFonts w:ascii="Calibri" w:hAnsi="Calibri" w:cs="Calibri"/>
                <w:color w:val="000000"/>
                <w:lang w:val="en-GB"/>
              </w:rPr>
              <w:t>754.9</w:t>
            </w:r>
          </w:p>
        </w:tc>
        <w:tc>
          <w:tcPr>
            <w:tcW w:w="712" w:type="pct"/>
            <w:tcBorders>
              <w:top w:val="nil"/>
              <w:left w:val="nil"/>
              <w:bottom w:val="nil"/>
              <w:right w:val="nil"/>
            </w:tcBorders>
            <w:shd w:val="clear" w:color="auto" w:fill="auto"/>
          </w:tcPr>
          <w:p w14:paraId="3161F591" w14:textId="4683ACBD" w:rsidR="002F3F78" w:rsidRPr="0055445F" w:rsidRDefault="002F3F78" w:rsidP="00640CBE">
            <w:pPr>
              <w:jc w:val="right"/>
              <w:rPr>
                <w:lang w:val="en-GB"/>
              </w:rPr>
            </w:pPr>
            <w:r w:rsidRPr="0055445F">
              <w:rPr>
                <w:rFonts w:ascii="Calibri" w:hAnsi="Calibri" w:cs="Calibri"/>
                <w:color w:val="000000"/>
              </w:rPr>
              <w:t>8%</w:t>
            </w:r>
          </w:p>
        </w:tc>
      </w:tr>
      <w:tr w:rsidR="002F3F78" w:rsidRPr="0055445F" w14:paraId="3B7A0D8B" w14:textId="77777777" w:rsidTr="00E768FE">
        <w:tc>
          <w:tcPr>
            <w:tcW w:w="866" w:type="pct"/>
            <w:tcBorders>
              <w:top w:val="nil"/>
              <w:left w:val="nil"/>
              <w:bottom w:val="nil"/>
              <w:right w:val="nil"/>
            </w:tcBorders>
            <w:shd w:val="clear" w:color="auto" w:fill="auto"/>
          </w:tcPr>
          <w:p w14:paraId="44B81671" w14:textId="6FCC69C1" w:rsidR="002F3F78" w:rsidRPr="0055445F" w:rsidRDefault="001D6F5D" w:rsidP="001D6F5D">
            <w:pPr>
              <w:rPr>
                <w:lang w:val="en-GB"/>
              </w:rPr>
            </w:pPr>
            <w:proofErr w:type="spellStart"/>
            <w:r>
              <w:rPr>
                <w:lang w:val="en-GB"/>
              </w:rPr>
              <w:t>非赠款工具</w:t>
            </w:r>
            <w:proofErr w:type="spellEnd"/>
          </w:p>
        </w:tc>
        <w:tc>
          <w:tcPr>
            <w:tcW w:w="673" w:type="pct"/>
            <w:tcBorders>
              <w:top w:val="nil"/>
              <w:left w:val="nil"/>
              <w:bottom w:val="nil"/>
              <w:right w:val="nil"/>
            </w:tcBorders>
            <w:shd w:val="clear" w:color="auto" w:fill="auto"/>
          </w:tcPr>
          <w:p w14:paraId="6541D905" w14:textId="77777777" w:rsidR="002F3F78" w:rsidRPr="0055445F" w:rsidRDefault="002F3F78" w:rsidP="00E768FE">
            <w:pPr>
              <w:jc w:val="right"/>
              <w:rPr>
                <w:lang w:val="en-GB"/>
              </w:rPr>
            </w:pPr>
            <w:r w:rsidRPr="0055445F">
              <w:rPr>
                <w:lang w:val="en-GB"/>
              </w:rPr>
              <w:t>15.0</w:t>
            </w:r>
          </w:p>
        </w:tc>
        <w:tc>
          <w:tcPr>
            <w:tcW w:w="682" w:type="pct"/>
            <w:tcBorders>
              <w:top w:val="nil"/>
              <w:left w:val="nil"/>
              <w:bottom w:val="nil"/>
              <w:right w:val="nil"/>
            </w:tcBorders>
            <w:shd w:val="clear" w:color="auto" w:fill="auto"/>
          </w:tcPr>
          <w:p w14:paraId="2A2F8B34" w14:textId="7FEC2649" w:rsidR="002F3F78" w:rsidRPr="0055445F" w:rsidRDefault="002F3F78" w:rsidP="00640CBE">
            <w:pPr>
              <w:jc w:val="right"/>
              <w:rPr>
                <w:lang w:val="en-GB"/>
              </w:rPr>
            </w:pPr>
            <w:r w:rsidRPr="0055445F">
              <w:rPr>
                <w:rFonts w:ascii="Calibri" w:hAnsi="Calibri" w:cs="Calibri"/>
                <w:color w:val="000000"/>
              </w:rPr>
              <w:t>1%</w:t>
            </w:r>
          </w:p>
        </w:tc>
        <w:tc>
          <w:tcPr>
            <w:tcW w:w="677" w:type="pct"/>
            <w:tcBorders>
              <w:top w:val="nil"/>
              <w:left w:val="nil"/>
              <w:bottom w:val="nil"/>
              <w:right w:val="nil"/>
            </w:tcBorders>
            <w:shd w:val="clear" w:color="auto" w:fill="auto"/>
          </w:tcPr>
          <w:p w14:paraId="7CFC236D" w14:textId="220C9B4D" w:rsidR="002F3F78" w:rsidRPr="0055445F" w:rsidRDefault="002F3F78" w:rsidP="00640CBE">
            <w:pPr>
              <w:jc w:val="right"/>
              <w:rPr>
                <w:lang w:val="en-GB"/>
              </w:rPr>
            </w:pPr>
            <w:r w:rsidRPr="0055445F">
              <w:rPr>
                <w:rFonts w:ascii="Calibri" w:hAnsi="Calibri" w:cs="Calibri"/>
                <w:color w:val="000000"/>
                <w:lang w:val="en-GB"/>
              </w:rPr>
              <w:t>773.3</w:t>
            </w:r>
          </w:p>
        </w:tc>
        <w:tc>
          <w:tcPr>
            <w:tcW w:w="677" w:type="pct"/>
            <w:tcBorders>
              <w:top w:val="nil"/>
              <w:left w:val="nil"/>
              <w:bottom w:val="nil"/>
              <w:right w:val="nil"/>
            </w:tcBorders>
            <w:shd w:val="clear" w:color="auto" w:fill="auto"/>
          </w:tcPr>
          <w:p w14:paraId="6FE80F1F" w14:textId="3FB2D6E2" w:rsidR="002F3F78" w:rsidRPr="0055445F" w:rsidRDefault="002F3F78" w:rsidP="00640CBE">
            <w:pPr>
              <w:jc w:val="right"/>
              <w:rPr>
                <w:lang w:val="en-GB"/>
              </w:rPr>
            </w:pPr>
            <w:r w:rsidRPr="0055445F">
              <w:rPr>
                <w:rFonts w:ascii="Calibri" w:hAnsi="Calibri" w:cs="Calibri"/>
                <w:color w:val="000000"/>
              </w:rPr>
              <w:t>9%</w:t>
            </w:r>
          </w:p>
        </w:tc>
        <w:tc>
          <w:tcPr>
            <w:tcW w:w="712" w:type="pct"/>
            <w:tcBorders>
              <w:top w:val="nil"/>
              <w:left w:val="nil"/>
              <w:bottom w:val="nil"/>
              <w:right w:val="nil"/>
            </w:tcBorders>
            <w:shd w:val="clear" w:color="auto" w:fill="auto"/>
          </w:tcPr>
          <w:p w14:paraId="34990249" w14:textId="1FA75121" w:rsidR="002F3F78" w:rsidRPr="0055445F" w:rsidRDefault="002F3F78" w:rsidP="00640CBE">
            <w:pPr>
              <w:jc w:val="right"/>
              <w:rPr>
                <w:lang w:val="en-GB"/>
              </w:rPr>
            </w:pPr>
            <w:r w:rsidRPr="0055445F">
              <w:rPr>
                <w:rFonts w:ascii="Calibri" w:hAnsi="Calibri" w:cs="Calibri"/>
                <w:color w:val="000000"/>
                <w:lang w:val="en-GB"/>
              </w:rPr>
              <w:t>788.3</w:t>
            </w:r>
          </w:p>
        </w:tc>
        <w:tc>
          <w:tcPr>
            <w:tcW w:w="712" w:type="pct"/>
            <w:tcBorders>
              <w:top w:val="nil"/>
              <w:left w:val="nil"/>
              <w:bottom w:val="nil"/>
              <w:right w:val="nil"/>
            </w:tcBorders>
            <w:shd w:val="clear" w:color="auto" w:fill="auto"/>
          </w:tcPr>
          <w:p w14:paraId="6CF98541" w14:textId="63729FE3" w:rsidR="002F3F78" w:rsidRPr="0055445F" w:rsidRDefault="002F3F78" w:rsidP="00640CBE">
            <w:pPr>
              <w:jc w:val="right"/>
              <w:rPr>
                <w:lang w:val="en-GB"/>
              </w:rPr>
            </w:pPr>
            <w:r w:rsidRPr="0055445F">
              <w:rPr>
                <w:rFonts w:ascii="Calibri" w:hAnsi="Calibri" w:cs="Calibri"/>
                <w:color w:val="000000"/>
              </w:rPr>
              <w:t>8%</w:t>
            </w:r>
          </w:p>
        </w:tc>
      </w:tr>
      <w:tr w:rsidR="002F3F78" w:rsidRPr="0055445F" w14:paraId="62D7252D" w14:textId="77777777" w:rsidTr="00E768FE">
        <w:tc>
          <w:tcPr>
            <w:tcW w:w="866" w:type="pct"/>
            <w:tcBorders>
              <w:top w:val="nil"/>
              <w:left w:val="nil"/>
              <w:bottom w:val="nil"/>
              <w:right w:val="nil"/>
            </w:tcBorders>
            <w:shd w:val="clear" w:color="auto" w:fill="auto"/>
          </w:tcPr>
          <w:p w14:paraId="75E23392" w14:textId="05057EFF" w:rsidR="002F3F78" w:rsidRPr="0055445F" w:rsidRDefault="001D6F5D" w:rsidP="001D6F5D">
            <w:pPr>
              <w:rPr>
                <w:lang w:val="en-GB"/>
              </w:rPr>
            </w:pPr>
            <w:r>
              <w:rPr>
                <w:rFonts w:hint="eastAsia"/>
                <w:lang w:eastAsia="zh-CN"/>
              </w:rPr>
              <w:t>小额赠款方案</w:t>
            </w:r>
          </w:p>
        </w:tc>
        <w:tc>
          <w:tcPr>
            <w:tcW w:w="673" w:type="pct"/>
            <w:tcBorders>
              <w:top w:val="nil"/>
              <w:left w:val="nil"/>
              <w:bottom w:val="nil"/>
              <w:right w:val="nil"/>
            </w:tcBorders>
            <w:shd w:val="clear" w:color="auto" w:fill="auto"/>
          </w:tcPr>
          <w:p w14:paraId="01E14E05" w14:textId="77777777" w:rsidR="002F3F78" w:rsidRPr="0055445F" w:rsidRDefault="002F3F78" w:rsidP="00E768FE">
            <w:pPr>
              <w:jc w:val="right"/>
              <w:rPr>
                <w:lang w:val="en-GB"/>
              </w:rPr>
            </w:pPr>
            <w:r w:rsidRPr="0055445F">
              <w:rPr>
                <w:lang w:val="en-GB"/>
              </w:rPr>
              <w:t>21.0</w:t>
            </w:r>
          </w:p>
        </w:tc>
        <w:tc>
          <w:tcPr>
            <w:tcW w:w="682" w:type="pct"/>
            <w:tcBorders>
              <w:top w:val="nil"/>
              <w:left w:val="nil"/>
              <w:bottom w:val="nil"/>
              <w:right w:val="nil"/>
            </w:tcBorders>
            <w:shd w:val="clear" w:color="auto" w:fill="auto"/>
          </w:tcPr>
          <w:p w14:paraId="3B7AD189" w14:textId="470D2CA5" w:rsidR="002F3F78" w:rsidRPr="0055445F" w:rsidRDefault="002F3F78" w:rsidP="00640CBE">
            <w:pPr>
              <w:jc w:val="right"/>
              <w:rPr>
                <w:lang w:val="en-GB"/>
              </w:rPr>
            </w:pPr>
            <w:r w:rsidRPr="0055445F">
              <w:rPr>
                <w:rFonts w:ascii="Calibri" w:hAnsi="Calibri" w:cs="Calibri"/>
                <w:color w:val="000000"/>
              </w:rPr>
              <w:t>2%</w:t>
            </w:r>
          </w:p>
        </w:tc>
        <w:tc>
          <w:tcPr>
            <w:tcW w:w="677" w:type="pct"/>
            <w:tcBorders>
              <w:top w:val="nil"/>
              <w:left w:val="nil"/>
              <w:bottom w:val="nil"/>
              <w:right w:val="nil"/>
            </w:tcBorders>
            <w:shd w:val="clear" w:color="auto" w:fill="auto"/>
          </w:tcPr>
          <w:p w14:paraId="71C545B1" w14:textId="60EFCEEA" w:rsidR="002F3F78" w:rsidRPr="0055445F" w:rsidRDefault="002F3F78" w:rsidP="00640CBE">
            <w:pPr>
              <w:jc w:val="right"/>
              <w:rPr>
                <w:lang w:val="en-GB"/>
              </w:rPr>
            </w:pPr>
            <w:r w:rsidRPr="0055445F">
              <w:rPr>
                <w:rFonts w:ascii="Calibri" w:hAnsi="Calibri" w:cs="Calibri"/>
                <w:color w:val="000000"/>
                <w:lang w:val="en-GB"/>
              </w:rPr>
              <w:t>21.0</w:t>
            </w:r>
          </w:p>
        </w:tc>
        <w:tc>
          <w:tcPr>
            <w:tcW w:w="677" w:type="pct"/>
            <w:tcBorders>
              <w:top w:val="nil"/>
              <w:left w:val="nil"/>
              <w:bottom w:val="nil"/>
              <w:right w:val="nil"/>
            </w:tcBorders>
            <w:shd w:val="clear" w:color="auto" w:fill="auto"/>
          </w:tcPr>
          <w:p w14:paraId="380F8EBD" w14:textId="751FAEED" w:rsidR="002F3F78" w:rsidRPr="0055445F" w:rsidRDefault="002F3F78" w:rsidP="00640CBE">
            <w:pPr>
              <w:jc w:val="right"/>
              <w:rPr>
                <w:lang w:val="en-GB"/>
              </w:rPr>
            </w:pPr>
            <w:r w:rsidRPr="0055445F">
              <w:rPr>
                <w:rFonts w:ascii="Calibri" w:hAnsi="Calibri" w:cs="Calibri"/>
                <w:color w:val="000000"/>
              </w:rPr>
              <w:t>0%</w:t>
            </w:r>
          </w:p>
        </w:tc>
        <w:tc>
          <w:tcPr>
            <w:tcW w:w="712" w:type="pct"/>
            <w:tcBorders>
              <w:top w:val="nil"/>
              <w:left w:val="nil"/>
              <w:bottom w:val="nil"/>
              <w:right w:val="nil"/>
            </w:tcBorders>
            <w:shd w:val="clear" w:color="auto" w:fill="auto"/>
          </w:tcPr>
          <w:p w14:paraId="47E3B0D1" w14:textId="5B5265F5" w:rsidR="002F3F78" w:rsidRPr="0055445F" w:rsidRDefault="002F3F78" w:rsidP="00640CBE">
            <w:pPr>
              <w:jc w:val="right"/>
              <w:rPr>
                <w:lang w:val="en-GB"/>
              </w:rPr>
            </w:pPr>
            <w:r w:rsidRPr="0055445F">
              <w:rPr>
                <w:rFonts w:ascii="Calibri" w:hAnsi="Calibri" w:cs="Calibri"/>
                <w:color w:val="000000"/>
                <w:lang w:val="en-GB"/>
              </w:rPr>
              <w:t>42.0</w:t>
            </w:r>
          </w:p>
        </w:tc>
        <w:tc>
          <w:tcPr>
            <w:tcW w:w="712" w:type="pct"/>
            <w:tcBorders>
              <w:top w:val="nil"/>
              <w:left w:val="nil"/>
              <w:bottom w:val="nil"/>
              <w:right w:val="nil"/>
            </w:tcBorders>
            <w:shd w:val="clear" w:color="auto" w:fill="auto"/>
          </w:tcPr>
          <w:p w14:paraId="050318B2" w14:textId="3EFB3D29" w:rsidR="002F3F78" w:rsidRPr="0055445F" w:rsidRDefault="002F3F78" w:rsidP="00640CBE">
            <w:pPr>
              <w:jc w:val="right"/>
              <w:rPr>
                <w:lang w:val="en-GB"/>
              </w:rPr>
            </w:pPr>
            <w:r w:rsidRPr="0055445F">
              <w:rPr>
                <w:rFonts w:ascii="Calibri" w:hAnsi="Calibri" w:cs="Calibri"/>
                <w:color w:val="000000"/>
              </w:rPr>
              <w:t>0%</w:t>
            </w:r>
          </w:p>
        </w:tc>
      </w:tr>
      <w:tr w:rsidR="002F3F78" w:rsidRPr="0055445F" w14:paraId="2BBDC6DF" w14:textId="77777777" w:rsidTr="00E768FE">
        <w:tc>
          <w:tcPr>
            <w:tcW w:w="866" w:type="pct"/>
            <w:tcBorders>
              <w:top w:val="single" w:sz="4" w:space="0" w:color="538135" w:themeColor="accent6" w:themeShade="BF"/>
              <w:left w:val="nil"/>
              <w:bottom w:val="nil"/>
              <w:right w:val="nil"/>
            </w:tcBorders>
            <w:shd w:val="clear" w:color="auto" w:fill="auto"/>
          </w:tcPr>
          <w:p w14:paraId="72BA183F" w14:textId="5D63F05B" w:rsidR="002F3F78" w:rsidRPr="0055445F" w:rsidRDefault="001D6F5D" w:rsidP="001D6F5D">
            <w:pPr>
              <w:rPr>
                <w:lang w:val="en-GB"/>
              </w:rPr>
            </w:pPr>
            <w:proofErr w:type="spellStart"/>
            <w:r>
              <w:rPr>
                <w:lang w:val="en-GB"/>
              </w:rPr>
              <w:t>共计</w:t>
            </w:r>
            <w:proofErr w:type="spellEnd"/>
          </w:p>
        </w:tc>
        <w:tc>
          <w:tcPr>
            <w:tcW w:w="673" w:type="pct"/>
            <w:tcBorders>
              <w:top w:val="single" w:sz="4" w:space="0" w:color="538135" w:themeColor="accent6" w:themeShade="BF"/>
              <w:left w:val="nil"/>
              <w:bottom w:val="nil"/>
              <w:right w:val="nil"/>
            </w:tcBorders>
            <w:shd w:val="clear" w:color="auto" w:fill="auto"/>
          </w:tcPr>
          <w:p w14:paraId="68410E1D" w14:textId="5E59CB73" w:rsidR="00016B44" w:rsidRPr="0055445F" w:rsidRDefault="00016B44" w:rsidP="00E768FE">
            <w:pPr>
              <w:jc w:val="right"/>
              <w:rPr>
                <w:lang w:val="en-GB"/>
              </w:rPr>
            </w:pPr>
            <w:r w:rsidRPr="0055445F">
              <w:rPr>
                <w:lang w:val="en-GB"/>
              </w:rPr>
              <w:t>1</w:t>
            </w:r>
            <w:r w:rsidR="00BE18CC">
              <w:rPr>
                <w:lang w:val="en-GB"/>
              </w:rPr>
              <w:t>,</w:t>
            </w:r>
            <w:r w:rsidRPr="0055445F">
              <w:rPr>
                <w:lang w:val="en-GB"/>
              </w:rPr>
              <w:t>056.7</w:t>
            </w:r>
          </w:p>
        </w:tc>
        <w:tc>
          <w:tcPr>
            <w:tcW w:w="682" w:type="pct"/>
            <w:tcBorders>
              <w:top w:val="single" w:sz="4" w:space="0" w:color="538135" w:themeColor="accent6" w:themeShade="BF"/>
              <w:left w:val="nil"/>
              <w:bottom w:val="nil"/>
              <w:right w:val="nil"/>
            </w:tcBorders>
            <w:shd w:val="clear" w:color="auto" w:fill="auto"/>
          </w:tcPr>
          <w:p w14:paraId="22C757A9" w14:textId="47662CE8" w:rsidR="002F3F78" w:rsidRPr="0055445F" w:rsidRDefault="002F3F78" w:rsidP="00E768FE">
            <w:pPr>
              <w:jc w:val="right"/>
              <w:rPr>
                <w:lang w:val="en-GB"/>
              </w:rPr>
            </w:pPr>
            <w:r w:rsidRPr="0055445F">
              <w:rPr>
                <w:rFonts w:ascii="Calibri" w:hAnsi="Calibri" w:cs="Calibri"/>
                <w:color w:val="000000"/>
              </w:rPr>
              <w:t> </w:t>
            </w:r>
          </w:p>
        </w:tc>
        <w:tc>
          <w:tcPr>
            <w:tcW w:w="677" w:type="pct"/>
            <w:tcBorders>
              <w:top w:val="single" w:sz="4" w:space="0" w:color="538135" w:themeColor="accent6" w:themeShade="BF"/>
              <w:left w:val="nil"/>
              <w:bottom w:val="nil"/>
              <w:right w:val="nil"/>
            </w:tcBorders>
            <w:shd w:val="clear" w:color="auto" w:fill="auto"/>
          </w:tcPr>
          <w:p w14:paraId="547AC22A" w14:textId="5E108E3C" w:rsidR="002F3F78" w:rsidRPr="0055445F" w:rsidRDefault="002F3F78" w:rsidP="00E768FE">
            <w:pPr>
              <w:jc w:val="right"/>
              <w:rPr>
                <w:lang w:val="en-GB"/>
              </w:rPr>
            </w:pPr>
            <w:r w:rsidRPr="0055445F">
              <w:rPr>
                <w:rFonts w:ascii="Calibri" w:hAnsi="Calibri" w:cs="Calibri"/>
                <w:color w:val="000000"/>
              </w:rPr>
              <w:t>8,955.7</w:t>
            </w:r>
          </w:p>
        </w:tc>
        <w:tc>
          <w:tcPr>
            <w:tcW w:w="677" w:type="pct"/>
            <w:tcBorders>
              <w:top w:val="single" w:sz="4" w:space="0" w:color="538135" w:themeColor="accent6" w:themeShade="BF"/>
              <w:left w:val="nil"/>
              <w:bottom w:val="nil"/>
              <w:right w:val="nil"/>
            </w:tcBorders>
            <w:shd w:val="clear" w:color="auto" w:fill="auto"/>
          </w:tcPr>
          <w:p w14:paraId="0477A1F3" w14:textId="3C2D7CB2" w:rsidR="002F3F78" w:rsidRPr="0055445F" w:rsidRDefault="002F3F78" w:rsidP="00E768FE">
            <w:pPr>
              <w:jc w:val="right"/>
              <w:rPr>
                <w:lang w:val="en-GB"/>
              </w:rPr>
            </w:pPr>
            <w:r w:rsidRPr="0055445F">
              <w:rPr>
                <w:rFonts w:ascii="Calibri" w:hAnsi="Calibri" w:cs="Calibri"/>
                <w:color w:val="000000"/>
              </w:rPr>
              <w:t> </w:t>
            </w:r>
          </w:p>
        </w:tc>
        <w:tc>
          <w:tcPr>
            <w:tcW w:w="712" w:type="pct"/>
            <w:tcBorders>
              <w:top w:val="single" w:sz="4" w:space="0" w:color="538135" w:themeColor="accent6" w:themeShade="BF"/>
              <w:left w:val="nil"/>
              <w:bottom w:val="nil"/>
              <w:right w:val="nil"/>
            </w:tcBorders>
            <w:shd w:val="clear" w:color="auto" w:fill="auto"/>
          </w:tcPr>
          <w:p w14:paraId="7C8C8ED6" w14:textId="40F1ED13" w:rsidR="00016B44" w:rsidRPr="0055445F" w:rsidRDefault="00016B44" w:rsidP="00E768FE">
            <w:pPr>
              <w:jc w:val="right"/>
              <w:rPr>
                <w:lang w:val="en-GB"/>
              </w:rPr>
            </w:pPr>
            <w:r w:rsidRPr="0055445F">
              <w:rPr>
                <w:rFonts w:ascii="Calibri" w:hAnsi="Calibri" w:cs="Calibri"/>
                <w:color w:val="000000"/>
              </w:rPr>
              <w:t>10,012.4</w:t>
            </w:r>
          </w:p>
        </w:tc>
        <w:tc>
          <w:tcPr>
            <w:tcW w:w="712" w:type="pct"/>
            <w:tcBorders>
              <w:top w:val="single" w:sz="4" w:space="0" w:color="538135" w:themeColor="accent6" w:themeShade="BF"/>
              <w:left w:val="nil"/>
              <w:bottom w:val="nil"/>
              <w:right w:val="nil"/>
            </w:tcBorders>
            <w:shd w:val="clear" w:color="auto" w:fill="auto"/>
          </w:tcPr>
          <w:p w14:paraId="3750A459" w14:textId="18FBB08B" w:rsidR="002F3F78" w:rsidRPr="0055445F" w:rsidRDefault="002F3F78" w:rsidP="00E768FE">
            <w:pPr>
              <w:jc w:val="right"/>
              <w:rPr>
                <w:lang w:val="en-GB"/>
              </w:rPr>
            </w:pPr>
            <w:r w:rsidRPr="0055445F">
              <w:rPr>
                <w:rFonts w:ascii="Calibri" w:hAnsi="Calibri" w:cs="Calibri"/>
                <w:color w:val="000000"/>
                <w:lang w:val="en-GB"/>
              </w:rPr>
              <w:t> </w:t>
            </w:r>
          </w:p>
        </w:tc>
      </w:tr>
    </w:tbl>
    <w:p w14:paraId="1CECB66A" w14:textId="23B71E01" w:rsidR="00FF3B4A" w:rsidRDefault="00FF3B4A" w:rsidP="00A96A54">
      <w:pPr>
        <w:rPr>
          <w:b/>
          <w:sz w:val="24"/>
          <w:szCs w:val="24"/>
          <w:u w:val="single"/>
        </w:rPr>
      </w:pPr>
      <w:r>
        <w:rPr>
          <w:b/>
          <w:sz w:val="24"/>
          <w:szCs w:val="24"/>
          <w:u w:val="single"/>
        </w:rPr>
        <w:br w:type="page"/>
      </w:r>
    </w:p>
    <w:p w14:paraId="0DD38965" w14:textId="1C1F0D88" w:rsidR="00CF090D" w:rsidRPr="003D54E3" w:rsidRDefault="00CF090D" w:rsidP="00CA5440">
      <w:pPr>
        <w:pStyle w:val="ListParagraph"/>
        <w:numPr>
          <w:ilvl w:val="0"/>
          <w:numId w:val="25"/>
        </w:numPr>
        <w:spacing w:before="240" w:after="240" w:line="240" w:lineRule="auto"/>
        <w:ind w:left="0" w:firstLine="0"/>
        <w:contextualSpacing w:val="0"/>
        <w:rPr>
          <w:sz w:val="24"/>
          <w:szCs w:val="24"/>
          <w:lang w:eastAsia="zh-CN"/>
        </w:rPr>
      </w:pPr>
      <w:r w:rsidRPr="003D54E3">
        <w:rPr>
          <w:rFonts w:hint="eastAsia"/>
          <w:sz w:val="24"/>
          <w:szCs w:val="24"/>
          <w:lang w:eastAsia="zh-CN"/>
        </w:rPr>
        <w:lastRenderedPageBreak/>
        <w:t>以下各节进一步说明表</w:t>
      </w:r>
      <w:r w:rsidRPr="003D54E3">
        <w:rPr>
          <w:rFonts w:hint="eastAsia"/>
          <w:sz w:val="24"/>
          <w:szCs w:val="24"/>
          <w:lang w:eastAsia="zh-CN"/>
        </w:rPr>
        <w:t>4</w:t>
      </w:r>
      <w:r w:rsidRPr="003D54E3">
        <w:rPr>
          <w:rFonts w:hint="eastAsia"/>
          <w:sz w:val="24"/>
          <w:szCs w:val="24"/>
          <w:lang w:eastAsia="zh-CN"/>
        </w:rPr>
        <w:t>概述的投资如何为实现爱知生物多样性目标做出贡献。</w:t>
      </w:r>
    </w:p>
    <w:p w14:paraId="0F0F2CCC" w14:textId="40257B43" w:rsidR="00506145" w:rsidRPr="003D54E3" w:rsidRDefault="00CF090D" w:rsidP="00CF090D">
      <w:pPr>
        <w:pStyle w:val="Heading2"/>
        <w:rPr>
          <w:sz w:val="24"/>
          <w:szCs w:val="24"/>
        </w:rPr>
      </w:pPr>
      <w:r w:rsidRPr="003D54E3">
        <w:rPr>
          <w:sz w:val="24"/>
          <w:szCs w:val="24"/>
        </w:rPr>
        <w:t>全环基金第七次增资的</w:t>
      </w:r>
      <w:r w:rsidRPr="003D54E3">
        <w:rPr>
          <w:rFonts w:hint="eastAsia"/>
          <w:sz w:val="24"/>
          <w:szCs w:val="24"/>
        </w:rPr>
        <w:t>生物多</w:t>
      </w:r>
      <w:r w:rsidRPr="003D54E3">
        <w:rPr>
          <w:rFonts w:cs="SimSun" w:hint="eastAsia"/>
          <w:sz w:val="24"/>
          <w:szCs w:val="24"/>
        </w:rPr>
        <w:t>样</w:t>
      </w:r>
      <w:r w:rsidRPr="003D54E3">
        <w:rPr>
          <w:rFonts w:cs="Yu Gothic Light" w:hint="eastAsia"/>
          <w:sz w:val="24"/>
          <w:szCs w:val="24"/>
        </w:rPr>
        <w:t>性重点</w:t>
      </w:r>
      <w:r w:rsidRPr="003D54E3">
        <w:rPr>
          <w:rFonts w:cs="SimSun" w:hint="eastAsia"/>
          <w:sz w:val="24"/>
          <w:szCs w:val="24"/>
        </w:rPr>
        <w:t>领</w:t>
      </w:r>
      <w:r w:rsidRPr="003D54E3">
        <w:rPr>
          <w:rFonts w:cs="Yu Gothic Light" w:hint="eastAsia"/>
          <w:sz w:val="24"/>
          <w:szCs w:val="24"/>
        </w:rPr>
        <w:t>域</w:t>
      </w:r>
      <w:r w:rsidRPr="003D54E3">
        <w:rPr>
          <w:rFonts w:cs="SimSun" w:hint="eastAsia"/>
          <w:sz w:val="24"/>
          <w:szCs w:val="24"/>
        </w:rPr>
        <w:t>战</w:t>
      </w:r>
      <w:r w:rsidRPr="003D54E3">
        <w:rPr>
          <w:rFonts w:cs="Yu Gothic Light" w:hint="eastAsia"/>
          <w:sz w:val="24"/>
          <w:szCs w:val="24"/>
        </w:rPr>
        <w:t>略</w:t>
      </w:r>
      <w:r w:rsidRPr="003D54E3">
        <w:rPr>
          <w:rFonts w:cs="SimSun" w:hint="eastAsia"/>
          <w:sz w:val="24"/>
          <w:szCs w:val="24"/>
        </w:rPr>
        <w:t>为实现爱</w:t>
      </w:r>
      <w:r w:rsidRPr="003D54E3">
        <w:rPr>
          <w:rFonts w:cs="Yu Gothic Light" w:hint="eastAsia"/>
          <w:sz w:val="24"/>
          <w:szCs w:val="24"/>
        </w:rPr>
        <w:t>知生物多</w:t>
      </w:r>
      <w:r w:rsidRPr="003D54E3">
        <w:rPr>
          <w:rFonts w:cs="SimSun" w:hint="eastAsia"/>
          <w:sz w:val="24"/>
          <w:szCs w:val="24"/>
        </w:rPr>
        <w:t>样</w:t>
      </w:r>
      <w:r w:rsidRPr="003D54E3">
        <w:rPr>
          <w:rFonts w:cs="Yu Gothic Light" w:hint="eastAsia"/>
          <w:sz w:val="24"/>
          <w:szCs w:val="24"/>
        </w:rPr>
        <w:t>性目</w:t>
      </w:r>
      <w:r w:rsidRPr="003D54E3">
        <w:rPr>
          <w:rFonts w:cs="SimSun" w:hint="eastAsia"/>
          <w:sz w:val="24"/>
          <w:szCs w:val="24"/>
        </w:rPr>
        <w:t>标作出</w:t>
      </w:r>
      <w:r w:rsidRPr="003D54E3">
        <w:rPr>
          <w:rFonts w:cs="Yu Gothic Light" w:hint="eastAsia"/>
          <w:sz w:val="24"/>
          <w:szCs w:val="24"/>
        </w:rPr>
        <w:t>的</w:t>
      </w:r>
      <w:r w:rsidRPr="003D54E3">
        <w:rPr>
          <w:rFonts w:cs="SimSun" w:hint="eastAsia"/>
          <w:sz w:val="24"/>
          <w:szCs w:val="24"/>
        </w:rPr>
        <w:t>贡</w:t>
      </w:r>
      <w:r w:rsidRPr="003D54E3">
        <w:rPr>
          <w:rFonts w:hint="eastAsia"/>
          <w:sz w:val="24"/>
          <w:szCs w:val="24"/>
        </w:rPr>
        <w:t>献</w:t>
      </w:r>
    </w:p>
    <w:p w14:paraId="78F681B8" w14:textId="2ECC2D22" w:rsidR="00CF090D" w:rsidRPr="003D54E3" w:rsidRDefault="00CF090D" w:rsidP="00CA5440">
      <w:pPr>
        <w:pStyle w:val="ListParagraph"/>
        <w:numPr>
          <w:ilvl w:val="0"/>
          <w:numId w:val="25"/>
        </w:numPr>
        <w:spacing w:before="240" w:after="240" w:line="240" w:lineRule="auto"/>
        <w:ind w:left="0" w:firstLine="0"/>
        <w:contextualSpacing w:val="0"/>
        <w:rPr>
          <w:sz w:val="24"/>
          <w:szCs w:val="24"/>
          <w:lang w:eastAsia="zh-CN"/>
        </w:rPr>
      </w:pPr>
      <w:r w:rsidRPr="003D54E3">
        <w:rPr>
          <w:rFonts w:hint="eastAsia"/>
          <w:sz w:val="24"/>
          <w:szCs w:val="24"/>
          <w:lang w:eastAsia="zh-CN"/>
        </w:rPr>
        <w:t>表</w:t>
      </w:r>
      <w:r w:rsidRPr="003D54E3">
        <w:rPr>
          <w:rFonts w:hint="eastAsia"/>
          <w:sz w:val="24"/>
          <w:szCs w:val="24"/>
          <w:lang w:eastAsia="zh-CN"/>
        </w:rPr>
        <w:t>5</w:t>
      </w:r>
      <w:r w:rsidRPr="003D54E3">
        <w:rPr>
          <w:rFonts w:hint="eastAsia"/>
          <w:sz w:val="24"/>
          <w:szCs w:val="24"/>
          <w:lang w:eastAsia="zh-CN"/>
        </w:rPr>
        <w:t>列出生物多样性</w:t>
      </w:r>
      <w:r w:rsidRPr="003D54E3">
        <w:rPr>
          <w:rFonts w:hint="eastAsia"/>
          <w:sz w:val="24"/>
          <w:szCs w:val="24"/>
          <w:lang w:eastAsia="zh-CN"/>
        </w:rPr>
        <w:t>STAR</w:t>
      </w:r>
      <w:r w:rsidRPr="003D54E3">
        <w:rPr>
          <w:rFonts w:hint="eastAsia"/>
          <w:sz w:val="24"/>
          <w:szCs w:val="24"/>
          <w:lang w:eastAsia="zh-CN"/>
        </w:rPr>
        <w:t>分配额，这些分配额支持了不属于全环基金第七次增资的影响计划的一部分的生物多样性重点领域项目和多重点领域项目。这些数据表明，全球环境基金受援国将生物多样性主流化议程继续列为优先事项。</w:t>
      </w:r>
    </w:p>
    <w:p w14:paraId="69EC4B90" w14:textId="588ADA20" w:rsidR="00CF090D" w:rsidRPr="003D54E3" w:rsidRDefault="00CF090D" w:rsidP="00CA5440">
      <w:pPr>
        <w:pStyle w:val="ListParagraph"/>
        <w:numPr>
          <w:ilvl w:val="0"/>
          <w:numId w:val="25"/>
        </w:numPr>
        <w:spacing w:before="240" w:after="240" w:line="240" w:lineRule="auto"/>
        <w:ind w:left="0" w:firstLine="0"/>
        <w:contextualSpacing w:val="0"/>
        <w:rPr>
          <w:sz w:val="24"/>
          <w:szCs w:val="24"/>
          <w:lang w:eastAsia="zh-CN"/>
        </w:rPr>
      </w:pPr>
      <w:r w:rsidRPr="003D54E3">
        <w:rPr>
          <w:rFonts w:hint="eastAsia"/>
          <w:sz w:val="24"/>
          <w:szCs w:val="24"/>
          <w:lang w:eastAsia="zh-CN"/>
        </w:rPr>
        <w:t>侧重于主流化的战略目标</w:t>
      </w:r>
      <w:r w:rsidRPr="003D54E3">
        <w:rPr>
          <w:rFonts w:hint="eastAsia"/>
          <w:sz w:val="24"/>
          <w:szCs w:val="24"/>
          <w:lang w:eastAsia="zh-CN"/>
        </w:rPr>
        <w:t>1</w:t>
      </w:r>
      <w:r w:rsidRPr="003D54E3">
        <w:rPr>
          <w:rFonts w:hint="eastAsia"/>
          <w:sz w:val="24"/>
          <w:szCs w:val="24"/>
          <w:lang w:eastAsia="zh-CN"/>
        </w:rPr>
        <w:t>是拥有</w:t>
      </w:r>
      <w:r w:rsidRPr="003D54E3">
        <w:rPr>
          <w:rFonts w:hint="eastAsia"/>
          <w:sz w:val="24"/>
          <w:szCs w:val="24"/>
          <w:lang w:eastAsia="zh-CN"/>
        </w:rPr>
        <w:t>1.656</w:t>
      </w:r>
      <w:r w:rsidRPr="003D54E3">
        <w:rPr>
          <w:rFonts w:hint="eastAsia"/>
          <w:sz w:val="24"/>
          <w:szCs w:val="24"/>
          <w:lang w:eastAsia="zh-CN"/>
        </w:rPr>
        <w:t>亿美元（占</w:t>
      </w:r>
      <w:r w:rsidRPr="003D54E3">
        <w:rPr>
          <w:rFonts w:hint="eastAsia"/>
          <w:sz w:val="24"/>
          <w:szCs w:val="24"/>
          <w:lang w:eastAsia="zh-CN"/>
        </w:rPr>
        <w:t>69</w:t>
      </w:r>
      <w:r w:rsidRPr="003D54E3">
        <w:rPr>
          <w:rFonts w:hint="eastAsia"/>
          <w:sz w:val="24"/>
          <w:szCs w:val="24"/>
          <w:lang w:eastAsia="zh-CN"/>
        </w:rPr>
        <w:t>％）的国家优先执行该目标。该战略的目标</w:t>
      </w:r>
      <w:r w:rsidRPr="003D54E3">
        <w:rPr>
          <w:rFonts w:hint="eastAsia"/>
          <w:sz w:val="24"/>
          <w:szCs w:val="24"/>
          <w:lang w:eastAsia="zh-CN"/>
        </w:rPr>
        <w:t>2</w:t>
      </w:r>
      <w:r w:rsidRPr="003D54E3">
        <w:rPr>
          <w:rFonts w:hint="eastAsia"/>
          <w:sz w:val="24"/>
          <w:szCs w:val="24"/>
          <w:lang w:eastAsia="zh-CN"/>
        </w:rPr>
        <w:t>侧重于保护区的管理和物种保护，是已投资</w:t>
      </w:r>
      <w:r w:rsidRPr="003D54E3">
        <w:rPr>
          <w:rFonts w:hint="eastAsia"/>
          <w:sz w:val="24"/>
          <w:szCs w:val="24"/>
          <w:lang w:eastAsia="zh-CN"/>
        </w:rPr>
        <w:t>6 570</w:t>
      </w:r>
      <w:r w:rsidRPr="003D54E3">
        <w:rPr>
          <w:rFonts w:hint="eastAsia"/>
          <w:sz w:val="24"/>
          <w:szCs w:val="24"/>
          <w:lang w:eastAsia="zh-CN"/>
        </w:rPr>
        <w:t>万美元（占</w:t>
      </w:r>
      <w:r w:rsidRPr="003D54E3">
        <w:rPr>
          <w:rFonts w:hint="eastAsia"/>
          <w:sz w:val="24"/>
          <w:szCs w:val="24"/>
          <w:lang w:eastAsia="zh-CN"/>
        </w:rPr>
        <w:t>28</w:t>
      </w:r>
      <w:r w:rsidRPr="003D54E3">
        <w:rPr>
          <w:rFonts w:hint="eastAsia"/>
          <w:sz w:val="24"/>
          <w:szCs w:val="24"/>
          <w:lang w:eastAsia="zh-CN"/>
        </w:rPr>
        <w:t>％）的国家的次要优先事项。该战略的目标</w:t>
      </w:r>
      <w:r w:rsidRPr="003D54E3">
        <w:rPr>
          <w:rFonts w:hint="eastAsia"/>
          <w:sz w:val="24"/>
          <w:szCs w:val="24"/>
          <w:lang w:eastAsia="zh-CN"/>
        </w:rPr>
        <w:t>3</w:t>
      </w:r>
      <w:r w:rsidRPr="003D54E3">
        <w:rPr>
          <w:rFonts w:hint="eastAsia"/>
          <w:sz w:val="24"/>
          <w:szCs w:val="24"/>
          <w:lang w:eastAsia="zh-CN"/>
        </w:rPr>
        <w:t>旨在支持两项议定书的实施和支持公约的报告义务，但这些国家的优先次序一直很低，仅投资</w:t>
      </w:r>
      <w:r w:rsidRPr="003D54E3">
        <w:rPr>
          <w:rFonts w:hint="eastAsia"/>
          <w:sz w:val="24"/>
          <w:szCs w:val="24"/>
          <w:lang w:eastAsia="zh-CN"/>
        </w:rPr>
        <w:t>780</w:t>
      </w:r>
      <w:r w:rsidRPr="003D54E3">
        <w:rPr>
          <w:rFonts w:hint="eastAsia"/>
          <w:sz w:val="24"/>
          <w:szCs w:val="24"/>
          <w:lang w:eastAsia="zh-CN"/>
        </w:rPr>
        <w:t>万美元（占</w:t>
      </w:r>
      <w:r w:rsidRPr="003D54E3">
        <w:rPr>
          <w:rFonts w:hint="eastAsia"/>
          <w:sz w:val="24"/>
          <w:szCs w:val="24"/>
          <w:lang w:eastAsia="zh-CN"/>
        </w:rPr>
        <w:t>3%</w:t>
      </w:r>
      <w:r w:rsidRPr="003D54E3">
        <w:rPr>
          <w:rFonts w:hint="eastAsia"/>
          <w:sz w:val="24"/>
          <w:szCs w:val="24"/>
          <w:lang w:eastAsia="zh-CN"/>
        </w:rPr>
        <w:t>）用于实施《名古屋议定书》。</w:t>
      </w:r>
    </w:p>
    <w:p w14:paraId="61DEF06A" w14:textId="0235E2B5" w:rsidR="00CF090D" w:rsidRPr="003D54E3" w:rsidRDefault="00CF090D" w:rsidP="00CA5440">
      <w:pPr>
        <w:pStyle w:val="ListParagraph"/>
        <w:numPr>
          <w:ilvl w:val="0"/>
          <w:numId w:val="25"/>
        </w:numPr>
        <w:spacing w:before="240" w:after="240" w:line="240" w:lineRule="auto"/>
        <w:ind w:left="0" w:firstLine="0"/>
        <w:contextualSpacing w:val="0"/>
        <w:rPr>
          <w:sz w:val="24"/>
          <w:szCs w:val="24"/>
          <w:lang w:eastAsia="zh-CN"/>
        </w:rPr>
      </w:pPr>
      <w:r w:rsidRPr="003D54E3">
        <w:rPr>
          <w:rFonts w:hint="eastAsia"/>
          <w:sz w:val="24"/>
          <w:szCs w:val="24"/>
          <w:lang w:eastAsia="zh-CN"/>
        </w:rPr>
        <w:t>重要的是要注意到，正如本报告中进一步指出的那样，通过影响方案编列了</w:t>
      </w:r>
      <w:r w:rsidRPr="003D54E3">
        <w:rPr>
          <w:rFonts w:hint="eastAsia"/>
          <w:sz w:val="24"/>
          <w:szCs w:val="24"/>
          <w:lang w:eastAsia="zh-CN"/>
        </w:rPr>
        <w:t>2.206</w:t>
      </w:r>
      <w:r w:rsidRPr="003D54E3">
        <w:rPr>
          <w:rFonts w:hint="eastAsia"/>
          <w:sz w:val="24"/>
          <w:szCs w:val="24"/>
          <w:lang w:eastAsia="zh-CN"/>
        </w:rPr>
        <w:t>亿美元的生物多样性</w:t>
      </w:r>
      <w:r w:rsidRPr="003D54E3">
        <w:rPr>
          <w:rFonts w:hint="eastAsia"/>
          <w:sz w:val="24"/>
          <w:szCs w:val="24"/>
          <w:lang w:eastAsia="zh-CN"/>
        </w:rPr>
        <w:t>STAR</w:t>
      </w:r>
      <w:r w:rsidRPr="003D54E3">
        <w:rPr>
          <w:rFonts w:hint="eastAsia"/>
          <w:sz w:val="24"/>
          <w:szCs w:val="24"/>
          <w:lang w:eastAsia="zh-CN"/>
        </w:rPr>
        <w:t>分配额，这些方案大都与生物多样性主流化议程相一致。</w:t>
      </w:r>
    </w:p>
    <w:p w14:paraId="0ACD53B3" w14:textId="02AF0F00" w:rsidR="00CF090D" w:rsidRPr="00CF090D" w:rsidRDefault="00CF090D" w:rsidP="00D722AE">
      <w:pPr>
        <w:spacing w:before="240" w:after="240" w:line="240" w:lineRule="auto"/>
        <w:jc w:val="center"/>
        <w:rPr>
          <w:b/>
          <w:i/>
          <w:sz w:val="24"/>
          <w:szCs w:val="24"/>
          <w:lang w:val="en-GB" w:eastAsia="zh-CN"/>
        </w:rPr>
      </w:pPr>
      <w:r>
        <w:rPr>
          <w:rFonts w:hint="eastAsia"/>
          <w:b/>
          <w:sz w:val="24"/>
          <w:szCs w:val="24"/>
          <w:lang w:val="en-GB" w:eastAsia="zh-CN"/>
        </w:rPr>
        <w:t>表</w:t>
      </w:r>
      <w:r>
        <w:rPr>
          <w:rFonts w:hint="eastAsia"/>
          <w:b/>
          <w:sz w:val="24"/>
          <w:szCs w:val="24"/>
          <w:lang w:val="en-GB" w:eastAsia="zh-CN"/>
        </w:rPr>
        <w:t xml:space="preserve">5. </w:t>
      </w:r>
      <w:r>
        <w:rPr>
          <w:rFonts w:hint="eastAsia"/>
          <w:b/>
          <w:sz w:val="24"/>
          <w:szCs w:val="24"/>
          <w:lang w:val="en-GB" w:eastAsia="zh-CN"/>
        </w:rPr>
        <w:t>生物多样性重点领域项目和多重点领域项目（</w:t>
      </w:r>
      <w:r w:rsidRPr="00475312">
        <w:rPr>
          <w:rFonts w:eastAsia="KaiTi" w:hint="eastAsia"/>
          <w:b/>
          <w:sz w:val="24"/>
          <w:szCs w:val="24"/>
          <w:u w:val="single"/>
          <w:lang w:val="en-GB" w:eastAsia="zh-CN"/>
        </w:rPr>
        <w:t>这些项目都不属于影响方案的一部分</w:t>
      </w:r>
      <w:r>
        <w:rPr>
          <w:rFonts w:hint="eastAsia"/>
          <w:b/>
          <w:sz w:val="24"/>
          <w:szCs w:val="24"/>
          <w:lang w:val="en-GB" w:eastAsia="zh-CN"/>
        </w:rPr>
        <w:t>）对实现爱知生物多样性目标的贡献（</w:t>
      </w:r>
      <w:r>
        <w:rPr>
          <w:rFonts w:hint="eastAsia"/>
          <w:b/>
          <w:sz w:val="24"/>
          <w:szCs w:val="24"/>
          <w:lang w:val="en-GB" w:eastAsia="zh-CN"/>
        </w:rPr>
        <w:t>2018</w:t>
      </w:r>
      <w:r>
        <w:rPr>
          <w:rFonts w:hint="eastAsia"/>
          <w:b/>
          <w:sz w:val="24"/>
          <w:szCs w:val="24"/>
          <w:lang w:val="en-GB" w:eastAsia="zh-CN"/>
        </w:rPr>
        <w:t>年</w:t>
      </w:r>
      <w:r>
        <w:rPr>
          <w:rFonts w:hint="eastAsia"/>
          <w:b/>
          <w:sz w:val="24"/>
          <w:szCs w:val="24"/>
          <w:lang w:val="en-GB" w:eastAsia="zh-CN"/>
        </w:rPr>
        <w:t>7</w:t>
      </w:r>
      <w:r>
        <w:rPr>
          <w:rFonts w:hint="eastAsia"/>
          <w:b/>
          <w:sz w:val="24"/>
          <w:szCs w:val="24"/>
          <w:lang w:val="en-GB" w:eastAsia="zh-CN"/>
        </w:rPr>
        <w:t>月</w:t>
      </w:r>
      <w:r>
        <w:rPr>
          <w:rFonts w:hint="eastAsia"/>
          <w:b/>
          <w:sz w:val="24"/>
          <w:szCs w:val="24"/>
          <w:lang w:val="en-GB" w:eastAsia="zh-CN"/>
        </w:rPr>
        <w:t>1</w:t>
      </w:r>
      <w:r>
        <w:rPr>
          <w:rFonts w:hint="eastAsia"/>
          <w:b/>
          <w:sz w:val="24"/>
          <w:szCs w:val="24"/>
          <w:lang w:val="en-GB" w:eastAsia="zh-CN"/>
        </w:rPr>
        <w:t>日至</w:t>
      </w:r>
      <w:r>
        <w:rPr>
          <w:rFonts w:hint="eastAsia"/>
          <w:b/>
          <w:sz w:val="24"/>
          <w:szCs w:val="24"/>
          <w:lang w:val="en-GB" w:eastAsia="zh-CN"/>
        </w:rPr>
        <w:t>2019</w:t>
      </w:r>
      <w:r>
        <w:rPr>
          <w:rFonts w:hint="eastAsia"/>
          <w:b/>
          <w:sz w:val="24"/>
          <w:szCs w:val="24"/>
          <w:lang w:val="en-GB" w:eastAsia="zh-CN"/>
        </w:rPr>
        <w:t>年</w:t>
      </w:r>
      <w:r>
        <w:rPr>
          <w:rFonts w:hint="eastAsia"/>
          <w:b/>
          <w:sz w:val="24"/>
          <w:szCs w:val="24"/>
          <w:lang w:val="en-GB" w:eastAsia="zh-CN"/>
        </w:rPr>
        <w:t>12</w:t>
      </w:r>
      <w:r>
        <w:rPr>
          <w:rFonts w:hint="eastAsia"/>
          <w:b/>
          <w:sz w:val="24"/>
          <w:szCs w:val="24"/>
          <w:lang w:val="en-GB" w:eastAsia="zh-CN"/>
        </w:rPr>
        <w:t>月</w:t>
      </w:r>
      <w:r>
        <w:rPr>
          <w:rFonts w:hint="eastAsia"/>
          <w:b/>
          <w:sz w:val="24"/>
          <w:szCs w:val="24"/>
          <w:lang w:val="en-GB" w:eastAsia="zh-CN"/>
        </w:rPr>
        <w:t>31</w:t>
      </w:r>
      <w:r>
        <w:rPr>
          <w:rFonts w:hint="eastAsia"/>
          <w:b/>
          <w:sz w:val="24"/>
          <w:szCs w:val="24"/>
          <w:lang w:val="en-GB" w:eastAsia="zh-CN"/>
        </w:rPr>
        <w:t>日）</w:t>
      </w:r>
      <w:r w:rsidRPr="002C2B38">
        <w:rPr>
          <w:rStyle w:val="FootnoteReference"/>
          <w:b/>
          <w:sz w:val="24"/>
          <w:szCs w:val="24"/>
          <w:lang w:val="en-GB"/>
        </w:rPr>
        <w:footnoteReference w:id="9"/>
      </w:r>
    </w:p>
    <w:tbl>
      <w:tblPr>
        <w:tblStyle w:val="TableGrid"/>
        <w:tblW w:w="0" w:type="auto"/>
        <w:tblLook w:val="04A0" w:firstRow="1" w:lastRow="0" w:firstColumn="1" w:lastColumn="0" w:noHBand="0" w:noVBand="1"/>
      </w:tblPr>
      <w:tblGrid>
        <w:gridCol w:w="3397"/>
        <w:gridCol w:w="1754"/>
        <w:gridCol w:w="1534"/>
        <w:gridCol w:w="1506"/>
        <w:gridCol w:w="1159"/>
      </w:tblGrid>
      <w:tr w:rsidR="00C62CA8" w:rsidRPr="00273B2C" w14:paraId="7A5D73B2" w14:textId="280808D3" w:rsidTr="00E34070">
        <w:trPr>
          <w:tblHeader/>
        </w:trPr>
        <w:tc>
          <w:tcPr>
            <w:tcW w:w="3397" w:type="dxa"/>
            <w:vAlign w:val="center"/>
          </w:tcPr>
          <w:p w14:paraId="383F95AA" w14:textId="5872425C" w:rsidR="00C62CA8" w:rsidRPr="00350D2F" w:rsidRDefault="002C5610" w:rsidP="002C5610">
            <w:pPr>
              <w:jc w:val="center"/>
              <w:rPr>
                <w:b/>
                <w:lang w:eastAsia="zh-CN"/>
              </w:rPr>
            </w:pPr>
            <w:r>
              <w:rPr>
                <w:b/>
                <w:lang w:val="en-GB" w:eastAsia="zh-CN"/>
              </w:rPr>
              <w:t>生物多样性战略目标</w:t>
            </w:r>
            <w:r>
              <w:rPr>
                <w:rFonts w:hint="eastAsia"/>
                <w:b/>
                <w:lang w:val="en-GB" w:eastAsia="zh-CN"/>
              </w:rPr>
              <w:br/>
            </w:r>
            <w:r>
              <w:rPr>
                <w:b/>
                <w:lang w:val="en-GB" w:eastAsia="zh-CN"/>
              </w:rPr>
              <w:t>和方案规划项目</w:t>
            </w:r>
          </w:p>
        </w:tc>
        <w:tc>
          <w:tcPr>
            <w:tcW w:w="1754" w:type="dxa"/>
            <w:vAlign w:val="center"/>
          </w:tcPr>
          <w:p w14:paraId="189BEAA8" w14:textId="05E30D96" w:rsidR="00C62CA8" w:rsidRPr="00350D2F" w:rsidRDefault="002C5610" w:rsidP="002C5610">
            <w:pPr>
              <w:jc w:val="center"/>
              <w:rPr>
                <w:b/>
              </w:rPr>
            </w:pPr>
            <w:proofErr w:type="spellStart"/>
            <w:r>
              <w:rPr>
                <w:b/>
              </w:rPr>
              <w:t>爱知目标</w:t>
            </w:r>
            <w:proofErr w:type="spellEnd"/>
          </w:p>
        </w:tc>
        <w:tc>
          <w:tcPr>
            <w:tcW w:w="1534" w:type="dxa"/>
            <w:vAlign w:val="center"/>
          </w:tcPr>
          <w:p w14:paraId="14D6A10A" w14:textId="203E0405" w:rsidR="00C62CA8" w:rsidRPr="00350D2F" w:rsidRDefault="002C5610" w:rsidP="008354E6">
            <w:pPr>
              <w:jc w:val="center"/>
              <w:rPr>
                <w:b/>
                <w:lang w:eastAsia="zh-CN"/>
              </w:rPr>
            </w:pPr>
            <w:r>
              <w:rPr>
                <w:b/>
                <w:lang w:eastAsia="zh-CN"/>
              </w:rPr>
              <w:t>全环基金项目供资</w:t>
            </w:r>
            <w:r w:rsidR="00C62CA8" w:rsidRPr="00350D2F">
              <w:rPr>
                <w:b/>
                <w:lang w:eastAsia="zh-CN"/>
              </w:rPr>
              <w:t xml:space="preserve"> </w:t>
            </w:r>
          </w:p>
          <w:p w14:paraId="0ADD07D8" w14:textId="0846C528" w:rsidR="00C62CA8" w:rsidRPr="00350D2F" w:rsidRDefault="00C62CA8" w:rsidP="002C5610">
            <w:pPr>
              <w:jc w:val="center"/>
              <w:rPr>
                <w:b/>
                <w:lang w:eastAsia="zh-CN"/>
              </w:rPr>
            </w:pPr>
            <w:r w:rsidRPr="00350D2F">
              <w:rPr>
                <w:b/>
                <w:lang w:eastAsia="zh-CN"/>
              </w:rPr>
              <w:t>(</w:t>
            </w:r>
            <w:r w:rsidR="002C5610">
              <w:rPr>
                <w:b/>
                <w:lang w:eastAsia="zh-CN"/>
              </w:rPr>
              <w:t>百万美元</w:t>
            </w:r>
            <w:r w:rsidRPr="00350D2F">
              <w:rPr>
                <w:b/>
                <w:lang w:eastAsia="zh-CN"/>
              </w:rPr>
              <w:t>)</w:t>
            </w:r>
          </w:p>
        </w:tc>
        <w:tc>
          <w:tcPr>
            <w:tcW w:w="1506" w:type="dxa"/>
            <w:vAlign w:val="center"/>
          </w:tcPr>
          <w:p w14:paraId="1423CEB2" w14:textId="72312ACA" w:rsidR="00C62CA8" w:rsidRPr="00350D2F" w:rsidRDefault="002C5610" w:rsidP="008354E6">
            <w:pPr>
              <w:jc w:val="center"/>
              <w:rPr>
                <w:b/>
              </w:rPr>
            </w:pPr>
            <w:proofErr w:type="spellStart"/>
            <w:r>
              <w:rPr>
                <w:b/>
              </w:rPr>
              <w:t>共同筹资</w:t>
            </w:r>
            <w:proofErr w:type="spellEnd"/>
          </w:p>
          <w:p w14:paraId="6841E8EA" w14:textId="31BDCB58" w:rsidR="00C62CA8" w:rsidRPr="00350D2F" w:rsidRDefault="00C62CA8" w:rsidP="002C5610">
            <w:pPr>
              <w:jc w:val="center"/>
              <w:rPr>
                <w:b/>
              </w:rPr>
            </w:pPr>
            <w:r w:rsidRPr="00350D2F">
              <w:rPr>
                <w:b/>
              </w:rPr>
              <w:t>(</w:t>
            </w:r>
            <w:proofErr w:type="spellStart"/>
            <w:r w:rsidR="002C5610">
              <w:rPr>
                <w:b/>
              </w:rPr>
              <w:t>百万美元</w:t>
            </w:r>
            <w:proofErr w:type="spellEnd"/>
            <w:r w:rsidRPr="00350D2F">
              <w:rPr>
                <w:b/>
              </w:rPr>
              <w:t>)</w:t>
            </w:r>
          </w:p>
        </w:tc>
        <w:tc>
          <w:tcPr>
            <w:tcW w:w="1159" w:type="dxa"/>
            <w:vAlign w:val="center"/>
          </w:tcPr>
          <w:p w14:paraId="521D0240" w14:textId="1B087BCB" w:rsidR="00C62CA8" w:rsidRPr="00350D2F" w:rsidRDefault="002C5610" w:rsidP="008354E6">
            <w:pPr>
              <w:jc w:val="center"/>
              <w:rPr>
                <w:b/>
              </w:rPr>
            </w:pPr>
            <w:proofErr w:type="spellStart"/>
            <w:r>
              <w:rPr>
                <w:b/>
              </w:rPr>
              <w:t>共计</w:t>
            </w:r>
            <w:proofErr w:type="spellEnd"/>
          </w:p>
          <w:p w14:paraId="57474CDC" w14:textId="23E4FA75" w:rsidR="00C62CA8" w:rsidRPr="00350D2F" w:rsidRDefault="00C62CA8" w:rsidP="002C5610">
            <w:pPr>
              <w:jc w:val="center"/>
              <w:rPr>
                <w:b/>
              </w:rPr>
            </w:pPr>
            <w:r w:rsidRPr="00350D2F">
              <w:rPr>
                <w:b/>
              </w:rPr>
              <w:t>(</w:t>
            </w:r>
            <w:proofErr w:type="spellStart"/>
            <w:r w:rsidR="002C5610">
              <w:rPr>
                <w:b/>
              </w:rPr>
              <w:t>百万美元</w:t>
            </w:r>
            <w:proofErr w:type="spellEnd"/>
            <w:r w:rsidRPr="00350D2F">
              <w:rPr>
                <w:b/>
              </w:rPr>
              <w:t>)</w:t>
            </w:r>
          </w:p>
        </w:tc>
      </w:tr>
      <w:tr w:rsidR="00C62CA8" w:rsidRPr="00816D28" w14:paraId="38241777" w14:textId="5DB478EF" w:rsidTr="00E34070">
        <w:tc>
          <w:tcPr>
            <w:tcW w:w="3397" w:type="dxa"/>
            <w:shd w:val="clear" w:color="auto" w:fill="auto"/>
            <w:vAlign w:val="center"/>
          </w:tcPr>
          <w:p w14:paraId="6E2C64CE" w14:textId="33A0CCE2" w:rsidR="00C62CA8" w:rsidRPr="00816D28" w:rsidRDefault="00283675" w:rsidP="00283675">
            <w:pPr>
              <w:spacing w:after="40"/>
              <w:rPr>
                <w:b/>
                <w:lang w:eastAsia="zh-CN"/>
              </w:rPr>
            </w:pPr>
            <w:r>
              <w:rPr>
                <w:b/>
                <w:lang w:eastAsia="zh-CN"/>
              </w:rPr>
              <w:t>目标</w:t>
            </w:r>
            <w:r>
              <w:rPr>
                <w:rFonts w:hint="eastAsia"/>
                <w:b/>
                <w:lang w:eastAsia="zh-CN"/>
              </w:rPr>
              <w:t xml:space="preserve">1. </w:t>
            </w:r>
            <w:r w:rsidRPr="003D183D">
              <w:rPr>
                <w:rFonts w:hint="eastAsia"/>
                <w:b/>
                <w:lang w:eastAsia="zh-CN"/>
              </w:rPr>
              <w:t>将生物多样性纳入各部门以及陆地景观和海洋景观的主流</w:t>
            </w:r>
            <w:r w:rsidR="00C62CA8" w:rsidRPr="00816D28">
              <w:rPr>
                <w:b/>
                <w:lang w:eastAsia="zh-CN"/>
              </w:rPr>
              <w:t xml:space="preserve"> </w:t>
            </w:r>
          </w:p>
        </w:tc>
        <w:tc>
          <w:tcPr>
            <w:tcW w:w="1754" w:type="dxa"/>
            <w:shd w:val="clear" w:color="auto" w:fill="auto"/>
            <w:vAlign w:val="center"/>
          </w:tcPr>
          <w:p w14:paraId="258E078D" w14:textId="77777777" w:rsidR="00C62CA8" w:rsidRPr="00816D28" w:rsidRDefault="00C62CA8" w:rsidP="00E96F24">
            <w:pPr>
              <w:spacing w:after="40"/>
              <w:rPr>
                <w:b/>
                <w:lang w:eastAsia="zh-CN"/>
              </w:rPr>
            </w:pPr>
          </w:p>
        </w:tc>
        <w:tc>
          <w:tcPr>
            <w:tcW w:w="1534" w:type="dxa"/>
            <w:shd w:val="clear" w:color="auto" w:fill="auto"/>
            <w:vAlign w:val="center"/>
          </w:tcPr>
          <w:p w14:paraId="3BD9D1CD" w14:textId="77777777" w:rsidR="00C62CA8" w:rsidRPr="00816D28" w:rsidRDefault="00C62CA8" w:rsidP="00E96F24">
            <w:pPr>
              <w:spacing w:after="40"/>
              <w:rPr>
                <w:b/>
                <w:lang w:eastAsia="zh-CN"/>
              </w:rPr>
            </w:pPr>
          </w:p>
        </w:tc>
        <w:tc>
          <w:tcPr>
            <w:tcW w:w="1506" w:type="dxa"/>
            <w:shd w:val="clear" w:color="auto" w:fill="auto"/>
            <w:vAlign w:val="center"/>
          </w:tcPr>
          <w:p w14:paraId="29EBA98C" w14:textId="77777777" w:rsidR="00C62CA8" w:rsidRPr="00816D28" w:rsidRDefault="00C62CA8" w:rsidP="00E96F24">
            <w:pPr>
              <w:spacing w:after="40"/>
              <w:rPr>
                <w:b/>
                <w:lang w:eastAsia="zh-CN"/>
              </w:rPr>
            </w:pPr>
          </w:p>
        </w:tc>
        <w:tc>
          <w:tcPr>
            <w:tcW w:w="1159" w:type="dxa"/>
            <w:shd w:val="clear" w:color="auto" w:fill="auto"/>
            <w:vAlign w:val="center"/>
          </w:tcPr>
          <w:p w14:paraId="6F905CE3" w14:textId="77777777" w:rsidR="00C62CA8" w:rsidRPr="00816D28" w:rsidRDefault="00C62CA8" w:rsidP="00E96F24">
            <w:pPr>
              <w:spacing w:after="40"/>
              <w:rPr>
                <w:b/>
                <w:lang w:eastAsia="zh-CN"/>
              </w:rPr>
            </w:pPr>
          </w:p>
        </w:tc>
      </w:tr>
      <w:tr w:rsidR="00C62CA8" w:rsidRPr="00273B2C" w14:paraId="70932A11" w14:textId="2486FFE4" w:rsidTr="00E34070">
        <w:tc>
          <w:tcPr>
            <w:tcW w:w="3397" w:type="dxa"/>
            <w:vAlign w:val="center"/>
          </w:tcPr>
          <w:p w14:paraId="652FA9D5" w14:textId="2DD13914" w:rsidR="00C62CA8" w:rsidRPr="00273B2C" w:rsidRDefault="00C62CA8" w:rsidP="00E96F24">
            <w:pPr>
              <w:spacing w:after="40"/>
              <w:rPr>
                <w:lang w:eastAsia="zh-CN"/>
              </w:rPr>
            </w:pPr>
            <w:r w:rsidRPr="00273B2C">
              <w:rPr>
                <w:lang w:eastAsia="zh-CN"/>
              </w:rPr>
              <w:t>1-1</w:t>
            </w:r>
            <w:r w:rsidR="00283675">
              <w:rPr>
                <w:rFonts w:hint="eastAsia"/>
                <w:lang w:eastAsia="zh-CN"/>
              </w:rPr>
              <w:t>将生物多样性纳入优先部门的主流</w:t>
            </w:r>
          </w:p>
        </w:tc>
        <w:tc>
          <w:tcPr>
            <w:tcW w:w="1754" w:type="dxa"/>
            <w:vAlign w:val="center"/>
          </w:tcPr>
          <w:p w14:paraId="0179363B" w14:textId="5C148DF4" w:rsidR="00C62CA8" w:rsidRPr="00273B2C" w:rsidRDefault="002476C8" w:rsidP="00E96F24">
            <w:pPr>
              <w:spacing w:after="40"/>
            </w:pPr>
            <w:r>
              <w:t>3,5,6,7,14,15</w:t>
            </w:r>
          </w:p>
        </w:tc>
        <w:tc>
          <w:tcPr>
            <w:tcW w:w="1534" w:type="dxa"/>
            <w:vAlign w:val="center"/>
          </w:tcPr>
          <w:p w14:paraId="64BCF82E" w14:textId="3E46862B" w:rsidR="00C62CA8" w:rsidRPr="00273B2C" w:rsidRDefault="003B52BB" w:rsidP="00E96F24">
            <w:pPr>
              <w:spacing w:after="40"/>
            </w:pPr>
            <w:r>
              <w:rPr>
                <w:rFonts w:ascii="Calibri" w:hAnsi="Calibri" w:cs="Calibri"/>
                <w:color w:val="000000"/>
              </w:rPr>
              <w:t>84.</w:t>
            </w:r>
            <w:r w:rsidR="00F7523E">
              <w:rPr>
                <w:rFonts w:ascii="Calibri" w:hAnsi="Calibri" w:cs="Calibri"/>
                <w:color w:val="000000"/>
              </w:rPr>
              <w:t>9</w:t>
            </w:r>
          </w:p>
        </w:tc>
        <w:tc>
          <w:tcPr>
            <w:tcW w:w="1506" w:type="dxa"/>
            <w:vAlign w:val="center"/>
          </w:tcPr>
          <w:p w14:paraId="055DFB5D" w14:textId="17BC2264" w:rsidR="00C62CA8" w:rsidRPr="00273B2C" w:rsidRDefault="003B52BB" w:rsidP="00E96F24">
            <w:pPr>
              <w:spacing w:after="40"/>
            </w:pPr>
            <w:r>
              <w:rPr>
                <w:rFonts w:ascii="Calibri" w:hAnsi="Calibri" w:cs="Calibri"/>
                <w:color w:val="000000"/>
              </w:rPr>
              <w:t>62</w:t>
            </w:r>
            <w:r w:rsidR="00F7523E">
              <w:rPr>
                <w:rFonts w:ascii="Calibri" w:hAnsi="Calibri" w:cs="Calibri"/>
                <w:color w:val="000000"/>
              </w:rPr>
              <w:t>3</w:t>
            </w:r>
            <w:r>
              <w:rPr>
                <w:rFonts w:ascii="Calibri" w:hAnsi="Calibri" w:cs="Calibri"/>
                <w:color w:val="000000"/>
              </w:rPr>
              <w:t>.</w:t>
            </w:r>
            <w:r w:rsidR="00F7523E">
              <w:rPr>
                <w:rFonts w:ascii="Calibri" w:hAnsi="Calibri" w:cs="Calibri"/>
                <w:color w:val="000000"/>
              </w:rPr>
              <w:t>0</w:t>
            </w:r>
          </w:p>
        </w:tc>
        <w:tc>
          <w:tcPr>
            <w:tcW w:w="1159" w:type="dxa"/>
            <w:vAlign w:val="center"/>
          </w:tcPr>
          <w:p w14:paraId="6A1394A2" w14:textId="6AE5B7CB" w:rsidR="00C62CA8" w:rsidRPr="00273B2C" w:rsidRDefault="003B52BB" w:rsidP="00E96F24">
            <w:pPr>
              <w:spacing w:after="40"/>
            </w:pPr>
            <w:r>
              <w:rPr>
                <w:rFonts w:ascii="Calibri" w:hAnsi="Calibri" w:cs="Calibri"/>
                <w:color w:val="000000"/>
              </w:rPr>
              <w:t>70</w:t>
            </w:r>
            <w:r w:rsidR="00F7523E">
              <w:rPr>
                <w:rFonts w:ascii="Calibri" w:hAnsi="Calibri" w:cs="Calibri"/>
                <w:color w:val="000000"/>
              </w:rPr>
              <w:t>7</w:t>
            </w:r>
            <w:r>
              <w:rPr>
                <w:rFonts w:ascii="Calibri" w:hAnsi="Calibri" w:cs="Calibri"/>
                <w:color w:val="000000"/>
              </w:rPr>
              <w:t>.</w:t>
            </w:r>
            <w:r w:rsidR="009813C2">
              <w:rPr>
                <w:rFonts w:ascii="Calibri" w:hAnsi="Calibri" w:cs="Calibri"/>
                <w:color w:val="000000"/>
              </w:rPr>
              <w:t>8</w:t>
            </w:r>
          </w:p>
        </w:tc>
      </w:tr>
      <w:tr w:rsidR="00C62CA8" w:rsidRPr="00273B2C" w14:paraId="67982E49" w14:textId="33C68670" w:rsidTr="00E34070">
        <w:tc>
          <w:tcPr>
            <w:tcW w:w="3397" w:type="dxa"/>
            <w:vAlign w:val="center"/>
          </w:tcPr>
          <w:p w14:paraId="1AC73710" w14:textId="534FBD16" w:rsidR="00C62CA8" w:rsidRPr="00273B2C" w:rsidRDefault="00C62CA8" w:rsidP="00283675">
            <w:pPr>
              <w:spacing w:after="40"/>
              <w:rPr>
                <w:lang w:eastAsia="zh-CN"/>
              </w:rPr>
            </w:pPr>
            <w:r w:rsidRPr="00273B2C">
              <w:rPr>
                <w:lang w:eastAsia="zh-CN"/>
              </w:rPr>
              <w:t>1-2a</w:t>
            </w:r>
            <w:r w:rsidR="00283675">
              <w:rPr>
                <w:rFonts w:hint="eastAsia"/>
                <w:lang w:eastAsia="zh-CN"/>
              </w:rPr>
              <w:t>全球野生动物方案</w:t>
            </w:r>
            <w:r w:rsidR="00283675">
              <w:rPr>
                <w:rFonts w:hint="eastAsia"/>
                <w:lang w:eastAsia="zh-CN"/>
              </w:rPr>
              <w:t xml:space="preserve"> - </w:t>
            </w:r>
            <w:r w:rsidR="00283675">
              <w:rPr>
                <w:rFonts w:hint="eastAsia"/>
                <w:lang w:eastAsia="zh-CN"/>
              </w:rPr>
              <w:t>防止已知受威胁物种的灭绝和野生动物促进可持续发展</w:t>
            </w:r>
          </w:p>
        </w:tc>
        <w:tc>
          <w:tcPr>
            <w:tcW w:w="1754" w:type="dxa"/>
            <w:vAlign w:val="center"/>
          </w:tcPr>
          <w:p w14:paraId="0C6D402D" w14:textId="0796C90A" w:rsidR="00C62CA8" w:rsidRPr="00273B2C" w:rsidRDefault="00F72BA3" w:rsidP="00E96F24">
            <w:pPr>
              <w:spacing w:after="40"/>
            </w:pPr>
            <w:r>
              <w:t>12</w:t>
            </w:r>
          </w:p>
        </w:tc>
        <w:tc>
          <w:tcPr>
            <w:tcW w:w="1534" w:type="dxa"/>
            <w:vAlign w:val="center"/>
          </w:tcPr>
          <w:p w14:paraId="3DD4ABE5" w14:textId="3733496B" w:rsidR="00C62CA8" w:rsidRPr="00273B2C" w:rsidRDefault="003B52BB" w:rsidP="00E96F24">
            <w:pPr>
              <w:spacing w:after="40"/>
            </w:pPr>
            <w:r>
              <w:rPr>
                <w:rFonts w:ascii="Calibri" w:hAnsi="Calibri" w:cs="Calibri"/>
                <w:color w:val="000000"/>
              </w:rPr>
              <w:t>27.5</w:t>
            </w:r>
          </w:p>
        </w:tc>
        <w:tc>
          <w:tcPr>
            <w:tcW w:w="1506" w:type="dxa"/>
            <w:vAlign w:val="center"/>
          </w:tcPr>
          <w:p w14:paraId="17762C9B" w14:textId="4594537B" w:rsidR="00C62CA8" w:rsidRPr="00273B2C" w:rsidRDefault="003B52BB" w:rsidP="00E96F24">
            <w:pPr>
              <w:spacing w:after="40"/>
            </w:pPr>
            <w:r>
              <w:rPr>
                <w:rFonts w:ascii="Calibri" w:hAnsi="Calibri" w:cs="Calibri"/>
                <w:color w:val="000000"/>
              </w:rPr>
              <w:t>156.5</w:t>
            </w:r>
          </w:p>
        </w:tc>
        <w:tc>
          <w:tcPr>
            <w:tcW w:w="1159" w:type="dxa"/>
            <w:vAlign w:val="center"/>
          </w:tcPr>
          <w:p w14:paraId="62204E94" w14:textId="665365B4" w:rsidR="00C62CA8" w:rsidRPr="00273B2C" w:rsidRDefault="003B52BB" w:rsidP="00E96F24">
            <w:pPr>
              <w:spacing w:after="40"/>
            </w:pPr>
            <w:r>
              <w:rPr>
                <w:rFonts w:ascii="Calibri" w:hAnsi="Calibri" w:cs="Calibri"/>
                <w:color w:val="000000"/>
              </w:rPr>
              <w:t>184.1</w:t>
            </w:r>
          </w:p>
        </w:tc>
      </w:tr>
      <w:tr w:rsidR="00C62CA8" w:rsidRPr="00273B2C" w14:paraId="556E2768" w14:textId="5D3D20F7" w:rsidTr="00E34070">
        <w:tc>
          <w:tcPr>
            <w:tcW w:w="3397" w:type="dxa"/>
            <w:vAlign w:val="center"/>
          </w:tcPr>
          <w:p w14:paraId="01DEA50A" w14:textId="54C4D55E" w:rsidR="00C62CA8" w:rsidRPr="00273B2C" w:rsidRDefault="00C62CA8" w:rsidP="00283675">
            <w:pPr>
              <w:spacing w:after="40"/>
              <w:rPr>
                <w:lang w:eastAsia="zh-CN"/>
              </w:rPr>
            </w:pPr>
            <w:r w:rsidRPr="00273B2C">
              <w:rPr>
                <w:lang w:eastAsia="zh-CN"/>
              </w:rPr>
              <w:t>1-2b</w:t>
            </w:r>
            <w:r w:rsidR="00283675">
              <w:rPr>
                <w:rFonts w:hint="eastAsia"/>
                <w:lang w:eastAsia="zh-CN"/>
              </w:rPr>
              <w:t>全球野生动物方案</w:t>
            </w:r>
            <w:r w:rsidR="00283675">
              <w:rPr>
                <w:rFonts w:hint="eastAsia"/>
                <w:lang w:eastAsia="zh-CN"/>
              </w:rPr>
              <w:t xml:space="preserve"> - </w:t>
            </w:r>
            <w:r w:rsidR="00283675">
              <w:rPr>
                <w:rFonts w:hint="eastAsia"/>
                <w:lang w:eastAsia="zh-CN"/>
              </w:rPr>
              <w:t>野生动物促进可持续发展</w:t>
            </w:r>
          </w:p>
        </w:tc>
        <w:tc>
          <w:tcPr>
            <w:tcW w:w="1754" w:type="dxa"/>
            <w:vAlign w:val="center"/>
          </w:tcPr>
          <w:p w14:paraId="08359F83" w14:textId="4BA93B90" w:rsidR="00C62CA8" w:rsidRPr="00273B2C" w:rsidRDefault="00F72BA3" w:rsidP="00E96F24">
            <w:pPr>
              <w:spacing w:after="40"/>
            </w:pPr>
            <w:r>
              <w:t>12</w:t>
            </w:r>
          </w:p>
        </w:tc>
        <w:tc>
          <w:tcPr>
            <w:tcW w:w="1534" w:type="dxa"/>
            <w:vAlign w:val="center"/>
          </w:tcPr>
          <w:p w14:paraId="36E501FA" w14:textId="2871AA4C" w:rsidR="00C62CA8" w:rsidRPr="00273B2C" w:rsidRDefault="0042203E" w:rsidP="00E96F24">
            <w:pPr>
              <w:spacing w:after="40"/>
            </w:pPr>
            <w:r>
              <w:rPr>
                <w:rFonts w:ascii="Calibri" w:hAnsi="Calibri" w:cs="Calibri"/>
                <w:color w:val="000000"/>
              </w:rPr>
              <w:t>27.</w:t>
            </w:r>
            <w:r w:rsidR="003B52BB">
              <w:rPr>
                <w:rFonts w:ascii="Calibri" w:hAnsi="Calibri" w:cs="Calibri"/>
                <w:color w:val="000000"/>
              </w:rPr>
              <w:t>3</w:t>
            </w:r>
          </w:p>
        </w:tc>
        <w:tc>
          <w:tcPr>
            <w:tcW w:w="1506" w:type="dxa"/>
            <w:vAlign w:val="center"/>
          </w:tcPr>
          <w:p w14:paraId="46B13F83" w14:textId="2B9EDB69" w:rsidR="00C62CA8" w:rsidRPr="00273B2C" w:rsidRDefault="003B52BB" w:rsidP="00E96F24">
            <w:pPr>
              <w:spacing w:after="40"/>
            </w:pPr>
            <w:r>
              <w:rPr>
                <w:rFonts w:ascii="Calibri" w:hAnsi="Calibri" w:cs="Calibri"/>
                <w:color w:val="000000"/>
              </w:rPr>
              <w:t>199.9</w:t>
            </w:r>
          </w:p>
        </w:tc>
        <w:tc>
          <w:tcPr>
            <w:tcW w:w="1159" w:type="dxa"/>
            <w:vAlign w:val="center"/>
          </w:tcPr>
          <w:p w14:paraId="0D267E52" w14:textId="08540EA9" w:rsidR="00C62CA8" w:rsidRPr="00273B2C" w:rsidRDefault="003B52BB" w:rsidP="00E96F24">
            <w:pPr>
              <w:spacing w:after="40"/>
            </w:pPr>
            <w:r>
              <w:rPr>
                <w:rFonts w:ascii="Calibri" w:hAnsi="Calibri" w:cs="Calibri"/>
                <w:color w:val="000000"/>
              </w:rPr>
              <w:t>227.2</w:t>
            </w:r>
          </w:p>
        </w:tc>
      </w:tr>
      <w:tr w:rsidR="00C62CA8" w:rsidRPr="00273B2C" w14:paraId="352E115E" w14:textId="2258E17B" w:rsidTr="00E34070">
        <w:tc>
          <w:tcPr>
            <w:tcW w:w="3397" w:type="dxa"/>
            <w:vAlign w:val="center"/>
          </w:tcPr>
          <w:p w14:paraId="2AF5DD0D" w14:textId="09401F70" w:rsidR="00C62CA8" w:rsidRPr="00273B2C" w:rsidRDefault="00C62CA8" w:rsidP="00E96F24">
            <w:pPr>
              <w:spacing w:after="40"/>
            </w:pPr>
            <w:r w:rsidRPr="00273B2C">
              <w:t>1-3</w:t>
            </w:r>
            <w:r w:rsidR="00283675">
              <w:rPr>
                <w:rFonts w:hint="eastAsia"/>
                <w:lang w:eastAsia="zh-CN"/>
              </w:rPr>
              <w:t>自然资本评估与核算</w:t>
            </w:r>
          </w:p>
        </w:tc>
        <w:tc>
          <w:tcPr>
            <w:tcW w:w="1754" w:type="dxa"/>
            <w:vAlign w:val="center"/>
          </w:tcPr>
          <w:p w14:paraId="6637A7BA" w14:textId="25576C81" w:rsidR="00C62CA8" w:rsidRPr="00273B2C" w:rsidRDefault="00F72BA3" w:rsidP="00A61854">
            <w:pPr>
              <w:spacing w:after="40"/>
            </w:pPr>
            <w:r>
              <w:t>2</w:t>
            </w:r>
            <w:r w:rsidR="00A61854">
              <w:t>和</w:t>
            </w:r>
            <w:r>
              <w:t>20</w:t>
            </w:r>
          </w:p>
        </w:tc>
        <w:tc>
          <w:tcPr>
            <w:tcW w:w="1534" w:type="dxa"/>
            <w:vAlign w:val="center"/>
          </w:tcPr>
          <w:p w14:paraId="09BA2D9A" w14:textId="1BC30FC3" w:rsidR="00C62CA8" w:rsidRPr="00273B2C" w:rsidRDefault="0042203E" w:rsidP="00E96F24">
            <w:pPr>
              <w:spacing w:after="40"/>
            </w:pPr>
            <w:r>
              <w:rPr>
                <w:rFonts w:ascii="Calibri" w:hAnsi="Calibri" w:cs="Calibri"/>
                <w:color w:val="000000"/>
              </w:rPr>
              <w:t>3</w:t>
            </w:r>
            <w:r w:rsidR="003B52BB">
              <w:rPr>
                <w:rFonts w:ascii="Calibri" w:hAnsi="Calibri" w:cs="Calibri"/>
                <w:color w:val="000000"/>
              </w:rPr>
              <w:t>.4</w:t>
            </w:r>
          </w:p>
        </w:tc>
        <w:tc>
          <w:tcPr>
            <w:tcW w:w="1506" w:type="dxa"/>
            <w:vAlign w:val="center"/>
          </w:tcPr>
          <w:p w14:paraId="2B309598" w14:textId="25405F51" w:rsidR="00C62CA8" w:rsidRPr="00273B2C" w:rsidRDefault="003B52BB" w:rsidP="00E96F24">
            <w:pPr>
              <w:spacing w:after="40"/>
            </w:pPr>
            <w:r>
              <w:rPr>
                <w:rFonts w:ascii="Calibri" w:hAnsi="Calibri" w:cs="Calibri"/>
                <w:color w:val="000000"/>
              </w:rPr>
              <w:t>9.7</w:t>
            </w:r>
          </w:p>
        </w:tc>
        <w:tc>
          <w:tcPr>
            <w:tcW w:w="1159" w:type="dxa"/>
            <w:vAlign w:val="center"/>
          </w:tcPr>
          <w:p w14:paraId="46CEFABC" w14:textId="31957819" w:rsidR="00C62CA8" w:rsidRPr="00273B2C" w:rsidRDefault="003B52BB" w:rsidP="00E96F24">
            <w:pPr>
              <w:spacing w:after="40"/>
            </w:pPr>
            <w:r>
              <w:rPr>
                <w:rFonts w:ascii="Calibri" w:hAnsi="Calibri" w:cs="Calibri"/>
                <w:color w:val="000000"/>
              </w:rPr>
              <w:t>13.0</w:t>
            </w:r>
          </w:p>
        </w:tc>
      </w:tr>
      <w:tr w:rsidR="00C62CA8" w:rsidRPr="00273B2C" w14:paraId="2DEA9C0F" w14:textId="6F0DEA04" w:rsidTr="00E34070">
        <w:tc>
          <w:tcPr>
            <w:tcW w:w="3397" w:type="dxa"/>
            <w:vAlign w:val="center"/>
          </w:tcPr>
          <w:p w14:paraId="63F7A10F" w14:textId="2C58B0AA" w:rsidR="00C62CA8" w:rsidRPr="00273B2C" w:rsidRDefault="00C62CA8" w:rsidP="00283675">
            <w:pPr>
              <w:spacing w:after="40"/>
              <w:rPr>
                <w:lang w:eastAsia="zh-CN"/>
              </w:rPr>
            </w:pPr>
            <w:r w:rsidRPr="00273B2C">
              <w:rPr>
                <w:lang w:eastAsia="zh-CN"/>
              </w:rPr>
              <w:t>1-4</w:t>
            </w:r>
            <w:r w:rsidR="00283675">
              <w:rPr>
                <w:rFonts w:hint="eastAsia"/>
                <w:lang w:eastAsia="zh-CN"/>
              </w:rPr>
              <w:t>动植物遗传资源的可持续利用</w:t>
            </w:r>
          </w:p>
        </w:tc>
        <w:tc>
          <w:tcPr>
            <w:tcW w:w="1754" w:type="dxa"/>
            <w:vAlign w:val="center"/>
          </w:tcPr>
          <w:p w14:paraId="32B9BF3F" w14:textId="308BD3C8" w:rsidR="00C62CA8" w:rsidRPr="00273B2C" w:rsidRDefault="002476C8" w:rsidP="00A61854">
            <w:pPr>
              <w:spacing w:after="40"/>
            </w:pPr>
            <w:r>
              <w:t>7</w:t>
            </w:r>
            <w:r w:rsidR="00A61854">
              <w:t>和</w:t>
            </w:r>
            <w:r>
              <w:t>13</w:t>
            </w:r>
          </w:p>
        </w:tc>
        <w:tc>
          <w:tcPr>
            <w:tcW w:w="1534" w:type="dxa"/>
            <w:vAlign w:val="center"/>
          </w:tcPr>
          <w:p w14:paraId="78DFDA0A" w14:textId="0122E388" w:rsidR="00C62CA8" w:rsidRPr="00273B2C" w:rsidRDefault="00C62CA8" w:rsidP="00E96F24">
            <w:pPr>
              <w:spacing w:after="40"/>
            </w:pPr>
          </w:p>
        </w:tc>
        <w:tc>
          <w:tcPr>
            <w:tcW w:w="1506" w:type="dxa"/>
            <w:vAlign w:val="center"/>
          </w:tcPr>
          <w:p w14:paraId="25B566AB" w14:textId="327F9579" w:rsidR="00C62CA8" w:rsidRPr="00273B2C" w:rsidRDefault="00C62CA8" w:rsidP="00E96F24">
            <w:pPr>
              <w:spacing w:after="40"/>
            </w:pPr>
          </w:p>
        </w:tc>
        <w:tc>
          <w:tcPr>
            <w:tcW w:w="1159" w:type="dxa"/>
            <w:vAlign w:val="center"/>
          </w:tcPr>
          <w:p w14:paraId="03D795F7" w14:textId="63961E38" w:rsidR="00C62CA8" w:rsidRPr="00273B2C" w:rsidRDefault="00C62CA8" w:rsidP="00E96F24">
            <w:pPr>
              <w:spacing w:after="40"/>
            </w:pPr>
          </w:p>
        </w:tc>
      </w:tr>
      <w:tr w:rsidR="00C62CA8" w:rsidRPr="00273B2C" w14:paraId="561E1AA8" w14:textId="7A15205C" w:rsidTr="00E34070">
        <w:tc>
          <w:tcPr>
            <w:tcW w:w="3397" w:type="dxa"/>
            <w:vAlign w:val="center"/>
          </w:tcPr>
          <w:p w14:paraId="525D088E" w14:textId="37BD9CDF" w:rsidR="00C62CA8" w:rsidRPr="00273B2C" w:rsidRDefault="00C62CA8" w:rsidP="00E96F24">
            <w:pPr>
              <w:spacing w:after="40"/>
            </w:pPr>
            <w:r w:rsidRPr="00273B2C">
              <w:t>1-5</w:t>
            </w:r>
            <w:r w:rsidR="00283675">
              <w:t>包容性保护</w:t>
            </w:r>
          </w:p>
        </w:tc>
        <w:tc>
          <w:tcPr>
            <w:tcW w:w="1754" w:type="dxa"/>
            <w:vAlign w:val="center"/>
          </w:tcPr>
          <w:p w14:paraId="31FF79EE" w14:textId="0B809B03" w:rsidR="00C62CA8" w:rsidRPr="00273B2C" w:rsidRDefault="00A648E0" w:rsidP="00E96F24">
            <w:pPr>
              <w:spacing w:after="40"/>
            </w:pPr>
            <w:r>
              <w:t xml:space="preserve">11 </w:t>
            </w:r>
          </w:p>
        </w:tc>
        <w:tc>
          <w:tcPr>
            <w:tcW w:w="1534" w:type="dxa"/>
            <w:vAlign w:val="center"/>
          </w:tcPr>
          <w:p w14:paraId="65147881" w14:textId="4E2D3079" w:rsidR="00C62CA8" w:rsidRPr="00273B2C" w:rsidRDefault="003B52BB" w:rsidP="00E96F24">
            <w:pPr>
              <w:spacing w:after="40"/>
            </w:pPr>
            <w:r>
              <w:rPr>
                <w:rFonts w:ascii="Calibri" w:hAnsi="Calibri" w:cs="Calibri"/>
                <w:color w:val="000000"/>
              </w:rPr>
              <w:t>22.5</w:t>
            </w:r>
          </w:p>
        </w:tc>
        <w:tc>
          <w:tcPr>
            <w:tcW w:w="1506" w:type="dxa"/>
            <w:vAlign w:val="center"/>
          </w:tcPr>
          <w:p w14:paraId="0E41FD74" w14:textId="36A9602F" w:rsidR="00C62CA8" w:rsidRPr="00273B2C" w:rsidRDefault="003B52BB" w:rsidP="00E96F24">
            <w:pPr>
              <w:spacing w:after="40"/>
            </w:pPr>
            <w:r>
              <w:rPr>
                <w:rFonts w:ascii="Calibri" w:hAnsi="Calibri" w:cs="Calibri"/>
                <w:color w:val="000000"/>
              </w:rPr>
              <w:t>68.5</w:t>
            </w:r>
          </w:p>
        </w:tc>
        <w:tc>
          <w:tcPr>
            <w:tcW w:w="1159" w:type="dxa"/>
            <w:vAlign w:val="center"/>
          </w:tcPr>
          <w:p w14:paraId="1787667B" w14:textId="1ADBB6D4" w:rsidR="00C62CA8" w:rsidRPr="00273B2C" w:rsidRDefault="003B52BB" w:rsidP="00E96F24">
            <w:pPr>
              <w:spacing w:after="40"/>
            </w:pPr>
            <w:r>
              <w:rPr>
                <w:rFonts w:ascii="Calibri" w:hAnsi="Calibri" w:cs="Calibri"/>
                <w:color w:val="000000"/>
              </w:rPr>
              <w:t>91.0</w:t>
            </w:r>
          </w:p>
        </w:tc>
      </w:tr>
      <w:tr w:rsidR="00BF7292" w:rsidRPr="00816D28" w14:paraId="326771E1" w14:textId="6BAF0042" w:rsidTr="00E34070">
        <w:tc>
          <w:tcPr>
            <w:tcW w:w="3397" w:type="dxa"/>
            <w:shd w:val="clear" w:color="auto" w:fill="auto"/>
            <w:vAlign w:val="center"/>
          </w:tcPr>
          <w:p w14:paraId="2EA60701" w14:textId="500A8A2E" w:rsidR="00BF7292" w:rsidRPr="00816D28" w:rsidRDefault="00646387" w:rsidP="00E96F24">
            <w:pPr>
              <w:spacing w:after="40"/>
              <w:rPr>
                <w:b/>
                <w:lang w:eastAsia="zh-CN"/>
              </w:rPr>
            </w:pPr>
            <w:r w:rsidRPr="003D183D">
              <w:rPr>
                <w:rFonts w:hint="eastAsia"/>
                <w:b/>
                <w:lang w:eastAsia="zh-CN"/>
              </w:rPr>
              <w:t>目标</w:t>
            </w:r>
            <w:r>
              <w:rPr>
                <w:rFonts w:hint="eastAsia"/>
                <w:b/>
                <w:lang w:eastAsia="zh-CN"/>
              </w:rPr>
              <w:t>2</w:t>
            </w:r>
            <w:r w:rsidRPr="003D183D">
              <w:rPr>
                <w:rFonts w:hint="eastAsia"/>
                <w:b/>
                <w:lang w:eastAsia="zh-CN"/>
              </w:rPr>
              <w:t>.</w:t>
            </w:r>
            <w:r>
              <w:rPr>
                <w:rFonts w:hint="eastAsia"/>
                <w:b/>
                <w:lang w:eastAsia="zh-CN"/>
              </w:rPr>
              <w:t xml:space="preserve"> </w:t>
            </w:r>
            <w:r w:rsidRPr="009B3D0F">
              <w:rPr>
                <w:rStyle w:val="style21"/>
                <w:rFonts w:ascii="Segoe UI" w:hAnsi="Segoe UI" w:cs="Segoe UI"/>
                <w:b/>
                <w:color w:val="auto"/>
                <w:sz w:val="22"/>
                <w:szCs w:val="22"/>
                <w:lang w:eastAsia="zh-CN"/>
              </w:rPr>
              <w:t>运用保护生境和物种的直接驱动因素</w:t>
            </w:r>
          </w:p>
        </w:tc>
        <w:tc>
          <w:tcPr>
            <w:tcW w:w="1754" w:type="dxa"/>
            <w:shd w:val="clear" w:color="auto" w:fill="auto"/>
            <w:vAlign w:val="center"/>
          </w:tcPr>
          <w:p w14:paraId="09F24BCE" w14:textId="77777777" w:rsidR="00BF7292" w:rsidRPr="00816D28" w:rsidRDefault="00BF7292" w:rsidP="00E96F24">
            <w:pPr>
              <w:spacing w:after="40"/>
              <w:rPr>
                <w:b/>
                <w:lang w:eastAsia="zh-CN"/>
              </w:rPr>
            </w:pPr>
          </w:p>
        </w:tc>
        <w:tc>
          <w:tcPr>
            <w:tcW w:w="1534" w:type="dxa"/>
            <w:shd w:val="clear" w:color="auto" w:fill="auto"/>
            <w:vAlign w:val="center"/>
          </w:tcPr>
          <w:p w14:paraId="5F4ED28D" w14:textId="111238D4" w:rsidR="00BF7292" w:rsidRPr="00816D28" w:rsidRDefault="00BF7292" w:rsidP="00E96F24">
            <w:pPr>
              <w:spacing w:after="40"/>
              <w:rPr>
                <w:b/>
                <w:lang w:eastAsia="zh-CN"/>
              </w:rPr>
            </w:pPr>
          </w:p>
        </w:tc>
        <w:tc>
          <w:tcPr>
            <w:tcW w:w="1506" w:type="dxa"/>
            <w:shd w:val="clear" w:color="auto" w:fill="auto"/>
            <w:vAlign w:val="center"/>
          </w:tcPr>
          <w:p w14:paraId="301D8A48" w14:textId="031ADD29" w:rsidR="00BF7292" w:rsidRPr="00816D28" w:rsidRDefault="00BF7292" w:rsidP="00E96F24">
            <w:pPr>
              <w:spacing w:after="40"/>
              <w:rPr>
                <w:b/>
                <w:lang w:eastAsia="zh-CN"/>
              </w:rPr>
            </w:pPr>
          </w:p>
        </w:tc>
        <w:tc>
          <w:tcPr>
            <w:tcW w:w="1159" w:type="dxa"/>
            <w:shd w:val="clear" w:color="auto" w:fill="auto"/>
            <w:vAlign w:val="center"/>
          </w:tcPr>
          <w:p w14:paraId="33A9C3F6" w14:textId="38A30D97" w:rsidR="00BF7292" w:rsidRPr="00816D28" w:rsidRDefault="00BF7292" w:rsidP="00E96F24">
            <w:pPr>
              <w:spacing w:after="40"/>
              <w:rPr>
                <w:b/>
                <w:lang w:eastAsia="zh-CN"/>
              </w:rPr>
            </w:pPr>
          </w:p>
        </w:tc>
      </w:tr>
      <w:tr w:rsidR="00BF7292" w:rsidRPr="00273B2C" w14:paraId="080DAF16" w14:textId="30C45333" w:rsidTr="00E34070">
        <w:tc>
          <w:tcPr>
            <w:tcW w:w="3397" w:type="dxa"/>
            <w:vAlign w:val="center"/>
          </w:tcPr>
          <w:p w14:paraId="21BA6DA9" w14:textId="75A5D8FD" w:rsidR="00BF7292" w:rsidRPr="00273B2C" w:rsidRDefault="00BF7292" w:rsidP="00E96F24">
            <w:pPr>
              <w:spacing w:after="40"/>
              <w:rPr>
                <w:lang w:eastAsia="zh-CN"/>
              </w:rPr>
            </w:pPr>
            <w:r w:rsidRPr="00273B2C">
              <w:rPr>
                <w:lang w:eastAsia="zh-CN"/>
              </w:rPr>
              <w:t>2-6</w:t>
            </w:r>
            <w:r w:rsidR="00646387">
              <w:rPr>
                <w:rFonts w:hint="eastAsia"/>
                <w:lang w:eastAsia="zh-CN"/>
              </w:rPr>
              <w:t>预防、控制和管理外来入侵物种</w:t>
            </w:r>
          </w:p>
        </w:tc>
        <w:tc>
          <w:tcPr>
            <w:tcW w:w="1754" w:type="dxa"/>
            <w:vAlign w:val="center"/>
          </w:tcPr>
          <w:p w14:paraId="56E4C399" w14:textId="3A0061C2" w:rsidR="00BF7292" w:rsidRPr="00273B2C" w:rsidRDefault="00BF7292" w:rsidP="00E96F24">
            <w:pPr>
              <w:spacing w:after="40"/>
            </w:pPr>
            <w:r>
              <w:t>9</w:t>
            </w:r>
          </w:p>
        </w:tc>
        <w:tc>
          <w:tcPr>
            <w:tcW w:w="1534" w:type="dxa"/>
            <w:vAlign w:val="center"/>
          </w:tcPr>
          <w:p w14:paraId="61F55CC3" w14:textId="77777777" w:rsidR="00BF7292" w:rsidRPr="00273B2C" w:rsidRDefault="00BF7292" w:rsidP="00E96F24">
            <w:pPr>
              <w:spacing w:after="40"/>
            </w:pPr>
          </w:p>
        </w:tc>
        <w:tc>
          <w:tcPr>
            <w:tcW w:w="1506" w:type="dxa"/>
            <w:vAlign w:val="center"/>
          </w:tcPr>
          <w:p w14:paraId="5654589F" w14:textId="77777777" w:rsidR="00BF7292" w:rsidRPr="00273B2C" w:rsidRDefault="00BF7292" w:rsidP="00E96F24">
            <w:pPr>
              <w:spacing w:after="40"/>
            </w:pPr>
          </w:p>
        </w:tc>
        <w:tc>
          <w:tcPr>
            <w:tcW w:w="1159" w:type="dxa"/>
            <w:vAlign w:val="center"/>
          </w:tcPr>
          <w:p w14:paraId="76B8A9C9" w14:textId="77777777" w:rsidR="00BF7292" w:rsidRPr="00273B2C" w:rsidRDefault="00BF7292" w:rsidP="00E96F24">
            <w:pPr>
              <w:spacing w:after="40"/>
            </w:pPr>
          </w:p>
        </w:tc>
      </w:tr>
      <w:tr w:rsidR="00BF7292" w:rsidRPr="00273B2C" w14:paraId="79A82C1D" w14:textId="600D4245" w:rsidTr="00E34070">
        <w:tc>
          <w:tcPr>
            <w:tcW w:w="3397" w:type="dxa"/>
            <w:vAlign w:val="center"/>
          </w:tcPr>
          <w:p w14:paraId="4BC5ADC5" w14:textId="79DA6BD9" w:rsidR="00BF7292" w:rsidRPr="00273B2C" w:rsidRDefault="00BF7292" w:rsidP="00E96F24">
            <w:pPr>
              <w:spacing w:after="40"/>
              <w:rPr>
                <w:lang w:eastAsia="zh-CN"/>
              </w:rPr>
            </w:pPr>
            <w:r w:rsidRPr="00273B2C">
              <w:rPr>
                <w:lang w:eastAsia="zh-CN"/>
              </w:rPr>
              <w:lastRenderedPageBreak/>
              <w:t>2-7</w:t>
            </w:r>
            <w:r w:rsidR="00A61854">
              <w:rPr>
                <w:rFonts w:hint="eastAsia"/>
                <w:lang w:eastAsia="zh-CN"/>
              </w:rPr>
              <w:t>改善全球保护区的财务可持续性、有效管理和生态系统覆盖率</w:t>
            </w:r>
          </w:p>
        </w:tc>
        <w:tc>
          <w:tcPr>
            <w:tcW w:w="1754" w:type="dxa"/>
            <w:vAlign w:val="center"/>
          </w:tcPr>
          <w:p w14:paraId="7997205A" w14:textId="5915C2E2" w:rsidR="00BF7292" w:rsidRPr="00273B2C" w:rsidRDefault="00BF7292" w:rsidP="00E96F24">
            <w:pPr>
              <w:spacing w:after="40"/>
            </w:pPr>
            <w:r>
              <w:t>11</w:t>
            </w:r>
          </w:p>
        </w:tc>
        <w:tc>
          <w:tcPr>
            <w:tcW w:w="1534" w:type="dxa"/>
            <w:vAlign w:val="center"/>
          </w:tcPr>
          <w:p w14:paraId="67355287" w14:textId="7A01AEFD" w:rsidR="00BF7292" w:rsidRPr="00273B2C" w:rsidRDefault="00BF7292" w:rsidP="00E96F24">
            <w:pPr>
              <w:spacing w:after="40"/>
            </w:pPr>
            <w:r>
              <w:rPr>
                <w:rFonts w:ascii="Calibri" w:hAnsi="Calibri" w:cs="Calibri"/>
                <w:color w:val="000000"/>
              </w:rPr>
              <w:t>65.7</w:t>
            </w:r>
          </w:p>
        </w:tc>
        <w:tc>
          <w:tcPr>
            <w:tcW w:w="1506" w:type="dxa"/>
            <w:vAlign w:val="center"/>
          </w:tcPr>
          <w:p w14:paraId="6E663F70" w14:textId="2DA32728" w:rsidR="00BF7292" w:rsidRPr="00273B2C" w:rsidRDefault="00BF7292" w:rsidP="00E96F24">
            <w:pPr>
              <w:spacing w:after="40"/>
            </w:pPr>
            <w:r>
              <w:rPr>
                <w:rFonts w:ascii="Calibri" w:hAnsi="Calibri" w:cs="Calibri"/>
                <w:color w:val="000000"/>
              </w:rPr>
              <w:t>418.6</w:t>
            </w:r>
          </w:p>
        </w:tc>
        <w:tc>
          <w:tcPr>
            <w:tcW w:w="1159" w:type="dxa"/>
            <w:vAlign w:val="center"/>
          </w:tcPr>
          <w:p w14:paraId="77B42F1A" w14:textId="6721FE20" w:rsidR="00BF7292" w:rsidRPr="00273B2C" w:rsidRDefault="00BF7292" w:rsidP="00E96F24">
            <w:pPr>
              <w:spacing w:after="40"/>
            </w:pPr>
            <w:r>
              <w:rPr>
                <w:rFonts w:ascii="Calibri" w:hAnsi="Calibri" w:cs="Calibri"/>
                <w:color w:val="000000"/>
              </w:rPr>
              <w:t>484.3</w:t>
            </w:r>
          </w:p>
        </w:tc>
      </w:tr>
      <w:tr w:rsidR="00BF7292" w:rsidRPr="00816D28" w14:paraId="6B4A5108" w14:textId="6B30BE08" w:rsidTr="00E34070">
        <w:tc>
          <w:tcPr>
            <w:tcW w:w="3397" w:type="dxa"/>
            <w:shd w:val="clear" w:color="auto" w:fill="auto"/>
            <w:vAlign w:val="center"/>
          </w:tcPr>
          <w:p w14:paraId="3FDF0EDF" w14:textId="56BB24DF" w:rsidR="00BF7292" w:rsidRPr="00816D28" w:rsidRDefault="00A61854" w:rsidP="00E96F24">
            <w:pPr>
              <w:spacing w:after="40"/>
              <w:rPr>
                <w:b/>
                <w:lang w:eastAsia="zh-CN"/>
              </w:rPr>
            </w:pPr>
            <w:r w:rsidRPr="003D183D">
              <w:rPr>
                <w:rFonts w:hint="eastAsia"/>
                <w:b/>
                <w:lang w:eastAsia="zh-CN"/>
              </w:rPr>
              <w:t>目标</w:t>
            </w:r>
            <w:r>
              <w:rPr>
                <w:rFonts w:hint="eastAsia"/>
                <w:b/>
                <w:lang w:eastAsia="zh-CN"/>
              </w:rPr>
              <w:t>3</w:t>
            </w:r>
            <w:r w:rsidRPr="003D183D">
              <w:rPr>
                <w:rFonts w:hint="eastAsia"/>
                <w:b/>
                <w:lang w:eastAsia="zh-CN"/>
              </w:rPr>
              <w:t>.</w:t>
            </w:r>
            <w:r>
              <w:rPr>
                <w:rFonts w:hint="eastAsia"/>
                <w:b/>
                <w:lang w:eastAsia="zh-CN"/>
              </w:rPr>
              <w:t xml:space="preserve"> </w:t>
            </w:r>
            <w:r w:rsidRPr="009B3D0F">
              <w:rPr>
                <w:rStyle w:val="style21"/>
                <w:rFonts w:ascii="Segoe UI" w:hAnsi="Segoe UI" w:cs="Segoe UI"/>
                <w:b/>
                <w:color w:val="auto"/>
                <w:sz w:val="22"/>
                <w:szCs w:val="22"/>
                <w:lang w:eastAsia="zh-CN"/>
              </w:rPr>
              <w:t>进一步制订生物多样性政策和体制框架</w:t>
            </w:r>
          </w:p>
        </w:tc>
        <w:tc>
          <w:tcPr>
            <w:tcW w:w="1754" w:type="dxa"/>
            <w:shd w:val="clear" w:color="auto" w:fill="auto"/>
            <w:vAlign w:val="center"/>
          </w:tcPr>
          <w:p w14:paraId="3CD1A90A" w14:textId="77777777" w:rsidR="00BF7292" w:rsidRPr="00816D28" w:rsidRDefault="00BF7292" w:rsidP="00E96F24">
            <w:pPr>
              <w:spacing w:after="40"/>
              <w:rPr>
                <w:b/>
                <w:lang w:eastAsia="zh-CN"/>
              </w:rPr>
            </w:pPr>
          </w:p>
        </w:tc>
        <w:tc>
          <w:tcPr>
            <w:tcW w:w="1534" w:type="dxa"/>
            <w:shd w:val="clear" w:color="auto" w:fill="auto"/>
            <w:vAlign w:val="center"/>
          </w:tcPr>
          <w:p w14:paraId="2044E97F" w14:textId="624D2D53" w:rsidR="00BF7292" w:rsidRPr="00816D28" w:rsidRDefault="00BF7292" w:rsidP="00E96F24">
            <w:pPr>
              <w:spacing w:after="40"/>
              <w:rPr>
                <w:b/>
                <w:lang w:eastAsia="zh-CN"/>
              </w:rPr>
            </w:pPr>
          </w:p>
        </w:tc>
        <w:tc>
          <w:tcPr>
            <w:tcW w:w="1506" w:type="dxa"/>
            <w:shd w:val="clear" w:color="auto" w:fill="auto"/>
            <w:vAlign w:val="center"/>
          </w:tcPr>
          <w:p w14:paraId="33AAE5B7" w14:textId="45D0C755" w:rsidR="00BF7292" w:rsidRPr="00816D28" w:rsidRDefault="00BF7292" w:rsidP="00E96F24">
            <w:pPr>
              <w:spacing w:after="40"/>
              <w:rPr>
                <w:b/>
                <w:lang w:eastAsia="zh-CN"/>
              </w:rPr>
            </w:pPr>
          </w:p>
        </w:tc>
        <w:tc>
          <w:tcPr>
            <w:tcW w:w="1159" w:type="dxa"/>
            <w:shd w:val="clear" w:color="auto" w:fill="auto"/>
            <w:vAlign w:val="center"/>
          </w:tcPr>
          <w:p w14:paraId="47F724CE" w14:textId="757BDD38" w:rsidR="00BF7292" w:rsidRPr="00816D28" w:rsidRDefault="00BF7292" w:rsidP="00E96F24">
            <w:pPr>
              <w:spacing w:after="40"/>
              <w:rPr>
                <w:b/>
                <w:lang w:eastAsia="zh-CN"/>
              </w:rPr>
            </w:pPr>
          </w:p>
        </w:tc>
      </w:tr>
      <w:tr w:rsidR="00BF7292" w:rsidRPr="00273B2C" w14:paraId="6F3F272A" w14:textId="46EA5259" w:rsidTr="00E34070">
        <w:tc>
          <w:tcPr>
            <w:tcW w:w="3397" w:type="dxa"/>
            <w:vAlign w:val="center"/>
          </w:tcPr>
          <w:p w14:paraId="14E6A470" w14:textId="0E41FE39" w:rsidR="00BF7292" w:rsidRPr="00273B2C" w:rsidRDefault="00BF7292" w:rsidP="00E96F24">
            <w:pPr>
              <w:spacing w:after="40"/>
              <w:rPr>
                <w:lang w:eastAsia="zh-CN"/>
              </w:rPr>
            </w:pPr>
            <w:r w:rsidRPr="00273B2C">
              <w:rPr>
                <w:lang w:eastAsia="zh-CN"/>
              </w:rPr>
              <w:t>3-8</w:t>
            </w:r>
            <w:r w:rsidR="00A61854">
              <w:rPr>
                <w:rFonts w:hint="eastAsia"/>
                <w:lang w:eastAsia="zh-CN"/>
              </w:rPr>
              <w:t>实施《卡塔赫纳生物安全议定书》</w:t>
            </w:r>
          </w:p>
        </w:tc>
        <w:tc>
          <w:tcPr>
            <w:tcW w:w="1754" w:type="dxa"/>
            <w:vAlign w:val="center"/>
          </w:tcPr>
          <w:p w14:paraId="5C69902F" w14:textId="27DEB96E" w:rsidR="00BF7292" w:rsidRPr="00273B2C" w:rsidRDefault="00A61854" w:rsidP="00A61854">
            <w:pPr>
              <w:spacing w:after="40"/>
            </w:pPr>
            <w:proofErr w:type="spellStart"/>
            <w:r>
              <w:t>与爱知目标无关</w:t>
            </w:r>
            <w:proofErr w:type="spellEnd"/>
          </w:p>
        </w:tc>
        <w:tc>
          <w:tcPr>
            <w:tcW w:w="1534" w:type="dxa"/>
            <w:vAlign w:val="center"/>
          </w:tcPr>
          <w:p w14:paraId="7F8F1886" w14:textId="0402FC07" w:rsidR="00BF7292" w:rsidRPr="00273B2C" w:rsidRDefault="00BF7292" w:rsidP="00E96F24">
            <w:pPr>
              <w:spacing w:after="40"/>
            </w:pPr>
          </w:p>
        </w:tc>
        <w:tc>
          <w:tcPr>
            <w:tcW w:w="1506" w:type="dxa"/>
            <w:vAlign w:val="center"/>
          </w:tcPr>
          <w:p w14:paraId="1821E6AD" w14:textId="018B5BAF" w:rsidR="00BF7292" w:rsidRPr="00273B2C" w:rsidRDefault="00BF7292" w:rsidP="00E96F24">
            <w:pPr>
              <w:spacing w:after="40"/>
            </w:pPr>
          </w:p>
        </w:tc>
        <w:tc>
          <w:tcPr>
            <w:tcW w:w="1159" w:type="dxa"/>
            <w:vAlign w:val="center"/>
          </w:tcPr>
          <w:p w14:paraId="2665F54D" w14:textId="5A48F275" w:rsidR="00BF7292" w:rsidRPr="00273B2C" w:rsidRDefault="00BF7292" w:rsidP="00E96F24">
            <w:pPr>
              <w:spacing w:after="40"/>
            </w:pPr>
          </w:p>
        </w:tc>
      </w:tr>
      <w:tr w:rsidR="00BF7292" w:rsidRPr="00273B2C" w14:paraId="062E6A8B" w14:textId="2D812148" w:rsidTr="00E34070">
        <w:tc>
          <w:tcPr>
            <w:tcW w:w="3397" w:type="dxa"/>
            <w:vAlign w:val="center"/>
          </w:tcPr>
          <w:p w14:paraId="5D0E3C5C" w14:textId="63363F9F" w:rsidR="00BF7292" w:rsidRPr="00273B2C" w:rsidRDefault="00BF7292" w:rsidP="00A61854">
            <w:pPr>
              <w:spacing w:after="40"/>
              <w:rPr>
                <w:lang w:eastAsia="zh-CN"/>
              </w:rPr>
            </w:pPr>
            <w:r w:rsidRPr="00273B2C">
              <w:rPr>
                <w:lang w:eastAsia="zh-CN"/>
              </w:rPr>
              <w:t>3-9</w:t>
            </w:r>
            <w:r w:rsidR="00A61854">
              <w:rPr>
                <w:rFonts w:hint="eastAsia"/>
                <w:lang w:eastAsia="zh-CN"/>
              </w:rPr>
              <w:t>实施《关于获取遗传资源和惠益分享的名古屋议定书》</w:t>
            </w:r>
          </w:p>
        </w:tc>
        <w:tc>
          <w:tcPr>
            <w:tcW w:w="1754" w:type="dxa"/>
            <w:vAlign w:val="center"/>
          </w:tcPr>
          <w:p w14:paraId="594999DE" w14:textId="01F3FEAA" w:rsidR="00BF7292" w:rsidRPr="00273B2C" w:rsidRDefault="00BF7292" w:rsidP="00E96F24">
            <w:pPr>
              <w:spacing w:after="40"/>
            </w:pPr>
            <w:r>
              <w:t xml:space="preserve">16 </w:t>
            </w:r>
          </w:p>
        </w:tc>
        <w:tc>
          <w:tcPr>
            <w:tcW w:w="1534" w:type="dxa"/>
            <w:vAlign w:val="center"/>
          </w:tcPr>
          <w:p w14:paraId="16A52F3A" w14:textId="35D9646D" w:rsidR="00BF7292" w:rsidRPr="00273B2C" w:rsidRDefault="00BF7292" w:rsidP="00E96F24">
            <w:pPr>
              <w:spacing w:after="40"/>
            </w:pPr>
            <w:r>
              <w:rPr>
                <w:rFonts w:ascii="Calibri" w:hAnsi="Calibri" w:cs="Calibri"/>
                <w:color w:val="000000"/>
              </w:rPr>
              <w:t>7.8</w:t>
            </w:r>
          </w:p>
        </w:tc>
        <w:tc>
          <w:tcPr>
            <w:tcW w:w="1506" w:type="dxa"/>
            <w:vAlign w:val="center"/>
          </w:tcPr>
          <w:p w14:paraId="550ED5F3" w14:textId="6FEE8C80" w:rsidR="00BF7292" w:rsidRPr="00273B2C" w:rsidRDefault="00BF7292" w:rsidP="00E96F24">
            <w:pPr>
              <w:spacing w:after="40"/>
            </w:pPr>
            <w:r>
              <w:rPr>
                <w:rFonts w:ascii="Calibri" w:hAnsi="Calibri" w:cs="Calibri"/>
                <w:color w:val="000000"/>
              </w:rPr>
              <w:t>43.3</w:t>
            </w:r>
          </w:p>
        </w:tc>
        <w:tc>
          <w:tcPr>
            <w:tcW w:w="1159" w:type="dxa"/>
            <w:vAlign w:val="center"/>
          </w:tcPr>
          <w:p w14:paraId="4DE691A2" w14:textId="2D9101B6" w:rsidR="00BF7292" w:rsidRPr="00273B2C" w:rsidRDefault="00BF7292" w:rsidP="00E96F24">
            <w:pPr>
              <w:spacing w:after="40"/>
            </w:pPr>
            <w:r>
              <w:rPr>
                <w:rFonts w:ascii="Calibri" w:hAnsi="Calibri" w:cs="Calibri"/>
                <w:color w:val="000000"/>
              </w:rPr>
              <w:t>51.1</w:t>
            </w:r>
          </w:p>
        </w:tc>
      </w:tr>
      <w:tr w:rsidR="00BF7292" w:rsidRPr="00273B2C" w14:paraId="44730322" w14:textId="0B865F04" w:rsidTr="00E34070">
        <w:tc>
          <w:tcPr>
            <w:tcW w:w="3397" w:type="dxa"/>
            <w:vAlign w:val="center"/>
          </w:tcPr>
          <w:p w14:paraId="2717505F" w14:textId="118E704F" w:rsidR="00BF7292" w:rsidRPr="00273B2C" w:rsidRDefault="00A61854" w:rsidP="00A61854">
            <w:pPr>
              <w:spacing w:after="40"/>
              <w:rPr>
                <w:lang w:eastAsia="zh-CN"/>
              </w:rPr>
            </w:pPr>
            <w:r>
              <w:rPr>
                <w:lang w:eastAsia="zh-CN"/>
              </w:rPr>
              <w:t>扶持活动</w:t>
            </w:r>
            <w:r>
              <w:rPr>
                <w:rFonts w:hint="eastAsia"/>
                <w:lang w:eastAsia="zh-CN"/>
              </w:rPr>
              <w:t>：</w:t>
            </w:r>
            <w:r w:rsidR="00BF7292">
              <w:rPr>
                <w:lang w:eastAsia="zh-CN"/>
              </w:rPr>
              <w:t xml:space="preserve"> </w:t>
            </w:r>
            <w:r>
              <w:rPr>
                <w:rFonts w:hint="eastAsia"/>
                <w:lang w:eastAsia="zh-CN"/>
              </w:rPr>
              <w:t>改进生物多样性政策、规划和审查</w:t>
            </w:r>
            <w:r w:rsidR="00BF7292" w:rsidRPr="00273B2C">
              <w:rPr>
                <w:lang w:eastAsia="zh-CN"/>
              </w:rPr>
              <w:t xml:space="preserve"> </w:t>
            </w:r>
          </w:p>
        </w:tc>
        <w:tc>
          <w:tcPr>
            <w:tcW w:w="1754" w:type="dxa"/>
            <w:vAlign w:val="center"/>
          </w:tcPr>
          <w:p w14:paraId="44A9E13E" w14:textId="5F8E655F" w:rsidR="00BF7292" w:rsidRPr="00273B2C" w:rsidRDefault="00BF7292" w:rsidP="00E96F24">
            <w:pPr>
              <w:spacing w:after="40"/>
            </w:pPr>
            <w:r>
              <w:t>17</w:t>
            </w:r>
          </w:p>
        </w:tc>
        <w:tc>
          <w:tcPr>
            <w:tcW w:w="1534" w:type="dxa"/>
            <w:vAlign w:val="center"/>
          </w:tcPr>
          <w:p w14:paraId="21FDED7D" w14:textId="2BE2A947" w:rsidR="00BF7292" w:rsidRPr="00273B2C" w:rsidRDefault="00BF7292" w:rsidP="00E96F24">
            <w:pPr>
              <w:spacing w:after="40"/>
            </w:pPr>
          </w:p>
        </w:tc>
        <w:tc>
          <w:tcPr>
            <w:tcW w:w="1506" w:type="dxa"/>
            <w:vAlign w:val="center"/>
          </w:tcPr>
          <w:p w14:paraId="11DF074B" w14:textId="3184CD0E" w:rsidR="00BF7292" w:rsidRPr="00273B2C" w:rsidRDefault="00BF7292" w:rsidP="00E96F24">
            <w:pPr>
              <w:spacing w:after="40"/>
            </w:pPr>
          </w:p>
        </w:tc>
        <w:tc>
          <w:tcPr>
            <w:tcW w:w="1159" w:type="dxa"/>
            <w:vAlign w:val="center"/>
          </w:tcPr>
          <w:p w14:paraId="3CF7E13D" w14:textId="4EBB57C5" w:rsidR="00BF7292" w:rsidRPr="00273B2C" w:rsidRDefault="00BF7292" w:rsidP="00E96F24">
            <w:pPr>
              <w:spacing w:after="40"/>
            </w:pPr>
          </w:p>
        </w:tc>
      </w:tr>
      <w:tr w:rsidR="002C2B38" w:rsidRPr="00273B2C" w14:paraId="0D7AEA51" w14:textId="77777777" w:rsidTr="00E34070">
        <w:tc>
          <w:tcPr>
            <w:tcW w:w="3397" w:type="dxa"/>
            <w:shd w:val="clear" w:color="auto" w:fill="FFFFFF" w:themeFill="background1"/>
            <w:vAlign w:val="center"/>
          </w:tcPr>
          <w:p w14:paraId="51FCE143" w14:textId="2F916BB6" w:rsidR="002C2B38" w:rsidRPr="00A61854" w:rsidRDefault="00A61854" w:rsidP="00E96F24">
            <w:pPr>
              <w:spacing w:after="40"/>
              <w:rPr>
                <w:b/>
              </w:rPr>
            </w:pPr>
            <w:proofErr w:type="spellStart"/>
            <w:r w:rsidRPr="00A61854">
              <w:rPr>
                <w:b/>
              </w:rPr>
              <w:t>共计</w:t>
            </w:r>
            <w:proofErr w:type="spellEnd"/>
          </w:p>
        </w:tc>
        <w:tc>
          <w:tcPr>
            <w:tcW w:w="1754" w:type="dxa"/>
            <w:shd w:val="clear" w:color="auto" w:fill="FFFFFF" w:themeFill="background1"/>
            <w:vAlign w:val="center"/>
          </w:tcPr>
          <w:p w14:paraId="6D5AB03D" w14:textId="77777777" w:rsidR="002C2B38" w:rsidRDefault="002C2B38" w:rsidP="00E96F24">
            <w:pPr>
              <w:spacing w:after="40"/>
            </w:pPr>
          </w:p>
        </w:tc>
        <w:tc>
          <w:tcPr>
            <w:tcW w:w="1534" w:type="dxa"/>
            <w:shd w:val="clear" w:color="auto" w:fill="FFFFFF" w:themeFill="background1"/>
            <w:vAlign w:val="center"/>
          </w:tcPr>
          <w:p w14:paraId="4B27F963" w14:textId="07988BED" w:rsidR="002C2B38" w:rsidRPr="00273B2C" w:rsidRDefault="00967BDC" w:rsidP="00E96F24">
            <w:pPr>
              <w:spacing w:after="40"/>
            </w:pPr>
            <w:r>
              <w:t>239.1</w:t>
            </w:r>
          </w:p>
        </w:tc>
        <w:tc>
          <w:tcPr>
            <w:tcW w:w="1506" w:type="dxa"/>
            <w:shd w:val="clear" w:color="auto" w:fill="FFFFFF" w:themeFill="background1"/>
            <w:vAlign w:val="center"/>
          </w:tcPr>
          <w:p w14:paraId="57973417" w14:textId="521E743F" w:rsidR="002C2B38" w:rsidRPr="00273B2C" w:rsidRDefault="009B1E25" w:rsidP="00E96F24">
            <w:pPr>
              <w:spacing w:after="40"/>
            </w:pPr>
            <w:r>
              <w:t>1</w:t>
            </w:r>
            <w:r w:rsidR="00E56EB8">
              <w:t>,</w:t>
            </w:r>
            <w:r>
              <w:t>5</w:t>
            </w:r>
            <w:r w:rsidR="00057DE2">
              <w:t>19.5</w:t>
            </w:r>
          </w:p>
        </w:tc>
        <w:tc>
          <w:tcPr>
            <w:tcW w:w="1159" w:type="dxa"/>
            <w:shd w:val="clear" w:color="auto" w:fill="FFFFFF" w:themeFill="background1"/>
            <w:vAlign w:val="center"/>
          </w:tcPr>
          <w:p w14:paraId="5EB62A20" w14:textId="755E656F" w:rsidR="002C2B38" w:rsidRPr="00273B2C" w:rsidRDefault="00322637" w:rsidP="00E96F24">
            <w:pPr>
              <w:spacing w:after="40"/>
            </w:pPr>
            <w:r>
              <w:t>1</w:t>
            </w:r>
            <w:r w:rsidR="00E56EB8">
              <w:t>,</w:t>
            </w:r>
            <w:r>
              <w:t>758.5</w:t>
            </w:r>
          </w:p>
        </w:tc>
      </w:tr>
    </w:tbl>
    <w:p w14:paraId="76005846" w14:textId="77777777" w:rsidR="00862079" w:rsidRDefault="00862079" w:rsidP="00D30DB1">
      <w:pPr>
        <w:spacing w:after="0" w:line="240" w:lineRule="auto"/>
        <w:contextualSpacing/>
        <w:rPr>
          <w:rFonts w:ascii="Calibri" w:eastAsia="MS Mincho" w:hAnsi="Calibri" w:cs="Angsana New"/>
          <w:b/>
          <w:sz w:val="24"/>
          <w:szCs w:val="24"/>
          <w:u w:val="single"/>
          <w:lang w:val="en-GB"/>
        </w:rPr>
      </w:pPr>
    </w:p>
    <w:p w14:paraId="1D3650AA" w14:textId="7BACBE94" w:rsidR="00D30DB1" w:rsidRPr="00475312" w:rsidRDefault="006D45CC" w:rsidP="00475312">
      <w:pPr>
        <w:pStyle w:val="Heading3"/>
        <w:rPr>
          <w:lang w:val="en-GB"/>
        </w:rPr>
      </w:pPr>
      <w:r w:rsidRPr="00475312">
        <w:t>项目编制补助金</w:t>
      </w:r>
    </w:p>
    <w:p w14:paraId="2A2B4AA6" w14:textId="563B007C" w:rsidR="006D45CC" w:rsidRPr="003D54E3" w:rsidRDefault="006D45CC" w:rsidP="00FF3B4A">
      <w:pPr>
        <w:pStyle w:val="ListParagraph"/>
        <w:numPr>
          <w:ilvl w:val="0"/>
          <w:numId w:val="25"/>
        </w:numPr>
        <w:spacing w:before="240" w:after="240" w:line="240" w:lineRule="auto"/>
        <w:ind w:left="0" w:firstLine="0"/>
        <w:contextualSpacing w:val="0"/>
        <w:rPr>
          <w:rFonts w:ascii="Calibri" w:eastAsia="MS Mincho" w:hAnsi="Calibri" w:cs="Angsana New"/>
          <w:sz w:val="24"/>
          <w:szCs w:val="24"/>
          <w:lang w:val="en-GB" w:eastAsia="zh-CN"/>
        </w:rPr>
      </w:pPr>
      <w:r w:rsidRPr="003D54E3">
        <w:rPr>
          <w:rFonts w:hint="eastAsia"/>
          <w:sz w:val="24"/>
          <w:szCs w:val="24"/>
          <w:lang w:eastAsia="zh-CN"/>
        </w:rPr>
        <w:t>作为项目开发的第一步，全球环境基金</w:t>
      </w:r>
      <w:r w:rsidR="00194C82" w:rsidRPr="003D54E3">
        <w:rPr>
          <w:rFonts w:hint="eastAsia"/>
          <w:sz w:val="24"/>
          <w:szCs w:val="24"/>
          <w:lang w:eastAsia="zh-CN"/>
        </w:rPr>
        <w:t>以项目编制补助金（</w:t>
      </w:r>
      <w:r w:rsidR="00194C82" w:rsidRPr="003D54E3">
        <w:rPr>
          <w:rFonts w:hint="eastAsia"/>
          <w:sz w:val="24"/>
          <w:szCs w:val="24"/>
          <w:lang w:eastAsia="zh-CN"/>
        </w:rPr>
        <w:t>PPG</w:t>
      </w:r>
      <w:r w:rsidR="00194C82" w:rsidRPr="003D54E3">
        <w:rPr>
          <w:rFonts w:hint="eastAsia"/>
          <w:sz w:val="24"/>
          <w:szCs w:val="24"/>
          <w:lang w:eastAsia="zh-CN"/>
        </w:rPr>
        <w:t>）的方式</w:t>
      </w:r>
      <w:r w:rsidRPr="003D54E3">
        <w:rPr>
          <w:rFonts w:hint="eastAsia"/>
          <w:sz w:val="24"/>
          <w:szCs w:val="24"/>
          <w:lang w:eastAsia="zh-CN"/>
        </w:rPr>
        <w:t>提供资金，帮助受援国将项目概念（</w:t>
      </w:r>
      <w:r w:rsidRPr="003D54E3">
        <w:rPr>
          <w:rFonts w:hint="eastAsia"/>
          <w:sz w:val="24"/>
          <w:szCs w:val="24"/>
          <w:lang w:eastAsia="zh-CN"/>
        </w:rPr>
        <w:t>PIF</w:t>
      </w:r>
      <w:r w:rsidRPr="003D54E3">
        <w:rPr>
          <w:rFonts w:hint="eastAsia"/>
          <w:sz w:val="24"/>
          <w:szCs w:val="24"/>
          <w:lang w:eastAsia="zh-CN"/>
        </w:rPr>
        <w:t>）发展为项目</w:t>
      </w:r>
      <w:r w:rsidR="00194C82" w:rsidRPr="003D54E3">
        <w:rPr>
          <w:rFonts w:hint="eastAsia"/>
          <w:sz w:val="24"/>
          <w:szCs w:val="24"/>
          <w:lang w:eastAsia="zh-CN"/>
        </w:rPr>
        <w:t>提案，供首席执行官核可</w:t>
      </w:r>
      <w:r w:rsidRPr="003D54E3">
        <w:rPr>
          <w:rFonts w:hint="eastAsia"/>
          <w:sz w:val="24"/>
          <w:szCs w:val="24"/>
          <w:lang w:eastAsia="zh-CN"/>
        </w:rPr>
        <w:t>。在本报告所述期间，共批准了</w:t>
      </w:r>
      <w:r w:rsidR="00194C82" w:rsidRPr="003D54E3">
        <w:rPr>
          <w:rFonts w:hint="eastAsia"/>
          <w:sz w:val="24"/>
          <w:szCs w:val="24"/>
          <w:lang w:eastAsia="zh-CN"/>
        </w:rPr>
        <w:t>112</w:t>
      </w:r>
      <w:r w:rsidR="00194C82" w:rsidRPr="003D54E3">
        <w:rPr>
          <w:rFonts w:hint="eastAsia"/>
          <w:sz w:val="24"/>
          <w:szCs w:val="24"/>
          <w:lang w:eastAsia="zh-CN"/>
        </w:rPr>
        <w:t>笔项目编制补助金</w:t>
      </w:r>
      <w:r w:rsidRPr="003D54E3">
        <w:rPr>
          <w:rFonts w:hint="eastAsia"/>
          <w:sz w:val="24"/>
          <w:szCs w:val="24"/>
          <w:lang w:eastAsia="zh-CN"/>
        </w:rPr>
        <w:t>，金额为</w:t>
      </w:r>
      <w:r w:rsidRPr="003D54E3">
        <w:rPr>
          <w:rFonts w:hint="eastAsia"/>
          <w:sz w:val="24"/>
          <w:szCs w:val="24"/>
          <w:lang w:eastAsia="zh-CN"/>
        </w:rPr>
        <w:t>2430</w:t>
      </w:r>
      <w:r w:rsidRPr="003D54E3">
        <w:rPr>
          <w:rFonts w:hint="eastAsia"/>
          <w:sz w:val="24"/>
          <w:szCs w:val="24"/>
          <w:lang w:eastAsia="zh-CN"/>
        </w:rPr>
        <w:t>万美元。</w:t>
      </w:r>
      <w:r w:rsidR="00194C82" w:rsidRPr="003D54E3">
        <w:rPr>
          <w:rStyle w:val="FootnoteReference"/>
          <w:rFonts w:ascii="Calibri" w:eastAsia="MS Mincho" w:hAnsi="Calibri" w:cs="Angsana New"/>
          <w:sz w:val="24"/>
          <w:szCs w:val="24"/>
          <w:lang w:val="en-GB"/>
        </w:rPr>
        <w:footnoteReference w:id="10"/>
      </w:r>
    </w:p>
    <w:p w14:paraId="7F02D480" w14:textId="43A78A09" w:rsidR="00D30DB1" w:rsidRPr="003D54E3" w:rsidRDefault="00194C82" w:rsidP="00475312">
      <w:pPr>
        <w:pStyle w:val="Heading3"/>
        <w:rPr>
          <w:rFonts w:cs="Times New Roman"/>
        </w:rPr>
      </w:pPr>
      <w:r w:rsidRPr="003D54E3">
        <w:rPr>
          <w:rFonts w:hint="eastAsia"/>
        </w:rPr>
        <w:t>支持</w:t>
      </w:r>
      <w:r w:rsidRPr="003D54E3">
        <w:rPr>
          <w:rFonts w:cs="SimSun" w:hint="eastAsia"/>
        </w:rPr>
        <w:t>实施</w:t>
      </w:r>
      <w:r w:rsidRPr="003D54E3">
        <w:rPr>
          <w:rFonts w:hint="eastAsia"/>
        </w:rPr>
        <w:t>《生物多</w:t>
      </w:r>
      <w:r w:rsidRPr="003D54E3">
        <w:rPr>
          <w:rFonts w:cs="SimSun" w:hint="eastAsia"/>
        </w:rPr>
        <w:t>样</w:t>
      </w:r>
      <w:r w:rsidRPr="003D54E3">
        <w:rPr>
          <w:rFonts w:hint="eastAsia"/>
        </w:rPr>
        <w:t>性公</w:t>
      </w:r>
      <w:r w:rsidRPr="003D54E3">
        <w:rPr>
          <w:rFonts w:cs="SimSun" w:hint="eastAsia"/>
        </w:rPr>
        <w:t>约的</w:t>
      </w:r>
      <w:r w:rsidRPr="003D54E3">
        <w:rPr>
          <w:rFonts w:hint="eastAsia"/>
        </w:rPr>
        <w:t>卡塔赫</w:t>
      </w:r>
      <w:r w:rsidRPr="003D54E3">
        <w:rPr>
          <w:rFonts w:cs="SimSun" w:hint="eastAsia"/>
        </w:rPr>
        <w:t>纳</w:t>
      </w:r>
      <w:r w:rsidRPr="003D54E3">
        <w:rPr>
          <w:rFonts w:hint="eastAsia"/>
        </w:rPr>
        <w:t>生物安全</w:t>
      </w:r>
      <w:r w:rsidRPr="003D54E3">
        <w:rPr>
          <w:rFonts w:cs="SimSun" w:hint="eastAsia"/>
        </w:rPr>
        <w:t>议</w:t>
      </w:r>
      <w:r w:rsidRPr="003D54E3">
        <w:rPr>
          <w:rFonts w:hint="eastAsia"/>
        </w:rPr>
        <w:t>定</w:t>
      </w:r>
      <w:r w:rsidRPr="003D54E3">
        <w:rPr>
          <w:rFonts w:cs="SimSun" w:hint="eastAsia"/>
        </w:rPr>
        <w:t>书</w:t>
      </w:r>
      <w:r w:rsidRPr="003D54E3">
        <w:rPr>
          <w:rFonts w:hint="eastAsia"/>
        </w:rPr>
        <w:t>》</w:t>
      </w:r>
    </w:p>
    <w:p w14:paraId="0D674B26" w14:textId="4916DAB8" w:rsidR="00194C82" w:rsidRPr="003D54E3" w:rsidRDefault="00194C82" w:rsidP="00FF3B4A">
      <w:pPr>
        <w:pStyle w:val="ListParagraph"/>
        <w:numPr>
          <w:ilvl w:val="0"/>
          <w:numId w:val="25"/>
        </w:numPr>
        <w:spacing w:before="240" w:after="240" w:line="240" w:lineRule="auto"/>
        <w:ind w:left="0" w:firstLine="0"/>
        <w:contextualSpacing w:val="0"/>
        <w:rPr>
          <w:rFonts w:ascii="Calibri" w:eastAsia="MS Mincho" w:hAnsi="Calibri" w:cs="Angsana New"/>
          <w:sz w:val="24"/>
          <w:szCs w:val="24"/>
          <w:lang w:val="en-GB" w:eastAsia="zh-CN"/>
        </w:rPr>
      </w:pPr>
      <w:r w:rsidRPr="003D54E3">
        <w:rPr>
          <w:rFonts w:hint="eastAsia"/>
          <w:sz w:val="24"/>
          <w:szCs w:val="24"/>
          <w:lang w:eastAsia="zh-CN"/>
        </w:rPr>
        <w:t>在本报告所述期间，没有任何国家提出支持实施《卡塔赫纳生物安全议定书》的项目。</w:t>
      </w:r>
    </w:p>
    <w:p w14:paraId="5A86C09C" w14:textId="43A0BE53" w:rsidR="00D30DB1" w:rsidRPr="003D54E3" w:rsidRDefault="00194C82" w:rsidP="00475312">
      <w:pPr>
        <w:pStyle w:val="Heading3"/>
        <w:rPr>
          <w:lang w:val="en-GB"/>
        </w:rPr>
      </w:pPr>
      <w:r w:rsidRPr="003D54E3">
        <w:rPr>
          <w:rFonts w:hint="eastAsia"/>
        </w:rPr>
        <w:t>支持批准和</w:t>
      </w:r>
      <w:r w:rsidRPr="003D54E3">
        <w:rPr>
          <w:rFonts w:cs="SimSun" w:hint="eastAsia"/>
        </w:rPr>
        <w:t>实施</w:t>
      </w:r>
      <w:r w:rsidRPr="003D54E3">
        <w:rPr>
          <w:rFonts w:cs="Yu Gothic Light" w:hint="eastAsia"/>
        </w:rPr>
        <w:t>《</w:t>
      </w:r>
      <w:r w:rsidR="006D1922" w:rsidRPr="003D54E3">
        <w:rPr>
          <w:rFonts w:hint="eastAsia"/>
        </w:rPr>
        <w:t>生物多样性公约关于获取遗传资源和公正和公平分享其利用所产生惠益的名古屋议定书</w:t>
      </w:r>
      <w:r w:rsidRPr="003D54E3">
        <w:rPr>
          <w:rFonts w:cs="Yu Gothic Light" w:hint="eastAsia"/>
        </w:rPr>
        <w:t>》</w:t>
      </w:r>
    </w:p>
    <w:p w14:paraId="5034F5D2" w14:textId="0E2E4CD8" w:rsidR="006D1922" w:rsidRPr="003D54E3" w:rsidRDefault="006D1922" w:rsidP="00FF3B4A">
      <w:pPr>
        <w:pStyle w:val="ListParagraph"/>
        <w:numPr>
          <w:ilvl w:val="0"/>
          <w:numId w:val="25"/>
        </w:numPr>
        <w:spacing w:before="240" w:after="240" w:line="240" w:lineRule="auto"/>
        <w:ind w:left="0" w:firstLine="0"/>
        <w:contextualSpacing w:val="0"/>
        <w:rPr>
          <w:rFonts w:ascii="Calibri" w:eastAsia="MS Mincho" w:hAnsi="Calibri" w:cs="Angsana New"/>
          <w:sz w:val="24"/>
          <w:szCs w:val="24"/>
          <w:lang w:val="en-GB" w:eastAsia="zh-CN"/>
        </w:rPr>
      </w:pPr>
      <w:r w:rsidRPr="003D54E3">
        <w:rPr>
          <w:rFonts w:hint="eastAsia"/>
          <w:sz w:val="24"/>
          <w:szCs w:val="24"/>
          <w:lang w:eastAsia="zh-CN"/>
        </w:rPr>
        <w:t>在本报告所述期间，全球环境基金批准了三个国家项目（马达加斯加、巴拿马、苏丹），以加强它们实施《名古屋议定书》所需的技术、法律和体制能力。全环基金投资了</w:t>
      </w:r>
      <w:r w:rsidRPr="003D54E3">
        <w:rPr>
          <w:rFonts w:hint="eastAsia"/>
          <w:sz w:val="24"/>
          <w:szCs w:val="24"/>
          <w:lang w:eastAsia="zh-CN"/>
        </w:rPr>
        <w:t>390</w:t>
      </w:r>
      <w:r w:rsidRPr="003D54E3">
        <w:rPr>
          <w:rFonts w:hint="eastAsia"/>
          <w:sz w:val="24"/>
          <w:szCs w:val="24"/>
          <w:lang w:eastAsia="zh-CN"/>
        </w:rPr>
        <w:t>万美元，并共同筹集了</w:t>
      </w:r>
      <w:r w:rsidRPr="003D54E3">
        <w:rPr>
          <w:rFonts w:hint="eastAsia"/>
          <w:sz w:val="24"/>
          <w:szCs w:val="24"/>
          <w:lang w:eastAsia="zh-CN"/>
        </w:rPr>
        <w:t>2420</w:t>
      </w:r>
      <w:r w:rsidRPr="003D54E3">
        <w:rPr>
          <w:rFonts w:hint="eastAsia"/>
          <w:sz w:val="24"/>
          <w:szCs w:val="24"/>
          <w:lang w:eastAsia="zh-CN"/>
        </w:rPr>
        <w:t>万美元。</w:t>
      </w:r>
    </w:p>
    <w:p w14:paraId="3AC14D36" w14:textId="210D5A04" w:rsidR="00402BF2" w:rsidRPr="003D54E3" w:rsidRDefault="006D1922" w:rsidP="00CF090D">
      <w:pPr>
        <w:pStyle w:val="Heading2"/>
        <w:rPr>
          <w:sz w:val="24"/>
          <w:szCs w:val="24"/>
        </w:rPr>
      </w:pPr>
      <w:r w:rsidRPr="003D54E3">
        <w:rPr>
          <w:rFonts w:hint="eastAsia"/>
          <w:sz w:val="24"/>
          <w:szCs w:val="24"/>
        </w:rPr>
        <w:t>影响方案对实现爱知生物多样性目标的贡献</w:t>
      </w:r>
    </w:p>
    <w:p w14:paraId="15559DD2" w14:textId="4A544080" w:rsidR="00AB51A6" w:rsidRPr="003D54E3" w:rsidRDefault="003B6155" w:rsidP="00475312">
      <w:pPr>
        <w:pStyle w:val="Heading3"/>
        <w:rPr>
          <w:snapToGrid w:val="0"/>
        </w:rPr>
      </w:pPr>
      <w:r w:rsidRPr="003D54E3">
        <w:rPr>
          <w:rFonts w:hint="eastAsia"/>
        </w:rPr>
        <w:t>粮食系统、土地利用和恢复</w:t>
      </w:r>
    </w:p>
    <w:p w14:paraId="1D3B5288" w14:textId="568F3D15" w:rsidR="003B6155" w:rsidRPr="003D54E3" w:rsidRDefault="003B6155"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3D54E3">
        <w:rPr>
          <w:rFonts w:hint="eastAsia"/>
          <w:sz w:val="24"/>
          <w:szCs w:val="24"/>
          <w:lang w:eastAsia="zh-CN"/>
        </w:rPr>
        <w:t>粮食系统、土地利用和恢复影响方案（</w:t>
      </w:r>
      <w:r w:rsidRPr="003D54E3">
        <w:rPr>
          <w:rFonts w:ascii="Calibri" w:eastAsia="MS Mincho" w:hAnsi="Calibri" w:cs="Times New Roman"/>
          <w:snapToGrid w:val="0"/>
          <w:sz w:val="24"/>
          <w:szCs w:val="24"/>
          <w:lang w:eastAsia="zh-CN"/>
        </w:rPr>
        <w:t>FOLUR</w:t>
      </w:r>
      <w:r w:rsidRPr="003D54E3">
        <w:rPr>
          <w:rFonts w:hint="eastAsia"/>
          <w:sz w:val="24"/>
          <w:szCs w:val="24"/>
          <w:lang w:eastAsia="zh-CN"/>
        </w:rPr>
        <w:t>）通过支持各国采取更全面和全系统的方法解决不可持续粮食系统和土地利用变化的根本驱动因素。在国家或管辖范围内，</w:t>
      </w:r>
      <w:r w:rsidR="00A55818" w:rsidRPr="003D54E3">
        <w:rPr>
          <w:rFonts w:hint="eastAsia"/>
          <w:sz w:val="24"/>
          <w:szCs w:val="24"/>
          <w:lang w:eastAsia="zh-CN"/>
        </w:rPr>
        <w:t>通过</w:t>
      </w:r>
      <w:r w:rsidRPr="003D54E3">
        <w:rPr>
          <w:rFonts w:hint="eastAsia"/>
          <w:sz w:val="24"/>
          <w:szCs w:val="24"/>
          <w:lang w:eastAsia="zh-CN"/>
        </w:rPr>
        <w:t>协调</w:t>
      </w:r>
      <w:r w:rsidR="00A55818" w:rsidRPr="003D54E3">
        <w:rPr>
          <w:rFonts w:hint="eastAsia"/>
          <w:sz w:val="24"/>
          <w:szCs w:val="24"/>
          <w:lang w:eastAsia="zh-CN"/>
        </w:rPr>
        <w:t>的方式制定</w:t>
      </w:r>
      <w:r w:rsidRPr="003D54E3">
        <w:rPr>
          <w:rFonts w:hint="eastAsia"/>
          <w:sz w:val="24"/>
          <w:szCs w:val="24"/>
          <w:lang w:eastAsia="zh-CN"/>
        </w:rPr>
        <w:t>合理</w:t>
      </w:r>
      <w:r w:rsidR="00A55818" w:rsidRPr="003D54E3">
        <w:rPr>
          <w:rFonts w:hint="eastAsia"/>
          <w:sz w:val="24"/>
          <w:szCs w:val="24"/>
          <w:lang w:eastAsia="zh-CN"/>
        </w:rPr>
        <w:t>和</w:t>
      </w:r>
      <w:r w:rsidRPr="003D54E3">
        <w:rPr>
          <w:rFonts w:hint="eastAsia"/>
          <w:sz w:val="24"/>
          <w:szCs w:val="24"/>
          <w:lang w:eastAsia="zh-CN"/>
        </w:rPr>
        <w:t>更具环境可持续性的土地利用框架</w:t>
      </w:r>
      <w:r w:rsidR="00A55818" w:rsidRPr="003D54E3">
        <w:rPr>
          <w:rFonts w:hint="eastAsia"/>
          <w:sz w:val="24"/>
          <w:szCs w:val="24"/>
          <w:lang w:eastAsia="zh-CN"/>
        </w:rPr>
        <w:t>，</w:t>
      </w:r>
      <w:r w:rsidRPr="003D54E3">
        <w:rPr>
          <w:rFonts w:hint="eastAsia"/>
          <w:sz w:val="24"/>
          <w:szCs w:val="24"/>
          <w:lang w:eastAsia="zh-CN"/>
        </w:rPr>
        <w:t>对确保有效的粮食生产和商</w:t>
      </w:r>
      <w:r w:rsidRPr="003D54E3">
        <w:rPr>
          <w:rFonts w:hint="eastAsia"/>
          <w:sz w:val="24"/>
          <w:szCs w:val="24"/>
          <w:lang w:eastAsia="zh-CN"/>
        </w:rPr>
        <w:lastRenderedPageBreak/>
        <w:t>品供应链</w:t>
      </w:r>
      <w:r w:rsidR="00A55818" w:rsidRPr="003D54E3">
        <w:rPr>
          <w:rFonts w:hint="eastAsia"/>
          <w:sz w:val="24"/>
          <w:szCs w:val="24"/>
          <w:lang w:eastAsia="zh-CN"/>
        </w:rPr>
        <w:t>、</w:t>
      </w:r>
      <w:r w:rsidRPr="003D54E3">
        <w:rPr>
          <w:rFonts w:hint="eastAsia"/>
          <w:sz w:val="24"/>
          <w:szCs w:val="24"/>
          <w:lang w:eastAsia="zh-CN"/>
        </w:rPr>
        <w:t>保护环境以及支持人类繁荣至关重要。影响</w:t>
      </w:r>
      <w:r w:rsidR="00A55818" w:rsidRPr="003D54E3">
        <w:rPr>
          <w:rFonts w:hint="eastAsia"/>
          <w:sz w:val="24"/>
          <w:szCs w:val="24"/>
          <w:lang w:eastAsia="zh-CN"/>
        </w:rPr>
        <w:t>方案侧重于</w:t>
      </w:r>
      <w:r w:rsidRPr="003D54E3">
        <w:rPr>
          <w:rFonts w:hint="eastAsia"/>
          <w:sz w:val="24"/>
          <w:szCs w:val="24"/>
          <w:lang w:eastAsia="zh-CN"/>
        </w:rPr>
        <w:t>实现三个目标：（</w:t>
      </w:r>
      <w:r w:rsidRPr="003D54E3">
        <w:rPr>
          <w:rFonts w:hint="eastAsia"/>
          <w:sz w:val="24"/>
          <w:szCs w:val="24"/>
          <w:lang w:eastAsia="zh-CN"/>
        </w:rPr>
        <w:t>1</w:t>
      </w:r>
      <w:r w:rsidRPr="003D54E3">
        <w:rPr>
          <w:rFonts w:hint="eastAsia"/>
          <w:sz w:val="24"/>
          <w:szCs w:val="24"/>
          <w:lang w:eastAsia="zh-CN"/>
        </w:rPr>
        <w:t>）促进可持续的粮食系统以满足</w:t>
      </w:r>
      <w:r w:rsidR="00A55818" w:rsidRPr="003D54E3">
        <w:rPr>
          <w:rFonts w:hint="eastAsia"/>
          <w:sz w:val="24"/>
          <w:szCs w:val="24"/>
          <w:lang w:eastAsia="zh-CN"/>
        </w:rPr>
        <w:t>全球</w:t>
      </w:r>
      <w:r w:rsidRPr="003D54E3">
        <w:rPr>
          <w:rFonts w:hint="eastAsia"/>
          <w:sz w:val="24"/>
          <w:szCs w:val="24"/>
          <w:lang w:eastAsia="zh-CN"/>
        </w:rPr>
        <w:t>日益增长的需求；（</w:t>
      </w:r>
      <w:r w:rsidRPr="003D54E3">
        <w:rPr>
          <w:rFonts w:hint="eastAsia"/>
          <w:sz w:val="24"/>
          <w:szCs w:val="24"/>
          <w:lang w:eastAsia="zh-CN"/>
        </w:rPr>
        <w:t>2</w:t>
      </w:r>
      <w:r w:rsidRPr="003D54E3">
        <w:rPr>
          <w:rFonts w:hint="eastAsia"/>
          <w:sz w:val="24"/>
          <w:szCs w:val="24"/>
          <w:lang w:eastAsia="zh-CN"/>
        </w:rPr>
        <w:t>）促进无森林砍伐的农产品供应链，以减缓热带森林的</w:t>
      </w:r>
      <w:r w:rsidR="00A55818" w:rsidRPr="003D54E3">
        <w:rPr>
          <w:rFonts w:hint="eastAsia"/>
          <w:sz w:val="24"/>
          <w:szCs w:val="24"/>
          <w:lang w:eastAsia="zh-CN"/>
        </w:rPr>
        <w:t>丧失</w:t>
      </w:r>
      <w:r w:rsidRPr="003D54E3">
        <w:rPr>
          <w:rFonts w:hint="eastAsia"/>
          <w:sz w:val="24"/>
          <w:szCs w:val="24"/>
          <w:lang w:eastAsia="zh-CN"/>
        </w:rPr>
        <w:t>；（</w:t>
      </w:r>
      <w:r w:rsidRPr="003D54E3">
        <w:rPr>
          <w:rFonts w:hint="eastAsia"/>
          <w:sz w:val="24"/>
          <w:szCs w:val="24"/>
          <w:lang w:eastAsia="zh-CN"/>
        </w:rPr>
        <w:t>3</w:t>
      </w:r>
      <w:r w:rsidRPr="003D54E3">
        <w:rPr>
          <w:rFonts w:hint="eastAsia"/>
          <w:sz w:val="24"/>
          <w:szCs w:val="24"/>
          <w:lang w:eastAsia="zh-CN"/>
        </w:rPr>
        <w:t>）促进恢复退化的</w:t>
      </w:r>
      <w:r w:rsidR="00A55818" w:rsidRPr="003D54E3">
        <w:rPr>
          <w:rFonts w:hint="eastAsia"/>
          <w:sz w:val="24"/>
          <w:szCs w:val="24"/>
          <w:lang w:eastAsia="zh-CN"/>
        </w:rPr>
        <w:t>陆地</w:t>
      </w:r>
      <w:r w:rsidRPr="003D54E3">
        <w:rPr>
          <w:rFonts w:hint="eastAsia"/>
          <w:sz w:val="24"/>
          <w:szCs w:val="24"/>
          <w:lang w:eastAsia="zh-CN"/>
        </w:rPr>
        <w:t>景观</w:t>
      </w:r>
      <w:r w:rsidR="00A55818" w:rsidRPr="003D54E3">
        <w:rPr>
          <w:rFonts w:hint="eastAsia"/>
          <w:sz w:val="24"/>
          <w:szCs w:val="24"/>
          <w:lang w:eastAsia="zh-CN"/>
        </w:rPr>
        <w:t>，实现</w:t>
      </w:r>
      <w:r w:rsidRPr="003D54E3">
        <w:rPr>
          <w:rFonts w:hint="eastAsia"/>
          <w:sz w:val="24"/>
          <w:szCs w:val="24"/>
          <w:lang w:eastAsia="zh-CN"/>
        </w:rPr>
        <w:t>可持续</w:t>
      </w:r>
      <w:r w:rsidR="00A55818" w:rsidRPr="003D54E3">
        <w:rPr>
          <w:rFonts w:hint="eastAsia"/>
          <w:sz w:val="24"/>
          <w:szCs w:val="24"/>
          <w:lang w:eastAsia="zh-CN"/>
        </w:rPr>
        <w:t>的</w:t>
      </w:r>
      <w:r w:rsidRPr="003D54E3">
        <w:rPr>
          <w:rFonts w:hint="eastAsia"/>
          <w:sz w:val="24"/>
          <w:szCs w:val="24"/>
          <w:lang w:eastAsia="zh-CN"/>
        </w:rPr>
        <w:t>生产</w:t>
      </w:r>
      <w:r w:rsidR="00A55818" w:rsidRPr="003D54E3">
        <w:rPr>
          <w:rFonts w:hint="eastAsia"/>
          <w:sz w:val="24"/>
          <w:szCs w:val="24"/>
          <w:lang w:eastAsia="zh-CN"/>
        </w:rPr>
        <w:t>和</w:t>
      </w:r>
      <w:r w:rsidRPr="003D54E3">
        <w:rPr>
          <w:rFonts w:hint="eastAsia"/>
          <w:sz w:val="24"/>
          <w:szCs w:val="24"/>
          <w:lang w:eastAsia="zh-CN"/>
        </w:rPr>
        <w:t>维持生态系统服务。</w:t>
      </w:r>
    </w:p>
    <w:p w14:paraId="72EA3F9C" w14:textId="79FAD88C" w:rsidR="00637BC4" w:rsidRPr="003D54E3" w:rsidRDefault="00637BC4"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eastAsia="zh-CN"/>
        </w:rPr>
      </w:pPr>
      <w:r w:rsidRPr="003D54E3">
        <w:rPr>
          <w:rFonts w:hint="eastAsia"/>
          <w:sz w:val="24"/>
          <w:szCs w:val="24"/>
          <w:lang w:eastAsia="zh-CN"/>
        </w:rPr>
        <w:t>下文表</w:t>
      </w:r>
      <w:r w:rsidRPr="003D54E3">
        <w:rPr>
          <w:rFonts w:hint="eastAsia"/>
          <w:sz w:val="24"/>
          <w:szCs w:val="24"/>
          <w:lang w:eastAsia="zh-CN"/>
        </w:rPr>
        <w:t>6</w:t>
      </w:r>
      <w:r w:rsidRPr="003D54E3">
        <w:rPr>
          <w:rFonts w:hint="eastAsia"/>
          <w:sz w:val="24"/>
          <w:szCs w:val="24"/>
          <w:lang w:eastAsia="zh-CN"/>
        </w:rPr>
        <w:t>载列全环基金</w:t>
      </w:r>
      <w:r w:rsidR="000F5A47" w:rsidRPr="003D54E3">
        <w:rPr>
          <w:rFonts w:ascii="Calibri" w:eastAsia="MS Mincho" w:hAnsi="Calibri" w:cs="Times New Roman"/>
          <w:snapToGrid w:val="0"/>
          <w:sz w:val="24"/>
          <w:szCs w:val="24"/>
          <w:lang w:val="en-GB" w:eastAsia="zh-CN"/>
        </w:rPr>
        <w:t>FOLUR</w:t>
      </w:r>
      <w:r w:rsidRPr="003D54E3">
        <w:rPr>
          <w:rFonts w:hint="eastAsia"/>
          <w:sz w:val="24"/>
          <w:szCs w:val="24"/>
          <w:lang w:eastAsia="zh-CN"/>
        </w:rPr>
        <w:t>影响方案资源对实现</w:t>
      </w:r>
      <w:r w:rsidR="000F5A47" w:rsidRPr="003D54E3">
        <w:rPr>
          <w:rFonts w:hint="eastAsia"/>
          <w:sz w:val="24"/>
          <w:szCs w:val="24"/>
          <w:lang w:eastAsia="zh-CN"/>
        </w:rPr>
        <w:t>各国优先考虑的</w:t>
      </w:r>
      <w:r w:rsidRPr="003D54E3">
        <w:rPr>
          <w:rFonts w:hint="eastAsia"/>
          <w:sz w:val="24"/>
          <w:szCs w:val="24"/>
          <w:lang w:eastAsia="zh-CN"/>
        </w:rPr>
        <w:t>爱知生物多样性目标的贡献。在</w:t>
      </w:r>
      <w:r w:rsidR="000F5A47" w:rsidRPr="003D54E3">
        <w:rPr>
          <w:rFonts w:ascii="Calibri" w:eastAsia="MS Mincho" w:hAnsi="Calibri" w:cs="Times New Roman"/>
          <w:snapToGrid w:val="0"/>
          <w:sz w:val="24"/>
          <w:szCs w:val="24"/>
          <w:lang w:val="en-GB" w:eastAsia="zh-CN"/>
        </w:rPr>
        <w:t>FOLUR</w:t>
      </w:r>
      <w:r w:rsidR="000F5A47" w:rsidRPr="003D54E3">
        <w:rPr>
          <w:rFonts w:hint="eastAsia"/>
          <w:sz w:val="24"/>
          <w:szCs w:val="24"/>
          <w:lang w:eastAsia="zh-CN"/>
        </w:rPr>
        <w:t>影响方案</w:t>
      </w:r>
      <w:r w:rsidRPr="003D54E3">
        <w:rPr>
          <w:rFonts w:hint="eastAsia"/>
          <w:sz w:val="24"/>
          <w:szCs w:val="24"/>
          <w:lang w:eastAsia="zh-CN"/>
        </w:rPr>
        <w:t>中，全球环境基金的项目</w:t>
      </w:r>
      <w:r w:rsidR="000F5A47" w:rsidRPr="003D54E3">
        <w:rPr>
          <w:rFonts w:hint="eastAsia"/>
          <w:sz w:val="24"/>
          <w:szCs w:val="24"/>
          <w:lang w:eastAsia="zh-CN"/>
        </w:rPr>
        <w:t>供资</w:t>
      </w:r>
      <w:r w:rsidRPr="003D54E3">
        <w:rPr>
          <w:rFonts w:hint="eastAsia"/>
          <w:sz w:val="24"/>
          <w:szCs w:val="24"/>
          <w:lang w:eastAsia="zh-CN"/>
        </w:rPr>
        <w:t>为</w:t>
      </w:r>
      <w:r w:rsidRPr="003D54E3">
        <w:rPr>
          <w:rFonts w:hint="eastAsia"/>
          <w:sz w:val="24"/>
          <w:szCs w:val="24"/>
          <w:lang w:eastAsia="zh-CN"/>
        </w:rPr>
        <w:t>2.812</w:t>
      </w:r>
      <w:r w:rsidRPr="003D54E3">
        <w:rPr>
          <w:rFonts w:hint="eastAsia"/>
          <w:sz w:val="24"/>
          <w:szCs w:val="24"/>
          <w:lang w:eastAsia="zh-CN"/>
        </w:rPr>
        <w:t>亿美元，其中</w:t>
      </w:r>
      <w:r w:rsidRPr="003D54E3">
        <w:rPr>
          <w:rFonts w:hint="eastAsia"/>
          <w:sz w:val="24"/>
          <w:szCs w:val="24"/>
          <w:lang w:eastAsia="zh-CN"/>
        </w:rPr>
        <w:t>9530</w:t>
      </w:r>
      <w:r w:rsidRPr="003D54E3">
        <w:rPr>
          <w:rFonts w:hint="eastAsia"/>
          <w:sz w:val="24"/>
          <w:szCs w:val="24"/>
          <w:lang w:eastAsia="zh-CN"/>
        </w:rPr>
        <w:t>万美元来自</w:t>
      </w:r>
      <w:r w:rsidR="00BE3975" w:rsidRPr="003D54E3">
        <w:rPr>
          <w:rFonts w:hint="eastAsia"/>
          <w:sz w:val="24"/>
          <w:szCs w:val="24"/>
          <w:lang w:eastAsia="zh-CN"/>
        </w:rPr>
        <w:t>资金透明分配系统（</w:t>
      </w:r>
      <w:r w:rsidRPr="003D54E3">
        <w:rPr>
          <w:rFonts w:hint="eastAsia"/>
          <w:sz w:val="24"/>
          <w:szCs w:val="24"/>
          <w:lang w:eastAsia="zh-CN"/>
        </w:rPr>
        <w:t>STAR</w:t>
      </w:r>
      <w:r w:rsidR="00BE3975" w:rsidRPr="003D54E3">
        <w:rPr>
          <w:rFonts w:hint="eastAsia"/>
          <w:sz w:val="24"/>
          <w:szCs w:val="24"/>
          <w:lang w:eastAsia="zh-CN"/>
        </w:rPr>
        <w:t>）</w:t>
      </w:r>
      <w:r w:rsidRPr="003D54E3">
        <w:rPr>
          <w:rFonts w:hint="eastAsia"/>
          <w:sz w:val="24"/>
          <w:szCs w:val="24"/>
          <w:lang w:eastAsia="zh-CN"/>
        </w:rPr>
        <w:t>项下的生物多样性重点领域</w:t>
      </w:r>
      <w:r w:rsidR="000F5A47" w:rsidRPr="003D54E3">
        <w:rPr>
          <w:rFonts w:hint="eastAsia"/>
          <w:sz w:val="24"/>
          <w:szCs w:val="24"/>
          <w:lang w:eastAsia="zh-CN"/>
        </w:rPr>
        <w:t>分配款</w:t>
      </w:r>
      <w:r w:rsidRPr="003D54E3">
        <w:rPr>
          <w:rFonts w:hint="eastAsia"/>
          <w:sz w:val="24"/>
          <w:szCs w:val="24"/>
          <w:lang w:eastAsia="zh-CN"/>
        </w:rPr>
        <w:t>。</w:t>
      </w:r>
    </w:p>
    <w:p w14:paraId="27527E01" w14:textId="44815924" w:rsidR="00BE3975" w:rsidRPr="00BE3975" w:rsidRDefault="00BE3975" w:rsidP="00D722AE">
      <w:pPr>
        <w:spacing w:before="240" w:after="240" w:line="240" w:lineRule="auto"/>
        <w:jc w:val="center"/>
        <w:rPr>
          <w:rFonts w:ascii="Times New Roman" w:hAnsi="Times New Roman" w:cs="Times New Roman"/>
          <w:b/>
          <w:snapToGrid w:val="0"/>
          <w:lang w:val="en-GB" w:eastAsia="zh-CN"/>
        </w:rPr>
      </w:pPr>
      <w:r w:rsidRPr="00BE3975">
        <w:rPr>
          <w:rFonts w:ascii="Times New Roman" w:hAnsi="Times New Roman" w:cs="Times New Roman"/>
          <w:b/>
          <w:snapToGrid w:val="0"/>
          <w:lang w:val="en-GB" w:eastAsia="zh-CN"/>
        </w:rPr>
        <w:t>表</w:t>
      </w:r>
      <w:r w:rsidRPr="00BE3975">
        <w:rPr>
          <w:rFonts w:ascii="Times New Roman" w:hAnsi="Times New Roman" w:cs="Times New Roman"/>
          <w:b/>
          <w:snapToGrid w:val="0"/>
          <w:lang w:val="en-GB" w:eastAsia="zh-CN"/>
        </w:rPr>
        <w:t xml:space="preserve">6. </w:t>
      </w:r>
      <w:r>
        <w:rPr>
          <w:rFonts w:ascii="Times New Roman" w:hAnsi="Times New Roman" w:cs="Times New Roman" w:hint="eastAsia"/>
          <w:b/>
          <w:snapToGrid w:val="0"/>
          <w:lang w:val="en-GB" w:eastAsia="zh-CN"/>
        </w:rPr>
        <w:t xml:space="preserve"> </w:t>
      </w:r>
      <w:r w:rsidRPr="00BE3975">
        <w:rPr>
          <w:rFonts w:ascii="Times New Roman" w:hAnsi="Times New Roman" w:cs="Times New Roman"/>
          <w:b/>
          <w:snapToGrid w:val="0"/>
          <w:lang w:val="en-GB" w:eastAsia="zh-CN"/>
        </w:rPr>
        <w:t>FOLUR</w:t>
      </w:r>
      <w:r w:rsidRPr="00BE3975">
        <w:rPr>
          <w:rFonts w:ascii="Times New Roman" w:hAnsi="Times New Roman" w:cs="Times New Roman"/>
          <w:b/>
          <w:snapToGrid w:val="0"/>
          <w:lang w:val="en-GB" w:eastAsia="zh-CN"/>
        </w:rPr>
        <w:t>影响方案提供的全环基金第七次增资资源累计分配额</w:t>
      </w:r>
      <w:r>
        <w:rPr>
          <w:rFonts w:ascii="Times New Roman" w:hAnsi="Times New Roman" w:cs="Times New Roman" w:hint="eastAsia"/>
          <w:b/>
          <w:snapToGrid w:val="0"/>
          <w:lang w:val="en-GB" w:eastAsia="zh-CN"/>
        </w:rPr>
        <w:br/>
      </w:r>
      <w:r w:rsidRPr="00BE3975">
        <w:rPr>
          <w:rFonts w:ascii="Times New Roman" w:hAnsi="Times New Roman" w:cs="Times New Roman"/>
          <w:b/>
          <w:snapToGrid w:val="0"/>
          <w:lang w:val="en-GB" w:eastAsia="zh-CN"/>
        </w:rPr>
        <w:t>和对实现爱知生物多样性目标的贡献</w:t>
      </w:r>
      <w:r>
        <w:rPr>
          <w:rFonts w:ascii="Times New Roman" w:hAnsi="Times New Roman" w:cs="Times New Roman" w:hint="eastAsia"/>
          <w:b/>
          <w:snapToGrid w:val="0"/>
          <w:lang w:val="en-GB" w:eastAsia="zh-CN"/>
        </w:rPr>
        <w:br/>
      </w:r>
      <w:r w:rsidRPr="00BE3975">
        <w:rPr>
          <w:rFonts w:ascii="Times New Roman" w:hAnsi="Times New Roman" w:cs="Times New Roman"/>
          <w:b/>
          <w:snapToGrid w:val="0"/>
          <w:lang w:val="en-GB" w:eastAsia="zh-CN"/>
        </w:rPr>
        <w:t>（</w:t>
      </w:r>
      <w:r w:rsidRPr="00BE3975">
        <w:rPr>
          <w:rFonts w:ascii="Times New Roman" w:hAnsi="Times New Roman" w:cs="Times New Roman"/>
          <w:b/>
          <w:snapToGrid w:val="0"/>
          <w:lang w:val="en-GB" w:eastAsia="zh-CN"/>
        </w:rPr>
        <w:t>2018</w:t>
      </w:r>
      <w:r w:rsidRPr="00BE3975">
        <w:rPr>
          <w:rFonts w:ascii="Times New Roman" w:hAnsi="Times New Roman" w:cs="Times New Roman"/>
          <w:b/>
          <w:snapToGrid w:val="0"/>
          <w:lang w:val="en-GB" w:eastAsia="zh-CN"/>
        </w:rPr>
        <w:t>年</w:t>
      </w:r>
      <w:r w:rsidRPr="00BE3975">
        <w:rPr>
          <w:rFonts w:ascii="Times New Roman" w:hAnsi="Times New Roman" w:cs="Times New Roman"/>
          <w:b/>
          <w:snapToGrid w:val="0"/>
          <w:lang w:val="en-GB" w:eastAsia="zh-CN"/>
        </w:rPr>
        <w:t>7</w:t>
      </w:r>
      <w:r w:rsidRPr="00BE3975">
        <w:rPr>
          <w:rFonts w:ascii="Times New Roman" w:hAnsi="Times New Roman" w:cs="Times New Roman"/>
          <w:b/>
          <w:snapToGrid w:val="0"/>
          <w:lang w:val="en-GB" w:eastAsia="zh-CN"/>
        </w:rPr>
        <w:t>月</w:t>
      </w:r>
      <w:r w:rsidRPr="00BE3975">
        <w:rPr>
          <w:rFonts w:ascii="Times New Roman" w:hAnsi="Times New Roman" w:cs="Times New Roman"/>
          <w:b/>
          <w:snapToGrid w:val="0"/>
          <w:lang w:val="en-GB" w:eastAsia="zh-CN"/>
        </w:rPr>
        <w:t>1</w:t>
      </w:r>
      <w:r w:rsidRPr="00BE3975">
        <w:rPr>
          <w:rFonts w:ascii="Times New Roman" w:hAnsi="Times New Roman" w:cs="Times New Roman"/>
          <w:b/>
          <w:snapToGrid w:val="0"/>
          <w:lang w:val="en-GB" w:eastAsia="zh-CN"/>
        </w:rPr>
        <w:t>日至</w:t>
      </w:r>
      <w:r w:rsidRPr="00BE3975">
        <w:rPr>
          <w:rFonts w:ascii="Times New Roman" w:hAnsi="Times New Roman" w:cs="Times New Roman"/>
          <w:b/>
          <w:snapToGrid w:val="0"/>
          <w:lang w:val="en-GB" w:eastAsia="zh-CN"/>
        </w:rPr>
        <w:t>2019</w:t>
      </w:r>
      <w:r w:rsidRPr="00BE3975">
        <w:rPr>
          <w:rFonts w:ascii="Times New Roman" w:hAnsi="Times New Roman" w:cs="Times New Roman"/>
          <w:b/>
          <w:snapToGrid w:val="0"/>
          <w:lang w:val="en-GB" w:eastAsia="zh-CN"/>
        </w:rPr>
        <w:t>年</w:t>
      </w:r>
      <w:r w:rsidRPr="00BE3975">
        <w:rPr>
          <w:rFonts w:ascii="Times New Roman" w:hAnsi="Times New Roman" w:cs="Times New Roman"/>
          <w:b/>
          <w:snapToGrid w:val="0"/>
          <w:lang w:val="en-GB" w:eastAsia="zh-CN"/>
        </w:rPr>
        <w:t>12</w:t>
      </w:r>
      <w:r w:rsidRPr="00BE3975">
        <w:rPr>
          <w:rFonts w:ascii="Times New Roman" w:hAnsi="Times New Roman" w:cs="Times New Roman"/>
          <w:b/>
          <w:snapToGrid w:val="0"/>
          <w:lang w:val="en-GB" w:eastAsia="zh-CN"/>
        </w:rPr>
        <w:t>月</w:t>
      </w:r>
      <w:r w:rsidRPr="00BE3975">
        <w:rPr>
          <w:rFonts w:ascii="Times New Roman" w:hAnsi="Times New Roman" w:cs="Times New Roman"/>
          <w:b/>
          <w:snapToGrid w:val="0"/>
          <w:lang w:val="en-GB" w:eastAsia="zh-CN"/>
        </w:rPr>
        <w:t>31</w:t>
      </w:r>
      <w:r w:rsidRPr="00BE3975">
        <w:rPr>
          <w:rFonts w:ascii="Times New Roman" w:hAnsi="Times New Roman" w:cs="Times New Roman"/>
          <w:b/>
          <w:snapToGrid w:val="0"/>
          <w:lang w:val="en-GB" w:eastAsia="zh-CN"/>
        </w:rPr>
        <w:t>日）</w:t>
      </w:r>
      <w:r w:rsidRPr="003D54E3">
        <w:rPr>
          <w:rFonts w:ascii="Calibri" w:eastAsia="MS Mincho" w:hAnsi="Calibri" w:cs="Times New Roman"/>
          <w:snapToGrid w:val="0"/>
          <w:sz w:val="24"/>
          <w:szCs w:val="24"/>
          <w:vertAlign w:val="superscript"/>
          <w:lang w:val="en-GB"/>
        </w:rPr>
        <w:footnoteReference w:id="11"/>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970"/>
        <w:gridCol w:w="1635"/>
        <w:gridCol w:w="1719"/>
      </w:tblGrid>
      <w:tr w:rsidR="000B4E14" w:rsidRPr="00A95163" w14:paraId="0F7FBBEF" w14:textId="77777777" w:rsidTr="00BE3975">
        <w:trPr>
          <w:trHeight w:val="570"/>
        </w:trPr>
        <w:tc>
          <w:tcPr>
            <w:tcW w:w="1277" w:type="pct"/>
            <w:tcBorders>
              <w:bottom w:val="single" w:sz="6" w:space="0" w:color="008000"/>
            </w:tcBorders>
            <w:shd w:val="clear" w:color="auto" w:fill="auto"/>
            <w:hideMark/>
          </w:tcPr>
          <w:p w14:paraId="69AC5D3A" w14:textId="77777777" w:rsidR="000B4E14" w:rsidRPr="00A95163" w:rsidRDefault="000B4E14" w:rsidP="000B4E14">
            <w:pPr>
              <w:spacing w:before="120" w:after="120" w:line="240" w:lineRule="auto"/>
              <w:rPr>
                <w:rFonts w:ascii="Calibri" w:eastAsia="MS Mincho" w:hAnsi="Calibri" w:cs="Times New Roman"/>
                <w:b/>
                <w:bCs/>
                <w:snapToGrid w:val="0"/>
                <w:lang w:val="en-GB" w:eastAsia="zh-CN"/>
              </w:rPr>
            </w:pPr>
          </w:p>
        </w:tc>
        <w:tc>
          <w:tcPr>
            <w:tcW w:w="877" w:type="pct"/>
            <w:tcBorders>
              <w:bottom w:val="single" w:sz="6" w:space="0" w:color="008000"/>
            </w:tcBorders>
            <w:shd w:val="clear" w:color="auto" w:fill="auto"/>
            <w:hideMark/>
          </w:tcPr>
          <w:p w14:paraId="14816C90" w14:textId="34ED8843" w:rsidR="000B4E14" w:rsidRPr="00A95163" w:rsidRDefault="00BE3975" w:rsidP="00BE3975">
            <w:pPr>
              <w:spacing w:before="120" w:after="120" w:line="240" w:lineRule="auto"/>
              <w:rPr>
                <w:rFonts w:ascii="Calibri" w:eastAsia="MS Mincho" w:hAnsi="Calibri" w:cs="Times New Roman"/>
                <w:b/>
                <w:bCs/>
                <w:snapToGrid w:val="0"/>
                <w:lang w:val="en-GB"/>
              </w:rPr>
            </w:pPr>
            <w:proofErr w:type="spellStart"/>
            <w:r>
              <w:rPr>
                <w:rFonts w:ascii="SimSun" w:hAnsi="SimSun" w:cs="SimSun"/>
                <w:b/>
                <w:bCs/>
                <w:snapToGrid w:val="0"/>
                <w:lang w:val="en-GB"/>
              </w:rPr>
              <w:t>爱知生物多样性目标</w:t>
            </w:r>
            <w:proofErr w:type="spellEnd"/>
          </w:p>
        </w:tc>
        <w:tc>
          <w:tcPr>
            <w:tcW w:w="1053" w:type="pct"/>
            <w:tcBorders>
              <w:bottom w:val="single" w:sz="6" w:space="0" w:color="008000"/>
            </w:tcBorders>
            <w:shd w:val="clear" w:color="auto" w:fill="auto"/>
          </w:tcPr>
          <w:p w14:paraId="442E98C5" w14:textId="449985E2" w:rsidR="000B4E14" w:rsidRPr="00A95163" w:rsidRDefault="00BE3975" w:rsidP="00BE3975">
            <w:pPr>
              <w:spacing w:before="120" w:after="120" w:line="240" w:lineRule="auto"/>
              <w:rPr>
                <w:rFonts w:ascii="Calibri" w:eastAsia="MS Mincho" w:hAnsi="Calibri" w:cs="Times New Roman"/>
                <w:b/>
                <w:bCs/>
                <w:snapToGrid w:val="0"/>
                <w:lang w:val="en-GB" w:eastAsia="zh-CN"/>
              </w:rPr>
            </w:pPr>
            <w:r w:rsidRPr="00BE3975">
              <w:rPr>
                <w:rFonts w:ascii="SimSun" w:hAnsi="SimSun" w:cs="Times New Roman"/>
                <w:b/>
                <w:bCs/>
                <w:snapToGrid w:val="0"/>
                <w:lang w:val="en-GB" w:eastAsia="zh-CN"/>
              </w:rPr>
              <w:t>全</w:t>
            </w:r>
            <w:r w:rsidRPr="00BE3975">
              <w:rPr>
                <w:rFonts w:ascii="SimSun" w:hAnsi="SimSun" w:cs="SimSun" w:hint="eastAsia"/>
                <w:b/>
                <w:bCs/>
                <w:snapToGrid w:val="0"/>
                <w:lang w:val="en-GB" w:eastAsia="zh-CN"/>
              </w:rPr>
              <w:t>环</w:t>
            </w:r>
            <w:r w:rsidRPr="00BE3975">
              <w:rPr>
                <w:rFonts w:ascii="SimSun" w:hAnsi="SimSun" w:cs="MS Gothic" w:hint="eastAsia"/>
                <w:b/>
                <w:bCs/>
                <w:snapToGrid w:val="0"/>
                <w:lang w:val="en-GB" w:eastAsia="zh-CN"/>
              </w:rPr>
              <w:t>基金</w:t>
            </w:r>
            <w:r w:rsidRPr="00BE3975">
              <w:rPr>
                <w:rFonts w:ascii="SimSun" w:hAnsi="SimSun" w:cs="SimSun" w:hint="eastAsia"/>
                <w:b/>
                <w:bCs/>
                <w:snapToGrid w:val="0"/>
                <w:lang w:val="en-GB" w:eastAsia="zh-CN"/>
              </w:rPr>
              <w:t>项</w:t>
            </w:r>
            <w:r w:rsidRPr="00BE3975">
              <w:rPr>
                <w:rFonts w:ascii="SimSun" w:hAnsi="SimSun" w:cs="MS Gothic" w:hint="eastAsia"/>
                <w:b/>
                <w:bCs/>
                <w:snapToGrid w:val="0"/>
                <w:lang w:val="en-GB" w:eastAsia="zh-CN"/>
              </w:rPr>
              <w:t>目供</w:t>
            </w:r>
            <w:r w:rsidRPr="00BE3975">
              <w:rPr>
                <w:rFonts w:ascii="SimSun" w:hAnsi="SimSun" w:cs="SimSun" w:hint="eastAsia"/>
                <w:b/>
                <w:bCs/>
                <w:snapToGrid w:val="0"/>
                <w:lang w:val="en-GB" w:eastAsia="zh-CN"/>
              </w:rPr>
              <w:t>资</w:t>
            </w:r>
            <w:r w:rsidR="008E575D" w:rsidRPr="00BE3975">
              <w:rPr>
                <w:rFonts w:ascii="SimSun" w:hAnsi="SimSun" w:cs="Times New Roman"/>
                <w:b/>
                <w:bCs/>
                <w:snapToGrid w:val="0"/>
                <w:lang w:val="en-GB" w:eastAsia="zh-CN"/>
              </w:rPr>
              <w:br/>
            </w:r>
            <w:r w:rsidR="000B4E14" w:rsidRPr="00A95163">
              <w:rPr>
                <w:rFonts w:ascii="Calibri" w:eastAsia="MS Mincho" w:hAnsi="Calibri" w:cs="Times New Roman"/>
                <w:b/>
                <w:bCs/>
                <w:snapToGrid w:val="0"/>
                <w:lang w:val="en-GB" w:eastAsia="zh-CN"/>
              </w:rPr>
              <w:t>(</w:t>
            </w:r>
            <w:r w:rsidRPr="00BE3975">
              <w:rPr>
                <w:rFonts w:ascii="SimSun" w:hAnsi="SimSun" w:cs="Times New Roman"/>
                <w:b/>
                <w:bCs/>
                <w:snapToGrid w:val="0"/>
                <w:lang w:val="en-GB" w:eastAsia="zh-CN"/>
              </w:rPr>
              <w:t>百万美元</w:t>
            </w:r>
            <w:r w:rsidR="000B4E14" w:rsidRPr="00A95163">
              <w:rPr>
                <w:rFonts w:ascii="Calibri" w:eastAsia="MS Mincho" w:hAnsi="Calibri" w:cs="Times New Roman"/>
                <w:b/>
                <w:bCs/>
                <w:snapToGrid w:val="0"/>
                <w:lang w:val="en-GB" w:eastAsia="zh-CN"/>
              </w:rPr>
              <w:t>)</w:t>
            </w:r>
          </w:p>
        </w:tc>
        <w:tc>
          <w:tcPr>
            <w:tcW w:w="874" w:type="pct"/>
            <w:tcBorders>
              <w:bottom w:val="single" w:sz="6" w:space="0" w:color="008000"/>
            </w:tcBorders>
            <w:shd w:val="clear" w:color="auto" w:fill="auto"/>
            <w:hideMark/>
          </w:tcPr>
          <w:p w14:paraId="4AA789D8" w14:textId="2D39D1BA" w:rsidR="000B4E14" w:rsidRPr="00BE3975" w:rsidRDefault="00BE3975" w:rsidP="000B4E14">
            <w:pPr>
              <w:spacing w:before="120" w:after="120" w:line="240" w:lineRule="auto"/>
              <w:rPr>
                <w:rFonts w:ascii="SimSun" w:hAnsi="SimSun" w:cs="Times New Roman"/>
                <w:b/>
                <w:bCs/>
                <w:snapToGrid w:val="0"/>
                <w:lang w:val="en-GB"/>
              </w:rPr>
            </w:pPr>
            <w:proofErr w:type="spellStart"/>
            <w:r w:rsidRPr="00BE3975">
              <w:rPr>
                <w:rFonts w:ascii="SimSun" w:hAnsi="SimSun" w:cs="Times New Roman"/>
                <w:b/>
                <w:bCs/>
                <w:snapToGrid w:val="0"/>
                <w:lang w:val="en-GB"/>
              </w:rPr>
              <w:t>共同筹资</w:t>
            </w:r>
            <w:proofErr w:type="spellEnd"/>
            <w:r w:rsidR="000B4E14" w:rsidRPr="00BE3975">
              <w:rPr>
                <w:rFonts w:ascii="SimSun" w:hAnsi="SimSun" w:cs="Times New Roman"/>
                <w:b/>
                <w:bCs/>
                <w:snapToGrid w:val="0"/>
                <w:lang w:val="en-GB"/>
              </w:rPr>
              <w:t xml:space="preserve"> </w:t>
            </w:r>
          </w:p>
          <w:p w14:paraId="185FF9DD" w14:textId="1A1FB450" w:rsidR="000B4E14" w:rsidRPr="00A95163" w:rsidRDefault="000B4E14" w:rsidP="00BE3975">
            <w:pPr>
              <w:spacing w:before="120" w:after="120" w:line="240" w:lineRule="auto"/>
              <w:rPr>
                <w:rFonts w:ascii="Calibri" w:eastAsia="MS Mincho" w:hAnsi="Calibri" w:cs="Times New Roman"/>
                <w:b/>
                <w:bCs/>
                <w:snapToGrid w:val="0"/>
                <w:lang w:val="en-GB"/>
              </w:rPr>
            </w:pPr>
            <w:r w:rsidRPr="00A95163">
              <w:rPr>
                <w:rFonts w:ascii="Calibri" w:eastAsia="MS Mincho" w:hAnsi="Calibri" w:cs="Times New Roman"/>
                <w:b/>
                <w:bCs/>
                <w:snapToGrid w:val="0"/>
                <w:lang w:val="en-GB"/>
              </w:rPr>
              <w:t>(</w:t>
            </w:r>
            <w:proofErr w:type="spellStart"/>
            <w:r w:rsidR="00BE3975" w:rsidRPr="00BE3975">
              <w:rPr>
                <w:rFonts w:ascii="SimSun" w:hAnsi="SimSun" w:cs="Times New Roman"/>
                <w:b/>
                <w:bCs/>
                <w:snapToGrid w:val="0"/>
                <w:lang w:val="en-GB"/>
              </w:rPr>
              <w:t>百万美元</w:t>
            </w:r>
            <w:proofErr w:type="spellEnd"/>
            <w:r w:rsidRPr="00A95163">
              <w:rPr>
                <w:rFonts w:ascii="Calibri" w:eastAsia="MS Mincho" w:hAnsi="Calibri" w:cs="Times New Roman"/>
                <w:b/>
                <w:bCs/>
                <w:snapToGrid w:val="0"/>
                <w:lang w:val="en-GB"/>
              </w:rPr>
              <w:t xml:space="preserve">) </w:t>
            </w:r>
          </w:p>
        </w:tc>
        <w:tc>
          <w:tcPr>
            <w:tcW w:w="919" w:type="pct"/>
            <w:tcBorders>
              <w:bottom w:val="single" w:sz="6" w:space="0" w:color="008000"/>
            </w:tcBorders>
            <w:shd w:val="clear" w:color="auto" w:fill="auto"/>
          </w:tcPr>
          <w:p w14:paraId="35015752" w14:textId="735412F9" w:rsidR="000B4E14" w:rsidRPr="00A95163" w:rsidRDefault="00BE3975" w:rsidP="00BE3975">
            <w:pPr>
              <w:spacing w:before="120" w:after="120" w:line="240" w:lineRule="auto"/>
              <w:rPr>
                <w:rFonts w:ascii="Calibri" w:eastAsia="MS Mincho" w:hAnsi="Calibri" w:cs="Times New Roman"/>
                <w:b/>
                <w:bCs/>
                <w:snapToGrid w:val="0"/>
                <w:lang w:val="en-GB"/>
              </w:rPr>
            </w:pPr>
            <w:proofErr w:type="spellStart"/>
            <w:r>
              <w:rPr>
                <w:rFonts w:ascii="SimSun" w:hAnsi="SimSun" w:cs="SimSun"/>
                <w:b/>
                <w:bCs/>
                <w:snapToGrid w:val="0"/>
                <w:lang w:val="en-GB"/>
              </w:rPr>
              <w:t>资源总额</w:t>
            </w:r>
            <w:proofErr w:type="spellEnd"/>
            <w:r>
              <w:rPr>
                <w:rFonts w:ascii="Calibri" w:eastAsia="DengXian" w:hAnsi="Calibri" w:cs="Times New Roman" w:hint="eastAsia"/>
                <w:b/>
                <w:bCs/>
                <w:snapToGrid w:val="0"/>
                <w:lang w:val="en-GB" w:eastAsia="zh-CN"/>
              </w:rPr>
              <w:br/>
            </w:r>
            <w:r w:rsidR="000B4E14" w:rsidRPr="00A95163">
              <w:rPr>
                <w:rFonts w:ascii="Calibri" w:eastAsia="MS Mincho" w:hAnsi="Calibri" w:cs="Times New Roman"/>
                <w:b/>
                <w:bCs/>
                <w:snapToGrid w:val="0"/>
                <w:lang w:val="en-GB"/>
              </w:rPr>
              <w:t xml:space="preserve"> (</w:t>
            </w:r>
            <w:proofErr w:type="spellStart"/>
            <w:r w:rsidRPr="00BE3975">
              <w:rPr>
                <w:rFonts w:ascii="SimSun" w:hAnsi="SimSun" w:cs="Times New Roman"/>
                <w:b/>
                <w:bCs/>
                <w:snapToGrid w:val="0"/>
                <w:lang w:val="en-GB"/>
              </w:rPr>
              <w:t>百万美元</w:t>
            </w:r>
            <w:proofErr w:type="spellEnd"/>
            <w:r w:rsidR="000B4E14" w:rsidRPr="00A95163">
              <w:rPr>
                <w:rFonts w:ascii="Calibri" w:eastAsia="MS Mincho" w:hAnsi="Calibri" w:cs="Times New Roman"/>
                <w:b/>
                <w:bCs/>
                <w:snapToGrid w:val="0"/>
                <w:lang w:val="en-GB"/>
              </w:rPr>
              <w:t>)</w:t>
            </w:r>
          </w:p>
        </w:tc>
      </w:tr>
      <w:tr w:rsidR="000B4E14" w:rsidRPr="000B4E14" w14:paraId="0EFBD83B" w14:textId="77777777" w:rsidTr="00BE3975">
        <w:trPr>
          <w:trHeight w:val="900"/>
        </w:trPr>
        <w:tc>
          <w:tcPr>
            <w:tcW w:w="1277" w:type="pct"/>
            <w:shd w:val="clear" w:color="auto" w:fill="auto"/>
          </w:tcPr>
          <w:p w14:paraId="32597CD1" w14:textId="2EF54500" w:rsidR="000B4E14" w:rsidRPr="000B4E14" w:rsidRDefault="000B4E14" w:rsidP="000B4E14">
            <w:pPr>
              <w:spacing w:before="120" w:after="120" w:line="240" w:lineRule="auto"/>
              <w:rPr>
                <w:rFonts w:ascii="Calibri" w:eastAsia="MS Mincho" w:hAnsi="Calibri" w:cs="Times New Roman"/>
                <w:snapToGrid w:val="0"/>
                <w:lang w:val="en-GB"/>
              </w:rPr>
            </w:pPr>
            <w:bookmarkStart w:id="12" w:name="_Hlk31795662"/>
            <w:r w:rsidRPr="00533BD0">
              <w:rPr>
                <w:rFonts w:ascii="Calibri" w:eastAsia="MS Mincho" w:hAnsi="Calibri" w:cs="Times New Roman"/>
                <w:snapToGrid w:val="0"/>
                <w:lang w:val="en-GB"/>
              </w:rPr>
              <w:t>FOLUR</w:t>
            </w:r>
          </w:p>
          <w:p w14:paraId="2E163239" w14:textId="77777777" w:rsidR="000B4E14" w:rsidRPr="000B4E14" w:rsidRDefault="000B4E14" w:rsidP="000B4E14">
            <w:pPr>
              <w:spacing w:before="120" w:after="120" w:line="240" w:lineRule="auto"/>
              <w:rPr>
                <w:rFonts w:ascii="Calibri" w:eastAsia="MS Mincho" w:hAnsi="Calibri" w:cs="Times New Roman"/>
                <w:snapToGrid w:val="0"/>
                <w:lang w:val="en-GB"/>
              </w:rPr>
            </w:pPr>
          </w:p>
          <w:p w14:paraId="24917572" w14:textId="77777777" w:rsidR="000B4E14" w:rsidRPr="000B4E14" w:rsidRDefault="000B4E14" w:rsidP="000B4E14">
            <w:pPr>
              <w:spacing w:before="120" w:after="120" w:line="240" w:lineRule="auto"/>
              <w:rPr>
                <w:rFonts w:ascii="Calibri" w:eastAsia="MS Mincho" w:hAnsi="Calibri" w:cs="Times New Roman"/>
                <w:snapToGrid w:val="0"/>
                <w:lang w:val="en-GB"/>
              </w:rPr>
            </w:pPr>
          </w:p>
        </w:tc>
        <w:tc>
          <w:tcPr>
            <w:tcW w:w="877" w:type="pct"/>
            <w:shd w:val="clear" w:color="auto" w:fill="auto"/>
            <w:hideMark/>
          </w:tcPr>
          <w:p w14:paraId="4AAA436C" w14:textId="7615E4B3" w:rsidR="000B4E14" w:rsidRPr="000B4E14" w:rsidRDefault="00557A70" w:rsidP="000B4E14">
            <w:pPr>
              <w:spacing w:before="120" w:after="120" w:line="240" w:lineRule="auto"/>
              <w:rPr>
                <w:rFonts w:ascii="Calibri" w:eastAsia="MS Mincho" w:hAnsi="Calibri" w:cs="Times New Roman"/>
                <w:snapToGrid w:val="0"/>
                <w:lang w:val="en-GB"/>
              </w:rPr>
            </w:pPr>
            <w:r>
              <w:rPr>
                <w:rFonts w:ascii="Calibri" w:eastAsia="MS Mincho" w:hAnsi="Calibri" w:cs="Times New Roman"/>
                <w:snapToGrid w:val="0"/>
                <w:lang w:val="en-GB"/>
              </w:rPr>
              <w:t xml:space="preserve">5, </w:t>
            </w:r>
            <w:r w:rsidR="005108B9">
              <w:rPr>
                <w:rFonts w:ascii="Calibri" w:eastAsia="MS Mincho" w:hAnsi="Calibri" w:cs="Times New Roman"/>
                <w:snapToGrid w:val="0"/>
                <w:lang w:val="en-GB"/>
              </w:rPr>
              <w:t>7</w:t>
            </w:r>
            <w:r w:rsidR="005B5CA4">
              <w:rPr>
                <w:rFonts w:ascii="Calibri" w:eastAsia="MS Mincho" w:hAnsi="Calibri" w:cs="Times New Roman"/>
                <w:snapToGrid w:val="0"/>
                <w:lang w:val="en-GB"/>
              </w:rPr>
              <w:t>, 14, 15</w:t>
            </w:r>
          </w:p>
        </w:tc>
        <w:tc>
          <w:tcPr>
            <w:tcW w:w="1053" w:type="pct"/>
            <w:tcBorders>
              <w:top w:val="nil"/>
              <w:left w:val="nil"/>
              <w:bottom w:val="single" w:sz="12" w:space="0" w:color="008000"/>
              <w:right w:val="nil"/>
            </w:tcBorders>
          </w:tcPr>
          <w:p w14:paraId="00E97090" w14:textId="7A637A4C" w:rsidR="000B4E14" w:rsidRPr="000B4E14" w:rsidRDefault="00D4208F" w:rsidP="000B4E14">
            <w:pPr>
              <w:spacing w:before="120" w:after="120" w:line="240" w:lineRule="auto"/>
              <w:rPr>
                <w:rFonts w:ascii="Calibri" w:eastAsia="MS Mincho" w:hAnsi="Calibri" w:cs="Times New Roman"/>
                <w:snapToGrid w:val="0"/>
              </w:rPr>
            </w:pPr>
            <w:r>
              <w:rPr>
                <w:rFonts w:ascii="Calibri" w:eastAsia="MS Mincho" w:hAnsi="Calibri" w:cs="Times New Roman"/>
                <w:snapToGrid w:val="0"/>
              </w:rPr>
              <w:t>281.2</w:t>
            </w:r>
          </w:p>
          <w:p w14:paraId="168FEE20" w14:textId="77777777" w:rsidR="000B4E14" w:rsidRPr="000B4E14" w:rsidRDefault="000B4E14" w:rsidP="000B4E14">
            <w:pPr>
              <w:spacing w:before="120" w:after="120" w:line="240" w:lineRule="auto"/>
              <w:rPr>
                <w:rFonts w:ascii="Calibri" w:eastAsia="MS Mincho" w:hAnsi="Calibri" w:cs="Times New Roman"/>
                <w:snapToGrid w:val="0"/>
                <w:lang w:val="en-GB"/>
              </w:rPr>
            </w:pPr>
          </w:p>
        </w:tc>
        <w:tc>
          <w:tcPr>
            <w:tcW w:w="874" w:type="pct"/>
            <w:tcBorders>
              <w:top w:val="nil"/>
              <w:left w:val="nil"/>
              <w:bottom w:val="single" w:sz="12" w:space="0" w:color="008000"/>
              <w:right w:val="nil"/>
            </w:tcBorders>
          </w:tcPr>
          <w:p w14:paraId="2AAF02BE" w14:textId="02972E63" w:rsidR="000B4E14" w:rsidRPr="000B4E14" w:rsidRDefault="00421945" w:rsidP="000B4E14">
            <w:pPr>
              <w:spacing w:before="120" w:after="120" w:line="240" w:lineRule="auto"/>
              <w:rPr>
                <w:rFonts w:ascii="Calibri" w:eastAsia="MS Mincho" w:hAnsi="Calibri" w:cs="Times New Roman"/>
                <w:snapToGrid w:val="0"/>
                <w:lang w:val="en-GB"/>
              </w:rPr>
            </w:pPr>
            <w:r>
              <w:rPr>
                <w:rFonts w:ascii="Calibri" w:eastAsia="MS Mincho" w:hAnsi="Calibri" w:cs="Times New Roman"/>
                <w:snapToGrid w:val="0"/>
                <w:lang w:val="en-GB"/>
              </w:rPr>
              <w:t>2,5</w:t>
            </w:r>
            <w:r w:rsidR="005737AF">
              <w:rPr>
                <w:rFonts w:ascii="Calibri" w:eastAsia="MS Mincho" w:hAnsi="Calibri" w:cs="Times New Roman"/>
                <w:snapToGrid w:val="0"/>
                <w:lang w:val="en-GB"/>
              </w:rPr>
              <w:t>15.4</w:t>
            </w:r>
          </w:p>
          <w:p w14:paraId="1708EC16" w14:textId="77777777" w:rsidR="000B4E14" w:rsidRPr="000B4E14" w:rsidRDefault="000B4E14" w:rsidP="000B4E14">
            <w:pPr>
              <w:spacing w:before="120" w:after="120" w:line="240" w:lineRule="auto"/>
              <w:rPr>
                <w:rFonts w:ascii="Calibri" w:eastAsia="MS Mincho" w:hAnsi="Calibri" w:cs="Times New Roman"/>
                <w:snapToGrid w:val="0"/>
              </w:rPr>
            </w:pPr>
          </w:p>
        </w:tc>
        <w:tc>
          <w:tcPr>
            <w:tcW w:w="919" w:type="pct"/>
            <w:tcBorders>
              <w:top w:val="nil"/>
              <w:left w:val="nil"/>
              <w:bottom w:val="single" w:sz="12" w:space="0" w:color="008000"/>
              <w:right w:val="nil"/>
            </w:tcBorders>
          </w:tcPr>
          <w:p w14:paraId="70BA6804" w14:textId="6C1EE096" w:rsidR="00331758" w:rsidRDefault="00331758" w:rsidP="000B4E14">
            <w:pPr>
              <w:spacing w:before="120" w:after="120" w:line="240" w:lineRule="auto"/>
              <w:rPr>
                <w:rFonts w:ascii="Calibri" w:eastAsia="MS Mincho" w:hAnsi="Calibri" w:cs="Times New Roman"/>
                <w:snapToGrid w:val="0"/>
                <w:lang w:val="en-GB"/>
              </w:rPr>
            </w:pPr>
            <w:r>
              <w:rPr>
                <w:rFonts w:ascii="Calibri" w:eastAsia="MS Mincho" w:hAnsi="Calibri" w:cs="Times New Roman"/>
                <w:snapToGrid w:val="0"/>
                <w:lang w:val="en-GB"/>
              </w:rPr>
              <w:t>2796.6</w:t>
            </w:r>
          </w:p>
          <w:p w14:paraId="4C55B489" w14:textId="5632649F" w:rsidR="000B4E14" w:rsidRPr="000B4E14" w:rsidRDefault="000B4E14" w:rsidP="000B4E14">
            <w:pPr>
              <w:spacing w:before="120" w:after="120" w:line="240" w:lineRule="auto"/>
              <w:rPr>
                <w:rFonts w:ascii="Calibri" w:eastAsia="MS Mincho" w:hAnsi="Calibri" w:cs="Times New Roman"/>
                <w:snapToGrid w:val="0"/>
                <w:lang w:val="en-GB"/>
              </w:rPr>
            </w:pPr>
          </w:p>
        </w:tc>
      </w:tr>
      <w:bookmarkEnd w:id="12"/>
    </w:tbl>
    <w:p w14:paraId="43E99A34" w14:textId="77777777" w:rsidR="009C781B" w:rsidRDefault="009C781B" w:rsidP="00D30DB1">
      <w:pPr>
        <w:spacing w:before="120" w:after="120" w:line="240" w:lineRule="auto"/>
        <w:rPr>
          <w:rFonts w:ascii="Calibri" w:eastAsia="MS Mincho" w:hAnsi="Calibri" w:cs="Times New Roman"/>
          <w:b/>
          <w:snapToGrid w:val="0"/>
          <w:sz w:val="24"/>
          <w:szCs w:val="24"/>
          <w:u w:val="single"/>
        </w:rPr>
      </w:pPr>
    </w:p>
    <w:p w14:paraId="262F4165" w14:textId="43509B18" w:rsidR="00F55D58" w:rsidRPr="003E3CE1" w:rsidRDefault="00595426" w:rsidP="00475312">
      <w:pPr>
        <w:pStyle w:val="Heading3"/>
        <w:rPr>
          <w:snapToGrid w:val="0"/>
        </w:rPr>
      </w:pPr>
      <w:r>
        <w:rPr>
          <w:snapToGrid w:val="0"/>
        </w:rPr>
        <w:t>可持续森林管理</w:t>
      </w:r>
    </w:p>
    <w:p w14:paraId="529315B1" w14:textId="6D4BA7A9" w:rsidR="00595426" w:rsidRPr="003D54E3" w:rsidRDefault="00595426"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3D54E3">
        <w:rPr>
          <w:rFonts w:hint="eastAsia"/>
          <w:sz w:val="24"/>
          <w:szCs w:val="24"/>
          <w:lang w:eastAsia="zh-CN"/>
        </w:rPr>
        <w:t>可持续森林管理（</w:t>
      </w:r>
      <w:r w:rsidRPr="003D54E3">
        <w:rPr>
          <w:rFonts w:hint="eastAsia"/>
          <w:sz w:val="24"/>
          <w:szCs w:val="24"/>
          <w:lang w:eastAsia="zh-CN"/>
        </w:rPr>
        <w:t>SFM</w:t>
      </w:r>
      <w:r w:rsidRPr="003D54E3">
        <w:rPr>
          <w:rFonts w:hint="eastAsia"/>
          <w:sz w:val="24"/>
          <w:szCs w:val="24"/>
          <w:lang w:eastAsia="zh-CN"/>
        </w:rPr>
        <w:t>）影响方案侧重于在三个主要生物群体进行可持续管理和保护森林：亚马逊河流域、刚果盆地和旱地森林。该项目投资旨在保持整个生物群体的生态完整性，并确保进行强有力的跨区域协调。</w:t>
      </w:r>
    </w:p>
    <w:p w14:paraId="0A6C015F" w14:textId="6B3136F7" w:rsidR="00595426" w:rsidRPr="003D54E3" w:rsidRDefault="00595426"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3D54E3">
        <w:rPr>
          <w:rFonts w:hint="eastAsia"/>
          <w:sz w:val="24"/>
          <w:szCs w:val="24"/>
          <w:lang w:eastAsia="zh-CN"/>
        </w:rPr>
        <w:t>过去可持续森林管理投资项目往往是孤立的项目，主要侧重于仅在项目规模上将可持续森林管理原则纳入土地管理项目。可持续森林管理影响方案通过为森林治理创造更有利</w:t>
      </w:r>
      <w:r w:rsidR="006E4444" w:rsidRPr="003D54E3">
        <w:rPr>
          <w:rFonts w:hint="eastAsia"/>
          <w:sz w:val="24"/>
          <w:szCs w:val="24"/>
          <w:lang w:eastAsia="zh-CN"/>
        </w:rPr>
        <w:t>的</w:t>
      </w:r>
      <w:r w:rsidRPr="003D54E3">
        <w:rPr>
          <w:rFonts w:hint="eastAsia"/>
          <w:sz w:val="24"/>
          <w:szCs w:val="24"/>
          <w:lang w:eastAsia="zh-CN"/>
        </w:rPr>
        <w:t>环境的战略</w:t>
      </w:r>
      <w:r w:rsidR="006E4444" w:rsidRPr="003D54E3">
        <w:rPr>
          <w:rFonts w:hint="eastAsia"/>
          <w:sz w:val="24"/>
          <w:szCs w:val="24"/>
          <w:lang w:eastAsia="zh-CN"/>
        </w:rPr>
        <w:t>，消除</w:t>
      </w:r>
      <w:r w:rsidRPr="003D54E3">
        <w:rPr>
          <w:rFonts w:hint="eastAsia"/>
          <w:sz w:val="24"/>
          <w:szCs w:val="24"/>
          <w:lang w:eastAsia="zh-CN"/>
        </w:rPr>
        <w:t>森林丧失和退化的驱动因素；支持</w:t>
      </w:r>
      <w:r w:rsidR="006E4444" w:rsidRPr="003D54E3">
        <w:rPr>
          <w:rFonts w:hint="eastAsia"/>
          <w:sz w:val="24"/>
          <w:szCs w:val="24"/>
          <w:lang w:eastAsia="zh-CN"/>
        </w:rPr>
        <w:t>对</w:t>
      </w:r>
      <w:r w:rsidRPr="003D54E3">
        <w:rPr>
          <w:rFonts w:hint="eastAsia"/>
          <w:sz w:val="24"/>
          <w:szCs w:val="24"/>
          <w:lang w:eastAsia="zh-CN"/>
        </w:rPr>
        <w:t>混合</w:t>
      </w:r>
      <w:r w:rsidR="006E4444" w:rsidRPr="003D54E3">
        <w:rPr>
          <w:rFonts w:hint="eastAsia"/>
          <w:sz w:val="24"/>
          <w:szCs w:val="24"/>
          <w:lang w:eastAsia="zh-CN"/>
        </w:rPr>
        <w:t>使用的陆地</w:t>
      </w:r>
      <w:r w:rsidRPr="003D54E3">
        <w:rPr>
          <w:rFonts w:hint="eastAsia"/>
          <w:sz w:val="24"/>
          <w:szCs w:val="24"/>
          <w:lang w:eastAsia="zh-CN"/>
        </w:rPr>
        <w:t>景观进行合理的土地利用规划；加强</w:t>
      </w:r>
      <w:r w:rsidR="006E4444" w:rsidRPr="003D54E3">
        <w:rPr>
          <w:rFonts w:hint="eastAsia"/>
          <w:sz w:val="24"/>
          <w:szCs w:val="24"/>
          <w:lang w:eastAsia="zh-CN"/>
        </w:rPr>
        <w:t>对</w:t>
      </w:r>
      <w:r w:rsidRPr="003D54E3">
        <w:rPr>
          <w:rFonts w:hint="eastAsia"/>
          <w:sz w:val="24"/>
          <w:szCs w:val="24"/>
          <w:lang w:eastAsia="zh-CN"/>
        </w:rPr>
        <w:t>保护区的管理和</w:t>
      </w:r>
      <w:r w:rsidR="006E4444" w:rsidRPr="003D54E3">
        <w:rPr>
          <w:rFonts w:hint="eastAsia"/>
          <w:sz w:val="24"/>
          <w:szCs w:val="24"/>
          <w:lang w:eastAsia="zh-CN"/>
        </w:rPr>
        <w:t>供资</w:t>
      </w:r>
      <w:r w:rsidRPr="003D54E3">
        <w:rPr>
          <w:rFonts w:hint="eastAsia"/>
          <w:sz w:val="24"/>
          <w:szCs w:val="24"/>
          <w:lang w:eastAsia="zh-CN"/>
        </w:rPr>
        <w:t>；</w:t>
      </w:r>
      <w:r w:rsidR="006E4444" w:rsidRPr="003D54E3">
        <w:rPr>
          <w:rFonts w:hint="eastAsia"/>
          <w:sz w:val="24"/>
          <w:szCs w:val="24"/>
          <w:lang w:eastAsia="zh-CN"/>
        </w:rPr>
        <w:t>说明</w:t>
      </w:r>
      <w:r w:rsidRPr="003D54E3">
        <w:rPr>
          <w:rFonts w:hint="eastAsia"/>
          <w:sz w:val="24"/>
          <w:szCs w:val="24"/>
          <w:lang w:eastAsia="zh-CN"/>
        </w:rPr>
        <w:t>土地</w:t>
      </w:r>
      <w:r w:rsidR="006E4444" w:rsidRPr="003D54E3">
        <w:rPr>
          <w:rFonts w:hint="eastAsia"/>
          <w:sz w:val="24"/>
          <w:szCs w:val="24"/>
          <w:lang w:eastAsia="zh-CN"/>
        </w:rPr>
        <w:t>保有权</w:t>
      </w:r>
      <w:r w:rsidRPr="003D54E3">
        <w:rPr>
          <w:rFonts w:hint="eastAsia"/>
          <w:sz w:val="24"/>
          <w:szCs w:val="24"/>
          <w:lang w:eastAsia="zh-CN"/>
        </w:rPr>
        <w:t>和其他相关政策；支持</w:t>
      </w:r>
      <w:r w:rsidR="002B12CA" w:rsidRPr="003D54E3">
        <w:rPr>
          <w:rFonts w:hint="eastAsia"/>
          <w:sz w:val="24"/>
          <w:szCs w:val="24"/>
          <w:lang w:eastAsia="zh-CN"/>
        </w:rPr>
        <w:t>对商用</w:t>
      </w:r>
      <w:r w:rsidRPr="003D54E3">
        <w:rPr>
          <w:rFonts w:hint="eastAsia"/>
          <w:sz w:val="24"/>
          <w:szCs w:val="24"/>
          <w:lang w:eastAsia="zh-CN"/>
        </w:rPr>
        <w:t>和</w:t>
      </w:r>
      <w:r w:rsidR="006E4444" w:rsidRPr="003D54E3">
        <w:rPr>
          <w:rFonts w:hint="eastAsia"/>
          <w:sz w:val="24"/>
          <w:szCs w:val="24"/>
          <w:lang w:eastAsia="zh-CN"/>
        </w:rPr>
        <w:t>维生</w:t>
      </w:r>
      <w:r w:rsidRPr="003D54E3">
        <w:rPr>
          <w:rFonts w:hint="eastAsia"/>
          <w:sz w:val="24"/>
          <w:szCs w:val="24"/>
          <w:lang w:eastAsia="zh-CN"/>
        </w:rPr>
        <w:t>农业土地的管理，以减轻对</w:t>
      </w:r>
      <w:r w:rsidR="002B12CA" w:rsidRPr="003D54E3">
        <w:rPr>
          <w:rFonts w:hint="eastAsia"/>
          <w:sz w:val="24"/>
          <w:szCs w:val="24"/>
          <w:lang w:eastAsia="zh-CN"/>
        </w:rPr>
        <w:t>相邻</w:t>
      </w:r>
      <w:r w:rsidRPr="003D54E3">
        <w:rPr>
          <w:rFonts w:hint="eastAsia"/>
          <w:sz w:val="24"/>
          <w:szCs w:val="24"/>
          <w:lang w:eastAsia="zh-CN"/>
        </w:rPr>
        <w:t>森林的压力；利用财务机制和激励措施</w:t>
      </w:r>
      <w:r w:rsidR="002B12CA" w:rsidRPr="003D54E3">
        <w:rPr>
          <w:rFonts w:hint="eastAsia"/>
          <w:sz w:val="24"/>
          <w:szCs w:val="24"/>
          <w:lang w:eastAsia="zh-CN"/>
        </w:rPr>
        <w:t>促进</w:t>
      </w:r>
      <w:r w:rsidRPr="003D54E3">
        <w:rPr>
          <w:rFonts w:hint="eastAsia"/>
          <w:sz w:val="24"/>
          <w:szCs w:val="24"/>
          <w:lang w:eastAsia="zh-CN"/>
        </w:rPr>
        <w:t>可持续</w:t>
      </w:r>
      <w:r w:rsidR="002B12CA" w:rsidRPr="003D54E3">
        <w:rPr>
          <w:rFonts w:hint="eastAsia"/>
          <w:sz w:val="24"/>
          <w:szCs w:val="24"/>
          <w:lang w:eastAsia="zh-CN"/>
        </w:rPr>
        <w:t>的</w:t>
      </w:r>
      <w:r w:rsidRPr="003D54E3">
        <w:rPr>
          <w:rFonts w:hint="eastAsia"/>
          <w:sz w:val="24"/>
          <w:szCs w:val="24"/>
          <w:lang w:eastAsia="zh-CN"/>
        </w:rPr>
        <w:t>森林管理。</w:t>
      </w:r>
    </w:p>
    <w:p w14:paraId="5A16986A" w14:textId="26DB70F5" w:rsidR="002B12CA" w:rsidRPr="003D54E3" w:rsidRDefault="002B12CA"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eastAsia="zh-CN"/>
        </w:rPr>
      </w:pPr>
      <w:r w:rsidRPr="003D54E3">
        <w:rPr>
          <w:rFonts w:hint="eastAsia"/>
          <w:sz w:val="24"/>
          <w:szCs w:val="24"/>
          <w:lang w:eastAsia="zh-CN"/>
        </w:rPr>
        <w:t>下表</w:t>
      </w:r>
      <w:r w:rsidRPr="003D54E3">
        <w:rPr>
          <w:rFonts w:hint="eastAsia"/>
          <w:sz w:val="24"/>
          <w:szCs w:val="24"/>
          <w:lang w:eastAsia="zh-CN"/>
        </w:rPr>
        <w:t>7</w:t>
      </w:r>
      <w:r w:rsidRPr="003D54E3">
        <w:rPr>
          <w:rFonts w:hint="eastAsia"/>
          <w:sz w:val="24"/>
          <w:szCs w:val="24"/>
          <w:lang w:eastAsia="zh-CN"/>
        </w:rPr>
        <w:t>说明全环基金可持续森林管理影响方案资源对实现各国优先考虑的爱知生物多样性目标的贡献。在</w:t>
      </w:r>
      <w:r w:rsidR="00656983" w:rsidRPr="003D54E3">
        <w:rPr>
          <w:rFonts w:hint="eastAsia"/>
          <w:sz w:val="24"/>
          <w:szCs w:val="24"/>
          <w:lang w:eastAsia="zh-CN"/>
        </w:rPr>
        <w:t>可持续森林管理影响方案</w:t>
      </w:r>
      <w:r w:rsidRPr="003D54E3">
        <w:rPr>
          <w:rFonts w:hint="eastAsia"/>
          <w:sz w:val="24"/>
          <w:szCs w:val="24"/>
          <w:lang w:eastAsia="zh-CN"/>
        </w:rPr>
        <w:t>中，</w:t>
      </w:r>
      <w:r w:rsidR="00656983" w:rsidRPr="003D54E3">
        <w:rPr>
          <w:rFonts w:hint="eastAsia"/>
          <w:sz w:val="24"/>
          <w:szCs w:val="24"/>
          <w:lang w:eastAsia="zh-CN"/>
        </w:rPr>
        <w:t>全环基金</w:t>
      </w:r>
      <w:r w:rsidRPr="003D54E3">
        <w:rPr>
          <w:rFonts w:hint="eastAsia"/>
          <w:sz w:val="24"/>
          <w:szCs w:val="24"/>
          <w:lang w:eastAsia="zh-CN"/>
        </w:rPr>
        <w:t>项目</w:t>
      </w:r>
      <w:r w:rsidR="00656983" w:rsidRPr="003D54E3">
        <w:rPr>
          <w:rFonts w:hint="eastAsia"/>
          <w:sz w:val="24"/>
          <w:szCs w:val="24"/>
          <w:lang w:eastAsia="zh-CN"/>
        </w:rPr>
        <w:t>供资</w:t>
      </w:r>
      <w:r w:rsidRPr="003D54E3">
        <w:rPr>
          <w:rFonts w:hint="eastAsia"/>
          <w:sz w:val="24"/>
          <w:szCs w:val="24"/>
          <w:lang w:eastAsia="zh-CN"/>
        </w:rPr>
        <w:t>的</w:t>
      </w:r>
      <w:r w:rsidRPr="003D54E3">
        <w:rPr>
          <w:rFonts w:hint="eastAsia"/>
          <w:sz w:val="24"/>
          <w:szCs w:val="24"/>
          <w:lang w:eastAsia="zh-CN"/>
        </w:rPr>
        <w:t>2.413</w:t>
      </w:r>
      <w:r w:rsidRPr="003D54E3">
        <w:rPr>
          <w:rFonts w:hint="eastAsia"/>
          <w:sz w:val="24"/>
          <w:szCs w:val="24"/>
          <w:lang w:eastAsia="zh-CN"/>
        </w:rPr>
        <w:t>亿美元中，有</w:t>
      </w:r>
      <w:r w:rsidRPr="003D54E3">
        <w:rPr>
          <w:rFonts w:hint="eastAsia"/>
          <w:sz w:val="24"/>
          <w:szCs w:val="24"/>
          <w:lang w:eastAsia="zh-CN"/>
        </w:rPr>
        <w:t>9200</w:t>
      </w:r>
      <w:r w:rsidRPr="003D54E3">
        <w:rPr>
          <w:rFonts w:hint="eastAsia"/>
          <w:sz w:val="24"/>
          <w:szCs w:val="24"/>
          <w:lang w:eastAsia="zh-CN"/>
        </w:rPr>
        <w:t>万美元来自</w:t>
      </w:r>
      <w:r w:rsidR="00656983" w:rsidRPr="003D54E3">
        <w:rPr>
          <w:rFonts w:hint="eastAsia"/>
          <w:sz w:val="24"/>
          <w:szCs w:val="24"/>
          <w:lang w:eastAsia="zh-CN"/>
        </w:rPr>
        <w:t>资金透明分配系统（</w:t>
      </w:r>
      <w:r w:rsidR="00656983" w:rsidRPr="003D54E3">
        <w:rPr>
          <w:rFonts w:hint="eastAsia"/>
          <w:sz w:val="24"/>
          <w:szCs w:val="24"/>
          <w:lang w:eastAsia="zh-CN"/>
        </w:rPr>
        <w:t>STAR</w:t>
      </w:r>
      <w:r w:rsidR="00656983" w:rsidRPr="003D54E3">
        <w:rPr>
          <w:rFonts w:hint="eastAsia"/>
          <w:sz w:val="24"/>
          <w:szCs w:val="24"/>
          <w:lang w:eastAsia="zh-CN"/>
        </w:rPr>
        <w:t>）项下的生物多样性重点领域分配款</w:t>
      </w:r>
      <w:r w:rsidRPr="003D54E3">
        <w:rPr>
          <w:rFonts w:hint="eastAsia"/>
          <w:sz w:val="24"/>
          <w:szCs w:val="24"/>
          <w:lang w:eastAsia="zh-CN"/>
        </w:rPr>
        <w:t>。</w:t>
      </w:r>
    </w:p>
    <w:p w14:paraId="4B8920DA" w14:textId="448764E4" w:rsidR="00656983" w:rsidRPr="00656983" w:rsidRDefault="00656983" w:rsidP="00D722AE">
      <w:pPr>
        <w:spacing w:before="240" w:after="240" w:line="240" w:lineRule="auto"/>
        <w:jc w:val="center"/>
        <w:rPr>
          <w:rFonts w:ascii="Times New Roman" w:hAnsi="Times New Roman" w:cs="Times New Roman"/>
          <w:b/>
          <w:snapToGrid w:val="0"/>
          <w:lang w:eastAsia="zh-CN"/>
        </w:rPr>
      </w:pPr>
      <w:bookmarkStart w:id="13" w:name="_Hlk508978256"/>
      <w:r w:rsidRPr="00656983">
        <w:rPr>
          <w:rFonts w:ascii="Times New Roman" w:hAnsi="Times New Roman" w:cs="Times New Roman"/>
          <w:b/>
          <w:snapToGrid w:val="0"/>
          <w:lang w:val="en-GB" w:eastAsia="zh-CN"/>
        </w:rPr>
        <w:t>表</w:t>
      </w:r>
      <w:r w:rsidRPr="00656983">
        <w:rPr>
          <w:rFonts w:ascii="Times New Roman" w:hAnsi="Times New Roman" w:cs="Times New Roman"/>
          <w:b/>
          <w:snapToGrid w:val="0"/>
          <w:lang w:val="en-GB" w:eastAsia="zh-CN"/>
        </w:rPr>
        <w:t xml:space="preserve">7. </w:t>
      </w:r>
      <w:r w:rsidRPr="00656983">
        <w:rPr>
          <w:rFonts w:ascii="Times New Roman" w:hAnsi="Times New Roman" w:cs="Times New Roman"/>
          <w:b/>
          <w:snapToGrid w:val="0"/>
          <w:lang w:val="en-GB" w:eastAsia="zh-CN"/>
        </w:rPr>
        <w:t>在本报告所述期间</w:t>
      </w:r>
      <w:r w:rsidRPr="00656983">
        <w:rPr>
          <w:rFonts w:ascii="Times New Roman" w:hAnsi="Times New Roman" w:cs="Times New Roman"/>
          <w:b/>
          <w:lang w:eastAsia="zh-CN"/>
        </w:rPr>
        <w:t>可持续森林管理影响方案</w:t>
      </w:r>
      <w:r w:rsidRPr="00656983">
        <w:rPr>
          <w:rFonts w:ascii="Times New Roman" w:hAnsi="Times New Roman" w:cs="Times New Roman"/>
          <w:b/>
          <w:snapToGrid w:val="0"/>
          <w:lang w:val="en-GB" w:eastAsia="zh-CN"/>
        </w:rPr>
        <w:t>提供的</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全环基金第七次增资资源累计分配额</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lastRenderedPageBreak/>
        <w:t>和对实现爱知生物多样性目标的贡献</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w:t>
      </w:r>
      <w:r w:rsidRPr="00656983">
        <w:rPr>
          <w:rFonts w:ascii="Times New Roman" w:hAnsi="Times New Roman" w:cs="Times New Roman"/>
          <w:b/>
          <w:snapToGrid w:val="0"/>
          <w:lang w:val="en-GB" w:eastAsia="zh-CN"/>
        </w:rPr>
        <w:t>2018</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7</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1</w:t>
      </w:r>
      <w:r w:rsidRPr="00656983">
        <w:rPr>
          <w:rFonts w:ascii="Times New Roman" w:hAnsi="Times New Roman" w:cs="Times New Roman"/>
          <w:b/>
          <w:snapToGrid w:val="0"/>
          <w:lang w:val="en-GB" w:eastAsia="zh-CN"/>
        </w:rPr>
        <w:t>日至</w:t>
      </w:r>
      <w:r w:rsidRPr="00656983">
        <w:rPr>
          <w:rFonts w:ascii="Times New Roman" w:hAnsi="Times New Roman" w:cs="Times New Roman"/>
          <w:b/>
          <w:snapToGrid w:val="0"/>
          <w:lang w:val="en-GB" w:eastAsia="zh-CN"/>
        </w:rPr>
        <w:t>2019</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12</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31</w:t>
      </w:r>
      <w:r w:rsidRPr="00656983">
        <w:rPr>
          <w:rFonts w:ascii="Times New Roman" w:hAnsi="Times New Roman" w:cs="Times New Roman"/>
          <w:b/>
          <w:snapToGrid w:val="0"/>
          <w:lang w:val="en-GB" w:eastAsia="zh-CN"/>
        </w:rPr>
        <w:t>日）</w:t>
      </w:r>
      <w:r w:rsidRPr="00D30DB1">
        <w:rPr>
          <w:rFonts w:ascii="Calibri" w:eastAsia="MS Mincho" w:hAnsi="Calibri" w:cs="Times New Roman"/>
          <w:snapToGrid w:val="0"/>
          <w:sz w:val="24"/>
          <w:szCs w:val="24"/>
          <w:vertAlign w:val="superscript"/>
        </w:rPr>
        <w:footnoteReference w:id="12"/>
      </w:r>
    </w:p>
    <w:tbl>
      <w:tblPr>
        <w:tblW w:w="4997" w:type="pct"/>
        <w:tblBorders>
          <w:top w:val="single" w:sz="12" w:space="0" w:color="008000"/>
          <w:bottom w:val="single" w:sz="12" w:space="0" w:color="008000"/>
        </w:tblBorders>
        <w:tblLook w:val="04A0" w:firstRow="1" w:lastRow="0" w:firstColumn="1" w:lastColumn="0" w:noHBand="0" w:noVBand="1"/>
      </w:tblPr>
      <w:tblGrid>
        <w:gridCol w:w="3092"/>
        <w:gridCol w:w="1671"/>
        <w:gridCol w:w="1583"/>
        <w:gridCol w:w="1289"/>
        <w:gridCol w:w="1719"/>
      </w:tblGrid>
      <w:tr w:rsidR="00D30DB1" w:rsidRPr="00D30DB1" w14:paraId="537CF1CC" w14:textId="77777777" w:rsidTr="008354E6">
        <w:trPr>
          <w:trHeight w:val="570"/>
        </w:trPr>
        <w:tc>
          <w:tcPr>
            <w:tcW w:w="1653" w:type="pct"/>
            <w:tcBorders>
              <w:bottom w:val="single" w:sz="6" w:space="0" w:color="008000"/>
            </w:tcBorders>
            <w:shd w:val="clear" w:color="auto" w:fill="auto"/>
            <w:hideMark/>
          </w:tcPr>
          <w:p w14:paraId="2A4FF85C" w14:textId="159B3152" w:rsidR="00D30DB1" w:rsidRPr="00045526" w:rsidRDefault="00656983" w:rsidP="00656983">
            <w:pPr>
              <w:spacing w:after="0" w:line="240" w:lineRule="auto"/>
              <w:rPr>
                <w:rFonts w:ascii="Calibri" w:eastAsia="Times New Roman" w:hAnsi="Calibri" w:cs="Times New Roman"/>
                <w:b/>
                <w:bCs/>
                <w:color w:val="000000"/>
                <w:lang w:val="en-GB" w:eastAsia="zh-CN"/>
              </w:rPr>
            </w:pPr>
            <w:r w:rsidRPr="00656983">
              <w:rPr>
                <w:rFonts w:ascii="Times New Roman" w:hAnsi="Times New Roman" w:cs="Times New Roman"/>
                <w:b/>
                <w:lang w:eastAsia="zh-CN"/>
              </w:rPr>
              <w:t>可持续森林管理</w:t>
            </w:r>
            <w:r>
              <w:rPr>
                <w:rFonts w:ascii="SimSun" w:hAnsi="SimSun" w:cs="SimSun" w:hint="eastAsia"/>
                <w:b/>
                <w:bCs/>
                <w:color w:val="000000"/>
                <w:lang w:val="en-GB" w:eastAsia="zh-CN"/>
              </w:rPr>
              <w:t>影响方案</w:t>
            </w:r>
            <w:r w:rsidR="00D30DB1" w:rsidRPr="00045526">
              <w:rPr>
                <w:rFonts w:ascii="Calibri" w:eastAsia="Times New Roman" w:hAnsi="Calibri" w:cs="Times New Roman"/>
                <w:b/>
                <w:bCs/>
                <w:color w:val="000000"/>
                <w:lang w:val="en-GB" w:eastAsia="zh-CN"/>
              </w:rPr>
              <w:t xml:space="preserve"> </w:t>
            </w:r>
          </w:p>
        </w:tc>
        <w:tc>
          <w:tcPr>
            <w:tcW w:w="893" w:type="pct"/>
            <w:tcBorders>
              <w:bottom w:val="single" w:sz="6" w:space="0" w:color="008000"/>
            </w:tcBorders>
            <w:shd w:val="clear" w:color="auto" w:fill="auto"/>
            <w:hideMark/>
          </w:tcPr>
          <w:p w14:paraId="58F79831" w14:textId="42F2F68A" w:rsidR="00D30DB1" w:rsidRPr="00045526" w:rsidRDefault="00656983" w:rsidP="00656983">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爱知生物多样性目标</w:t>
            </w:r>
            <w:proofErr w:type="spellEnd"/>
          </w:p>
        </w:tc>
        <w:tc>
          <w:tcPr>
            <w:tcW w:w="846" w:type="pct"/>
            <w:tcBorders>
              <w:bottom w:val="single" w:sz="6" w:space="0" w:color="008000"/>
            </w:tcBorders>
            <w:shd w:val="clear" w:color="auto" w:fill="auto"/>
          </w:tcPr>
          <w:p w14:paraId="2D96878A" w14:textId="774B3ADE" w:rsidR="00D30DB1" w:rsidRPr="00045526" w:rsidRDefault="00656983" w:rsidP="00656983">
            <w:pPr>
              <w:spacing w:after="0" w:line="240" w:lineRule="auto"/>
              <w:rPr>
                <w:rFonts w:ascii="Calibri" w:eastAsia="Times New Roman" w:hAnsi="Calibri" w:cs="Times New Roman"/>
                <w:b/>
                <w:bCs/>
                <w:color w:val="000000"/>
                <w:lang w:val="en-GB" w:eastAsia="zh-CN"/>
              </w:rPr>
            </w:pPr>
            <w:r>
              <w:rPr>
                <w:rFonts w:ascii="SimSun" w:hAnsi="SimSun" w:cs="SimSun" w:hint="eastAsia"/>
                <w:b/>
                <w:bCs/>
                <w:color w:val="000000"/>
                <w:lang w:val="en-GB" w:eastAsia="zh-CN"/>
              </w:rPr>
              <w:t>全环基金</w:t>
            </w:r>
            <w:r>
              <w:rPr>
                <w:rFonts w:ascii="SimSun" w:hAnsi="SimSun" w:cs="SimSun"/>
                <w:b/>
                <w:bCs/>
                <w:color w:val="000000"/>
                <w:lang w:val="en-GB" w:eastAsia="zh-CN"/>
              </w:rPr>
              <w:br/>
            </w:r>
            <w:r>
              <w:rPr>
                <w:rFonts w:ascii="SimSun" w:hAnsi="SimSun" w:cs="SimSun" w:hint="eastAsia"/>
                <w:b/>
                <w:bCs/>
                <w:color w:val="000000"/>
                <w:lang w:val="en-GB" w:eastAsia="zh-CN"/>
              </w:rPr>
              <w:t>项目供资</w:t>
            </w:r>
            <w:r>
              <w:rPr>
                <w:rFonts w:ascii="SimSun" w:hAnsi="SimSun" w:cs="SimSun"/>
                <w:b/>
                <w:bCs/>
                <w:color w:val="000000"/>
                <w:lang w:val="en-GB" w:eastAsia="zh-CN"/>
              </w:rPr>
              <w:br/>
            </w:r>
            <w:r w:rsidRPr="00045526">
              <w:rPr>
                <w:rFonts w:ascii="Calibri" w:eastAsia="Times New Roman" w:hAnsi="Calibri" w:cs="Times New Roman"/>
                <w:b/>
                <w:bCs/>
                <w:color w:val="000000"/>
                <w:lang w:val="en-GB" w:eastAsia="zh-CN"/>
              </w:rPr>
              <w:t xml:space="preserve"> </w:t>
            </w:r>
            <w:r w:rsidR="00D30DB1" w:rsidRPr="00045526">
              <w:rPr>
                <w:rFonts w:ascii="Calibri" w:eastAsia="Times New Roman" w:hAnsi="Calibri" w:cs="Times New Roman"/>
                <w:b/>
                <w:bCs/>
                <w:color w:val="000000"/>
                <w:lang w:val="en-GB" w:eastAsia="zh-CN"/>
              </w:rPr>
              <w:t>(</w:t>
            </w:r>
            <w:r>
              <w:rPr>
                <w:rFonts w:ascii="SimSun" w:hAnsi="SimSun" w:cs="SimSun" w:hint="eastAsia"/>
                <w:b/>
                <w:bCs/>
                <w:color w:val="000000"/>
                <w:lang w:val="en-GB" w:eastAsia="zh-CN"/>
              </w:rPr>
              <w:t>百万美元</w:t>
            </w:r>
            <w:r w:rsidR="00D30DB1" w:rsidRPr="00045526">
              <w:rPr>
                <w:rFonts w:ascii="Calibri" w:eastAsia="Times New Roman" w:hAnsi="Calibri" w:cs="Times New Roman"/>
                <w:b/>
                <w:bCs/>
                <w:color w:val="000000"/>
                <w:lang w:val="en-GB" w:eastAsia="zh-CN"/>
              </w:rPr>
              <w:t>)</w:t>
            </w:r>
          </w:p>
        </w:tc>
        <w:tc>
          <w:tcPr>
            <w:tcW w:w="689" w:type="pct"/>
            <w:tcBorders>
              <w:bottom w:val="single" w:sz="6" w:space="0" w:color="008000"/>
            </w:tcBorders>
            <w:shd w:val="clear" w:color="auto" w:fill="auto"/>
            <w:hideMark/>
          </w:tcPr>
          <w:p w14:paraId="02DA76A7" w14:textId="4A1F839B" w:rsidR="00D30DB1" w:rsidRPr="00045526" w:rsidRDefault="00656983" w:rsidP="00D30DB1">
            <w:pPr>
              <w:spacing w:after="0" w:line="240" w:lineRule="auto"/>
              <w:rPr>
                <w:rFonts w:ascii="Calibri" w:eastAsia="Times New Roman" w:hAnsi="Calibri" w:cs="Times New Roman"/>
                <w:b/>
                <w:bCs/>
                <w:color w:val="000000"/>
                <w:lang w:val="en-GB"/>
              </w:rPr>
            </w:pPr>
            <w:proofErr w:type="spellStart"/>
            <w:r>
              <w:rPr>
                <w:rFonts w:ascii="Calibri" w:eastAsia="Times New Roman" w:hAnsi="Calibri" w:cs="Times New Roman"/>
                <w:b/>
                <w:bCs/>
                <w:color w:val="000000"/>
                <w:lang w:val="en-GB"/>
              </w:rPr>
              <w:t>共同筹资</w:t>
            </w:r>
            <w:proofErr w:type="spellEnd"/>
            <w:r w:rsidR="00D30DB1" w:rsidRPr="00045526">
              <w:rPr>
                <w:rFonts w:ascii="Calibri" w:eastAsia="Times New Roman" w:hAnsi="Calibri" w:cs="Times New Roman"/>
                <w:b/>
                <w:bCs/>
                <w:color w:val="000000"/>
                <w:lang w:val="en-GB"/>
              </w:rPr>
              <w:t xml:space="preserve"> </w:t>
            </w:r>
          </w:p>
          <w:p w14:paraId="12069D04" w14:textId="69F3BE71" w:rsidR="00D30DB1" w:rsidRPr="00045526" w:rsidRDefault="00D30DB1" w:rsidP="00656983">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sidR="00656983">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 xml:space="preserve">) </w:t>
            </w:r>
          </w:p>
        </w:tc>
        <w:tc>
          <w:tcPr>
            <w:tcW w:w="919" w:type="pct"/>
            <w:tcBorders>
              <w:bottom w:val="single" w:sz="6" w:space="0" w:color="008000"/>
            </w:tcBorders>
            <w:shd w:val="clear" w:color="auto" w:fill="auto"/>
          </w:tcPr>
          <w:p w14:paraId="22C26CB6" w14:textId="0FA856FB" w:rsidR="00D30DB1" w:rsidRPr="00045526" w:rsidRDefault="00656983" w:rsidP="00D30DB1">
            <w:pPr>
              <w:spacing w:after="0" w:line="240" w:lineRule="auto"/>
              <w:rPr>
                <w:rFonts w:ascii="Calibri" w:eastAsia="Times New Roman" w:hAnsi="Calibri" w:cs="Times New Roman"/>
                <w:b/>
                <w:bCs/>
                <w:color w:val="000000"/>
                <w:lang w:val="en-GB"/>
              </w:rPr>
            </w:pPr>
            <w:proofErr w:type="spellStart"/>
            <w:r>
              <w:rPr>
                <w:rFonts w:ascii="Calibri" w:eastAsia="Times New Roman" w:hAnsi="Calibri" w:cs="Times New Roman"/>
                <w:b/>
                <w:bCs/>
                <w:color w:val="000000"/>
                <w:lang w:val="en-GB"/>
              </w:rPr>
              <w:t>资源总额</w:t>
            </w:r>
            <w:proofErr w:type="spellEnd"/>
            <w:r w:rsidR="00D30DB1" w:rsidRPr="00045526">
              <w:rPr>
                <w:rFonts w:ascii="Calibri" w:eastAsia="Times New Roman" w:hAnsi="Calibri" w:cs="Times New Roman"/>
                <w:b/>
                <w:bCs/>
                <w:color w:val="000000"/>
                <w:lang w:val="en-GB"/>
              </w:rPr>
              <w:t xml:space="preserve"> </w:t>
            </w:r>
          </w:p>
          <w:p w14:paraId="17D14CD3" w14:textId="40C59754" w:rsidR="00D30DB1" w:rsidRPr="00045526" w:rsidRDefault="00D30DB1" w:rsidP="00656983">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sidR="00656983">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w:t>
            </w:r>
          </w:p>
        </w:tc>
      </w:tr>
      <w:tr w:rsidR="00D30DB1" w:rsidRPr="00D30DB1" w14:paraId="080A45B9" w14:textId="77777777" w:rsidTr="008354E6">
        <w:trPr>
          <w:trHeight w:val="600"/>
        </w:trPr>
        <w:tc>
          <w:tcPr>
            <w:tcW w:w="1653" w:type="pct"/>
            <w:shd w:val="clear" w:color="auto" w:fill="auto"/>
          </w:tcPr>
          <w:p w14:paraId="2CF689E5" w14:textId="77777777" w:rsidR="00D30DB1" w:rsidRPr="00045526" w:rsidRDefault="00D30DB1" w:rsidP="002855CD">
            <w:pPr>
              <w:spacing w:after="0" w:line="240" w:lineRule="auto"/>
              <w:rPr>
                <w:rFonts w:ascii="Calibri" w:eastAsia="Times New Roman" w:hAnsi="Calibri" w:cs="Times New Roman"/>
                <w:color w:val="000000"/>
                <w:lang w:val="en-GB" w:eastAsia="zh-CN"/>
              </w:rPr>
            </w:pPr>
          </w:p>
          <w:p w14:paraId="12225255" w14:textId="75C0E3AC" w:rsidR="002855CD" w:rsidRPr="00045526" w:rsidRDefault="00C831B7" w:rsidP="00C831B7">
            <w:pPr>
              <w:spacing w:after="0" w:line="240" w:lineRule="auto"/>
              <w:rPr>
                <w:rFonts w:ascii="Calibri" w:eastAsia="Times New Roman" w:hAnsi="Calibri" w:cs="Times New Roman"/>
                <w:color w:val="000000"/>
                <w:lang w:val="en-GB" w:eastAsia="zh-CN"/>
              </w:rPr>
            </w:pPr>
            <w:r>
              <w:rPr>
                <w:rFonts w:hint="eastAsia"/>
                <w:lang w:eastAsia="zh-CN"/>
              </w:rPr>
              <w:t>亚马逊可持续陆地景观方案</w:t>
            </w:r>
          </w:p>
        </w:tc>
        <w:tc>
          <w:tcPr>
            <w:tcW w:w="893" w:type="pct"/>
            <w:shd w:val="clear" w:color="auto" w:fill="auto"/>
            <w:hideMark/>
          </w:tcPr>
          <w:p w14:paraId="49BD4871" w14:textId="77777777" w:rsidR="00D30DB1" w:rsidRPr="00045526" w:rsidRDefault="00D30DB1" w:rsidP="00AA3F32">
            <w:pPr>
              <w:spacing w:after="0" w:line="240" w:lineRule="auto"/>
              <w:rPr>
                <w:rFonts w:ascii="Calibri" w:eastAsia="Times New Roman" w:hAnsi="Calibri" w:cs="Times New Roman"/>
                <w:color w:val="000000"/>
                <w:lang w:val="en-GB" w:eastAsia="zh-CN"/>
              </w:rPr>
            </w:pPr>
          </w:p>
          <w:p w14:paraId="7D90EE6A" w14:textId="677CF144" w:rsidR="00D30DB1" w:rsidRPr="00045526" w:rsidRDefault="002855CD" w:rsidP="003D54E3">
            <w:pPr>
              <w:spacing w:after="0" w:line="240" w:lineRule="auto"/>
              <w:jc w:val="both"/>
              <w:rPr>
                <w:rFonts w:ascii="Calibri" w:eastAsia="Times New Roman" w:hAnsi="Calibri" w:cs="Times New Roman"/>
                <w:color w:val="000000"/>
                <w:lang w:val="en-GB"/>
              </w:rPr>
            </w:pPr>
            <w:r w:rsidRPr="00045526">
              <w:rPr>
                <w:rFonts w:ascii="Calibri" w:eastAsia="Times New Roman" w:hAnsi="Calibri" w:cs="Times New Roman"/>
                <w:color w:val="000000"/>
                <w:lang w:val="en-GB"/>
              </w:rPr>
              <w:t>7,</w:t>
            </w:r>
            <w:r w:rsidR="00694FF9">
              <w:rPr>
                <w:rFonts w:ascii="Calibri" w:eastAsia="Times New Roman" w:hAnsi="Calibri" w:cs="Times New Roman"/>
                <w:color w:val="000000"/>
                <w:lang w:val="en-GB"/>
              </w:rPr>
              <w:t xml:space="preserve"> </w:t>
            </w:r>
            <w:r w:rsidRPr="00045526">
              <w:rPr>
                <w:rFonts w:ascii="Calibri" w:eastAsia="Times New Roman" w:hAnsi="Calibri" w:cs="Times New Roman"/>
                <w:color w:val="000000"/>
                <w:lang w:val="en-GB"/>
              </w:rPr>
              <w:t>11, 14, 15</w:t>
            </w:r>
            <w:r w:rsidR="003D54E3">
              <w:rPr>
                <w:rFonts w:ascii="SimSun" w:hAnsi="SimSun" w:cs="SimSun" w:hint="eastAsia"/>
                <w:color w:val="000000"/>
                <w:lang w:val="en-GB"/>
              </w:rPr>
              <w:t>和</w:t>
            </w:r>
            <w:r w:rsidRPr="00045526">
              <w:rPr>
                <w:rFonts w:ascii="Calibri" w:eastAsia="Times New Roman" w:hAnsi="Calibri" w:cs="Times New Roman"/>
                <w:color w:val="000000"/>
                <w:lang w:val="en-GB"/>
              </w:rPr>
              <w:t xml:space="preserve"> 19</w:t>
            </w:r>
          </w:p>
        </w:tc>
        <w:tc>
          <w:tcPr>
            <w:tcW w:w="846" w:type="pct"/>
            <w:shd w:val="clear" w:color="auto" w:fill="auto"/>
          </w:tcPr>
          <w:p w14:paraId="3C1750C5" w14:textId="77777777" w:rsidR="00D30DB1" w:rsidRPr="00045526" w:rsidRDefault="00D30DB1" w:rsidP="00D30DB1">
            <w:pPr>
              <w:spacing w:after="0" w:line="240" w:lineRule="auto"/>
              <w:rPr>
                <w:rFonts w:ascii="Calibri" w:eastAsia="MS Mincho" w:hAnsi="Calibri" w:cs="Calibri"/>
                <w:color w:val="000000"/>
                <w:lang w:val="en-GB"/>
              </w:rPr>
            </w:pPr>
          </w:p>
          <w:p w14:paraId="65825D92" w14:textId="02E7A009" w:rsidR="00D30DB1" w:rsidRPr="00045526" w:rsidRDefault="001C2D09"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88.3</w:t>
            </w:r>
          </w:p>
        </w:tc>
        <w:tc>
          <w:tcPr>
            <w:tcW w:w="689" w:type="pct"/>
            <w:shd w:val="clear" w:color="auto" w:fill="auto"/>
          </w:tcPr>
          <w:p w14:paraId="554C993B" w14:textId="2BE27567" w:rsidR="00D30DB1" w:rsidRPr="00045526" w:rsidRDefault="00D30DB1" w:rsidP="00D30DB1">
            <w:pPr>
              <w:spacing w:after="0" w:line="240" w:lineRule="auto"/>
              <w:rPr>
                <w:rFonts w:ascii="Calibri" w:eastAsia="MS Mincho" w:hAnsi="Calibri" w:cs="Calibri"/>
                <w:color w:val="000000"/>
                <w:lang w:val="en-GB"/>
              </w:rPr>
            </w:pPr>
          </w:p>
          <w:p w14:paraId="2E8CA71D" w14:textId="2AF16019" w:rsidR="00D30DB1" w:rsidRDefault="00DE0ABC"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509.5</w:t>
            </w:r>
          </w:p>
          <w:p w14:paraId="769F5B8D" w14:textId="0AF33032" w:rsidR="001C2D09" w:rsidRPr="00045526" w:rsidRDefault="001C2D09" w:rsidP="00D30DB1">
            <w:pPr>
              <w:spacing w:after="0" w:line="240" w:lineRule="auto"/>
              <w:rPr>
                <w:rFonts w:ascii="Calibri" w:eastAsia="MS Mincho" w:hAnsi="Calibri" w:cs="Calibri"/>
                <w:color w:val="000000"/>
                <w:lang w:val="en-GB"/>
              </w:rPr>
            </w:pPr>
          </w:p>
        </w:tc>
        <w:tc>
          <w:tcPr>
            <w:tcW w:w="919" w:type="pct"/>
            <w:shd w:val="clear" w:color="auto" w:fill="auto"/>
          </w:tcPr>
          <w:p w14:paraId="321BE0EF" w14:textId="3E2823B0" w:rsidR="00D30DB1" w:rsidRPr="00045526" w:rsidRDefault="00D30DB1" w:rsidP="002855CD">
            <w:pPr>
              <w:spacing w:after="0" w:line="240" w:lineRule="auto"/>
              <w:rPr>
                <w:rFonts w:ascii="Calibri" w:eastAsia="MS Mincho" w:hAnsi="Calibri" w:cs="Angsana New"/>
                <w:color w:val="000000"/>
                <w:lang w:val="en-GB"/>
              </w:rPr>
            </w:pPr>
          </w:p>
          <w:p w14:paraId="7291044B" w14:textId="10854BA9" w:rsidR="00D30DB1" w:rsidRPr="00045526" w:rsidRDefault="006274BC" w:rsidP="00D30DB1">
            <w:pPr>
              <w:spacing w:after="0" w:line="240" w:lineRule="auto"/>
              <w:jc w:val="center"/>
              <w:rPr>
                <w:rFonts w:ascii="Calibri" w:eastAsia="MS Mincho" w:hAnsi="Calibri" w:cs="Angsana New"/>
                <w:color w:val="000000"/>
                <w:lang w:val="en-GB"/>
              </w:rPr>
            </w:pPr>
            <w:r>
              <w:rPr>
                <w:rFonts w:ascii="Calibri" w:eastAsia="MS Mincho" w:hAnsi="Calibri" w:cs="Angsana New"/>
                <w:color w:val="000000"/>
                <w:lang w:val="en-GB"/>
              </w:rPr>
              <w:t>597</w:t>
            </w:r>
            <w:r w:rsidR="00690EA0">
              <w:rPr>
                <w:rFonts w:ascii="Calibri" w:eastAsia="MS Mincho" w:hAnsi="Calibri" w:cs="Angsana New"/>
                <w:color w:val="000000"/>
                <w:lang w:val="en-GB"/>
              </w:rPr>
              <w:t>.</w:t>
            </w:r>
            <w:r w:rsidR="00F35ED0">
              <w:rPr>
                <w:rFonts w:ascii="Calibri" w:eastAsia="MS Mincho" w:hAnsi="Calibri" w:cs="Angsana New"/>
                <w:color w:val="000000"/>
                <w:lang w:val="en-GB"/>
              </w:rPr>
              <w:t>8</w:t>
            </w:r>
          </w:p>
          <w:p w14:paraId="405E986C" w14:textId="77777777" w:rsidR="00D30DB1" w:rsidRPr="00045526" w:rsidRDefault="00D30DB1" w:rsidP="00D30DB1">
            <w:pPr>
              <w:spacing w:after="0" w:line="240" w:lineRule="auto"/>
              <w:jc w:val="center"/>
              <w:rPr>
                <w:rFonts w:ascii="Calibri" w:eastAsia="MS Mincho" w:hAnsi="Calibri" w:cs="Angsana New"/>
                <w:color w:val="000000"/>
                <w:lang w:val="en-GB"/>
              </w:rPr>
            </w:pPr>
          </w:p>
        </w:tc>
      </w:tr>
      <w:tr w:rsidR="00D30DB1" w:rsidRPr="00D30DB1" w14:paraId="56C91A93" w14:textId="77777777" w:rsidTr="008354E6">
        <w:trPr>
          <w:trHeight w:val="600"/>
        </w:trPr>
        <w:tc>
          <w:tcPr>
            <w:tcW w:w="1653" w:type="pct"/>
            <w:shd w:val="clear" w:color="auto" w:fill="auto"/>
          </w:tcPr>
          <w:p w14:paraId="19EBDCF2" w14:textId="77777777" w:rsidR="002855CD" w:rsidRPr="00045526" w:rsidRDefault="002855CD" w:rsidP="00D30DB1">
            <w:pPr>
              <w:spacing w:after="0" w:line="240" w:lineRule="auto"/>
              <w:rPr>
                <w:rFonts w:ascii="Calibri" w:eastAsia="Times New Roman" w:hAnsi="Calibri" w:cs="Times New Roman"/>
                <w:color w:val="000000"/>
                <w:lang w:val="en-GB" w:eastAsia="zh-CN"/>
              </w:rPr>
            </w:pPr>
          </w:p>
          <w:p w14:paraId="64B490C0" w14:textId="77777777" w:rsidR="002855CD" w:rsidRPr="00045526" w:rsidRDefault="002855CD" w:rsidP="00D30DB1">
            <w:pPr>
              <w:spacing w:after="0" w:line="240" w:lineRule="auto"/>
              <w:rPr>
                <w:rFonts w:ascii="Calibri" w:eastAsia="Times New Roman" w:hAnsi="Calibri" w:cs="Times New Roman"/>
                <w:color w:val="000000"/>
                <w:lang w:val="en-GB" w:eastAsia="zh-CN"/>
              </w:rPr>
            </w:pPr>
          </w:p>
          <w:p w14:paraId="0D217F8F" w14:textId="527996E4" w:rsidR="00D30DB1" w:rsidRPr="00045526" w:rsidRDefault="00C831B7" w:rsidP="00D30DB1">
            <w:pPr>
              <w:spacing w:after="0" w:line="240" w:lineRule="auto"/>
              <w:rPr>
                <w:rFonts w:ascii="Calibri" w:eastAsia="Times New Roman" w:hAnsi="Calibri" w:cs="Times New Roman"/>
                <w:color w:val="000000"/>
                <w:lang w:val="en-GB" w:eastAsia="zh-CN"/>
              </w:rPr>
            </w:pPr>
            <w:r w:rsidRPr="00475312">
              <w:rPr>
                <w:rFonts w:ascii="Calibri" w:hAnsi="Calibri" w:cs="Times New Roman"/>
                <w:color w:val="000000"/>
                <w:lang w:val="en-GB" w:eastAsia="zh-CN"/>
              </w:rPr>
              <w:t>刚果</w:t>
            </w:r>
            <w:r>
              <w:rPr>
                <w:rFonts w:hint="eastAsia"/>
                <w:lang w:eastAsia="zh-CN"/>
              </w:rPr>
              <w:t>可持续陆地景观方案</w:t>
            </w:r>
          </w:p>
          <w:p w14:paraId="59275103" w14:textId="77777777" w:rsidR="00D30DB1" w:rsidRPr="00045526" w:rsidRDefault="00D30DB1" w:rsidP="00D30DB1">
            <w:pPr>
              <w:spacing w:after="0" w:line="240" w:lineRule="auto"/>
              <w:rPr>
                <w:rFonts w:ascii="Calibri" w:eastAsia="Times New Roman" w:hAnsi="Calibri" w:cs="Times New Roman"/>
                <w:color w:val="000000"/>
                <w:lang w:val="en-GB" w:eastAsia="zh-CN"/>
              </w:rPr>
            </w:pPr>
          </w:p>
        </w:tc>
        <w:tc>
          <w:tcPr>
            <w:tcW w:w="893" w:type="pct"/>
            <w:shd w:val="clear" w:color="auto" w:fill="auto"/>
            <w:hideMark/>
          </w:tcPr>
          <w:p w14:paraId="545BC58B" w14:textId="77777777" w:rsidR="00D30DB1" w:rsidRPr="00045526" w:rsidRDefault="00D30DB1" w:rsidP="00D30DB1">
            <w:pPr>
              <w:spacing w:after="0" w:line="240" w:lineRule="auto"/>
              <w:jc w:val="both"/>
              <w:rPr>
                <w:rFonts w:ascii="Calibri" w:eastAsia="Times New Roman" w:hAnsi="Calibri" w:cs="Times New Roman"/>
                <w:color w:val="000000"/>
                <w:lang w:val="en-GB" w:eastAsia="zh-CN"/>
              </w:rPr>
            </w:pPr>
          </w:p>
          <w:p w14:paraId="715B82FE" w14:textId="77777777" w:rsidR="00D30DB1" w:rsidRPr="00045526" w:rsidRDefault="00D30DB1" w:rsidP="00D30DB1">
            <w:pPr>
              <w:spacing w:after="0" w:line="240" w:lineRule="auto"/>
              <w:jc w:val="both"/>
              <w:rPr>
                <w:rFonts w:ascii="Calibri" w:eastAsia="Times New Roman" w:hAnsi="Calibri" w:cs="Times New Roman"/>
                <w:color w:val="000000"/>
                <w:lang w:val="en-GB" w:eastAsia="zh-CN"/>
              </w:rPr>
            </w:pPr>
          </w:p>
          <w:p w14:paraId="5FB63D16" w14:textId="4B107220" w:rsidR="002855CD" w:rsidRPr="00045526" w:rsidRDefault="002855CD" w:rsidP="00F35B14">
            <w:pPr>
              <w:spacing w:after="0" w:line="240" w:lineRule="auto"/>
              <w:rPr>
                <w:rFonts w:ascii="Calibri" w:eastAsia="Times New Roman" w:hAnsi="Calibri" w:cs="Times New Roman"/>
                <w:color w:val="000000"/>
                <w:lang w:val="en-GB"/>
              </w:rPr>
            </w:pPr>
            <w:r w:rsidRPr="00045526">
              <w:rPr>
                <w:rFonts w:ascii="Calibri" w:eastAsia="Times New Roman" w:hAnsi="Calibri" w:cs="Times New Roman"/>
                <w:color w:val="000000"/>
                <w:lang w:val="en-GB"/>
              </w:rPr>
              <w:t>7,</w:t>
            </w:r>
            <w:r w:rsidR="00694FF9">
              <w:rPr>
                <w:rFonts w:ascii="Calibri" w:eastAsia="Times New Roman" w:hAnsi="Calibri" w:cs="Times New Roman"/>
                <w:color w:val="000000"/>
                <w:lang w:val="en-GB"/>
              </w:rPr>
              <w:t xml:space="preserve"> </w:t>
            </w:r>
            <w:r w:rsidRPr="00045526">
              <w:rPr>
                <w:rFonts w:ascii="Calibri" w:eastAsia="Times New Roman" w:hAnsi="Calibri" w:cs="Times New Roman"/>
                <w:color w:val="000000"/>
                <w:lang w:val="en-GB"/>
              </w:rPr>
              <w:t>11, 14, 15</w:t>
            </w:r>
            <w:r w:rsidR="00F35B14">
              <w:rPr>
                <w:rFonts w:ascii="SimSun" w:hAnsi="SimSun" w:cs="SimSun" w:hint="eastAsia"/>
                <w:color w:val="000000"/>
                <w:lang w:val="en-GB"/>
              </w:rPr>
              <w:t>和</w:t>
            </w:r>
            <w:r w:rsidRPr="00045526">
              <w:rPr>
                <w:rFonts w:ascii="Calibri" w:eastAsia="Times New Roman" w:hAnsi="Calibri" w:cs="Times New Roman"/>
                <w:color w:val="000000"/>
                <w:lang w:val="en-GB"/>
              </w:rPr>
              <w:t xml:space="preserve"> 19</w:t>
            </w:r>
          </w:p>
        </w:tc>
        <w:tc>
          <w:tcPr>
            <w:tcW w:w="846" w:type="pct"/>
            <w:shd w:val="clear" w:color="auto" w:fill="auto"/>
          </w:tcPr>
          <w:p w14:paraId="6D525BCB" w14:textId="77777777" w:rsidR="00D30DB1" w:rsidRPr="00045526" w:rsidRDefault="00D30DB1" w:rsidP="00D30DB1">
            <w:pPr>
              <w:spacing w:after="0" w:line="240" w:lineRule="auto"/>
              <w:rPr>
                <w:rFonts w:ascii="Calibri" w:eastAsia="MS Mincho" w:hAnsi="Calibri" w:cs="Calibri"/>
                <w:color w:val="000000"/>
                <w:lang w:val="en-GB"/>
              </w:rPr>
            </w:pPr>
          </w:p>
          <w:p w14:paraId="527E72AF" w14:textId="77777777" w:rsidR="00D30DB1" w:rsidRDefault="00D30DB1" w:rsidP="00D30DB1">
            <w:pPr>
              <w:spacing w:after="0" w:line="240" w:lineRule="auto"/>
              <w:rPr>
                <w:rFonts w:ascii="Calibri" w:eastAsia="MS Mincho" w:hAnsi="Calibri" w:cs="Calibri"/>
                <w:color w:val="000000"/>
                <w:lang w:val="en-GB"/>
              </w:rPr>
            </w:pPr>
          </w:p>
          <w:p w14:paraId="0B985CAE" w14:textId="7C08E05A" w:rsidR="00690EA0" w:rsidRPr="00045526" w:rsidRDefault="005B77E4"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57.2</w:t>
            </w:r>
          </w:p>
        </w:tc>
        <w:tc>
          <w:tcPr>
            <w:tcW w:w="689" w:type="pct"/>
            <w:shd w:val="clear" w:color="auto" w:fill="auto"/>
          </w:tcPr>
          <w:p w14:paraId="6F284245" w14:textId="77777777" w:rsidR="00D30DB1" w:rsidRPr="00045526" w:rsidRDefault="00D30DB1" w:rsidP="00D30DB1">
            <w:pPr>
              <w:spacing w:after="0" w:line="240" w:lineRule="auto"/>
              <w:rPr>
                <w:rFonts w:ascii="Calibri" w:eastAsia="MS Mincho" w:hAnsi="Calibri" w:cs="Calibri"/>
                <w:color w:val="000000"/>
                <w:lang w:val="en-GB"/>
              </w:rPr>
            </w:pPr>
          </w:p>
          <w:p w14:paraId="73EA111D" w14:textId="77777777" w:rsidR="00D30DB1" w:rsidRDefault="00D30DB1" w:rsidP="00D30DB1">
            <w:pPr>
              <w:spacing w:after="0" w:line="240" w:lineRule="auto"/>
              <w:rPr>
                <w:rFonts w:ascii="Calibri" w:eastAsia="MS Mincho" w:hAnsi="Calibri" w:cs="Calibri"/>
                <w:color w:val="000000"/>
                <w:lang w:val="en-GB"/>
              </w:rPr>
            </w:pPr>
          </w:p>
          <w:p w14:paraId="768340B5" w14:textId="71869D00" w:rsidR="005B77E4" w:rsidRPr="00045526" w:rsidRDefault="005B77E4"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387.4</w:t>
            </w:r>
          </w:p>
        </w:tc>
        <w:tc>
          <w:tcPr>
            <w:tcW w:w="919" w:type="pct"/>
            <w:shd w:val="clear" w:color="auto" w:fill="auto"/>
          </w:tcPr>
          <w:p w14:paraId="24565279" w14:textId="77777777" w:rsidR="00D30DB1" w:rsidRPr="00045526" w:rsidRDefault="00D30DB1" w:rsidP="00D30DB1">
            <w:pPr>
              <w:spacing w:after="0" w:line="240" w:lineRule="auto"/>
              <w:jc w:val="center"/>
              <w:rPr>
                <w:rFonts w:ascii="Calibri" w:eastAsia="MS Mincho" w:hAnsi="Calibri" w:cs="Angsana New"/>
                <w:color w:val="000000"/>
                <w:lang w:val="en-GB"/>
              </w:rPr>
            </w:pPr>
          </w:p>
          <w:p w14:paraId="1EA6A308" w14:textId="20272EF4" w:rsidR="00D30DB1" w:rsidRPr="00045526" w:rsidRDefault="00D30DB1" w:rsidP="00D30DB1">
            <w:pPr>
              <w:spacing w:after="0" w:line="240" w:lineRule="auto"/>
              <w:jc w:val="center"/>
              <w:rPr>
                <w:rFonts w:ascii="Calibri" w:eastAsia="MS Mincho" w:hAnsi="Calibri" w:cs="Angsana New"/>
                <w:color w:val="000000"/>
                <w:lang w:val="en-GB"/>
              </w:rPr>
            </w:pPr>
          </w:p>
          <w:p w14:paraId="79C930C9" w14:textId="4A95E6AA" w:rsidR="00D30DB1" w:rsidRPr="00045526" w:rsidRDefault="00B9076F" w:rsidP="00D30DB1">
            <w:pPr>
              <w:spacing w:after="0" w:line="240" w:lineRule="auto"/>
              <w:jc w:val="center"/>
              <w:rPr>
                <w:rFonts w:ascii="Calibri" w:eastAsia="MS Mincho" w:hAnsi="Calibri" w:cs="Angsana New"/>
                <w:color w:val="000000"/>
                <w:lang w:val="en-GB"/>
              </w:rPr>
            </w:pPr>
            <w:r>
              <w:rPr>
                <w:rFonts w:ascii="Calibri" w:eastAsia="MS Mincho" w:hAnsi="Calibri" w:cs="Angsana New"/>
                <w:color w:val="000000"/>
                <w:lang w:val="en-GB"/>
              </w:rPr>
              <w:t>44</w:t>
            </w:r>
            <w:r w:rsidR="00F6679E">
              <w:rPr>
                <w:rFonts w:ascii="Calibri" w:eastAsia="MS Mincho" w:hAnsi="Calibri" w:cs="Angsana New"/>
                <w:color w:val="000000"/>
                <w:lang w:val="en-GB"/>
              </w:rPr>
              <w:t>4</w:t>
            </w:r>
            <w:r>
              <w:rPr>
                <w:rFonts w:ascii="Calibri" w:eastAsia="MS Mincho" w:hAnsi="Calibri" w:cs="Angsana New"/>
                <w:color w:val="000000"/>
                <w:lang w:val="en-GB"/>
              </w:rPr>
              <w:t>.</w:t>
            </w:r>
            <w:r w:rsidR="00F35ED0">
              <w:rPr>
                <w:rFonts w:ascii="Calibri" w:eastAsia="MS Mincho" w:hAnsi="Calibri" w:cs="Angsana New"/>
                <w:color w:val="000000"/>
                <w:lang w:val="en-GB"/>
              </w:rPr>
              <w:t>6</w:t>
            </w:r>
          </w:p>
          <w:p w14:paraId="366188C7" w14:textId="77777777" w:rsidR="00D30DB1" w:rsidRPr="00045526" w:rsidRDefault="00D30DB1" w:rsidP="00D30DB1">
            <w:pPr>
              <w:spacing w:after="0" w:line="240" w:lineRule="auto"/>
              <w:jc w:val="center"/>
              <w:rPr>
                <w:rFonts w:ascii="Calibri" w:eastAsia="MS Mincho" w:hAnsi="Calibri" w:cs="Angsana New"/>
                <w:color w:val="000000"/>
                <w:lang w:val="en-GB"/>
              </w:rPr>
            </w:pPr>
          </w:p>
        </w:tc>
      </w:tr>
      <w:tr w:rsidR="00D30DB1" w:rsidRPr="00D30DB1" w14:paraId="4CCC9BFF" w14:textId="77777777" w:rsidTr="008354E6">
        <w:trPr>
          <w:trHeight w:val="600"/>
        </w:trPr>
        <w:tc>
          <w:tcPr>
            <w:tcW w:w="1653" w:type="pct"/>
            <w:shd w:val="clear" w:color="auto" w:fill="auto"/>
          </w:tcPr>
          <w:p w14:paraId="7C0D62E6" w14:textId="4CFC53DA" w:rsidR="00D30DB1" w:rsidRPr="00045526" w:rsidRDefault="00C831B7" w:rsidP="00C831B7">
            <w:pPr>
              <w:spacing w:after="0" w:line="240" w:lineRule="auto"/>
              <w:rPr>
                <w:rFonts w:ascii="Calibri" w:eastAsia="Times New Roman" w:hAnsi="Calibri" w:cs="Times New Roman"/>
                <w:color w:val="000000"/>
                <w:lang w:val="en-GB" w:eastAsia="zh-CN"/>
              </w:rPr>
            </w:pPr>
            <w:r>
              <w:rPr>
                <w:rFonts w:ascii="SimSun" w:hAnsi="SimSun" w:cs="SimSun" w:hint="eastAsia"/>
                <w:color w:val="000000"/>
                <w:lang w:val="en-GB" w:eastAsia="zh-CN"/>
              </w:rPr>
              <w:t>旱地</w:t>
            </w:r>
            <w:r>
              <w:rPr>
                <w:rFonts w:hint="eastAsia"/>
                <w:lang w:eastAsia="zh-CN"/>
              </w:rPr>
              <w:t>可持续陆地景观方案</w:t>
            </w:r>
            <w:r w:rsidR="002855CD" w:rsidRPr="00045526">
              <w:rPr>
                <w:rFonts w:ascii="Calibri" w:eastAsia="Times New Roman" w:hAnsi="Calibri" w:cs="Times New Roman"/>
                <w:color w:val="000000"/>
                <w:lang w:val="en-GB" w:eastAsia="zh-CN"/>
              </w:rPr>
              <w:t xml:space="preserve"> </w:t>
            </w:r>
          </w:p>
        </w:tc>
        <w:tc>
          <w:tcPr>
            <w:tcW w:w="893" w:type="pct"/>
            <w:shd w:val="clear" w:color="auto" w:fill="auto"/>
            <w:hideMark/>
          </w:tcPr>
          <w:p w14:paraId="2898082B" w14:textId="386A08EF" w:rsidR="00D30DB1" w:rsidRPr="00045526" w:rsidRDefault="002855CD" w:rsidP="00AA3F32">
            <w:pPr>
              <w:spacing w:after="0" w:line="240" w:lineRule="auto"/>
              <w:rPr>
                <w:rFonts w:ascii="Calibri" w:eastAsia="Times New Roman" w:hAnsi="Calibri" w:cs="Times New Roman"/>
                <w:color w:val="000000"/>
                <w:lang w:val="en-GB"/>
              </w:rPr>
            </w:pPr>
            <w:r w:rsidRPr="00045526">
              <w:rPr>
                <w:rFonts w:ascii="Calibri" w:eastAsia="Times New Roman" w:hAnsi="Calibri" w:cs="Times New Roman"/>
                <w:color w:val="000000"/>
                <w:lang w:val="en-GB"/>
              </w:rPr>
              <w:t>7, 11, 14, 15</w:t>
            </w:r>
            <w:r w:rsidR="00F35B14">
              <w:rPr>
                <w:rFonts w:ascii="Calibri" w:eastAsia="Times New Roman" w:hAnsi="Calibri" w:cs="Times New Roman"/>
                <w:color w:val="000000"/>
                <w:lang w:val="en-GB"/>
              </w:rPr>
              <w:t>和</w:t>
            </w:r>
            <w:r w:rsidRPr="00045526">
              <w:rPr>
                <w:rFonts w:ascii="Calibri" w:eastAsia="Times New Roman" w:hAnsi="Calibri" w:cs="Times New Roman"/>
                <w:color w:val="000000"/>
                <w:lang w:val="en-GB"/>
              </w:rPr>
              <w:t xml:space="preserve"> 19</w:t>
            </w:r>
          </w:p>
          <w:p w14:paraId="6B7E21C6" w14:textId="3ECA0DD5" w:rsidR="00D30DB1" w:rsidRPr="00045526" w:rsidRDefault="00D30DB1" w:rsidP="00D30DB1">
            <w:pPr>
              <w:spacing w:after="0" w:line="240" w:lineRule="auto"/>
              <w:jc w:val="both"/>
              <w:rPr>
                <w:rFonts w:ascii="Calibri" w:eastAsia="Times New Roman" w:hAnsi="Calibri" w:cs="Times New Roman"/>
                <w:color w:val="000000"/>
                <w:lang w:val="en-GB"/>
              </w:rPr>
            </w:pPr>
          </w:p>
        </w:tc>
        <w:tc>
          <w:tcPr>
            <w:tcW w:w="846" w:type="pct"/>
            <w:shd w:val="clear" w:color="auto" w:fill="auto"/>
          </w:tcPr>
          <w:p w14:paraId="60E2A60F" w14:textId="3E666172" w:rsidR="00D30DB1" w:rsidRPr="00045526" w:rsidRDefault="00BE6B75"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95.8</w:t>
            </w:r>
          </w:p>
          <w:p w14:paraId="72097479" w14:textId="21041A85" w:rsidR="00D30DB1" w:rsidRPr="00045526" w:rsidRDefault="00D30DB1" w:rsidP="00D30DB1">
            <w:pPr>
              <w:spacing w:after="0" w:line="240" w:lineRule="auto"/>
              <w:rPr>
                <w:rFonts w:ascii="Calibri" w:eastAsia="MS Mincho" w:hAnsi="Calibri" w:cs="Calibri"/>
                <w:color w:val="000000"/>
                <w:lang w:val="en-GB"/>
              </w:rPr>
            </w:pPr>
          </w:p>
        </w:tc>
        <w:tc>
          <w:tcPr>
            <w:tcW w:w="689" w:type="pct"/>
            <w:shd w:val="clear" w:color="auto" w:fill="auto"/>
          </w:tcPr>
          <w:p w14:paraId="6FC63CCA" w14:textId="153B59A7" w:rsidR="00D30DB1" w:rsidRPr="00045526" w:rsidRDefault="00BE6B75" w:rsidP="00D30DB1">
            <w:pPr>
              <w:spacing w:after="0" w:line="240" w:lineRule="auto"/>
              <w:rPr>
                <w:rFonts w:ascii="Calibri" w:eastAsia="MS Mincho" w:hAnsi="Calibri" w:cs="Calibri"/>
                <w:color w:val="000000"/>
                <w:lang w:val="en-GB"/>
              </w:rPr>
            </w:pPr>
            <w:r>
              <w:rPr>
                <w:rFonts w:ascii="Calibri" w:eastAsia="MS Mincho" w:hAnsi="Calibri" w:cs="Calibri"/>
                <w:color w:val="000000"/>
                <w:lang w:val="en-GB"/>
              </w:rPr>
              <w:t>809.1</w:t>
            </w:r>
          </w:p>
          <w:p w14:paraId="231714E2" w14:textId="7670FAB4" w:rsidR="00D30DB1" w:rsidRPr="00045526" w:rsidRDefault="00D30DB1" w:rsidP="00D30DB1">
            <w:pPr>
              <w:spacing w:after="0" w:line="240" w:lineRule="auto"/>
              <w:rPr>
                <w:rFonts w:ascii="Calibri" w:eastAsia="MS Mincho" w:hAnsi="Calibri" w:cs="Calibri"/>
                <w:color w:val="000000"/>
                <w:lang w:val="en-GB"/>
              </w:rPr>
            </w:pPr>
          </w:p>
        </w:tc>
        <w:tc>
          <w:tcPr>
            <w:tcW w:w="919" w:type="pct"/>
            <w:shd w:val="clear" w:color="auto" w:fill="auto"/>
          </w:tcPr>
          <w:p w14:paraId="4788F38C" w14:textId="50A638BF" w:rsidR="00D30DB1" w:rsidRPr="00045526" w:rsidRDefault="00BE6B75" w:rsidP="00D30DB1">
            <w:pPr>
              <w:spacing w:after="0" w:line="240" w:lineRule="auto"/>
              <w:jc w:val="center"/>
              <w:rPr>
                <w:rFonts w:ascii="Calibri" w:eastAsia="MS Mincho" w:hAnsi="Calibri" w:cs="Angsana New"/>
                <w:color w:val="000000"/>
                <w:lang w:val="en-GB"/>
              </w:rPr>
            </w:pPr>
            <w:r>
              <w:rPr>
                <w:rFonts w:ascii="Calibri" w:eastAsia="MS Mincho" w:hAnsi="Calibri" w:cs="Angsana New"/>
                <w:color w:val="000000"/>
                <w:lang w:val="en-GB"/>
              </w:rPr>
              <w:t>9</w:t>
            </w:r>
            <w:r w:rsidR="002B2CC4">
              <w:rPr>
                <w:rFonts w:ascii="Calibri" w:eastAsia="MS Mincho" w:hAnsi="Calibri" w:cs="Angsana New"/>
                <w:color w:val="000000"/>
                <w:lang w:val="en-GB"/>
              </w:rPr>
              <w:t>04.9</w:t>
            </w:r>
          </w:p>
          <w:p w14:paraId="6BF42CB4" w14:textId="125D4008" w:rsidR="00D30DB1" w:rsidRPr="00045526" w:rsidRDefault="00D30DB1" w:rsidP="00D30DB1">
            <w:pPr>
              <w:spacing w:after="0" w:line="240" w:lineRule="auto"/>
              <w:jc w:val="center"/>
              <w:rPr>
                <w:rFonts w:ascii="Calibri" w:eastAsia="MS Mincho" w:hAnsi="Calibri" w:cs="Angsana New"/>
                <w:color w:val="000000"/>
                <w:lang w:val="en-GB"/>
              </w:rPr>
            </w:pPr>
          </w:p>
          <w:p w14:paraId="1163F658" w14:textId="77777777" w:rsidR="00D30DB1" w:rsidRPr="00045526" w:rsidRDefault="00D30DB1" w:rsidP="00D30DB1">
            <w:pPr>
              <w:spacing w:after="0" w:line="240" w:lineRule="auto"/>
              <w:jc w:val="center"/>
              <w:rPr>
                <w:rFonts w:ascii="Calibri" w:eastAsia="MS Mincho" w:hAnsi="Calibri" w:cs="Angsana New"/>
                <w:color w:val="000000"/>
                <w:lang w:val="en-GB"/>
              </w:rPr>
            </w:pPr>
          </w:p>
          <w:p w14:paraId="42EE58AC" w14:textId="77777777" w:rsidR="00D30DB1" w:rsidRPr="00045526" w:rsidRDefault="00D30DB1" w:rsidP="00D30DB1">
            <w:pPr>
              <w:spacing w:after="0" w:line="240" w:lineRule="auto"/>
              <w:jc w:val="center"/>
              <w:rPr>
                <w:rFonts w:ascii="Calibri" w:eastAsia="MS Mincho" w:hAnsi="Calibri" w:cs="Angsana New"/>
                <w:color w:val="000000"/>
                <w:lang w:val="en-GB"/>
              </w:rPr>
            </w:pPr>
          </w:p>
        </w:tc>
      </w:tr>
      <w:tr w:rsidR="00D30DB1" w:rsidRPr="00D30DB1" w14:paraId="5840972E" w14:textId="77777777" w:rsidTr="008354E6">
        <w:trPr>
          <w:trHeight w:val="292"/>
        </w:trPr>
        <w:tc>
          <w:tcPr>
            <w:tcW w:w="1653" w:type="pct"/>
            <w:shd w:val="clear" w:color="auto" w:fill="auto"/>
          </w:tcPr>
          <w:p w14:paraId="6089537C" w14:textId="77777777" w:rsidR="00D30DB1" w:rsidRPr="00045526" w:rsidRDefault="00D30DB1" w:rsidP="00D30DB1">
            <w:pPr>
              <w:spacing w:after="0" w:line="240" w:lineRule="auto"/>
              <w:rPr>
                <w:rFonts w:ascii="Calibri" w:eastAsia="Times New Roman" w:hAnsi="Calibri" w:cs="Times New Roman"/>
                <w:b/>
                <w:color w:val="000000"/>
                <w:lang w:val="en-GB"/>
              </w:rPr>
            </w:pPr>
          </w:p>
          <w:p w14:paraId="0F54B1B0" w14:textId="2F818216" w:rsidR="00D30DB1" w:rsidRPr="00045526" w:rsidRDefault="00C831B7" w:rsidP="00C831B7">
            <w:pPr>
              <w:spacing w:after="0" w:line="240" w:lineRule="auto"/>
              <w:rPr>
                <w:rFonts w:ascii="Calibri" w:eastAsia="Times New Roman" w:hAnsi="Calibri" w:cs="Times New Roman"/>
                <w:b/>
                <w:color w:val="000000"/>
                <w:lang w:val="en-GB"/>
              </w:rPr>
            </w:pPr>
            <w:proofErr w:type="spellStart"/>
            <w:r>
              <w:rPr>
                <w:rFonts w:ascii="SimSun" w:hAnsi="SimSun" w:cs="SimSun" w:hint="eastAsia"/>
                <w:b/>
                <w:color w:val="000000"/>
                <w:lang w:val="en-GB"/>
              </w:rPr>
              <w:t>共计</w:t>
            </w:r>
            <w:proofErr w:type="spellEnd"/>
          </w:p>
        </w:tc>
        <w:tc>
          <w:tcPr>
            <w:tcW w:w="893" w:type="pct"/>
            <w:shd w:val="clear" w:color="auto" w:fill="auto"/>
          </w:tcPr>
          <w:p w14:paraId="3F316728" w14:textId="77777777" w:rsidR="00D30DB1" w:rsidRPr="00045526" w:rsidRDefault="00D30DB1" w:rsidP="00D30DB1">
            <w:pPr>
              <w:spacing w:after="0" w:line="240" w:lineRule="auto"/>
              <w:rPr>
                <w:rFonts w:ascii="Calibri" w:eastAsia="Times New Roman" w:hAnsi="Calibri" w:cs="Times New Roman"/>
                <w:b/>
                <w:color w:val="000000"/>
                <w:lang w:val="en-GB"/>
              </w:rPr>
            </w:pPr>
          </w:p>
        </w:tc>
        <w:tc>
          <w:tcPr>
            <w:tcW w:w="846" w:type="pct"/>
            <w:shd w:val="clear" w:color="auto" w:fill="auto"/>
          </w:tcPr>
          <w:p w14:paraId="34B439CB" w14:textId="77777777" w:rsidR="00D30DB1" w:rsidRDefault="00D30DB1" w:rsidP="00D30DB1">
            <w:pPr>
              <w:spacing w:after="0" w:line="240" w:lineRule="auto"/>
              <w:rPr>
                <w:rFonts w:ascii="Calibri" w:eastAsia="MS Mincho" w:hAnsi="Calibri" w:cs="Calibri"/>
                <w:b/>
                <w:bCs/>
                <w:color w:val="000000"/>
                <w:lang w:val="en-GB"/>
              </w:rPr>
            </w:pPr>
          </w:p>
          <w:p w14:paraId="2D9EBC43" w14:textId="6FF4806E" w:rsidR="00BE6B75" w:rsidRPr="00045526" w:rsidRDefault="001915B0" w:rsidP="00D30DB1">
            <w:pPr>
              <w:spacing w:after="0" w:line="240" w:lineRule="auto"/>
              <w:rPr>
                <w:rFonts w:ascii="Calibri" w:eastAsia="MS Mincho" w:hAnsi="Calibri" w:cs="Calibri"/>
                <w:b/>
                <w:bCs/>
                <w:color w:val="000000"/>
                <w:lang w:val="en-GB"/>
              </w:rPr>
            </w:pPr>
            <w:r>
              <w:rPr>
                <w:rFonts w:ascii="Calibri" w:eastAsia="MS Mincho" w:hAnsi="Calibri" w:cs="Calibri"/>
                <w:b/>
                <w:bCs/>
                <w:color w:val="000000"/>
                <w:lang w:val="en-GB"/>
              </w:rPr>
              <w:t>241.</w:t>
            </w:r>
            <w:r w:rsidR="00160F7C">
              <w:rPr>
                <w:rFonts w:ascii="Calibri" w:eastAsia="MS Mincho" w:hAnsi="Calibri" w:cs="Calibri"/>
                <w:b/>
                <w:bCs/>
                <w:color w:val="000000"/>
                <w:lang w:val="en-GB"/>
              </w:rPr>
              <w:t>3</w:t>
            </w:r>
          </w:p>
        </w:tc>
        <w:tc>
          <w:tcPr>
            <w:tcW w:w="689" w:type="pct"/>
            <w:shd w:val="clear" w:color="auto" w:fill="auto"/>
          </w:tcPr>
          <w:p w14:paraId="36D88234" w14:textId="77777777" w:rsidR="00D30DB1" w:rsidRDefault="00D30DB1" w:rsidP="00D30DB1">
            <w:pPr>
              <w:spacing w:after="0" w:line="240" w:lineRule="auto"/>
              <w:rPr>
                <w:rFonts w:ascii="Calibri" w:eastAsia="MS Mincho" w:hAnsi="Calibri" w:cs="Calibri"/>
                <w:b/>
                <w:bCs/>
                <w:color w:val="000000"/>
                <w:lang w:val="en-GB"/>
              </w:rPr>
            </w:pPr>
          </w:p>
          <w:p w14:paraId="1C3A6273" w14:textId="7B4D0486" w:rsidR="001915B0" w:rsidRPr="00045526" w:rsidRDefault="00014557" w:rsidP="00D30DB1">
            <w:pPr>
              <w:spacing w:after="0" w:line="240" w:lineRule="auto"/>
              <w:rPr>
                <w:rFonts w:ascii="Calibri" w:eastAsia="MS Mincho" w:hAnsi="Calibri" w:cs="Calibri"/>
                <w:b/>
                <w:bCs/>
                <w:color w:val="000000"/>
                <w:lang w:val="en-GB"/>
              </w:rPr>
            </w:pPr>
            <w:r>
              <w:rPr>
                <w:rFonts w:ascii="Calibri" w:eastAsia="MS Mincho" w:hAnsi="Calibri" w:cs="Calibri"/>
                <w:b/>
                <w:bCs/>
                <w:color w:val="000000"/>
                <w:lang w:val="en-GB"/>
              </w:rPr>
              <w:t>1,706</w:t>
            </w:r>
          </w:p>
        </w:tc>
        <w:tc>
          <w:tcPr>
            <w:tcW w:w="919" w:type="pct"/>
            <w:shd w:val="clear" w:color="auto" w:fill="auto"/>
          </w:tcPr>
          <w:p w14:paraId="06B0F69D" w14:textId="77777777" w:rsidR="00D30DB1" w:rsidRDefault="00D30DB1" w:rsidP="00D30DB1">
            <w:pPr>
              <w:spacing w:after="0" w:line="240" w:lineRule="auto"/>
              <w:jc w:val="center"/>
              <w:rPr>
                <w:rFonts w:ascii="Calibri" w:eastAsia="MS Mincho" w:hAnsi="Calibri" w:cs="Angsana New"/>
                <w:b/>
                <w:color w:val="000000"/>
                <w:lang w:val="en-GB"/>
              </w:rPr>
            </w:pPr>
          </w:p>
          <w:p w14:paraId="4A59207F" w14:textId="7CA71805" w:rsidR="00014557" w:rsidRPr="00045526" w:rsidRDefault="009342E3" w:rsidP="00D30DB1">
            <w:pPr>
              <w:spacing w:after="0" w:line="240" w:lineRule="auto"/>
              <w:jc w:val="center"/>
              <w:rPr>
                <w:rFonts w:ascii="Calibri" w:eastAsia="MS Mincho" w:hAnsi="Calibri" w:cs="Angsana New"/>
                <w:b/>
                <w:color w:val="000000"/>
                <w:lang w:val="en-GB"/>
              </w:rPr>
            </w:pPr>
            <w:r>
              <w:rPr>
                <w:rFonts w:ascii="Calibri" w:eastAsia="MS Mincho" w:hAnsi="Calibri" w:cs="Angsana New"/>
                <w:b/>
                <w:color w:val="000000"/>
                <w:lang w:val="en-GB"/>
              </w:rPr>
              <w:t>1,9</w:t>
            </w:r>
            <w:r w:rsidR="00394E61">
              <w:rPr>
                <w:rFonts w:ascii="Calibri" w:eastAsia="MS Mincho" w:hAnsi="Calibri" w:cs="Angsana New"/>
                <w:b/>
                <w:color w:val="000000"/>
                <w:lang w:val="en-GB"/>
              </w:rPr>
              <w:t>47.3</w:t>
            </w:r>
          </w:p>
        </w:tc>
      </w:tr>
      <w:bookmarkEnd w:id="13"/>
    </w:tbl>
    <w:p w14:paraId="2FDB000D" w14:textId="77777777" w:rsidR="00B44248" w:rsidRDefault="00B44248" w:rsidP="00D30DB1">
      <w:pPr>
        <w:spacing w:before="120" w:after="120" w:line="240" w:lineRule="auto"/>
        <w:rPr>
          <w:rFonts w:ascii="Calibri" w:eastAsia="MS Mincho" w:hAnsi="Calibri" w:cs="Times New Roman"/>
          <w:b/>
          <w:snapToGrid w:val="0"/>
          <w:sz w:val="24"/>
          <w:szCs w:val="24"/>
          <w:u w:val="single"/>
        </w:rPr>
      </w:pPr>
    </w:p>
    <w:p w14:paraId="40F4A0E5" w14:textId="71655C6E" w:rsidR="00D30DB1" w:rsidRPr="003E3CE1" w:rsidRDefault="004C0B6C" w:rsidP="00475312">
      <w:pPr>
        <w:pStyle w:val="Heading3"/>
        <w:rPr>
          <w:snapToGrid w:val="0"/>
        </w:rPr>
      </w:pPr>
      <w:r>
        <w:rPr>
          <w:snapToGrid w:val="0"/>
        </w:rPr>
        <w:t>可持续城市</w:t>
      </w:r>
    </w:p>
    <w:p w14:paraId="5897DD99" w14:textId="0A96E7D0" w:rsidR="004C0B6C" w:rsidRPr="00F35B14" w:rsidRDefault="004C0B6C"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可持续城市影响方案</w:t>
      </w:r>
      <w:r w:rsidR="001D6FE4" w:rsidRPr="00F35B14">
        <w:rPr>
          <w:rFonts w:hint="eastAsia"/>
          <w:sz w:val="24"/>
          <w:szCs w:val="24"/>
          <w:lang w:eastAsia="zh-CN"/>
        </w:rPr>
        <w:t>建立在全环基金第六次增资期间的</w:t>
      </w:r>
      <w:r w:rsidRPr="00F35B14">
        <w:rPr>
          <w:rFonts w:hint="eastAsia"/>
          <w:sz w:val="24"/>
          <w:szCs w:val="24"/>
          <w:lang w:eastAsia="zh-CN"/>
        </w:rPr>
        <w:t>可持续城市综合方法试点的经验</w:t>
      </w:r>
      <w:r w:rsidR="001D6FE4" w:rsidRPr="00F35B14">
        <w:rPr>
          <w:rFonts w:hint="eastAsia"/>
          <w:sz w:val="24"/>
          <w:szCs w:val="24"/>
          <w:lang w:eastAsia="zh-CN"/>
        </w:rPr>
        <w:t>上。</w:t>
      </w:r>
      <w:r w:rsidRPr="00F35B14">
        <w:rPr>
          <w:rFonts w:hint="eastAsia"/>
          <w:sz w:val="24"/>
          <w:szCs w:val="24"/>
          <w:lang w:eastAsia="zh-CN"/>
        </w:rPr>
        <w:t>该</w:t>
      </w:r>
      <w:r w:rsidR="001D6FE4" w:rsidRPr="00F35B14">
        <w:rPr>
          <w:rFonts w:hint="eastAsia"/>
          <w:sz w:val="24"/>
          <w:szCs w:val="24"/>
          <w:lang w:eastAsia="zh-CN"/>
        </w:rPr>
        <w:t>方案</w:t>
      </w:r>
      <w:r w:rsidRPr="00F35B14">
        <w:rPr>
          <w:rFonts w:hint="eastAsia"/>
          <w:sz w:val="24"/>
          <w:szCs w:val="24"/>
          <w:lang w:eastAsia="zh-CN"/>
        </w:rPr>
        <w:t>的主旨</w:t>
      </w:r>
      <w:r w:rsidR="001D6FE4" w:rsidRPr="00F35B14">
        <w:rPr>
          <w:rFonts w:hint="eastAsia"/>
          <w:sz w:val="24"/>
          <w:szCs w:val="24"/>
          <w:lang w:eastAsia="zh-CN"/>
        </w:rPr>
        <w:t>维持</w:t>
      </w:r>
      <w:r w:rsidRPr="00F35B14">
        <w:rPr>
          <w:rFonts w:hint="eastAsia"/>
          <w:sz w:val="24"/>
          <w:szCs w:val="24"/>
          <w:lang w:eastAsia="zh-CN"/>
        </w:rPr>
        <w:t>不变，即通过加强政策和</w:t>
      </w:r>
      <w:r w:rsidR="001D6FE4" w:rsidRPr="00F35B14">
        <w:rPr>
          <w:rFonts w:hint="eastAsia"/>
          <w:sz w:val="24"/>
          <w:szCs w:val="24"/>
          <w:lang w:eastAsia="zh-CN"/>
        </w:rPr>
        <w:t>供资</w:t>
      </w:r>
      <w:r w:rsidRPr="00F35B14">
        <w:rPr>
          <w:rFonts w:hint="eastAsia"/>
          <w:sz w:val="24"/>
          <w:szCs w:val="24"/>
          <w:lang w:eastAsia="zh-CN"/>
        </w:rPr>
        <w:t>环境来支持可持续</w:t>
      </w:r>
      <w:r w:rsidR="001D6FE4" w:rsidRPr="00F35B14">
        <w:rPr>
          <w:rFonts w:hint="eastAsia"/>
          <w:sz w:val="24"/>
          <w:szCs w:val="24"/>
          <w:lang w:eastAsia="zh-CN"/>
        </w:rPr>
        <w:t>的</w:t>
      </w:r>
      <w:r w:rsidRPr="00F35B14">
        <w:rPr>
          <w:rFonts w:hint="eastAsia"/>
          <w:sz w:val="24"/>
          <w:szCs w:val="24"/>
          <w:lang w:eastAsia="zh-CN"/>
        </w:rPr>
        <w:t>综合城市规划，以促进改善城市基础设施</w:t>
      </w:r>
      <w:r w:rsidR="001D6FE4" w:rsidRPr="00F35B14">
        <w:rPr>
          <w:rFonts w:hint="eastAsia"/>
          <w:sz w:val="24"/>
          <w:szCs w:val="24"/>
          <w:lang w:eastAsia="zh-CN"/>
        </w:rPr>
        <w:t>的创新</w:t>
      </w:r>
      <w:r w:rsidR="000D7C86" w:rsidRPr="00F35B14">
        <w:rPr>
          <w:rFonts w:hint="eastAsia"/>
          <w:sz w:val="24"/>
          <w:szCs w:val="24"/>
          <w:lang w:eastAsia="zh-CN"/>
        </w:rPr>
        <w:t>和</w:t>
      </w:r>
      <w:r w:rsidRPr="00F35B14">
        <w:rPr>
          <w:rFonts w:hint="eastAsia"/>
          <w:sz w:val="24"/>
          <w:szCs w:val="24"/>
          <w:lang w:eastAsia="zh-CN"/>
        </w:rPr>
        <w:t>改善城市在各级和对所有</w:t>
      </w:r>
      <w:r w:rsidR="001D6FE4" w:rsidRPr="00F35B14">
        <w:rPr>
          <w:rFonts w:hint="eastAsia"/>
          <w:sz w:val="24"/>
          <w:szCs w:val="24"/>
          <w:lang w:eastAsia="zh-CN"/>
        </w:rPr>
        <w:t>利益攸关方</w:t>
      </w:r>
      <w:r w:rsidRPr="00F35B14">
        <w:rPr>
          <w:rFonts w:hint="eastAsia"/>
          <w:sz w:val="24"/>
          <w:szCs w:val="24"/>
          <w:lang w:eastAsia="zh-CN"/>
        </w:rPr>
        <w:t>的运作方式。影响</w:t>
      </w:r>
      <w:r w:rsidR="001D6FE4" w:rsidRPr="00F35B14">
        <w:rPr>
          <w:rFonts w:hint="eastAsia"/>
          <w:sz w:val="24"/>
          <w:szCs w:val="24"/>
          <w:lang w:eastAsia="zh-CN"/>
        </w:rPr>
        <w:t>方案</w:t>
      </w:r>
      <w:r w:rsidRPr="00F35B14">
        <w:rPr>
          <w:rFonts w:hint="eastAsia"/>
          <w:sz w:val="24"/>
          <w:szCs w:val="24"/>
          <w:lang w:eastAsia="zh-CN"/>
        </w:rPr>
        <w:t>通过在能源</w:t>
      </w:r>
      <w:r w:rsidR="001D6FE4" w:rsidRPr="00F35B14">
        <w:rPr>
          <w:rFonts w:hint="eastAsia"/>
          <w:sz w:val="24"/>
          <w:szCs w:val="24"/>
          <w:lang w:eastAsia="zh-CN"/>
        </w:rPr>
        <w:t>、</w:t>
      </w:r>
      <w:r w:rsidRPr="00F35B14">
        <w:rPr>
          <w:rFonts w:hint="eastAsia"/>
          <w:sz w:val="24"/>
          <w:szCs w:val="24"/>
          <w:lang w:eastAsia="zh-CN"/>
        </w:rPr>
        <w:t>建筑</w:t>
      </w:r>
      <w:r w:rsidR="001D6FE4" w:rsidRPr="00F35B14">
        <w:rPr>
          <w:rFonts w:hint="eastAsia"/>
          <w:sz w:val="24"/>
          <w:szCs w:val="24"/>
          <w:lang w:eastAsia="zh-CN"/>
        </w:rPr>
        <w:t>、</w:t>
      </w:r>
      <w:r w:rsidRPr="00F35B14">
        <w:rPr>
          <w:rFonts w:hint="eastAsia"/>
          <w:sz w:val="24"/>
          <w:szCs w:val="24"/>
          <w:lang w:eastAsia="zh-CN"/>
        </w:rPr>
        <w:t>交通</w:t>
      </w:r>
      <w:r w:rsidR="001D6FE4" w:rsidRPr="00F35B14">
        <w:rPr>
          <w:rFonts w:hint="eastAsia"/>
          <w:sz w:val="24"/>
          <w:szCs w:val="24"/>
          <w:lang w:eastAsia="zh-CN"/>
        </w:rPr>
        <w:t>、</w:t>
      </w:r>
      <w:r w:rsidRPr="00F35B14">
        <w:rPr>
          <w:rFonts w:hint="eastAsia"/>
          <w:sz w:val="24"/>
          <w:szCs w:val="24"/>
          <w:lang w:eastAsia="zh-CN"/>
        </w:rPr>
        <w:t>城市食品系统</w:t>
      </w:r>
      <w:r w:rsidR="001D6FE4" w:rsidRPr="00F35B14">
        <w:rPr>
          <w:rFonts w:hint="eastAsia"/>
          <w:sz w:val="24"/>
          <w:szCs w:val="24"/>
          <w:lang w:eastAsia="zh-CN"/>
        </w:rPr>
        <w:t>、</w:t>
      </w:r>
      <w:r w:rsidRPr="00F35B14">
        <w:rPr>
          <w:rFonts w:hint="eastAsia"/>
          <w:sz w:val="24"/>
          <w:szCs w:val="24"/>
          <w:lang w:eastAsia="zh-CN"/>
        </w:rPr>
        <w:t>城市固体废物和废水的管理以及</w:t>
      </w:r>
      <w:r w:rsidR="001D6FE4" w:rsidRPr="00F35B14">
        <w:rPr>
          <w:rFonts w:hint="eastAsia"/>
          <w:sz w:val="24"/>
          <w:szCs w:val="24"/>
          <w:lang w:eastAsia="zh-CN"/>
        </w:rPr>
        <w:t>利用</w:t>
      </w:r>
      <w:r w:rsidRPr="00F35B14">
        <w:rPr>
          <w:rFonts w:hint="eastAsia"/>
          <w:sz w:val="24"/>
          <w:szCs w:val="24"/>
          <w:lang w:eastAsia="zh-CN"/>
        </w:rPr>
        <w:t>绿色空间和基础设施方面的空间整合解决方案，支持可持续城市规划。</w:t>
      </w:r>
    </w:p>
    <w:p w14:paraId="22CF49E3" w14:textId="5F4C0F2D" w:rsidR="000D7C86" w:rsidRPr="00F35B14" w:rsidRDefault="000D7C86"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该方案将通过两个相互关联的组成部分产生成果：</w:t>
      </w:r>
      <w:r w:rsidRPr="00F35B14">
        <w:rPr>
          <w:rFonts w:hint="eastAsia"/>
          <w:sz w:val="24"/>
          <w:szCs w:val="24"/>
          <w:lang w:eastAsia="zh-CN"/>
        </w:rPr>
        <w:t>a</w:t>
      </w:r>
      <w:r w:rsidRPr="00F35B14">
        <w:rPr>
          <w:rFonts w:hint="eastAsia"/>
          <w:sz w:val="24"/>
          <w:szCs w:val="24"/>
          <w:lang w:eastAsia="zh-CN"/>
        </w:rPr>
        <w:t>）促进城市一级综合解决办法和投资的创新商业模式；</w:t>
      </w:r>
      <w:r w:rsidRPr="00F35B14">
        <w:rPr>
          <w:rFonts w:hint="eastAsia"/>
          <w:sz w:val="24"/>
          <w:szCs w:val="24"/>
          <w:lang w:eastAsia="zh-CN"/>
        </w:rPr>
        <w:t>b</w:t>
      </w:r>
      <w:r w:rsidRPr="00F35B14">
        <w:rPr>
          <w:rFonts w:hint="eastAsia"/>
          <w:sz w:val="24"/>
          <w:szCs w:val="24"/>
          <w:lang w:eastAsia="zh-CN"/>
        </w:rPr>
        <w:t>）加强关于城市可持续性规划和投资的知识交流。该方案通过去碳化、降低土地退化和消除有害化学物质的方法，</w:t>
      </w:r>
      <w:r w:rsidR="00E627B4" w:rsidRPr="00F35B14">
        <w:rPr>
          <w:rFonts w:hint="eastAsia"/>
          <w:sz w:val="24"/>
          <w:szCs w:val="24"/>
          <w:lang w:eastAsia="zh-CN"/>
        </w:rPr>
        <w:t>将为</w:t>
      </w:r>
      <w:r w:rsidRPr="00F35B14">
        <w:rPr>
          <w:rFonts w:hint="eastAsia"/>
          <w:sz w:val="24"/>
          <w:szCs w:val="24"/>
          <w:lang w:eastAsia="zh-CN"/>
        </w:rPr>
        <w:t>全球环境带来多种</w:t>
      </w:r>
      <w:r w:rsidR="00E627B4" w:rsidRPr="00F35B14">
        <w:rPr>
          <w:rFonts w:hint="eastAsia"/>
          <w:sz w:val="24"/>
          <w:szCs w:val="24"/>
          <w:lang w:eastAsia="zh-CN"/>
        </w:rPr>
        <w:t>效益</w:t>
      </w:r>
      <w:r w:rsidRPr="00F35B14">
        <w:rPr>
          <w:rFonts w:hint="eastAsia"/>
          <w:sz w:val="24"/>
          <w:szCs w:val="24"/>
          <w:lang w:eastAsia="zh-CN"/>
        </w:rPr>
        <w:t>。关于《生物多样性公约》，</w:t>
      </w:r>
      <w:r w:rsidR="00E627B4" w:rsidRPr="00F35B14">
        <w:rPr>
          <w:rFonts w:hint="eastAsia"/>
          <w:sz w:val="24"/>
          <w:szCs w:val="24"/>
          <w:lang w:eastAsia="zh-CN"/>
        </w:rPr>
        <w:t>主要</w:t>
      </w:r>
      <w:r w:rsidRPr="00F35B14">
        <w:rPr>
          <w:rFonts w:hint="eastAsia"/>
          <w:sz w:val="24"/>
          <w:szCs w:val="24"/>
          <w:lang w:eastAsia="zh-CN"/>
        </w:rPr>
        <w:t>基于证据的空间规划</w:t>
      </w:r>
      <w:r w:rsidR="00E627B4" w:rsidRPr="00F35B14">
        <w:rPr>
          <w:rFonts w:hint="eastAsia"/>
          <w:sz w:val="24"/>
          <w:szCs w:val="24"/>
          <w:lang w:eastAsia="zh-CN"/>
        </w:rPr>
        <w:t>方案</w:t>
      </w:r>
      <w:r w:rsidRPr="00F35B14">
        <w:rPr>
          <w:rFonts w:hint="eastAsia"/>
          <w:sz w:val="24"/>
          <w:szCs w:val="24"/>
          <w:lang w:eastAsia="zh-CN"/>
        </w:rPr>
        <w:t>将产生最大的生物多样性惠益。</w:t>
      </w:r>
    </w:p>
    <w:p w14:paraId="03EF23C4" w14:textId="78EC2807" w:rsidR="00E627B4" w:rsidRPr="00F35B14" w:rsidRDefault="00E627B4"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eastAsia="zh-CN"/>
        </w:rPr>
      </w:pPr>
      <w:r w:rsidRPr="00F35B14">
        <w:rPr>
          <w:rFonts w:hint="eastAsia"/>
          <w:sz w:val="24"/>
          <w:szCs w:val="24"/>
          <w:lang w:eastAsia="zh-CN"/>
        </w:rPr>
        <w:t>下表</w:t>
      </w:r>
      <w:r w:rsidRPr="00F35B14">
        <w:rPr>
          <w:rFonts w:hint="eastAsia"/>
          <w:sz w:val="24"/>
          <w:szCs w:val="24"/>
          <w:lang w:eastAsia="zh-CN"/>
        </w:rPr>
        <w:t>8</w:t>
      </w:r>
      <w:r w:rsidRPr="00F35B14">
        <w:rPr>
          <w:rFonts w:hint="eastAsia"/>
          <w:sz w:val="24"/>
          <w:szCs w:val="24"/>
          <w:lang w:eastAsia="zh-CN"/>
        </w:rPr>
        <w:t>说明全球环境基金可持续城市影响方案资源对实现各国优先考虑的爱知生物多样性目标的贡献。在可持续城市影响方案中，在全环基金项目供资的</w:t>
      </w:r>
      <w:r w:rsidRPr="00F35B14">
        <w:rPr>
          <w:rFonts w:hint="eastAsia"/>
          <w:sz w:val="24"/>
          <w:szCs w:val="24"/>
          <w:lang w:eastAsia="zh-CN"/>
        </w:rPr>
        <w:t>1.467</w:t>
      </w:r>
      <w:r w:rsidRPr="00F35B14">
        <w:rPr>
          <w:rFonts w:hint="eastAsia"/>
          <w:sz w:val="24"/>
          <w:szCs w:val="24"/>
          <w:lang w:eastAsia="zh-CN"/>
        </w:rPr>
        <w:t>亿美元中，有</w:t>
      </w:r>
      <w:r w:rsidRPr="00F35B14">
        <w:rPr>
          <w:rFonts w:hint="eastAsia"/>
          <w:sz w:val="24"/>
          <w:szCs w:val="24"/>
          <w:lang w:eastAsia="zh-CN"/>
        </w:rPr>
        <w:t>3330</w:t>
      </w:r>
      <w:r w:rsidRPr="00F35B14">
        <w:rPr>
          <w:rFonts w:hint="eastAsia"/>
          <w:sz w:val="24"/>
          <w:szCs w:val="24"/>
          <w:lang w:eastAsia="zh-CN"/>
        </w:rPr>
        <w:t>万美元来自资金透明分配系统（</w:t>
      </w:r>
      <w:r w:rsidRPr="00F35B14">
        <w:rPr>
          <w:rFonts w:hint="eastAsia"/>
          <w:sz w:val="24"/>
          <w:szCs w:val="24"/>
          <w:lang w:eastAsia="zh-CN"/>
        </w:rPr>
        <w:t>STAR</w:t>
      </w:r>
      <w:r w:rsidRPr="00F35B14">
        <w:rPr>
          <w:rFonts w:hint="eastAsia"/>
          <w:sz w:val="24"/>
          <w:szCs w:val="24"/>
          <w:lang w:eastAsia="zh-CN"/>
        </w:rPr>
        <w:t>）项下的生物多样性重点领域分配款。</w:t>
      </w:r>
    </w:p>
    <w:p w14:paraId="6E60DF65" w14:textId="0CFA8BD8" w:rsidR="00906D50" w:rsidRPr="00906D50" w:rsidRDefault="00906D50" w:rsidP="00D722AE">
      <w:pPr>
        <w:spacing w:before="240" w:after="240" w:line="240" w:lineRule="auto"/>
        <w:jc w:val="center"/>
        <w:rPr>
          <w:rFonts w:ascii="Calibri" w:eastAsia="DengXian" w:hAnsi="Calibri" w:cs="Times New Roman"/>
          <w:b/>
          <w:snapToGrid w:val="0"/>
          <w:sz w:val="24"/>
          <w:szCs w:val="24"/>
          <w:lang w:val="en-GB" w:eastAsia="zh-CN"/>
        </w:rPr>
      </w:pPr>
      <w:r w:rsidRPr="00656983">
        <w:rPr>
          <w:rFonts w:ascii="Times New Roman" w:hAnsi="Times New Roman" w:cs="Times New Roman"/>
          <w:b/>
          <w:snapToGrid w:val="0"/>
          <w:lang w:val="en-GB" w:eastAsia="zh-CN"/>
        </w:rPr>
        <w:t>表</w:t>
      </w:r>
      <w:r>
        <w:rPr>
          <w:rFonts w:ascii="Times New Roman" w:hAnsi="Times New Roman" w:cs="Times New Roman" w:hint="eastAsia"/>
          <w:b/>
          <w:snapToGrid w:val="0"/>
          <w:lang w:val="en-GB" w:eastAsia="zh-CN"/>
        </w:rPr>
        <w:t>8</w:t>
      </w:r>
      <w:r w:rsidRPr="00656983">
        <w:rPr>
          <w:rFonts w:ascii="Times New Roman" w:hAnsi="Times New Roman" w:cs="Times New Roman"/>
          <w:b/>
          <w:snapToGrid w:val="0"/>
          <w:lang w:val="en-GB" w:eastAsia="zh-CN"/>
        </w:rPr>
        <w:t>.</w:t>
      </w:r>
      <w:r>
        <w:rPr>
          <w:rFonts w:ascii="Times New Roman" w:hAnsi="Times New Roman" w:cs="Times New Roman" w:hint="eastAsia"/>
          <w:b/>
          <w:snapToGrid w:val="0"/>
          <w:lang w:val="en-GB" w:eastAsia="zh-CN"/>
        </w:rPr>
        <w:t xml:space="preserve"> </w:t>
      </w:r>
      <w:r w:rsidRPr="00656983">
        <w:rPr>
          <w:rFonts w:ascii="Times New Roman" w:hAnsi="Times New Roman" w:cs="Times New Roman"/>
          <w:b/>
          <w:lang w:eastAsia="zh-CN"/>
        </w:rPr>
        <w:t>可持续</w:t>
      </w:r>
      <w:r>
        <w:rPr>
          <w:rFonts w:ascii="Times New Roman" w:hAnsi="Times New Roman" w:cs="Times New Roman"/>
          <w:b/>
          <w:lang w:eastAsia="zh-CN"/>
        </w:rPr>
        <w:t>城市</w:t>
      </w:r>
      <w:r w:rsidRPr="00656983">
        <w:rPr>
          <w:rFonts w:ascii="Times New Roman" w:hAnsi="Times New Roman" w:cs="Times New Roman"/>
          <w:b/>
          <w:lang w:eastAsia="zh-CN"/>
        </w:rPr>
        <w:t>影响方案</w:t>
      </w:r>
      <w:r w:rsidRPr="00656983">
        <w:rPr>
          <w:rFonts w:ascii="Times New Roman" w:hAnsi="Times New Roman" w:cs="Times New Roman"/>
          <w:b/>
          <w:snapToGrid w:val="0"/>
          <w:lang w:val="en-GB" w:eastAsia="zh-CN"/>
        </w:rPr>
        <w:t>提供的全环基金第七次增资资源累计分配额</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和对实现爱知生物多样性目标的贡献</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w:t>
      </w:r>
      <w:r w:rsidRPr="00656983">
        <w:rPr>
          <w:rFonts w:ascii="Times New Roman" w:hAnsi="Times New Roman" w:cs="Times New Roman"/>
          <w:b/>
          <w:snapToGrid w:val="0"/>
          <w:lang w:val="en-GB" w:eastAsia="zh-CN"/>
        </w:rPr>
        <w:t>2018</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7</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1</w:t>
      </w:r>
      <w:r w:rsidRPr="00656983">
        <w:rPr>
          <w:rFonts w:ascii="Times New Roman" w:hAnsi="Times New Roman" w:cs="Times New Roman"/>
          <w:b/>
          <w:snapToGrid w:val="0"/>
          <w:lang w:val="en-GB" w:eastAsia="zh-CN"/>
        </w:rPr>
        <w:t>日至</w:t>
      </w:r>
      <w:r w:rsidRPr="00656983">
        <w:rPr>
          <w:rFonts w:ascii="Times New Roman" w:hAnsi="Times New Roman" w:cs="Times New Roman"/>
          <w:b/>
          <w:snapToGrid w:val="0"/>
          <w:lang w:val="en-GB" w:eastAsia="zh-CN"/>
        </w:rPr>
        <w:t>2019</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12</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31</w:t>
      </w:r>
      <w:r w:rsidRPr="00656983">
        <w:rPr>
          <w:rFonts w:ascii="Times New Roman" w:hAnsi="Times New Roman" w:cs="Times New Roman"/>
          <w:b/>
          <w:snapToGrid w:val="0"/>
          <w:lang w:val="en-GB" w:eastAsia="zh-CN"/>
        </w:rPr>
        <w:t>日）</w:t>
      </w:r>
      <w:r w:rsidRPr="00D30DB1">
        <w:rPr>
          <w:rFonts w:ascii="Calibri" w:eastAsia="MS Mincho" w:hAnsi="Calibri" w:cs="Times New Roman"/>
          <w:b/>
          <w:snapToGrid w:val="0"/>
          <w:sz w:val="18"/>
          <w:szCs w:val="24"/>
          <w:vertAlign w:val="superscript"/>
          <w:lang w:val="en-GB"/>
        </w:rPr>
        <w:footnoteReference w:id="13"/>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0F67FB" w:rsidRPr="00D30DB1" w14:paraId="5BB1AC16" w14:textId="77777777" w:rsidTr="008354E6">
        <w:trPr>
          <w:trHeight w:val="570"/>
        </w:trPr>
        <w:tc>
          <w:tcPr>
            <w:tcW w:w="1277" w:type="pct"/>
            <w:tcBorders>
              <w:bottom w:val="single" w:sz="6" w:space="0" w:color="008000"/>
            </w:tcBorders>
            <w:shd w:val="clear" w:color="auto" w:fill="auto"/>
            <w:hideMark/>
          </w:tcPr>
          <w:p w14:paraId="4B7FD81F" w14:textId="45816631" w:rsidR="000F67FB" w:rsidRPr="00D30DB1" w:rsidRDefault="000F67FB" w:rsidP="00D30DB1">
            <w:pPr>
              <w:spacing w:after="0" w:line="240" w:lineRule="auto"/>
              <w:rPr>
                <w:rFonts w:ascii="Calibri" w:eastAsia="Times New Roman" w:hAnsi="Calibri" w:cs="Times New Roman"/>
                <w:b/>
                <w:bCs/>
                <w:color w:val="000000"/>
                <w:lang w:val="en-GB" w:eastAsia="zh-CN"/>
              </w:rPr>
            </w:pPr>
          </w:p>
        </w:tc>
        <w:tc>
          <w:tcPr>
            <w:tcW w:w="877" w:type="pct"/>
            <w:tcBorders>
              <w:bottom w:val="single" w:sz="6" w:space="0" w:color="008000"/>
            </w:tcBorders>
            <w:shd w:val="clear" w:color="auto" w:fill="auto"/>
            <w:hideMark/>
          </w:tcPr>
          <w:p w14:paraId="0293051E" w14:textId="0A09C4D9" w:rsidR="000F67FB" w:rsidRPr="00D30DB1" w:rsidRDefault="000F67FB" w:rsidP="00D30DB1">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爱知生物多样性目标</w:t>
            </w:r>
            <w:proofErr w:type="spellEnd"/>
          </w:p>
        </w:tc>
        <w:tc>
          <w:tcPr>
            <w:tcW w:w="1008" w:type="pct"/>
            <w:tcBorders>
              <w:bottom w:val="single" w:sz="6" w:space="0" w:color="008000"/>
            </w:tcBorders>
            <w:shd w:val="clear" w:color="auto" w:fill="auto"/>
          </w:tcPr>
          <w:p w14:paraId="5D37F9EF" w14:textId="0468A20C" w:rsidR="000F67FB" w:rsidRPr="00D30DB1" w:rsidRDefault="000F67FB" w:rsidP="00D30DB1">
            <w:pPr>
              <w:spacing w:after="0" w:line="240" w:lineRule="auto"/>
              <w:rPr>
                <w:rFonts w:ascii="Calibri" w:eastAsia="Times New Roman" w:hAnsi="Calibri" w:cs="Times New Roman"/>
                <w:b/>
                <w:bCs/>
                <w:color w:val="000000"/>
                <w:lang w:val="en-GB" w:eastAsia="zh-CN"/>
              </w:rPr>
            </w:pPr>
            <w:r>
              <w:rPr>
                <w:rFonts w:ascii="SimSun" w:hAnsi="SimSun" w:cs="SimSun" w:hint="eastAsia"/>
                <w:b/>
                <w:bCs/>
                <w:color w:val="000000"/>
                <w:lang w:val="en-GB" w:eastAsia="zh-CN"/>
              </w:rPr>
              <w:t>全环基金</w:t>
            </w:r>
            <w:r>
              <w:rPr>
                <w:rFonts w:ascii="SimSun" w:hAnsi="SimSun" w:cs="SimSun"/>
                <w:b/>
                <w:bCs/>
                <w:color w:val="000000"/>
                <w:lang w:val="en-GB" w:eastAsia="zh-CN"/>
              </w:rPr>
              <w:br/>
            </w:r>
            <w:r>
              <w:rPr>
                <w:rFonts w:ascii="SimSun" w:hAnsi="SimSun" w:cs="SimSun" w:hint="eastAsia"/>
                <w:b/>
                <w:bCs/>
                <w:color w:val="000000"/>
                <w:lang w:val="en-GB" w:eastAsia="zh-CN"/>
              </w:rPr>
              <w:t>项目供资</w:t>
            </w:r>
            <w:r>
              <w:rPr>
                <w:rFonts w:ascii="SimSun" w:hAnsi="SimSun" w:cs="SimSun"/>
                <w:b/>
                <w:bCs/>
                <w:color w:val="000000"/>
                <w:lang w:val="en-GB" w:eastAsia="zh-CN"/>
              </w:rPr>
              <w:br/>
            </w:r>
            <w:r w:rsidRPr="00045526">
              <w:rPr>
                <w:rFonts w:ascii="Calibri" w:eastAsia="Times New Roman" w:hAnsi="Calibri" w:cs="Times New Roman"/>
                <w:b/>
                <w:bCs/>
                <w:color w:val="000000"/>
                <w:lang w:val="en-GB" w:eastAsia="zh-CN"/>
              </w:rPr>
              <w:t xml:space="preserve"> (</w:t>
            </w:r>
            <w:r>
              <w:rPr>
                <w:rFonts w:ascii="SimSun" w:hAnsi="SimSun" w:cs="SimSun" w:hint="eastAsia"/>
                <w:b/>
                <w:bCs/>
                <w:color w:val="000000"/>
                <w:lang w:val="en-GB" w:eastAsia="zh-CN"/>
              </w:rPr>
              <w:t>百万美元</w:t>
            </w:r>
            <w:r w:rsidRPr="00045526">
              <w:rPr>
                <w:rFonts w:ascii="Calibri" w:eastAsia="Times New Roman" w:hAnsi="Calibri" w:cs="Times New Roman"/>
                <w:b/>
                <w:bCs/>
                <w:color w:val="000000"/>
                <w:lang w:val="en-GB" w:eastAsia="zh-CN"/>
              </w:rPr>
              <w:t>)</w:t>
            </w:r>
          </w:p>
        </w:tc>
        <w:tc>
          <w:tcPr>
            <w:tcW w:w="919" w:type="pct"/>
            <w:tcBorders>
              <w:bottom w:val="single" w:sz="6" w:space="0" w:color="008000"/>
            </w:tcBorders>
            <w:shd w:val="clear" w:color="auto" w:fill="auto"/>
            <w:hideMark/>
          </w:tcPr>
          <w:p w14:paraId="2A5CB4CB"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共同筹资</w:t>
            </w:r>
            <w:proofErr w:type="spellEnd"/>
            <w:r w:rsidRPr="00045526">
              <w:rPr>
                <w:rFonts w:ascii="Calibri" w:eastAsia="Times New Roman" w:hAnsi="Calibri" w:cs="Times New Roman"/>
                <w:b/>
                <w:bCs/>
                <w:color w:val="000000"/>
                <w:lang w:val="en-GB"/>
              </w:rPr>
              <w:t xml:space="preserve"> </w:t>
            </w:r>
          </w:p>
          <w:p w14:paraId="7F450C06" w14:textId="4190A8D6" w:rsidR="000F67FB" w:rsidRPr="00D30DB1" w:rsidRDefault="000F67FB"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 xml:space="preserve">) </w:t>
            </w:r>
          </w:p>
        </w:tc>
        <w:tc>
          <w:tcPr>
            <w:tcW w:w="919" w:type="pct"/>
            <w:tcBorders>
              <w:bottom w:val="single" w:sz="6" w:space="0" w:color="008000"/>
            </w:tcBorders>
            <w:shd w:val="clear" w:color="auto" w:fill="auto"/>
          </w:tcPr>
          <w:p w14:paraId="43C74EBE"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资源总额</w:t>
            </w:r>
            <w:proofErr w:type="spellEnd"/>
            <w:r w:rsidRPr="00045526">
              <w:rPr>
                <w:rFonts w:ascii="Calibri" w:eastAsia="Times New Roman" w:hAnsi="Calibri" w:cs="Times New Roman"/>
                <w:b/>
                <w:bCs/>
                <w:color w:val="000000"/>
                <w:lang w:val="en-GB"/>
              </w:rPr>
              <w:t xml:space="preserve"> </w:t>
            </w:r>
          </w:p>
          <w:p w14:paraId="16EB4B3A" w14:textId="50249980" w:rsidR="000F67FB" w:rsidRPr="00D30DB1" w:rsidRDefault="000F67FB"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w:t>
            </w:r>
          </w:p>
        </w:tc>
      </w:tr>
      <w:tr w:rsidR="00D30DB1" w:rsidRPr="00D30DB1" w14:paraId="4C995368" w14:textId="77777777" w:rsidTr="007E409E">
        <w:trPr>
          <w:trHeight w:val="786"/>
        </w:trPr>
        <w:tc>
          <w:tcPr>
            <w:tcW w:w="1277" w:type="pct"/>
            <w:shd w:val="clear" w:color="auto" w:fill="auto"/>
          </w:tcPr>
          <w:p w14:paraId="3A81A3E4" w14:textId="77777777" w:rsidR="00C6724F" w:rsidRDefault="00C6724F" w:rsidP="00D30DB1">
            <w:pPr>
              <w:spacing w:after="0" w:line="240" w:lineRule="auto"/>
              <w:rPr>
                <w:rFonts w:ascii="Calibri" w:eastAsia="DengXian" w:hAnsi="Calibri" w:cs="Times New Roman"/>
                <w:b/>
                <w:bCs/>
                <w:color w:val="000000"/>
                <w:lang w:val="en-GB" w:eastAsia="zh-CN"/>
              </w:rPr>
            </w:pPr>
          </w:p>
          <w:p w14:paraId="56DB7955" w14:textId="17FC9ACF" w:rsidR="00D30DB1" w:rsidRPr="00D30DB1" w:rsidRDefault="00C6724F" w:rsidP="00D30DB1">
            <w:pPr>
              <w:spacing w:after="0" w:line="240" w:lineRule="auto"/>
              <w:rPr>
                <w:rFonts w:ascii="Calibri" w:eastAsia="Times New Roman" w:hAnsi="Calibri" w:cs="Times New Roman"/>
                <w:color w:val="000000"/>
                <w:lang w:val="en-GB"/>
              </w:rPr>
            </w:pPr>
            <w:proofErr w:type="spellStart"/>
            <w:r>
              <w:rPr>
                <w:rFonts w:ascii="Calibri" w:eastAsia="Times New Roman" w:hAnsi="Calibri" w:cs="Times New Roman"/>
                <w:b/>
                <w:bCs/>
                <w:color w:val="000000"/>
                <w:lang w:val="en-GB"/>
              </w:rPr>
              <w:t>可持续城市影响方案</w:t>
            </w:r>
            <w:proofErr w:type="spellEnd"/>
            <w:r w:rsidR="00FB00DA" w:rsidRPr="00FB00DA">
              <w:rPr>
                <w:rFonts w:ascii="Calibri" w:eastAsia="Times New Roman" w:hAnsi="Calibri" w:cs="Times New Roman"/>
                <w:b/>
                <w:bCs/>
                <w:color w:val="000000"/>
                <w:lang w:val="en-GB"/>
              </w:rPr>
              <w:t xml:space="preserve"> </w:t>
            </w:r>
            <w:r w:rsidR="00FB00DA" w:rsidRPr="00D30DB1">
              <w:rPr>
                <w:rFonts w:ascii="Calibri" w:eastAsia="Times New Roman" w:hAnsi="Calibri" w:cs="Times New Roman"/>
                <w:b/>
                <w:bCs/>
                <w:color w:val="000000"/>
                <w:lang w:val="en-GB"/>
              </w:rPr>
              <w:t xml:space="preserve"> </w:t>
            </w:r>
          </w:p>
          <w:p w14:paraId="3CCA8473" w14:textId="77777777" w:rsidR="00D30DB1" w:rsidRPr="00D30DB1" w:rsidRDefault="00D30DB1" w:rsidP="00D30DB1">
            <w:pPr>
              <w:spacing w:after="0" w:line="240" w:lineRule="auto"/>
              <w:rPr>
                <w:rFonts w:ascii="Calibri" w:eastAsia="Times New Roman" w:hAnsi="Calibri" w:cs="Times New Roman"/>
                <w:color w:val="000000"/>
                <w:lang w:val="en-GB"/>
              </w:rPr>
            </w:pPr>
          </w:p>
        </w:tc>
        <w:tc>
          <w:tcPr>
            <w:tcW w:w="877" w:type="pct"/>
            <w:shd w:val="clear" w:color="auto" w:fill="auto"/>
            <w:hideMark/>
          </w:tcPr>
          <w:p w14:paraId="4048100F" w14:textId="77777777" w:rsidR="00D30DB1" w:rsidRPr="00D30DB1" w:rsidRDefault="00D30DB1" w:rsidP="00D30DB1">
            <w:pPr>
              <w:spacing w:after="0" w:line="240" w:lineRule="auto"/>
              <w:rPr>
                <w:rFonts w:ascii="Calibri" w:eastAsia="Times New Roman" w:hAnsi="Calibri" w:cs="Times New Roman"/>
                <w:color w:val="000000"/>
                <w:lang w:val="en-GB"/>
              </w:rPr>
            </w:pPr>
          </w:p>
          <w:p w14:paraId="279CF8F3" w14:textId="1E0F542F" w:rsidR="00D30DB1" w:rsidRPr="00D30DB1" w:rsidRDefault="002E7804"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 xml:space="preserve">2, </w:t>
            </w:r>
            <w:r w:rsidR="0065498C">
              <w:rPr>
                <w:rFonts w:ascii="Calibri" w:eastAsia="Times New Roman" w:hAnsi="Calibri" w:cs="Times New Roman"/>
                <w:color w:val="000000"/>
                <w:lang w:val="en-GB"/>
              </w:rPr>
              <w:t>14</w:t>
            </w:r>
            <w:r w:rsidR="00180EC8">
              <w:rPr>
                <w:rFonts w:ascii="Calibri" w:eastAsia="Times New Roman" w:hAnsi="Calibri" w:cs="Times New Roman"/>
                <w:color w:val="000000"/>
                <w:lang w:val="en-GB"/>
              </w:rPr>
              <w:t>, 15</w:t>
            </w:r>
          </w:p>
        </w:tc>
        <w:tc>
          <w:tcPr>
            <w:tcW w:w="1008" w:type="pct"/>
            <w:tcBorders>
              <w:top w:val="nil"/>
              <w:left w:val="nil"/>
              <w:bottom w:val="single" w:sz="12" w:space="0" w:color="008000"/>
              <w:right w:val="nil"/>
            </w:tcBorders>
          </w:tcPr>
          <w:p w14:paraId="4C075286" w14:textId="77777777" w:rsidR="00D30DB1" w:rsidRPr="00D30DB1" w:rsidRDefault="00D30DB1" w:rsidP="00D30DB1">
            <w:pPr>
              <w:spacing w:after="0" w:line="240" w:lineRule="auto"/>
              <w:jc w:val="center"/>
              <w:rPr>
                <w:rFonts w:ascii="Calibri" w:eastAsia="MS Mincho" w:hAnsi="Calibri" w:cs="Calibri"/>
                <w:color w:val="000000"/>
              </w:rPr>
            </w:pPr>
          </w:p>
          <w:p w14:paraId="4FF5CD20" w14:textId="4D7487D6" w:rsidR="00D30DB1" w:rsidRPr="00D30DB1" w:rsidRDefault="00246E65" w:rsidP="0057704D">
            <w:pPr>
              <w:spacing w:after="0" w:line="240" w:lineRule="auto"/>
              <w:rPr>
                <w:rFonts w:ascii="Calibri" w:eastAsia="MS Mincho" w:hAnsi="Calibri" w:cs="Calibri"/>
                <w:color w:val="000000"/>
                <w:lang w:val="en-GB"/>
              </w:rPr>
            </w:pPr>
            <w:r>
              <w:rPr>
                <w:rFonts w:ascii="Calibri" w:eastAsia="MS Mincho" w:hAnsi="Calibri" w:cs="Calibri"/>
                <w:color w:val="000000"/>
                <w:lang w:val="en-GB"/>
              </w:rPr>
              <w:t>146.7</w:t>
            </w:r>
          </w:p>
        </w:tc>
        <w:tc>
          <w:tcPr>
            <w:tcW w:w="919" w:type="pct"/>
            <w:tcBorders>
              <w:top w:val="nil"/>
              <w:left w:val="nil"/>
              <w:bottom w:val="single" w:sz="12" w:space="0" w:color="008000"/>
              <w:right w:val="nil"/>
            </w:tcBorders>
          </w:tcPr>
          <w:p w14:paraId="23CB146D" w14:textId="77777777" w:rsidR="00D30DB1" w:rsidRPr="00D30DB1" w:rsidRDefault="00D30DB1" w:rsidP="00D30DB1">
            <w:pPr>
              <w:spacing w:after="0" w:line="240" w:lineRule="auto"/>
              <w:jc w:val="center"/>
              <w:rPr>
                <w:rFonts w:ascii="Calibri" w:eastAsia="MS Mincho" w:hAnsi="Calibri" w:cs="Calibri"/>
                <w:color w:val="000000"/>
                <w:lang w:val="en-GB"/>
              </w:rPr>
            </w:pPr>
          </w:p>
          <w:p w14:paraId="385CAE55" w14:textId="39289292" w:rsidR="00D30DB1" w:rsidRDefault="00246E65" w:rsidP="0057704D">
            <w:pPr>
              <w:spacing w:after="0" w:line="240" w:lineRule="auto"/>
              <w:rPr>
                <w:rFonts w:ascii="Calibri" w:eastAsia="MS Mincho" w:hAnsi="Calibri" w:cs="Calibri"/>
                <w:color w:val="000000"/>
              </w:rPr>
            </w:pPr>
            <w:r>
              <w:rPr>
                <w:rFonts w:ascii="Calibri" w:eastAsia="MS Mincho" w:hAnsi="Calibri" w:cs="Calibri"/>
                <w:color w:val="000000"/>
              </w:rPr>
              <w:t>1,689.8</w:t>
            </w:r>
          </w:p>
          <w:p w14:paraId="40DB5E3B" w14:textId="0A8C0306" w:rsidR="00246E65" w:rsidRPr="00D30DB1" w:rsidRDefault="00246E65" w:rsidP="00D30DB1">
            <w:pPr>
              <w:spacing w:after="0" w:line="240" w:lineRule="auto"/>
              <w:jc w:val="center"/>
              <w:rPr>
                <w:rFonts w:ascii="Calibri" w:eastAsia="MS Mincho" w:hAnsi="Calibri" w:cs="Calibri"/>
                <w:color w:val="000000"/>
              </w:rPr>
            </w:pPr>
          </w:p>
        </w:tc>
        <w:tc>
          <w:tcPr>
            <w:tcW w:w="919" w:type="pct"/>
            <w:tcBorders>
              <w:top w:val="nil"/>
              <w:left w:val="nil"/>
              <w:bottom w:val="single" w:sz="12" w:space="0" w:color="008000"/>
              <w:right w:val="nil"/>
            </w:tcBorders>
          </w:tcPr>
          <w:p w14:paraId="4216B6F5" w14:textId="77777777" w:rsidR="00D30DB1" w:rsidRDefault="00D30DB1" w:rsidP="00FB00DA">
            <w:pPr>
              <w:spacing w:after="0" w:line="240" w:lineRule="auto"/>
              <w:rPr>
                <w:rFonts w:ascii="Calibri" w:eastAsia="MS Mincho" w:hAnsi="Calibri" w:cs="Calibri"/>
                <w:color w:val="000000"/>
                <w:lang w:val="en-GB"/>
              </w:rPr>
            </w:pPr>
          </w:p>
          <w:p w14:paraId="2F14D0C1" w14:textId="05B8F3ED" w:rsidR="00246E65" w:rsidRPr="00D30DB1" w:rsidRDefault="00FD132F" w:rsidP="00FB00DA">
            <w:pPr>
              <w:spacing w:after="0" w:line="240" w:lineRule="auto"/>
              <w:rPr>
                <w:rFonts w:ascii="Calibri" w:eastAsia="MS Mincho" w:hAnsi="Calibri" w:cs="Calibri"/>
                <w:color w:val="000000"/>
                <w:lang w:val="en-GB"/>
              </w:rPr>
            </w:pPr>
            <w:r>
              <w:rPr>
                <w:rFonts w:ascii="Calibri" w:eastAsia="MS Mincho" w:hAnsi="Calibri" w:cs="Calibri"/>
                <w:color w:val="000000"/>
                <w:lang w:val="en-GB"/>
              </w:rPr>
              <w:t>1,8</w:t>
            </w:r>
            <w:r w:rsidR="00674225">
              <w:rPr>
                <w:rFonts w:ascii="Calibri" w:eastAsia="MS Mincho" w:hAnsi="Calibri" w:cs="Calibri"/>
                <w:color w:val="000000"/>
                <w:lang w:val="en-GB"/>
              </w:rPr>
              <w:t>36.5</w:t>
            </w:r>
          </w:p>
        </w:tc>
      </w:tr>
    </w:tbl>
    <w:p w14:paraId="64DF9CC0" w14:textId="77777777" w:rsidR="00046027" w:rsidRDefault="00046027" w:rsidP="00CF090D">
      <w:pPr>
        <w:pStyle w:val="Heading2"/>
      </w:pPr>
    </w:p>
    <w:p w14:paraId="745D5743" w14:textId="6A77DE79" w:rsidR="00B728E0" w:rsidRPr="00F35B14" w:rsidRDefault="00C6724F" w:rsidP="00CF090D">
      <w:pPr>
        <w:pStyle w:val="Heading2"/>
        <w:rPr>
          <w:sz w:val="24"/>
          <w:szCs w:val="24"/>
        </w:rPr>
      </w:pPr>
      <w:r w:rsidRPr="00F35B14">
        <w:rPr>
          <w:rFonts w:hint="eastAsia"/>
          <w:sz w:val="24"/>
          <w:szCs w:val="24"/>
        </w:rPr>
        <w:t>全环基金对实现爱知生物多样性目标的其他贡献</w:t>
      </w:r>
    </w:p>
    <w:p w14:paraId="312187B6" w14:textId="099E5716" w:rsidR="00D30DB1" w:rsidRPr="00F35B14" w:rsidRDefault="00C6724F" w:rsidP="00475312">
      <w:pPr>
        <w:pStyle w:val="Heading3"/>
        <w:rPr>
          <w:snapToGrid w:val="0"/>
        </w:rPr>
      </w:pPr>
      <w:r w:rsidRPr="00F35B14">
        <w:rPr>
          <w:rFonts w:hint="eastAsia"/>
        </w:rPr>
        <w:t>气候变化适应方案</w:t>
      </w:r>
    </w:p>
    <w:p w14:paraId="612801EB" w14:textId="3C1ECBA5" w:rsidR="00C6724F" w:rsidRPr="00F35B14" w:rsidRDefault="00C6724F"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全球环境基金管理着两个</w:t>
      </w:r>
      <w:r w:rsidR="00035024" w:rsidRPr="00F35B14">
        <w:rPr>
          <w:rFonts w:hint="eastAsia"/>
          <w:sz w:val="24"/>
          <w:szCs w:val="24"/>
          <w:lang w:eastAsia="zh-CN"/>
        </w:rPr>
        <w:t>独立</w:t>
      </w:r>
      <w:r w:rsidRPr="00F35B14">
        <w:rPr>
          <w:rFonts w:hint="eastAsia"/>
          <w:sz w:val="24"/>
          <w:szCs w:val="24"/>
          <w:lang w:eastAsia="zh-CN"/>
        </w:rPr>
        <w:t>的信托基金，其优先事项是适应气候变化，</w:t>
      </w:r>
      <w:r w:rsidR="00035024" w:rsidRPr="00F35B14">
        <w:rPr>
          <w:rFonts w:hint="eastAsia"/>
          <w:sz w:val="24"/>
          <w:szCs w:val="24"/>
          <w:lang w:eastAsia="zh-CN"/>
        </w:rPr>
        <w:t>它们是</w:t>
      </w:r>
      <w:r w:rsidRPr="00F35B14">
        <w:rPr>
          <w:rFonts w:hint="eastAsia"/>
          <w:sz w:val="24"/>
          <w:szCs w:val="24"/>
          <w:lang w:eastAsia="zh-CN"/>
        </w:rPr>
        <w:t>特别气候变化基金（</w:t>
      </w:r>
      <w:r w:rsidRPr="00F35B14">
        <w:rPr>
          <w:rFonts w:hint="eastAsia"/>
          <w:sz w:val="24"/>
          <w:szCs w:val="24"/>
          <w:lang w:eastAsia="zh-CN"/>
        </w:rPr>
        <w:t>SCCF</w:t>
      </w:r>
      <w:r w:rsidRPr="00F35B14">
        <w:rPr>
          <w:rFonts w:hint="eastAsia"/>
          <w:sz w:val="24"/>
          <w:szCs w:val="24"/>
          <w:lang w:eastAsia="zh-CN"/>
        </w:rPr>
        <w:t>）和最不发达国家基金（</w:t>
      </w:r>
      <w:r w:rsidRPr="00F35B14">
        <w:rPr>
          <w:rFonts w:hint="eastAsia"/>
          <w:sz w:val="24"/>
          <w:szCs w:val="24"/>
          <w:lang w:eastAsia="zh-CN"/>
        </w:rPr>
        <w:t>LDCF</w:t>
      </w:r>
      <w:r w:rsidRPr="00F35B14">
        <w:rPr>
          <w:rFonts w:hint="eastAsia"/>
          <w:sz w:val="24"/>
          <w:szCs w:val="24"/>
          <w:lang w:eastAsia="zh-CN"/>
        </w:rPr>
        <w:t>）。</w:t>
      </w:r>
      <w:r w:rsidRPr="00F35B14">
        <w:rPr>
          <w:rFonts w:hint="eastAsia"/>
          <w:sz w:val="24"/>
          <w:szCs w:val="24"/>
          <w:lang w:eastAsia="zh-CN"/>
        </w:rPr>
        <w:t xml:space="preserve"> </w:t>
      </w:r>
      <w:r w:rsidRPr="00F35B14">
        <w:rPr>
          <w:rFonts w:hint="eastAsia"/>
          <w:sz w:val="24"/>
          <w:szCs w:val="24"/>
          <w:lang w:eastAsia="zh-CN"/>
        </w:rPr>
        <w:t>根据联合国气候变化框架公约（</w:t>
      </w:r>
      <w:r w:rsidRPr="00F35B14">
        <w:rPr>
          <w:rFonts w:hint="eastAsia"/>
          <w:sz w:val="24"/>
          <w:szCs w:val="24"/>
          <w:lang w:eastAsia="zh-CN"/>
        </w:rPr>
        <w:t>UNFCCC</w:t>
      </w:r>
      <w:r w:rsidRPr="00F35B14">
        <w:rPr>
          <w:rFonts w:hint="eastAsia"/>
          <w:sz w:val="24"/>
          <w:szCs w:val="24"/>
          <w:lang w:eastAsia="zh-CN"/>
        </w:rPr>
        <w:t>）设立</w:t>
      </w:r>
      <w:r w:rsidR="00035024" w:rsidRPr="00F35B14">
        <w:rPr>
          <w:rFonts w:hint="eastAsia"/>
          <w:sz w:val="24"/>
          <w:szCs w:val="24"/>
          <w:lang w:eastAsia="zh-CN"/>
        </w:rPr>
        <w:t>的</w:t>
      </w:r>
      <w:r w:rsidRPr="00F35B14">
        <w:rPr>
          <w:rFonts w:hint="eastAsia"/>
          <w:sz w:val="24"/>
          <w:szCs w:val="24"/>
          <w:lang w:eastAsia="zh-CN"/>
        </w:rPr>
        <w:t>这</w:t>
      </w:r>
      <w:r w:rsidR="00035024" w:rsidRPr="00F35B14">
        <w:rPr>
          <w:rFonts w:hint="eastAsia"/>
          <w:sz w:val="24"/>
          <w:szCs w:val="24"/>
          <w:lang w:eastAsia="zh-CN"/>
        </w:rPr>
        <w:t>两个基金</w:t>
      </w:r>
      <w:r w:rsidRPr="00F35B14">
        <w:rPr>
          <w:rFonts w:hint="eastAsia"/>
          <w:sz w:val="24"/>
          <w:szCs w:val="24"/>
          <w:lang w:eastAsia="zh-CN"/>
        </w:rPr>
        <w:t>是为了满足发展中国家的特殊需要。</w:t>
      </w:r>
      <w:r w:rsidRPr="00F35B14">
        <w:rPr>
          <w:rFonts w:hint="eastAsia"/>
          <w:sz w:val="24"/>
          <w:szCs w:val="24"/>
          <w:lang w:eastAsia="zh-CN"/>
        </w:rPr>
        <w:t xml:space="preserve"> </w:t>
      </w:r>
      <w:r w:rsidRPr="00F35B14">
        <w:rPr>
          <w:rFonts w:hint="eastAsia"/>
          <w:sz w:val="24"/>
          <w:szCs w:val="24"/>
          <w:lang w:eastAsia="zh-CN"/>
        </w:rPr>
        <w:t>在报告所述期间核准的一些项目对《生物多样性战略计划》和爱知生物多样性目标作出了贡献。</w:t>
      </w:r>
    </w:p>
    <w:p w14:paraId="0477593A" w14:textId="77560FE1" w:rsidR="00035024" w:rsidRPr="00F35B14" w:rsidRDefault="00035024"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下表</w:t>
      </w:r>
      <w:r w:rsidRPr="00F35B14">
        <w:rPr>
          <w:rFonts w:hint="eastAsia"/>
          <w:sz w:val="24"/>
          <w:szCs w:val="24"/>
          <w:lang w:eastAsia="zh-CN"/>
        </w:rPr>
        <w:t>9</w:t>
      </w:r>
      <w:r w:rsidRPr="00F35B14">
        <w:rPr>
          <w:rFonts w:hint="eastAsia"/>
          <w:sz w:val="24"/>
          <w:szCs w:val="24"/>
          <w:lang w:eastAsia="zh-CN"/>
        </w:rPr>
        <w:t>说明最不发达国家基金资源对实现各国优先考虑的爱知生物多样性目标</w:t>
      </w:r>
      <w:r w:rsidRPr="00F35B14">
        <w:rPr>
          <w:rFonts w:hint="eastAsia"/>
          <w:sz w:val="24"/>
          <w:szCs w:val="24"/>
          <w:lang w:eastAsia="zh-CN"/>
        </w:rPr>
        <w:t>7</w:t>
      </w:r>
      <w:r w:rsidRPr="00F35B14">
        <w:rPr>
          <w:rFonts w:hint="eastAsia"/>
          <w:sz w:val="24"/>
          <w:szCs w:val="24"/>
          <w:lang w:eastAsia="zh-CN"/>
        </w:rPr>
        <w:t>和</w:t>
      </w:r>
      <w:r w:rsidRPr="00F35B14">
        <w:rPr>
          <w:rFonts w:hint="eastAsia"/>
          <w:sz w:val="24"/>
          <w:szCs w:val="24"/>
          <w:lang w:eastAsia="zh-CN"/>
        </w:rPr>
        <w:t>14</w:t>
      </w:r>
      <w:r w:rsidRPr="00F35B14">
        <w:rPr>
          <w:rFonts w:hint="eastAsia"/>
          <w:sz w:val="24"/>
          <w:szCs w:val="24"/>
          <w:lang w:eastAsia="zh-CN"/>
        </w:rPr>
        <w:t>作出的贡献。</w:t>
      </w:r>
    </w:p>
    <w:p w14:paraId="02D3A82D" w14:textId="07044D09" w:rsidR="00906D50" w:rsidRPr="00906D50" w:rsidRDefault="00906D50" w:rsidP="00D722AE">
      <w:pPr>
        <w:spacing w:before="240" w:after="240" w:line="240" w:lineRule="auto"/>
        <w:jc w:val="center"/>
        <w:rPr>
          <w:rFonts w:ascii="Calibri" w:eastAsia="DengXian" w:hAnsi="Calibri" w:cs="Times New Roman"/>
          <w:b/>
          <w:snapToGrid w:val="0"/>
          <w:sz w:val="24"/>
          <w:szCs w:val="24"/>
          <w:lang w:val="en-GB" w:eastAsia="zh-CN"/>
        </w:rPr>
      </w:pPr>
      <w:r w:rsidRPr="00656983">
        <w:rPr>
          <w:rFonts w:ascii="Times New Roman" w:hAnsi="Times New Roman" w:cs="Times New Roman"/>
          <w:b/>
          <w:snapToGrid w:val="0"/>
          <w:lang w:val="en-GB" w:eastAsia="zh-CN"/>
        </w:rPr>
        <w:t>表</w:t>
      </w:r>
      <w:r>
        <w:rPr>
          <w:rFonts w:ascii="Times New Roman" w:hAnsi="Times New Roman" w:cs="Times New Roman" w:hint="eastAsia"/>
          <w:b/>
          <w:snapToGrid w:val="0"/>
          <w:lang w:val="en-GB" w:eastAsia="zh-CN"/>
        </w:rPr>
        <w:t>9</w:t>
      </w:r>
      <w:r w:rsidRPr="00656983">
        <w:rPr>
          <w:rFonts w:ascii="Times New Roman" w:hAnsi="Times New Roman" w:cs="Times New Roman"/>
          <w:b/>
          <w:snapToGrid w:val="0"/>
          <w:lang w:val="en-GB" w:eastAsia="zh-CN"/>
        </w:rPr>
        <w:t>.</w:t>
      </w:r>
      <w:r>
        <w:rPr>
          <w:rFonts w:ascii="Times New Roman" w:hAnsi="Times New Roman" w:cs="Times New Roman" w:hint="eastAsia"/>
          <w:b/>
          <w:snapToGrid w:val="0"/>
          <w:lang w:val="en-GB" w:eastAsia="zh-CN"/>
        </w:rPr>
        <w:t xml:space="preserve"> </w:t>
      </w:r>
      <w:r>
        <w:rPr>
          <w:rFonts w:ascii="Times New Roman" w:hAnsi="Times New Roman" w:cs="Times New Roman" w:hint="eastAsia"/>
          <w:b/>
          <w:snapToGrid w:val="0"/>
          <w:lang w:val="en-GB" w:eastAsia="zh-CN"/>
        </w:rPr>
        <w:t>全环基金第七次增资的最不发达国家基金</w:t>
      </w:r>
      <w:r w:rsidRPr="00656983">
        <w:rPr>
          <w:rFonts w:ascii="Times New Roman" w:hAnsi="Times New Roman" w:cs="Times New Roman"/>
          <w:b/>
          <w:snapToGrid w:val="0"/>
          <w:lang w:val="en-GB" w:eastAsia="zh-CN"/>
        </w:rPr>
        <w:t>提供的全环基金资源累计分配额</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和对实现爱知生物多样性目标的贡献</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w:t>
      </w:r>
      <w:r w:rsidRPr="00656983">
        <w:rPr>
          <w:rFonts w:ascii="Times New Roman" w:hAnsi="Times New Roman" w:cs="Times New Roman"/>
          <w:b/>
          <w:snapToGrid w:val="0"/>
          <w:lang w:val="en-GB" w:eastAsia="zh-CN"/>
        </w:rPr>
        <w:t>2018</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7</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1</w:t>
      </w:r>
      <w:r w:rsidRPr="00656983">
        <w:rPr>
          <w:rFonts w:ascii="Times New Roman" w:hAnsi="Times New Roman" w:cs="Times New Roman"/>
          <w:b/>
          <w:snapToGrid w:val="0"/>
          <w:lang w:val="en-GB" w:eastAsia="zh-CN"/>
        </w:rPr>
        <w:t>日至</w:t>
      </w:r>
      <w:r w:rsidRPr="00656983">
        <w:rPr>
          <w:rFonts w:ascii="Times New Roman" w:hAnsi="Times New Roman" w:cs="Times New Roman"/>
          <w:b/>
          <w:snapToGrid w:val="0"/>
          <w:lang w:val="en-GB" w:eastAsia="zh-CN"/>
        </w:rPr>
        <w:t>2019</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12</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31</w:t>
      </w:r>
      <w:r w:rsidRPr="00656983">
        <w:rPr>
          <w:rFonts w:ascii="Times New Roman" w:hAnsi="Times New Roman" w:cs="Times New Roman"/>
          <w:b/>
          <w:snapToGrid w:val="0"/>
          <w:lang w:val="en-GB" w:eastAsia="zh-CN"/>
        </w:rPr>
        <w:t>日）</w:t>
      </w:r>
      <w:r w:rsidRPr="00D30DB1">
        <w:rPr>
          <w:rFonts w:ascii="Calibri" w:eastAsia="MS Mincho" w:hAnsi="Calibri" w:cs="Times New Roman"/>
          <w:b/>
          <w:snapToGrid w:val="0"/>
          <w:sz w:val="18"/>
          <w:szCs w:val="24"/>
          <w:vertAlign w:val="superscript"/>
          <w:lang w:val="en-GB"/>
        </w:rPr>
        <w:footnoteReference w:id="14"/>
      </w:r>
    </w:p>
    <w:tbl>
      <w:tblPr>
        <w:tblW w:w="4941" w:type="pct"/>
        <w:tblBorders>
          <w:top w:val="single" w:sz="12" w:space="0" w:color="008000"/>
          <w:bottom w:val="single" w:sz="12" w:space="0" w:color="008000"/>
        </w:tblBorders>
        <w:tblLook w:val="04A0" w:firstRow="1" w:lastRow="0" w:firstColumn="1" w:lastColumn="0" w:noHBand="0" w:noVBand="1"/>
      </w:tblPr>
      <w:tblGrid>
        <w:gridCol w:w="2312"/>
        <w:gridCol w:w="2312"/>
        <w:gridCol w:w="2313"/>
        <w:gridCol w:w="2313"/>
      </w:tblGrid>
      <w:tr w:rsidR="000F67FB" w:rsidRPr="00D30DB1" w14:paraId="52BC18EC" w14:textId="77777777" w:rsidTr="008354E6">
        <w:trPr>
          <w:trHeight w:val="871"/>
        </w:trPr>
        <w:tc>
          <w:tcPr>
            <w:tcW w:w="1250" w:type="pct"/>
            <w:shd w:val="clear" w:color="auto" w:fill="auto"/>
            <w:hideMark/>
          </w:tcPr>
          <w:p w14:paraId="123C0C82" w14:textId="0FCE362B" w:rsidR="000F67FB" w:rsidRPr="00D30DB1" w:rsidRDefault="000F67FB" w:rsidP="00D30DB1">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爱知生物多样性目标</w:t>
            </w:r>
            <w:proofErr w:type="spellEnd"/>
          </w:p>
        </w:tc>
        <w:tc>
          <w:tcPr>
            <w:tcW w:w="1250" w:type="pct"/>
            <w:shd w:val="clear" w:color="auto" w:fill="auto"/>
          </w:tcPr>
          <w:p w14:paraId="24B894E5" w14:textId="39046ADC" w:rsidR="000F67FB" w:rsidRPr="00D30DB1" w:rsidRDefault="000F67FB" w:rsidP="00D30DB1">
            <w:pPr>
              <w:spacing w:after="0" w:line="240" w:lineRule="auto"/>
              <w:rPr>
                <w:rFonts w:ascii="Calibri" w:eastAsia="Times New Roman" w:hAnsi="Calibri" w:cs="Times New Roman"/>
                <w:b/>
                <w:bCs/>
                <w:color w:val="000000"/>
                <w:lang w:val="en-GB" w:eastAsia="zh-CN"/>
              </w:rPr>
            </w:pPr>
            <w:r>
              <w:rPr>
                <w:rFonts w:ascii="SimSun" w:hAnsi="SimSun" w:cs="SimSun" w:hint="eastAsia"/>
                <w:b/>
                <w:bCs/>
                <w:color w:val="000000"/>
                <w:lang w:val="en-GB" w:eastAsia="zh-CN"/>
              </w:rPr>
              <w:t>全环基金</w:t>
            </w:r>
            <w:r>
              <w:rPr>
                <w:rFonts w:ascii="SimSun" w:hAnsi="SimSun" w:cs="SimSun"/>
                <w:b/>
                <w:bCs/>
                <w:color w:val="000000"/>
                <w:lang w:val="en-GB" w:eastAsia="zh-CN"/>
              </w:rPr>
              <w:br/>
            </w:r>
            <w:r>
              <w:rPr>
                <w:rFonts w:ascii="SimSun" w:hAnsi="SimSun" w:cs="SimSun" w:hint="eastAsia"/>
                <w:b/>
                <w:bCs/>
                <w:color w:val="000000"/>
                <w:lang w:val="en-GB" w:eastAsia="zh-CN"/>
              </w:rPr>
              <w:t>项目供资</w:t>
            </w:r>
            <w:r>
              <w:rPr>
                <w:rFonts w:ascii="SimSun" w:hAnsi="SimSun" w:cs="SimSun"/>
                <w:b/>
                <w:bCs/>
                <w:color w:val="000000"/>
                <w:lang w:val="en-GB" w:eastAsia="zh-CN"/>
              </w:rPr>
              <w:br/>
            </w:r>
            <w:r w:rsidRPr="00045526">
              <w:rPr>
                <w:rFonts w:ascii="Calibri" w:eastAsia="Times New Roman" w:hAnsi="Calibri" w:cs="Times New Roman"/>
                <w:b/>
                <w:bCs/>
                <w:color w:val="000000"/>
                <w:lang w:val="en-GB" w:eastAsia="zh-CN"/>
              </w:rPr>
              <w:t xml:space="preserve"> (</w:t>
            </w:r>
            <w:r>
              <w:rPr>
                <w:rFonts w:ascii="SimSun" w:hAnsi="SimSun" w:cs="SimSun" w:hint="eastAsia"/>
                <w:b/>
                <w:bCs/>
                <w:color w:val="000000"/>
                <w:lang w:val="en-GB" w:eastAsia="zh-CN"/>
              </w:rPr>
              <w:t>百万美元</w:t>
            </w:r>
            <w:r w:rsidRPr="00045526">
              <w:rPr>
                <w:rFonts w:ascii="Calibri" w:eastAsia="Times New Roman" w:hAnsi="Calibri" w:cs="Times New Roman"/>
                <w:b/>
                <w:bCs/>
                <w:color w:val="000000"/>
                <w:lang w:val="en-GB" w:eastAsia="zh-CN"/>
              </w:rPr>
              <w:t>)</w:t>
            </w:r>
          </w:p>
        </w:tc>
        <w:tc>
          <w:tcPr>
            <w:tcW w:w="1250" w:type="pct"/>
            <w:shd w:val="clear" w:color="auto" w:fill="auto"/>
            <w:hideMark/>
          </w:tcPr>
          <w:p w14:paraId="62100E38"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共同筹资</w:t>
            </w:r>
            <w:proofErr w:type="spellEnd"/>
            <w:r w:rsidRPr="00045526">
              <w:rPr>
                <w:rFonts w:ascii="Calibri" w:eastAsia="Times New Roman" w:hAnsi="Calibri" w:cs="Times New Roman"/>
                <w:b/>
                <w:bCs/>
                <w:color w:val="000000"/>
                <w:lang w:val="en-GB"/>
              </w:rPr>
              <w:t xml:space="preserve"> </w:t>
            </w:r>
          </w:p>
          <w:p w14:paraId="7ED49954" w14:textId="1CFE7441" w:rsidR="000F67FB" w:rsidRPr="00D30DB1" w:rsidRDefault="000F67FB"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 xml:space="preserve">) </w:t>
            </w:r>
          </w:p>
        </w:tc>
        <w:tc>
          <w:tcPr>
            <w:tcW w:w="1250" w:type="pct"/>
            <w:shd w:val="clear" w:color="auto" w:fill="auto"/>
          </w:tcPr>
          <w:p w14:paraId="757561FA"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资源总额</w:t>
            </w:r>
            <w:proofErr w:type="spellEnd"/>
            <w:r w:rsidRPr="00045526">
              <w:rPr>
                <w:rFonts w:ascii="Calibri" w:eastAsia="Times New Roman" w:hAnsi="Calibri" w:cs="Times New Roman"/>
                <w:b/>
                <w:bCs/>
                <w:color w:val="000000"/>
                <w:lang w:val="en-GB"/>
              </w:rPr>
              <w:t xml:space="preserve"> </w:t>
            </w:r>
          </w:p>
          <w:p w14:paraId="70BE61D5" w14:textId="333CAF4E" w:rsidR="000F67FB" w:rsidRPr="00D30DB1" w:rsidRDefault="000F67FB"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w:t>
            </w:r>
          </w:p>
        </w:tc>
      </w:tr>
      <w:tr w:rsidR="00D30DB1" w:rsidRPr="00D30DB1" w14:paraId="6E124D72" w14:textId="77777777" w:rsidTr="008354E6">
        <w:trPr>
          <w:trHeight w:val="871"/>
        </w:trPr>
        <w:tc>
          <w:tcPr>
            <w:tcW w:w="1250" w:type="pct"/>
            <w:shd w:val="clear" w:color="auto" w:fill="auto"/>
          </w:tcPr>
          <w:p w14:paraId="1514E8FC" w14:textId="77777777" w:rsidR="00D30DB1" w:rsidRPr="00D30DB1" w:rsidRDefault="00D30DB1" w:rsidP="00D30DB1">
            <w:pPr>
              <w:spacing w:after="0" w:line="240" w:lineRule="auto"/>
              <w:rPr>
                <w:rFonts w:ascii="Calibri" w:eastAsia="Times New Roman" w:hAnsi="Calibri" w:cs="Times New Roman"/>
                <w:color w:val="000000"/>
                <w:lang w:val="en-GB"/>
              </w:rPr>
            </w:pPr>
          </w:p>
          <w:p w14:paraId="5E3AB774" w14:textId="47E2DD99" w:rsidR="00D30DB1" w:rsidRPr="00D30DB1" w:rsidRDefault="00035024" w:rsidP="00035024">
            <w:pPr>
              <w:spacing w:after="0" w:line="240" w:lineRule="auto"/>
              <w:rPr>
                <w:rFonts w:ascii="Calibri" w:eastAsia="Times New Roman" w:hAnsi="Calibri" w:cs="Times New Roman"/>
                <w:color w:val="000000"/>
                <w:lang w:val="en-GB"/>
              </w:rPr>
            </w:pPr>
            <w:proofErr w:type="spellStart"/>
            <w:r>
              <w:rPr>
                <w:rFonts w:ascii="SimSun" w:hAnsi="SimSun" w:cs="SimSun" w:hint="eastAsia"/>
                <w:color w:val="000000"/>
                <w:lang w:val="en-GB"/>
              </w:rPr>
              <w:t>目标</w:t>
            </w:r>
            <w:proofErr w:type="spellEnd"/>
            <w:r w:rsidR="00D30DB1" w:rsidRPr="00D30DB1">
              <w:rPr>
                <w:rFonts w:ascii="Calibri" w:eastAsia="Times New Roman" w:hAnsi="Calibri" w:cs="Times New Roman"/>
                <w:color w:val="000000"/>
                <w:lang w:val="en-GB"/>
              </w:rPr>
              <w:t xml:space="preserve"> 7</w:t>
            </w:r>
          </w:p>
        </w:tc>
        <w:tc>
          <w:tcPr>
            <w:tcW w:w="1250" w:type="pct"/>
            <w:shd w:val="clear" w:color="auto" w:fill="auto"/>
          </w:tcPr>
          <w:p w14:paraId="56F2F8C2" w14:textId="77777777" w:rsidR="00BC1CCC" w:rsidRDefault="00BC1CCC" w:rsidP="00D30DB1">
            <w:pPr>
              <w:spacing w:after="0" w:line="240" w:lineRule="auto"/>
              <w:rPr>
                <w:rFonts w:ascii="Calibri" w:eastAsia="MS Mincho" w:hAnsi="Calibri" w:cs="Times New Roman"/>
                <w:color w:val="000000"/>
              </w:rPr>
            </w:pPr>
          </w:p>
          <w:p w14:paraId="52AE2FA1" w14:textId="1878376C" w:rsidR="00D30DB1" w:rsidRPr="00D30DB1" w:rsidRDefault="001E4F99" w:rsidP="00D30DB1">
            <w:pPr>
              <w:spacing w:after="0" w:line="240" w:lineRule="auto"/>
              <w:rPr>
                <w:rFonts w:ascii="Calibri" w:eastAsia="MS Mincho" w:hAnsi="Calibri" w:cs="Times New Roman"/>
                <w:color w:val="000000"/>
              </w:rPr>
            </w:pPr>
            <w:r>
              <w:rPr>
                <w:rFonts w:ascii="Calibri" w:eastAsia="MS Mincho" w:hAnsi="Calibri" w:cs="Times New Roman"/>
                <w:color w:val="000000"/>
              </w:rPr>
              <w:t>16.3</w:t>
            </w:r>
          </w:p>
        </w:tc>
        <w:tc>
          <w:tcPr>
            <w:tcW w:w="1250" w:type="pct"/>
            <w:shd w:val="clear" w:color="auto" w:fill="auto"/>
          </w:tcPr>
          <w:p w14:paraId="3986B9E4" w14:textId="77777777" w:rsidR="00BC1CCC" w:rsidRDefault="00BC1CCC" w:rsidP="00D30DB1">
            <w:pPr>
              <w:spacing w:after="0" w:line="240" w:lineRule="auto"/>
              <w:rPr>
                <w:rFonts w:ascii="Calibri" w:eastAsia="MS Mincho" w:hAnsi="Calibri" w:cs="Angsana New"/>
                <w:color w:val="000000"/>
                <w:lang w:val="en-GB"/>
              </w:rPr>
            </w:pPr>
          </w:p>
          <w:p w14:paraId="0770B455" w14:textId="3221109A" w:rsidR="00D30DB1" w:rsidRPr="00D30DB1" w:rsidRDefault="00BC1CCC" w:rsidP="00D30DB1">
            <w:pPr>
              <w:spacing w:after="0" w:line="240" w:lineRule="auto"/>
              <w:rPr>
                <w:rFonts w:ascii="Calibri" w:eastAsia="MS Mincho" w:hAnsi="Calibri" w:cs="Angsana New"/>
                <w:color w:val="000000"/>
                <w:lang w:val="en-GB"/>
              </w:rPr>
            </w:pPr>
            <w:r>
              <w:rPr>
                <w:rFonts w:ascii="Calibri" w:eastAsia="MS Mincho" w:hAnsi="Calibri" w:cs="Angsana New"/>
                <w:color w:val="000000"/>
                <w:lang w:val="en-GB"/>
              </w:rPr>
              <w:t>58.3</w:t>
            </w:r>
          </w:p>
        </w:tc>
        <w:tc>
          <w:tcPr>
            <w:tcW w:w="1250" w:type="pct"/>
            <w:shd w:val="clear" w:color="auto" w:fill="auto"/>
          </w:tcPr>
          <w:p w14:paraId="1A667261" w14:textId="77777777" w:rsidR="00D30DB1" w:rsidRDefault="00D30DB1" w:rsidP="00D30DB1">
            <w:pPr>
              <w:spacing w:after="0" w:line="240" w:lineRule="auto"/>
              <w:rPr>
                <w:rFonts w:ascii="Calibri" w:eastAsia="Times New Roman" w:hAnsi="Calibri" w:cs="Times New Roman"/>
                <w:color w:val="000000"/>
                <w:lang w:val="en-GB"/>
              </w:rPr>
            </w:pPr>
          </w:p>
          <w:p w14:paraId="11B87FFA" w14:textId="289EC6FF" w:rsidR="00BC1CCC" w:rsidRPr="00D30DB1" w:rsidRDefault="00BC1CCC"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74.6</w:t>
            </w:r>
          </w:p>
        </w:tc>
      </w:tr>
      <w:tr w:rsidR="00D30DB1" w:rsidRPr="00D30DB1" w14:paraId="459A88AC" w14:textId="77777777" w:rsidTr="008354E6">
        <w:trPr>
          <w:trHeight w:val="871"/>
        </w:trPr>
        <w:tc>
          <w:tcPr>
            <w:tcW w:w="1250" w:type="pct"/>
            <w:shd w:val="clear" w:color="auto" w:fill="auto"/>
          </w:tcPr>
          <w:p w14:paraId="4F31EE06" w14:textId="77777777" w:rsidR="00D30DB1" w:rsidRPr="00D30DB1" w:rsidRDefault="00D30DB1" w:rsidP="00D30DB1">
            <w:pPr>
              <w:spacing w:after="0" w:line="240" w:lineRule="auto"/>
              <w:rPr>
                <w:rFonts w:ascii="Calibri" w:eastAsia="Times New Roman" w:hAnsi="Calibri" w:cs="Times New Roman"/>
                <w:color w:val="000000"/>
                <w:lang w:val="en-GB"/>
              </w:rPr>
            </w:pPr>
          </w:p>
          <w:p w14:paraId="49852D54" w14:textId="4F60CFF3" w:rsidR="00D30DB1" w:rsidRPr="00D30DB1" w:rsidRDefault="00035024" w:rsidP="00035024">
            <w:pPr>
              <w:spacing w:after="0" w:line="240" w:lineRule="auto"/>
              <w:rPr>
                <w:rFonts w:ascii="Calibri" w:eastAsia="Times New Roman" w:hAnsi="Calibri" w:cs="Times New Roman"/>
                <w:color w:val="000000"/>
                <w:lang w:val="en-GB"/>
              </w:rPr>
            </w:pPr>
            <w:proofErr w:type="spellStart"/>
            <w:r>
              <w:rPr>
                <w:rFonts w:ascii="SimSun" w:hAnsi="SimSun" w:cs="SimSun" w:hint="eastAsia"/>
                <w:color w:val="000000"/>
                <w:lang w:val="en-GB"/>
              </w:rPr>
              <w:t>目标</w:t>
            </w:r>
            <w:proofErr w:type="spellEnd"/>
            <w:r w:rsidR="00D30DB1" w:rsidRPr="00D30DB1">
              <w:rPr>
                <w:rFonts w:ascii="Calibri" w:eastAsia="Times New Roman" w:hAnsi="Calibri" w:cs="Times New Roman"/>
                <w:color w:val="000000"/>
                <w:lang w:val="en-GB"/>
              </w:rPr>
              <w:t xml:space="preserve"> 14</w:t>
            </w:r>
          </w:p>
        </w:tc>
        <w:tc>
          <w:tcPr>
            <w:tcW w:w="1250" w:type="pct"/>
            <w:shd w:val="clear" w:color="auto" w:fill="auto"/>
          </w:tcPr>
          <w:p w14:paraId="489375CA" w14:textId="77777777" w:rsidR="00D30DB1" w:rsidRDefault="00D30DB1" w:rsidP="00D30DB1">
            <w:pPr>
              <w:spacing w:after="0" w:line="240" w:lineRule="auto"/>
              <w:rPr>
                <w:rFonts w:ascii="Calibri" w:eastAsia="MS Mincho" w:hAnsi="Calibri" w:cs="Times New Roman"/>
                <w:color w:val="000000"/>
              </w:rPr>
            </w:pPr>
          </w:p>
          <w:p w14:paraId="5720AC7B" w14:textId="2E2634EB" w:rsidR="00662561" w:rsidRPr="00D30DB1" w:rsidRDefault="00662561" w:rsidP="00D30DB1">
            <w:pPr>
              <w:spacing w:after="0" w:line="240" w:lineRule="auto"/>
              <w:rPr>
                <w:rFonts w:ascii="Calibri" w:eastAsia="MS Mincho" w:hAnsi="Calibri" w:cs="Times New Roman"/>
                <w:color w:val="000000"/>
              </w:rPr>
            </w:pPr>
            <w:r>
              <w:rPr>
                <w:rFonts w:ascii="Calibri" w:eastAsia="MS Mincho" w:hAnsi="Calibri" w:cs="Times New Roman"/>
                <w:color w:val="000000"/>
              </w:rPr>
              <w:t>10.0</w:t>
            </w:r>
          </w:p>
        </w:tc>
        <w:tc>
          <w:tcPr>
            <w:tcW w:w="1250" w:type="pct"/>
            <w:shd w:val="clear" w:color="auto" w:fill="auto"/>
          </w:tcPr>
          <w:p w14:paraId="57D068AE" w14:textId="77777777" w:rsidR="00D30DB1" w:rsidRDefault="00D30DB1" w:rsidP="00D30DB1">
            <w:pPr>
              <w:spacing w:after="0" w:line="240" w:lineRule="auto"/>
              <w:rPr>
                <w:rFonts w:ascii="Calibri" w:eastAsia="MS Mincho" w:hAnsi="Calibri" w:cs="Angsana New"/>
                <w:color w:val="000000"/>
                <w:lang w:val="en-GB"/>
              </w:rPr>
            </w:pPr>
          </w:p>
          <w:p w14:paraId="790FD4F9" w14:textId="585214DA" w:rsidR="00662561" w:rsidRPr="00D30DB1" w:rsidRDefault="00662561" w:rsidP="00D30DB1">
            <w:pPr>
              <w:spacing w:after="0" w:line="240" w:lineRule="auto"/>
              <w:rPr>
                <w:rFonts w:ascii="Calibri" w:eastAsia="MS Mincho" w:hAnsi="Calibri" w:cs="Angsana New"/>
                <w:color w:val="000000"/>
                <w:lang w:val="en-GB"/>
              </w:rPr>
            </w:pPr>
            <w:r>
              <w:rPr>
                <w:rFonts w:ascii="Calibri" w:eastAsia="MS Mincho" w:hAnsi="Calibri" w:cs="Angsana New"/>
                <w:color w:val="000000"/>
                <w:lang w:val="en-GB"/>
              </w:rPr>
              <w:t>10.5</w:t>
            </w:r>
          </w:p>
        </w:tc>
        <w:tc>
          <w:tcPr>
            <w:tcW w:w="1250" w:type="pct"/>
            <w:shd w:val="clear" w:color="auto" w:fill="auto"/>
          </w:tcPr>
          <w:p w14:paraId="1D00881D" w14:textId="77777777" w:rsidR="00D30DB1" w:rsidRDefault="00D30DB1" w:rsidP="00D30DB1">
            <w:pPr>
              <w:spacing w:after="0" w:line="240" w:lineRule="auto"/>
              <w:rPr>
                <w:rFonts w:ascii="Calibri" w:eastAsia="Times New Roman" w:hAnsi="Calibri" w:cs="Times New Roman"/>
                <w:color w:val="000000"/>
                <w:lang w:val="en-GB"/>
              </w:rPr>
            </w:pPr>
          </w:p>
          <w:p w14:paraId="49F48B8D" w14:textId="789D2D84" w:rsidR="00662561" w:rsidRPr="00D30DB1" w:rsidRDefault="00662561"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20.5</w:t>
            </w:r>
          </w:p>
        </w:tc>
      </w:tr>
      <w:tr w:rsidR="00D30DB1" w:rsidRPr="00D30DB1" w14:paraId="6BC7AC92" w14:textId="77777777" w:rsidTr="007E409E">
        <w:trPr>
          <w:trHeight w:val="468"/>
        </w:trPr>
        <w:tc>
          <w:tcPr>
            <w:tcW w:w="1250" w:type="pct"/>
            <w:shd w:val="clear" w:color="auto" w:fill="auto"/>
          </w:tcPr>
          <w:p w14:paraId="547A1044" w14:textId="70783EF9" w:rsidR="00D30DB1" w:rsidRPr="00D30DB1" w:rsidRDefault="00035024" w:rsidP="00035024">
            <w:pPr>
              <w:spacing w:after="0" w:line="240" w:lineRule="auto"/>
              <w:rPr>
                <w:rFonts w:ascii="Calibri" w:eastAsia="Times New Roman" w:hAnsi="Calibri" w:cs="Times New Roman"/>
                <w:b/>
                <w:color w:val="000000"/>
                <w:lang w:val="en-GB"/>
              </w:rPr>
            </w:pPr>
            <w:proofErr w:type="spellStart"/>
            <w:r>
              <w:rPr>
                <w:rFonts w:ascii="SimSun" w:hAnsi="SimSun" w:cs="SimSun" w:hint="eastAsia"/>
                <w:b/>
                <w:color w:val="000000"/>
                <w:lang w:val="en-GB"/>
              </w:rPr>
              <w:t>共计</w:t>
            </w:r>
            <w:proofErr w:type="spellEnd"/>
          </w:p>
        </w:tc>
        <w:tc>
          <w:tcPr>
            <w:tcW w:w="1250" w:type="pct"/>
            <w:shd w:val="clear" w:color="auto" w:fill="auto"/>
          </w:tcPr>
          <w:p w14:paraId="69CEDC1D" w14:textId="7BB31006" w:rsidR="00D30DB1" w:rsidRPr="00D30DB1" w:rsidRDefault="0075581E" w:rsidP="00D30DB1">
            <w:pPr>
              <w:spacing w:after="0" w:line="240" w:lineRule="auto"/>
              <w:rPr>
                <w:rFonts w:ascii="Calibri" w:eastAsia="MS Mincho" w:hAnsi="Calibri" w:cs="Times New Roman"/>
                <w:b/>
                <w:color w:val="000000"/>
              </w:rPr>
            </w:pPr>
            <w:r>
              <w:rPr>
                <w:rFonts w:ascii="Calibri" w:eastAsia="MS Mincho" w:hAnsi="Calibri" w:cs="Times New Roman"/>
                <w:b/>
                <w:color w:val="000000"/>
              </w:rPr>
              <w:t>26.3</w:t>
            </w:r>
          </w:p>
        </w:tc>
        <w:tc>
          <w:tcPr>
            <w:tcW w:w="1250" w:type="pct"/>
            <w:shd w:val="clear" w:color="auto" w:fill="auto"/>
          </w:tcPr>
          <w:p w14:paraId="3FDF3574" w14:textId="6FBE21C1" w:rsidR="00D30DB1" w:rsidRPr="00D30DB1" w:rsidRDefault="0075581E" w:rsidP="00D30DB1">
            <w:pPr>
              <w:spacing w:after="0" w:line="240" w:lineRule="auto"/>
              <w:rPr>
                <w:rFonts w:ascii="Calibri" w:eastAsia="MS Mincho" w:hAnsi="Calibri" w:cs="Angsana New"/>
                <w:b/>
                <w:color w:val="000000"/>
                <w:lang w:val="en-GB"/>
              </w:rPr>
            </w:pPr>
            <w:r>
              <w:rPr>
                <w:rFonts w:ascii="Calibri" w:eastAsia="MS Mincho" w:hAnsi="Calibri" w:cs="Angsana New"/>
                <w:b/>
                <w:color w:val="000000"/>
                <w:lang w:val="en-GB"/>
              </w:rPr>
              <w:t>68.8</w:t>
            </w:r>
          </w:p>
        </w:tc>
        <w:tc>
          <w:tcPr>
            <w:tcW w:w="1250" w:type="pct"/>
            <w:shd w:val="clear" w:color="auto" w:fill="auto"/>
          </w:tcPr>
          <w:p w14:paraId="711272B6" w14:textId="664AFF80" w:rsidR="00D30DB1" w:rsidRPr="00D30DB1" w:rsidRDefault="00D602BE" w:rsidP="00D30DB1">
            <w:pPr>
              <w:spacing w:after="0" w:line="240" w:lineRule="auto"/>
              <w:rPr>
                <w:rFonts w:ascii="Calibri" w:eastAsia="Times New Roman" w:hAnsi="Calibri" w:cs="Times New Roman"/>
                <w:b/>
                <w:color w:val="000000"/>
                <w:lang w:val="en-GB"/>
              </w:rPr>
            </w:pPr>
            <w:r>
              <w:rPr>
                <w:rFonts w:ascii="Calibri" w:eastAsia="Times New Roman" w:hAnsi="Calibri" w:cs="Times New Roman"/>
                <w:b/>
                <w:color w:val="000000"/>
                <w:lang w:val="en-GB"/>
              </w:rPr>
              <w:t xml:space="preserve">93.01 </w:t>
            </w:r>
          </w:p>
        </w:tc>
      </w:tr>
    </w:tbl>
    <w:p w14:paraId="43A34257" w14:textId="43EF2AE4" w:rsidR="0040084C" w:rsidRDefault="0040084C" w:rsidP="00D30DB1">
      <w:pPr>
        <w:spacing w:before="120" w:after="120" w:line="240" w:lineRule="auto"/>
        <w:rPr>
          <w:rFonts w:ascii="Calibri" w:eastAsia="DengXian" w:hAnsi="Calibri" w:cs="Times New Roman"/>
          <w:b/>
          <w:snapToGrid w:val="0"/>
          <w:sz w:val="24"/>
          <w:szCs w:val="24"/>
          <w:u w:val="single"/>
          <w:lang w:eastAsia="zh-CN"/>
        </w:rPr>
      </w:pPr>
    </w:p>
    <w:p w14:paraId="78FF9DF2" w14:textId="77777777" w:rsidR="00AC0190" w:rsidRPr="00AC0190" w:rsidRDefault="00AC0190" w:rsidP="00D30DB1">
      <w:pPr>
        <w:spacing w:before="120" w:after="120" w:line="240" w:lineRule="auto"/>
        <w:rPr>
          <w:rFonts w:ascii="Calibri" w:eastAsia="DengXian" w:hAnsi="Calibri" w:cs="Times New Roman"/>
          <w:b/>
          <w:snapToGrid w:val="0"/>
          <w:sz w:val="24"/>
          <w:szCs w:val="24"/>
          <w:u w:val="single"/>
          <w:lang w:eastAsia="zh-CN"/>
        </w:rPr>
      </w:pPr>
    </w:p>
    <w:p w14:paraId="66345200" w14:textId="40D8442C" w:rsidR="00D30DB1" w:rsidRPr="00F35B14" w:rsidRDefault="00E47316" w:rsidP="00475312">
      <w:pPr>
        <w:pStyle w:val="Heading3"/>
        <w:rPr>
          <w:snapToGrid w:val="0"/>
        </w:rPr>
      </w:pPr>
      <w:r w:rsidRPr="00F35B14">
        <w:rPr>
          <w:snapToGrid w:val="0"/>
        </w:rPr>
        <w:t>国际水域重点领域</w:t>
      </w:r>
    </w:p>
    <w:p w14:paraId="1D563E5E" w14:textId="5C11F657" w:rsidR="00AC0190" w:rsidRPr="00F35B14" w:rsidRDefault="00AC0190"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国际水域重点领域（</w:t>
      </w:r>
      <w:r w:rsidRPr="00F35B14">
        <w:rPr>
          <w:rFonts w:hint="eastAsia"/>
          <w:sz w:val="24"/>
          <w:szCs w:val="24"/>
          <w:lang w:eastAsia="zh-CN"/>
        </w:rPr>
        <w:t>IW</w:t>
      </w:r>
      <w:r w:rsidRPr="00F35B14">
        <w:rPr>
          <w:rFonts w:hint="eastAsia"/>
          <w:sz w:val="24"/>
          <w:szCs w:val="24"/>
          <w:lang w:eastAsia="zh-CN"/>
        </w:rPr>
        <w:t>）的重点领域帮助各国共同管理跨界地表水盆地、地下水盆地以及沿海和海洋系统，以便能够分享其利用所带来的惠益。复杂的跨界水生态系统跨</w:t>
      </w:r>
      <w:r w:rsidRPr="00F35B14">
        <w:rPr>
          <w:rFonts w:hint="eastAsia"/>
          <w:sz w:val="24"/>
          <w:szCs w:val="24"/>
          <w:lang w:eastAsia="zh-CN"/>
        </w:rPr>
        <w:lastRenderedPageBreak/>
        <w:t>越了众多部门需求和主题，而不受政治边界的束缚。因此，要制定有效的政策目标并进行投资，</w:t>
      </w:r>
      <w:r w:rsidR="00D61293" w:rsidRPr="00F35B14">
        <w:rPr>
          <w:rFonts w:hint="eastAsia"/>
          <w:sz w:val="24"/>
          <w:szCs w:val="24"/>
          <w:lang w:eastAsia="zh-CN"/>
        </w:rPr>
        <w:t>这</w:t>
      </w:r>
      <w:r w:rsidRPr="00F35B14">
        <w:rPr>
          <w:rFonts w:hint="eastAsia"/>
          <w:sz w:val="24"/>
          <w:szCs w:val="24"/>
          <w:lang w:eastAsia="zh-CN"/>
        </w:rPr>
        <w:t>需要在公共和私营部门以及从源头到海洋乃至整个流域的各个分水岭中与各种</w:t>
      </w:r>
      <w:r w:rsidR="00D61293" w:rsidRPr="00F35B14">
        <w:rPr>
          <w:rFonts w:hint="eastAsia"/>
          <w:sz w:val="24"/>
          <w:szCs w:val="24"/>
          <w:lang w:eastAsia="zh-CN"/>
        </w:rPr>
        <w:t>利益攸关方</w:t>
      </w:r>
      <w:r w:rsidRPr="00F35B14">
        <w:rPr>
          <w:rFonts w:hint="eastAsia"/>
          <w:sz w:val="24"/>
          <w:szCs w:val="24"/>
          <w:lang w:eastAsia="zh-CN"/>
        </w:rPr>
        <w:t>开展各种规模的合作。这些原则对于</w:t>
      </w:r>
      <w:r w:rsidR="00D61293" w:rsidRPr="00F35B14">
        <w:rPr>
          <w:rFonts w:hint="eastAsia"/>
          <w:sz w:val="24"/>
          <w:szCs w:val="24"/>
          <w:lang w:eastAsia="zh-CN"/>
        </w:rPr>
        <w:t>全环基金第七次增资期间</w:t>
      </w:r>
      <w:r w:rsidRPr="00F35B14">
        <w:rPr>
          <w:rFonts w:hint="eastAsia"/>
          <w:sz w:val="24"/>
          <w:szCs w:val="24"/>
          <w:lang w:eastAsia="zh-CN"/>
        </w:rPr>
        <w:t>对国际水域的投资至关重要。</w:t>
      </w:r>
      <w:r w:rsidR="00D61293" w:rsidRPr="00F35B14">
        <w:rPr>
          <w:rFonts w:hint="eastAsia"/>
          <w:sz w:val="24"/>
          <w:szCs w:val="24"/>
          <w:lang w:eastAsia="zh-CN"/>
        </w:rPr>
        <w:t>全环基金第七次增资期间国际水域重点领域（</w:t>
      </w:r>
      <w:r w:rsidR="00D61293" w:rsidRPr="00F35B14">
        <w:rPr>
          <w:rFonts w:hint="eastAsia"/>
          <w:sz w:val="24"/>
          <w:szCs w:val="24"/>
          <w:lang w:eastAsia="zh-CN"/>
        </w:rPr>
        <w:t>IW</w:t>
      </w:r>
      <w:r w:rsidR="00D61293" w:rsidRPr="00F35B14">
        <w:rPr>
          <w:rFonts w:hint="eastAsia"/>
          <w:sz w:val="24"/>
          <w:szCs w:val="24"/>
          <w:lang w:eastAsia="zh-CN"/>
        </w:rPr>
        <w:t>）的投资目的有</w:t>
      </w:r>
      <w:r w:rsidRPr="00F35B14">
        <w:rPr>
          <w:rFonts w:hint="eastAsia"/>
          <w:sz w:val="24"/>
          <w:szCs w:val="24"/>
          <w:lang w:eastAsia="zh-CN"/>
        </w:rPr>
        <w:t>三个主要目标：</w:t>
      </w:r>
      <w:r w:rsidRPr="00F35B14">
        <w:rPr>
          <w:rFonts w:hint="eastAsia"/>
          <w:sz w:val="24"/>
          <w:szCs w:val="24"/>
          <w:lang w:eastAsia="zh-CN"/>
        </w:rPr>
        <w:t>1</w:t>
      </w:r>
      <w:r w:rsidRPr="00F35B14">
        <w:rPr>
          <w:rFonts w:hint="eastAsia"/>
          <w:sz w:val="24"/>
          <w:szCs w:val="24"/>
          <w:lang w:eastAsia="zh-CN"/>
        </w:rPr>
        <w:t>）加强国家蓝色经济机遇，以减少对海洋和沿海水域的威胁；</w:t>
      </w:r>
      <w:r w:rsidRPr="00F35B14">
        <w:rPr>
          <w:rFonts w:hint="eastAsia"/>
          <w:sz w:val="24"/>
          <w:szCs w:val="24"/>
          <w:lang w:eastAsia="zh-CN"/>
        </w:rPr>
        <w:t xml:space="preserve"> 2</w:t>
      </w:r>
      <w:r w:rsidRPr="00F35B14">
        <w:rPr>
          <w:rFonts w:hint="eastAsia"/>
          <w:sz w:val="24"/>
          <w:szCs w:val="24"/>
          <w:lang w:eastAsia="zh-CN"/>
        </w:rPr>
        <w:t>）改善国家管辖范围以外</w:t>
      </w:r>
      <w:r w:rsidR="00D61293" w:rsidRPr="00F35B14">
        <w:rPr>
          <w:rFonts w:hint="eastAsia"/>
          <w:sz w:val="24"/>
          <w:szCs w:val="24"/>
          <w:lang w:eastAsia="zh-CN"/>
        </w:rPr>
        <w:t>区域（</w:t>
      </w:r>
      <w:r w:rsidR="00D61293" w:rsidRPr="00F35B14">
        <w:rPr>
          <w:rFonts w:ascii="Calibri" w:eastAsia="MS Mincho" w:hAnsi="Calibri" w:cs="Times New Roman"/>
          <w:snapToGrid w:val="0"/>
          <w:sz w:val="24"/>
          <w:szCs w:val="24"/>
          <w:lang w:eastAsia="zh-CN"/>
        </w:rPr>
        <w:t>ABNJ</w:t>
      </w:r>
      <w:r w:rsidR="00D61293" w:rsidRPr="00F35B14">
        <w:rPr>
          <w:rFonts w:hint="eastAsia"/>
          <w:sz w:val="24"/>
          <w:szCs w:val="24"/>
          <w:lang w:eastAsia="zh-CN"/>
        </w:rPr>
        <w:t>）</w:t>
      </w:r>
      <w:r w:rsidRPr="00F35B14">
        <w:rPr>
          <w:rFonts w:hint="eastAsia"/>
          <w:sz w:val="24"/>
          <w:szCs w:val="24"/>
          <w:lang w:eastAsia="zh-CN"/>
        </w:rPr>
        <w:t>的管理</w:t>
      </w:r>
      <w:r w:rsidR="00D61293" w:rsidRPr="00F35B14">
        <w:rPr>
          <w:rFonts w:hint="eastAsia"/>
          <w:sz w:val="24"/>
          <w:szCs w:val="24"/>
          <w:lang w:eastAsia="zh-CN"/>
        </w:rPr>
        <w:t>；</w:t>
      </w:r>
      <w:r w:rsidRPr="00F35B14">
        <w:rPr>
          <w:rFonts w:hint="eastAsia"/>
          <w:sz w:val="24"/>
          <w:szCs w:val="24"/>
          <w:lang w:eastAsia="zh-CN"/>
        </w:rPr>
        <w:t>3</w:t>
      </w:r>
      <w:r w:rsidRPr="00F35B14">
        <w:rPr>
          <w:rFonts w:hint="eastAsia"/>
          <w:sz w:val="24"/>
          <w:szCs w:val="24"/>
          <w:lang w:eastAsia="zh-CN"/>
        </w:rPr>
        <w:t>）加强淡水生态系统的水安全。</w:t>
      </w:r>
    </w:p>
    <w:p w14:paraId="55244DAB" w14:textId="4ADC0869" w:rsidR="00046027" w:rsidRPr="00F35B14" w:rsidRDefault="00D61293"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val="en-GB" w:eastAsia="zh-CN"/>
        </w:rPr>
      </w:pPr>
      <w:r w:rsidRPr="00F35B14">
        <w:rPr>
          <w:rFonts w:hint="eastAsia"/>
          <w:sz w:val="24"/>
          <w:szCs w:val="24"/>
          <w:lang w:eastAsia="zh-CN"/>
        </w:rPr>
        <w:t>下文表</w:t>
      </w:r>
      <w:r w:rsidRPr="00F35B14">
        <w:rPr>
          <w:rFonts w:hint="eastAsia"/>
          <w:sz w:val="24"/>
          <w:szCs w:val="24"/>
          <w:lang w:eastAsia="zh-CN"/>
        </w:rPr>
        <w:t>10</w:t>
      </w:r>
      <w:r w:rsidR="00DF6264" w:rsidRPr="00F35B14">
        <w:rPr>
          <w:rFonts w:hint="eastAsia"/>
          <w:sz w:val="24"/>
          <w:szCs w:val="24"/>
          <w:lang w:eastAsia="zh-CN"/>
        </w:rPr>
        <w:t>说明国际水域重点领域（</w:t>
      </w:r>
      <w:r w:rsidRPr="00F35B14">
        <w:rPr>
          <w:rFonts w:hint="eastAsia"/>
          <w:sz w:val="24"/>
          <w:szCs w:val="24"/>
          <w:lang w:eastAsia="zh-CN"/>
        </w:rPr>
        <w:t>IW</w:t>
      </w:r>
      <w:r w:rsidR="00DF6264" w:rsidRPr="00F35B14">
        <w:rPr>
          <w:rFonts w:hint="eastAsia"/>
          <w:sz w:val="24"/>
          <w:szCs w:val="24"/>
          <w:lang w:eastAsia="zh-CN"/>
        </w:rPr>
        <w:t>）</w:t>
      </w:r>
      <w:r w:rsidRPr="00F35B14">
        <w:rPr>
          <w:rFonts w:hint="eastAsia"/>
          <w:sz w:val="24"/>
          <w:szCs w:val="24"/>
          <w:lang w:eastAsia="zh-CN"/>
        </w:rPr>
        <w:t>资源对实现</w:t>
      </w:r>
      <w:r w:rsidR="00DF6264" w:rsidRPr="00F35B14">
        <w:rPr>
          <w:rFonts w:hint="eastAsia"/>
          <w:sz w:val="24"/>
          <w:szCs w:val="24"/>
          <w:lang w:eastAsia="zh-CN"/>
        </w:rPr>
        <w:t>各国优先考虑的</w:t>
      </w:r>
      <w:r w:rsidRPr="00F35B14">
        <w:rPr>
          <w:rFonts w:hint="eastAsia"/>
          <w:sz w:val="24"/>
          <w:szCs w:val="24"/>
          <w:lang w:eastAsia="zh-CN"/>
        </w:rPr>
        <w:t>爱知生物多样性目标的贡献。</w:t>
      </w:r>
    </w:p>
    <w:p w14:paraId="20E649B0" w14:textId="48FB8E0C" w:rsidR="000F67FB" w:rsidRPr="000F67FB" w:rsidRDefault="000F67FB" w:rsidP="000F67FB">
      <w:pPr>
        <w:spacing w:before="240" w:after="240" w:line="240" w:lineRule="auto"/>
        <w:jc w:val="center"/>
        <w:rPr>
          <w:rFonts w:ascii="Calibri" w:eastAsia="DengXian" w:hAnsi="Calibri" w:cs="Times New Roman"/>
          <w:b/>
          <w:snapToGrid w:val="0"/>
          <w:sz w:val="24"/>
          <w:szCs w:val="24"/>
          <w:lang w:val="en-GB" w:eastAsia="zh-CN"/>
        </w:rPr>
      </w:pPr>
      <w:r w:rsidRPr="00656983">
        <w:rPr>
          <w:rFonts w:ascii="Times New Roman" w:hAnsi="Times New Roman" w:cs="Times New Roman"/>
          <w:b/>
          <w:snapToGrid w:val="0"/>
          <w:lang w:val="en-GB" w:eastAsia="zh-CN"/>
        </w:rPr>
        <w:t>表</w:t>
      </w:r>
      <w:r>
        <w:rPr>
          <w:rFonts w:ascii="Times New Roman" w:hAnsi="Times New Roman" w:cs="Times New Roman" w:hint="eastAsia"/>
          <w:b/>
          <w:snapToGrid w:val="0"/>
          <w:lang w:val="en-GB" w:eastAsia="zh-CN"/>
        </w:rPr>
        <w:t>10</w:t>
      </w:r>
      <w:r w:rsidRPr="00656983">
        <w:rPr>
          <w:rFonts w:ascii="Times New Roman" w:hAnsi="Times New Roman" w:cs="Times New Roman"/>
          <w:b/>
          <w:snapToGrid w:val="0"/>
          <w:lang w:val="en-GB" w:eastAsia="zh-CN"/>
        </w:rPr>
        <w:t>.</w:t>
      </w:r>
      <w:r>
        <w:rPr>
          <w:rFonts w:ascii="Times New Roman" w:hAnsi="Times New Roman" w:cs="Times New Roman" w:hint="eastAsia"/>
          <w:b/>
          <w:snapToGrid w:val="0"/>
          <w:lang w:val="en-GB" w:eastAsia="zh-CN"/>
        </w:rPr>
        <w:t xml:space="preserve"> </w:t>
      </w:r>
      <w:r>
        <w:rPr>
          <w:rFonts w:ascii="Times New Roman" w:hAnsi="Times New Roman" w:cs="Times New Roman" w:hint="eastAsia"/>
          <w:b/>
          <w:snapToGrid w:val="0"/>
          <w:lang w:val="en-GB" w:eastAsia="zh-CN"/>
        </w:rPr>
        <w:t>全环基金第六次增资的国际水域重点领域目标</w:t>
      </w:r>
      <w:r>
        <w:rPr>
          <w:rFonts w:ascii="Times New Roman" w:hAnsi="Times New Roman" w:cs="Times New Roman"/>
          <w:b/>
          <w:snapToGrid w:val="0"/>
          <w:lang w:val="en-GB" w:eastAsia="zh-CN"/>
        </w:rPr>
        <w:br/>
      </w:r>
      <w:r>
        <w:rPr>
          <w:rFonts w:ascii="Times New Roman" w:hAnsi="Times New Roman" w:cs="Times New Roman" w:hint="eastAsia"/>
          <w:b/>
          <w:snapToGrid w:val="0"/>
          <w:lang w:val="en-GB" w:eastAsia="zh-CN"/>
        </w:rPr>
        <w:t>和方案</w:t>
      </w:r>
      <w:r w:rsidRPr="00656983">
        <w:rPr>
          <w:rFonts w:ascii="Times New Roman" w:hAnsi="Times New Roman" w:cs="Times New Roman"/>
          <w:b/>
          <w:snapToGrid w:val="0"/>
          <w:lang w:val="en-GB" w:eastAsia="zh-CN"/>
        </w:rPr>
        <w:t>提供的全环基金资源累计分配额</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和对实现爱知生物多样性目标的贡献</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w:t>
      </w:r>
      <w:r w:rsidRPr="00656983">
        <w:rPr>
          <w:rFonts w:ascii="Times New Roman" w:hAnsi="Times New Roman" w:cs="Times New Roman"/>
          <w:b/>
          <w:snapToGrid w:val="0"/>
          <w:lang w:val="en-GB" w:eastAsia="zh-CN"/>
        </w:rPr>
        <w:t>2018</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7</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1</w:t>
      </w:r>
      <w:r w:rsidRPr="00656983">
        <w:rPr>
          <w:rFonts w:ascii="Times New Roman" w:hAnsi="Times New Roman" w:cs="Times New Roman"/>
          <w:b/>
          <w:snapToGrid w:val="0"/>
          <w:lang w:val="en-GB" w:eastAsia="zh-CN"/>
        </w:rPr>
        <w:t>日至</w:t>
      </w:r>
      <w:r w:rsidRPr="00656983">
        <w:rPr>
          <w:rFonts w:ascii="Times New Roman" w:hAnsi="Times New Roman" w:cs="Times New Roman"/>
          <w:b/>
          <w:snapToGrid w:val="0"/>
          <w:lang w:val="en-GB" w:eastAsia="zh-CN"/>
        </w:rPr>
        <w:t>2019</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12</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31</w:t>
      </w:r>
      <w:r w:rsidRPr="00656983">
        <w:rPr>
          <w:rFonts w:ascii="Times New Roman" w:hAnsi="Times New Roman" w:cs="Times New Roman"/>
          <w:b/>
          <w:snapToGrid w:val="0"/>
          <w:lang w:val="en-GB" w:eastAsia="zh-CN"/>
        </w:rPr>
        <w:t>日）</w:t>
      </w:r>
      <w:r w:rsidRPr="00D30DB1">
        <w:rPr>
          <w:rFonts w:ascii="Calibri" w:eastAsia="MS Mincho" w:hAnsi="Calibri" w:cs="Times New Roman"/>
          <w:b/>
          <w:snapToGrid w:val="0"/>
          <w:sz w:val="18"/>
          <w:szCs w:val="24"/>
          <w:vertAlign w:val="superscript"/>
          <w:lang w:val="en-GB"/>
        </w:rPr>
        <w:footnoteReference w:id="15"/>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0F67FB" w:rsidRPr="00D30DB1" w14:paraId="5AC07F14" w14:textId="77777777" w:rsidTr="00630594">
        <w:trPr>
          <w:trHeight w:val="570"/>
        </w:trPr>
        <w:tc>
          <w:tcPr>
            <w:tcW w:w="1277" w:type="pct"/>
            <w:tcBorders>
              <w:top w:val="single" w:sz="12" w:space="0" w:color="008000"/>
              <w:bottom w:val="single" w:sz="6" w:space="0" w:color="008000"/>
            </w:tcBorders>
            <w:shd w:val="clear" w:color="auto" w:fill="auto"/>
            <w:hideMark/>
          </w:tcPr>
          <w:p w14:paraId="7FB4E949" w14:textId="5CD4D22F" w:rsidR="000F67FB" w:rsidRPr="00D30DB1" w:rsidRDefault="00C6724F" w:rsidP="00C6724F">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国际水域目标和方案</w:t>
            </w:r>
            <w:proofErr w:type="spellEnd"/>
            <w:r w:rsidR="000F67FB" w:rsidRPr="00D30DB1">
              <w:rPr>
                <w:rFonts w:ascii="Calibri" w:eastAsia="Times New Roman" w:hAnsi="Calibri" w:cs="Times New Roman"/>
                <w:b/>
                <w:bCs/>
                <w:color w:val="000000"/>
                <w:lang w:val="en-GB"/>
              </w:rPr>
              <w:t xml:space="preserve"> </w:t>
            </w:r>
          </w:p>
        </w:tc>
        <w:tc>
          <w:tcPr>
            <w:tcW w:w="877" w:type="pct"/>
            <w:tcBorders>
              <w:top w:val="single" w:sz="12" w:space="0" w:color="008000"/>
              <w:bottom w:val="single" w:sz="6" w:space="0" w:color="008000"/>
            </w:tcBorders>
            <w:shd w:val="clear" w:color="auto" w:fill="auto"/>
            <w:hideMark/>
          </w:tcPr>
          <w:p w14:paraId="5A668D8E" w14:textId="0408331B" w:rsidR="000F67FB" w:rsidRPr="00D30DB1" w:rsidRDefault="000F67FB" w:rsidP="00D30DB1">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爱知生物多样性目标</w:t>
            </w:r>
            <w:proofErr w:type="spellEnd"/>
          </w:p>
        </w:tc>
        <w:tc>
          <w:tcPr>
            <w:tcW w:w="1008" w:type="pct"/>
            <w:tcBorders>
              <w:top w:val="single" w:sz="12" w:space="0" w:color="008000"/>
              <w:bottom w:val="single" w:sz="6" w:space="0" w:color="008000"/>
            </w:tcBorders>
            <w:shd w:val="clear" w:color="auto" w:fill="auto"/>
          </w:tcPr>
          <w:p w14:paraId="2B515A20" w14:textId="30567EF0" w:rsidR="000F67FB" w:rsidRPr="00D30DB1" w:rsidRDefault="000F67FB" w:rsidP="00D30DB1">
            <w:pPr>
              <w:spacing w:after="0" w:line="240" w:lineRule="auto"/>
              <w:rPr>
                <w:rFonts w:ascii="Calibri" w:eastAsia="Times New Roman" w:hAnsi="Calibri" w:cs="Times New Roman"/>
                <w:b/>
                <w:bCs/>
                <w:color w:val="000000"/>
                <w:lang w:val="en-GB" w:eastAsia="zh-CN"/>
              </w:rPr>
            </w:pPr>
            <w:r>
              <w:rPr>
                <w:rFonts w:ascii="SimSun" w:hAnsi="SimSun" w:cs="SimSun" w:hint="eastAsia"/>
                <w:b/>
                <w:bCs/>
                <w:color w:val="000000"/>
                <w:lang w:val="en-GB" w:eastAsia="zh-CN"/>
              </w:rPr>
              <w:t>全环基金</w:t>
            </w:r>
            <w:r>
              <w:rPr>
                <w:rFonts w:ascii="SimSun" w:hAnsi="SimSun" w:cs="SimSun"/>
                <w:b/>
                <w:bCs/>
                <w:color w:val="000000"/>
                <w:lang w:val="en-GB" w:eastAsia="zh-CN"/>
              </w:rPr>
              <w:br/>
            </w:r>
            <w:r>
              <w:rPr>
                <w:rFonts w:ascii="SimSun" w:hAnsi="SimSun" w:cs="SimSun" w:hint="eastAsia"/>
                <w:b/>
                <w:bCs/>
                <w:color w:val="000000"/>
                <w:lang w:val="en-GB" w:eastAsia="zh-CN"/>
              </w:rPr>
              <w:t>项目供资</w:t>
            </w:r>
            <w:r>
              <w:rPr>
                <w:rFonts w:ascii="SimSun" w:hAnsi="SimSun" w:cs="SimSun"/>
                <w:b/>
                <w:bCs/>
                <w:color w:val="000000"/>
                <w:lang w:val="en-GB" w:eastAsia="zh-CN"/>
              </w:rPr>
              <w:br/>
            </w:r>
            <w:r w:rsidRPr="00045526">
              <w:rPr>
                <w:rFonts w:ascii="Calibri" w:eastAsia="Times New Roman" w:hAnsi="Calibri" w:cs="Times New Roman"/>
                <w:b/>
                <w:bCs/>
                <w:color w:val="000000"/>
                <w:lang w:val="en-GB" w:eastAsia="zh-CN"/>
              </w:rPr>
              <w:t xml:space="preserve"> (</w:t>
            </w:r>
            <w:r>
              <w:rPr>
                <w:rFonts w:ascii="SimSun" w:hAnsi="SimSun" w:cs="SimSun" w:hint="eastAsia"/>
                <w:b/>
                <w:bCs/>
                <w:color w:val="000000"/>
                <w:lang w:val="en-GB" w:eastAsia="zh-CN"/>
              </w:rPr>
              <w:t>百万美元</w:t>
            </w:r>
            <w:r w:rsidRPr="00045526">
              <w:rPr>
                <w:rFonts w:ascii="Calibri" w:eastAsia="Times New Roman" w:hAnsi="Calibri" w:cs="Times New Roman"/>
                <w:b/>
                <w:bCs/>
                <w:color w:val="000000"/>
                <w:lang w:val="en-GB" w:eastAsia="zh-CN"/>
              </w:rPr>
              <w:t>)</w:t>
            </w:r>
          </w:p>
        </w:tc>
        <w:tc>
          <w:tcPr>
            <w:tcW w:w="919" w:type="pct"/>
            <w:tcBorders>
              <w:top w:val="single" w:sz="12" w:space="0" w:color="008000"/>
              <w:bottom w:val="single" w:sz="6" w:space="0" w:color="008000"/>
            </w:tcBorders>
            <w:shd w:val="clear" w:color="auto" w:fill="auto"/>
            <w:hideMark/>
          </w:tcPr>
          <w:p w14:paraId="0757EBEA"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共同筹资</w:t>
            </w:r>
            <w:proofErr w:type="spellEnd"/>
            <w:r w:rsidRPr="00045526">
              <w:rPr>
                <w:rFonts w:ascii="Calibri" w:eastAsia="Times New Roman" w:hAnsi="Calibri" w:cs="Times New Roman"/>
                <w:b/>
                <w:bCs/>
                <w:color w:val="000000"/>
                <w:lang w:val="en-GB"/>
              </w:rPr>
              <w:t xml:space="preserve"> </w:t>
            </w:r>
          </w:p>
          <w:p w14:paraId="47B05DE5" w14:textId="5302273B" w:rsidR="000F67FB" w:rsidRPr="00D30DB1" w:rsidRDefault="000F67FB"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 xml:space="preserve">) </w:t>
            </w:r>
          </w:p>
        </w:tc>
        <w:tc>
          <w:tcPr>
            <w:tcW w:w="919" w:type="pct"/>
            <w:tcBorders>
              <w:top w:val="single" w:sz="12" w:space="0" w:color="008000"/>
              <w:bottom w:val="single" w:sz="6" w:space="0" w:color="008000"/>
            </w:tcBorders>
            <w:shd w:val="clear" w:color="auto" w:fill="auto"/>
          </w:tcPr>
          <w:p w14:paraId="07B2DFF5"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资源总额</w:t>
            </w:r>
            <w:proofErr w:type="spellEnd"/>
            <w:r w:rsidRPr="00045526">
              <w:rPr>
                <w:rFonts w:ascii="Calibri" w:eastAsia="Times New Roman" w:hAnsi="Calibri" w:cs="Times New Roman"/>
                <w:b/>
                <w:bCs/>
                <w:color w:val="000000"/>
                <w:lang w:val="en-GB"/>
              </w:rPr>
              <w:t xml:space="preserve"> </w:t>
            </w:r>
          </w:p>
          <w:p w14:paraId="540EE6FE" w14:textId="7446654F" w:rsidR="000F67FB" w:rsidRPr="00D30DB1" w:rsidRDefault="000F67FB" w:rsidP="00D30DB1">
            <w:pPr>
              <w:spacing w:after="0" w:line="240" w:lineRule="auto"/>
              <w:rPr>
                <w:rFonts w:ascii="Calibri" w:eastAsia="Times New Roman" w:hAnsi="Calibri" w:cs="Times New Roman"/>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w:t>
            </w:r>
          </w:p>
        </w:tc>
      </w:tr>
      <w:tr w:rsidR="00D30DB1" w:rsidRPr="00D30DB1" w14:paraId="61FB0475" w14:textId="77777777" w:rsidTr="000775B6">
        <w:trPr>
          <w:trHeight w:val="900"/>
        </w:trPr>
        <w:tc>
          <w:tcPr>
            <w:tcW w:w="1277" w:type="pct"/>
            <w:shd w:val="clear" w:color="auto" w:fill="auto"/>
          </w:tcPr>
          <w:p w14:paraId="25D8162E" w14:textId="77777777" w:rsidR="00D30DB1" w:rsidRPr="00D30DB1" w:rsidRDefault="00D30DB1" w:rsidP="00D30DB1">
            <w:pPr>
              <w:spacing w:after="0" w:line="240" w:lineRule="auto"/>
              <w:rPr>
                <w:rFonts w:ascii="Calibri" w:eastAsia="Times New Roman" w:hAnsi="Calibri" w:cs="Times New Roman"/>
                <w:color w:val="000000"/>
                <w:lang w:val="en-GB"/>
              </w:rPr>
            </w:pPr>
          </w:p>
          <w:p w14:paraId="2583A24A" w14:textId="1928F020" w:rsidR="009F3CAF" w:rsidRPr="00475312" w:rsidRDefault="00A930E4" w:rsidP="009F3CAF">
            <w:pPr>
              <w:spacing w:after="0" w:line="240" w:lineRule="auto"/>
              <w:rPr>
                <w:rFonts w:ascii="Calibri" w:hAnsi="Calibri" w:cs="Times New Roman"/>
                <w:color w:val="000000"/>
                <w:lang w:val="en-GB"/>
              </w:rPr>
            </w:pPr>
            <w:proofErr w:type="spellStart"/>
            <w:r w:rsidRPr="00475312">
              <w:rPr>
                <w:rFonts w:ascii="Calibri" w:hAnsi="Calibri" w:cs="Times New Roman"/>
                <w:color w:val="000000"/>
                <w:lang w:val="en-GB"/>
              </w:rPr>
              <w:t>目标</w:t>
            </w:r>
            <w:proofErr w:type="spellEnd"/>
            <w:r w:rsidR="009F3CAF" w:rsidRPr="00475312">
              <w:rPr>
                <w:rFonts w:ascii="Calibri" w:hAnsi="Calibri" w:cs="Times New Roman"/>
                <w:color w:val="000000"/>
                <w:lang w:val="en-GB"/>
              </w:rPr>
              <w:t xml:space="preserve"> 1</w:t>
            </w:r>
            <w:r w:rsidRPr="00475312">
              <w:rPr>
                <w:rFonts w:ascii="SimSun" w:hAnsi="SimSun" w:cs="Times New Roman" w:hint="eastAsia"/>
                <w:color w:val="000000"/>
                <w:lang w:val="en-GB" w:eastAsia="zh-CN"/>
              </w:rPr>
              <w:t>：</w:t>
            </w:r>
          </w:p>
          <w:p w14:paraId="6DD7BC79" w14:textId="666A16E3" w:rsidR="00D30DB1" w:rsidRPr="00475312" w:rsidRDefault="00A930E4" w:rsidP="009F3CAF">
            <w:pPr>
              <w:spacing w:after="0" w:line="240" w:lineRule="auto"/>
              <w:rPr>
                <w:rFonts w:ascii="Calibri" w:hAnsi="Calibri" w:cs="Times New Roman"/>
                <w:color w:val="000000"/>
                <w:lang w:val="en-GB"/>
              </w:rPr>
            </w:pPr>
            <w:proofErr w:type="spellStart"/>
            <w:r w:rsidRPr="00475312">
              <w:rPr>
                <w:rFonts w:ascii="Calibri" w:hAnsi="Calibri" w:cs="Times New Roman"/>
                <w:color w:val="000000"/>
                <w:lang w:val="en-GB"/>
              </w:rPr>
              <w:t>蓝色经济</w:t>
            </w:r>
            <w:proofErr w:type="spellEnd"/>
          </w:p>
          <w:p w14:paraId="132AAA80" w14:textId="77777777" w:rsidR="009F3CAF" w:rsidRPr="009F3CAF" w:rsidRDefault="009F3CAF" w:rsidP="009F3CAF">
            <w:pPr>
              <w:spacing w:after="0" w:line="240" w:lineRule="auto"/>
              <w:rPr>
                <w:rFonts w:ascii="Calibri" w:eastAsia="Times New Roman" w:hAnsi="Calibri" w:cs="Times New Roman"/>
                <w:color w:val="000000"/>
                <w:lang w:val="en-GB"/>
              </w:rPr>
            </w:pPr>
          </w:p>
          <w:p w14:paraId="08665F07" w14:textId="77777777" w:rsidR="00D30DB1" w:rsidRPr="00D30DB1" w:rsidRDefault="00D30DB1" w:rsidP="00D30DB1">
            <w:pPr>
              <w:spacing w:after="0" w:line="240" w:lineRule="auto"/>
              <w:rPr>
                <w:rFonts w:ascii="Calibri" w:eastAsia="Times New Roman" w:hAnsi="Calibri" w:cs="Times New Roman"/>
                <w:color w:val="000000"/>
                <w:lang w:val="en-GB"/>
              </w:rPr>
            </w:pPr>
          </w:p>
        </w:tc>
        <w:tc>
          <w:tcPr>
            <w:tcW w:w="877" w:type="pct"/>
            <w:shd w:val="clear" w:color="auto" w:fill="auto"/>
          </w:tcPr>
          <w:p w14:paraId="11F6FE4B" w14:textId="77777777" w:rsidR="00D30DB1" w:rsidRDefault="00D30DB1" w:rsidP="00D30DB1">
            <w:pPr>
              <w:spacing w:after="0" w:line="240" w:lineRule="auto"/>
              <w:rPr>
                <w:rFonts w:ascii="Calibri" w:eastAsia="Times New Roman" w:hAnsi="Calibri" w:cs="Times New Roman"/>
                <w:color w:val="000000"/>
                <w:lang w:val="en-GB"/>
              </w:rPr>
            </w:pPr>
          </w:p>
          <w:p w14:paraId="079FA207" w14:textId="6E4F6D50" w:rsidR="00741950" w:rsidRPr="00D30DB1" w:rsidRDefault="000B65E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6</w:t>
            </w:r>
            <w:r w:rsidR="002857F7">
              <w:rPr>
                <w:rFonts w:ascii="Calibri" w:eastAsia="Times New Roman" w:hAnsi="Calibri" w:cs="Times New Roman"/>
                <w:color w:val="000000"/>
                <w:lang w:val="en-GB"/>
              </w:rPr>
              <w:t>, 8, 11</w:t>
            </w:r>
          </w:p>
        </w:tc>
        <w:tc>
          <w:tcPr>
            <w:tcW w:w="1008" w:type="pct"/>
            <w:shd w:val="clear" w:color="auto" w:fill="auto"/>
          </w:tcPr>
          <w:p w14:paraId="4755CFC4" w14:textId="77777777" w:rsidR="00D30DB1" w:rsidRDefault="00D30DB1" w:rsidP="00D30DB1">
            <w:pPr>
              <w:spacing w:after="0" w:line="240" w:lineRule="auto"/>
              <w:rPr>
                <w:rFonts w:ascii="Calibri" w:eastAsia="Times New Roman" w:hAnsi="Calibri" w:cs="Times New Roman"/>
                <w:color w:val="000000"/>
                <w:lang w:val="en-GB"/>
              </w:rPr>
            </w:pPr>
          </w:p>
          <w:p w14:paraId="2C491CD6" w14:textId="3A65D11A" w:rsidR="00316561" w:rsidRPr="00D30DB1" w:rsidRDefault="00316561" w:rsidP="00D30DB1">
            <w:pPr>
              <w:spacing w:after="0" w:line="240" w:lineRule="auto"/>
              <w:rPr>
                <w:rFonts w:ascii="Calibri" w:eastAsia="Times New Roman" w:hAnsi="Calibri" w:cs="Times New Roman"/>
                <w:color w:val="000000"/>
                <w:lang w:val="en-GB"/>
              </w:rPr>
            </w:pPr>
            <w:r w:rsidRPr="00316561">
              <w:rPr>
                <w:rFonts w:ascii="Calibri" w:eastAsia="Times New Roman" w:hAnsi="Calibri" w:cs="Times New Roman"/>
                <w:color w:val="000000"/>
                <w:lang w:val="en-GB"/>
              </w:rPr>
              <w:t>52</w:t>
            </w:r>
            <w:r w:rsidR="00CE70E7">
              <w:rPr>
                <w:rFonts w:ascii="Calibri" w:eastAsia="Times New Roman" w:hAnsi="Calibri" w:cs="Times New Roman"/>
                <w:color w:val="000000"/>
                <w:lang w:val="en-GB"/>
              </w:rPr>
              <w:t>.1</w:t>
            </w:r>
            <w:r w:rsidRPr="00316561">
              <w:rPr>
                <w:rFonts w:ascii="Calibri" w:eastAsia="Times New Roman" w:hAnsi="Calibri" w:cs="Times New Roman"/>
                <w:color w:val="000000"/>
                <w:lang w:val="en-GB"/>
              </w:rPr>
              <w:t xml:space="preserve"> </w:t>
            </w:r>
            <w:r w:rsidRPr="00316561">
              <w:rPr>
                <w:rFonts w:ascii="Calibri" w:eastAsia="Times New Roman" w:hAnsi="Calibri" w:cs="Times New Roman"/>
                <w:color w:val="000000"/>
                <w:lang w:val="en-GB"/>
              </w:rPr>
              <w:tab/>
              <w:t xml:space="preserve"> </w:t>
            </w:r>
          </w:p>
        </w:tc>
        <w:tc>
          <w:tcPr>
            <w:tcW w:w="919" w:type="pct"/>
            <w:shd w:val="clear" w:color="auto" w:fill="auto"/>
          </w:tcPr>
          <w:p w14:paraId="18929B9A" w14:textId="77777777" w:rsidR="00D30DB1" w:rsidRDefault="00D30DB1" w:rsidP="00D30DB1">
            <w:pPr>
              <w:spacing w:after="0" w:line="240" w:lineRule="auto"/>
              <w:rPr>
                <w:rFonts w:ascii="Calibri" w:eastAsia="Times New Roman" w:hAnsi="Calibri" w:cs="Times New Roman"/>
                <w:color w:val="000000"/>
                <w:lang w:val="en-GB"/>
              </w:rPr>
            </w:pPr>
          </w:p>
          <w:p w14:paraId="48A8BDF5" w14:textId="4814A51F" w:rsidR="00316561" w:rsidRPr="00D30DB1" w:rsidRDefault="00316561" w:rsidP="00D30DB1">
            <w:pPr>
              <w:spacing w:after="0" w:line="240" w:lineRule="auto"/>
              <w:rPr>
                <w:rFonts w:ascii="Calibri" w:eastAsia="Times New Roman" w:hAnsi="Calibri" w:cs="Times New Roman"/>
                <w:color w:val="000000"/>
                <w:lang w:val="en-GB"/>
              </w:rPr>
            </w:pPr>
            <w:r w:rsidRPr="00316561">
              <w:rPr>
                <w:rFonts w:ascii="Calibri" w:eastAsia="Times New Roman" w:hAnsi="Calibri" w:cs="Times New Roman"/>
                <w:color w:val="000000"/>
                <w:lang w:val="en-GB"/>
              </w:rPr>
              <w:t>273</w:t>
            </w:r>
            <w:r w:rsidR="00CE70E7">
              <w:rPr>
                <w:rFonts w:ascii="Calibri" w:eastAsia="Times New Roman" w:hAnsi="Calibri" w:cs="Times New Roman"/>
                <w:color w:val="000000"/>
                <w:lang w:val="en-GB"/>
              </w:rPr>
              <w:t>.4</w:t>
            </w:r>
          </w:p>
        </w:tc>
        <w:tc>
          <w:tcPr>
            <w:tcW w:w="919" w:type="pct"/>
            <w:shd w:val="clear" w:color="auto" w:fill="auto"/>
          </w:tcPr>
          <w:p w14:paraId="73E222A8" w14:textId="77777777" w:rsidR="00A7086B" w:rsidRDefault="00A7086B" w:rsidP="00AE7FAF">
            <w:pPr>
              <w:spacing w:after="0" w:line="240" w:lineRule="auto"/>
              <w:rPr>
                <w:rFonts w:ascii="Calibri" w:eastAsia="Times New Roman" w:hAnsi="Calibri" w:cs="Times New Roman"/>
                <w:color w:val="000000"/>
              </w:rPr>
            </w:pPr>
          </w:p>
          <w:p w14:paraId="4C205251" w14:textId="51FC2A14" w:rsidR="00AE7FAF" w:rsidRPr="00AE7FAF" w:rsidRDefault="00AE7FAF" w:rsidP="00AE7FAF">
            <w:pPr>
              <w:spacing w:after="0" w:line="240" w:lineRule="auto"/>
              <w:rPr>
                <w:rFonts w:ascii="Calibri" w:eastAsia="Times New Roman" w:hAnsi="Calibri" w:cs="Times New Roman"/>
                <w:color w:val="000000"/>
              </w:rPr>
            </w:pPr>
            <w:r w:rsidRPr="00AE7FAF">
              <w:rPr>
                <w:rFonts w:ascii="Calibri" w:eastAsia="Times New Roman" w:hAnsi="Calibri" w:cs="Times New Roman"/>
                <w:color w:val="000000"/>
              </w:rPr>
              <w:t>325</w:t>
            </w:r>
            <w:r w:rsidR="00EC0F34">
              <w:rPr>
                <w:rFonts w:ascii="Calibri" w:eastAsia="Times New Roman" w:hAnsi="Calibri" w:cs="Times New Roman"/>
                <w:color w:val="000000"/>
              </w:rPr>
              <w:t>.5</w:t>
            </w:r>
            <w:r w:rsidRPr="00AE7FAF">
              <w:rPr>
                <w:rFonts w:ascii="Calibri" w:eastAsia="Times New Roman" w:hAnsi="Calibri" w:cs="Times New Roman"/>
                <w:color w:val="000000"/>
              </w:rPr>
              <w:t xml:space="preserve"> </w:t>
            </w:r>
          </w:p>
          <w:p w14:paraId="786BFDF8" w14:textId="0EE3E7F5" w:rsidR="00AE7FAF" w:rsidRPr="00D30DB1" w:rsidRDefault="00AE7FAF" w:rsidP="00D30DB1">
            <w:pPr>
              <w:spacing w:after="0" w:line="240" w:lineRule="auto"/>
              <w:rPr>
                <w:rFonts w:ascii="Calibri" w:eastAsia="Times New Roman" w:hAnsi="Calibri" w:cs="Times New Roman"/>
                <w:color w:val="000000"/>
                <w:lang w:val="en-GB"/>
              </w:rPr>
            </w:pPr>
          </w:p>
        </w:tc>
      </w:tr>
      <w:tr w:rsidR="009F3CAF" w:rsidRPr="00D30DB1" w14:paraId="0980D83C" w14:textId="77777777" w:rsidTr="000775B6">
        <w:trPr>
          <w:trHeight w:val="900"/>
        </w:trPr>
        <w:tc>
          <w:tcPr>
            <w:tcW w:w="1277" w:type="pct"/>
            <w:shd w:val="clear" w:color="auto" w:fill="auto"/>
          </w:tcPr>
          <w:p w14:paraId="36CCA91B" w14:textId="6133C4DF" w:rsidR="009F3CAF" w:rsidRPr="00475312" w:rsidRDefault="00A930E4" w:rsidP="00D30DB1">
            <w:pPr>
              <w:spacing w:after="0" w:line="240" w:lineRule="auto"/>
              <w:rPr>
                <w:rFonts w:ascii="Calibri" w:hAnsi="Calibri" w:cs="Times New Roman"/>
                <w:color w:val="000000"/>
                <w:lang w:val="en-GB" w:eastAsia="zh-CN"/>
              </w:rPr>
            </w:pPr>
            <w:r w:rsidRPr="00475312">
              <w:rPr>
                <w:rFonts w:ascii="Calibri" w:hAnsi="Calibri" w:cs="Times New Roman"/>
                <w:color w:val="000000"/>
                <w:lang w:val="en-GB" w:eastAsia="zh-CN"/>
              </w:rPr>
              <w:t>目标</w:t>
            </w:r>
            <w:r w:rsidRPr="00475312">
              <w:rPr>
                <w:rFonts w:ascii="Calibri" w:hAnsi="Calibri" w:cs="Times New Roman" w:hint="eastAsia"/>
                <w:color w:val="000000"/>
                <w:lang w:val="en-GB" w:eastAsia="zh-CN"/>
              </w:rPr>
              <w:t xml:space="preserve"> </w:t>
            </w:r>
            <w:r w:rsidR="00741950" w:rsidRPr="00475312">
              <w:rPr>
                <w:rFonts w:ascii="Calibri" w:hAnsi="Calibri" w:cs="Times New Roman"/>
                <w:color w:val="000000"/>
                <w:lang w:val="en-GB" w:eastAsia="zh-CN"/>
              </w:rPr>
              <w:t>2</w:t>
            </w:r>
            <w:r w:rsidRPr="00475312">
              <w:rPr>
                <w:rFonts w:ascii="SimSun" w:hAnsi="SimSun" w:cs="Times New Roman" w:hint="eastAsia"/>
                <w:color w:val="000000"/>
                <w:lang w:val="en-GB" w:eastAsia="zh-CN"/>
              </w:rPr>
              <w:t>：</w:t>
            </w:r>
          </w:p>
          <w:p w14:paraId="722134D8" w14:textId="73AFCB90" w:rsidR="00741950" w:rsidRPr="00475312" w:rsidRDefault="00A930E4" w:rsidP="00D30DB1">
            <w:pPr>
              <w:spacing w:after="0" w:line="240" w:lineRule="auto"/>
              <w:rPr>
                <w:rFonts w:ascii="Calibri" w:hAnsi="Calibri" w:cs="Times New Roman"/>
                <w:color w:val="000000"/>
                <w:lang w:val="en-GB" w:eastAsia="zh-CN"/>
              </w:rPr>
            </w:pPr>
            <w:r w:rsidRPr="00475312">
              <w:rPr>
                <w:rFonts w:hint="eastAsia"/>
                <w:lang w:eastAsia="zh-CN"/>
              </w:rPr>
              <w:t>国家管辖范围以外区域（</w:t>
            </w:r>
            <w:r w:rsidRPr="00475312">
              <w:rPr>
                <w:rFonts w:ascii="Calibri" w:hAnsi="Calibri" w:cs="Times New Roman"/>
                <w:snapToGrid w:val="0"/>
                <w:sz w:val="24"/>
                <w:szCs w:val="24"/>
                <w:lang w:eastAsia="zh-CN"/>
              </w:rPr>
              <w:t>ABNJ</w:t>
            </w:r>
            <w:r w:rsidRPr="00475312">
              <w:rPr>
                <w:rFonts w:hint="eastAsia"/>
                <w:lang w:eastAsia="zh-CN"/>
              </w:rPr>
              <w:t>）</w:t>
            </w:r>
          </w:p>
          <w:p w14:paraId="1E4B7D6E" w14:textId="77777777" w:rsidR="00741950" w:rsidRDefault="00741950" w:rsidP="00D30DB1">
            <w:pPr>
              <w:spacing w:after="0" w:line="240" w:lineRule="auto"/>
              <w:rPr>
                <w:rFonts w:ascii="Calibri" w:eastAsia="Times New Roman" w:hAnsi="Calibri" w:cs="Times New Roman"/>
                <w:color w:val="000000"/>
                <w:lang w:val="en-GB" w:eastAsia="zh-CN"/>
              </w:rPr>
            </w:pPr>
          </w:p>
          <w:p w14:paraId="5EEC2412" w14:textId="796890B1" w:rsidR="00A930E4" w:rsidRDefault="00A930E4" w:rsidP="00A930E4">
            <w:pPr>
              <w:spacing w:after="0" w:line="240" w:lineRule="auto"/>
              <w:rPr>
                <w:rFonts w:ascii="Calibri" w:eastAsia="Times New Roman" w:hAnsi="Calibri" w:cs="Times New Roman"/>
                <w:color w:val="000000"/>
                <w:lang w:val="en-GB"/>
              </w:rPr>
            </w:pPr>
            <w:proofErr w:type="spellStart"/>
            <w:r>
              <w:rPr>
                <w:rFonts w:ascii="SimSun" w:hAnsi="SimSun" w:cs="SimSun" w:hint="eastAsia"/>
                <w:color w:val="000000"/>
                <w:lang w:val="en-GB"/>
              </w:rPr>
              <w:t>目标</w:t>
            </w:r>
            <w:proofErr w:type="spellEnd"/>
            <w:r>
              <w:rPr>
                <w:rFonts w:ascii="Calibri" w:eastAsia="DengXian" w:hAnsi="Calibri" w:cs="Times New Roman" w:hint="eastAsia"/>
                <w:color w:val="000000"/>
                <w:lang w:val="en-GB" w:eastAsia="zh-CN"/>
              </w:rPr>
              <w:t xml:space="preserve"> 3</w:t>
            </w:r>
            <w:r>
              <w:rPr>
                <w:rFonts w:ascii="SimSun" w:hAnsi="SimSun" w:cs="Times New Roman" w:hint="eastAsia"/>
                <w:color w:val="000000"/>
                <w:lang w:val="en-GB" w:eastAsia="zh-CN"/>
              </w:rPr>
              <w:t>：</w:t>
            </w:r>
          </w:p>
          <w:p w14:paraId="550255E1" w14:textId="50ADCDEB" w:rsidR="00A930E4" w:rsidRPr="00D30DB1" w:rsidRDefault="00A930E4" w:rsidP="00A930E4">
            <w:pPr>
              <w:spacing w:after="0" w:line="240" w:lineRule="auto"/>
              <w:rPr>
                <w:rFonts w:ascii="Calibri" w:eastAsia="Times New Roman" w:hAnsi="Calibri" w:cs="Times New Roman"/>
                <w:color w:val="000000"/>
                <w:lang w:val="en-GB"/>
              </w:rPr>
            </w:pPr>
            <w:proofErr w:type="spellStart"/>
            <w:r>
              <w:rPr>
                <w:rFonts w:ascii="SimSun" w:hAnsi="SimSun" w:cs="SimSun" w:hint="eastAsia"/>
                <w:color w:val="000000"/>
                <w:lang w:val="en-GB"/>
              </w:rPr>
              <w:t>淡水生态系统</w:t>
            </w:r>
            <w:proofErr w:type="spellEnd"/>
          </w:p>
          <w:p w14:paraId="484EA7AC" w14:textId="1CD0BB0B" w:rsidR="00741950" w:rsidRPr="00D30DB1" w:rsidRDefault="00741950" w:rsidP="00D30DB1">
            <w:pPr>
              <w:spacing w:after="0" w:line="240" w:lineRule="auto"/>
              <w:rPr>
                <w:rFonts w:ascii="Calibri" w:eastAsia="Times New Roman" w:hAnsi="Calibri" w:cs="Times New Roman"/>
                <w:color w:val="000000"/>
                <w:lang w:val="en-GB"/>
              </w:rPr>
            </w:pPr>
          </w:p>
        </w:tc>
        <w:tc>
          <w:tcPr>
            <w:tcW w:w="877" w:type="pct"/>
            <w:shd w:val="clear" w:color="auto" w:fill="auto"/>
          </w:tcPr>
          <w:p w14:paraId="4A346664" w14:textId="28B05439" w:rsidR="009F3CAF" w:rsidRDefault="000B65E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6</w:t>
            </w:r>
            <w:r w:rsidR="00A930E4" w:rsidRPr="00475312">
              <w:rPr>
                <w:rFonts w:ascii="Calibri" w:hAnsi="Calibri" w:cs="Times New Roman"/>
                <w:color w:val="000000"/>
                <w:lang w:val="en-GB"/>
              </w:rPr>
              <w:t>和</w:t>
            </w:r>
            <w:r>
              <w:rPr>
                <w:rFonts w:ascii="Calibri" w:eastAsia="Times New Roman" w:hAnsi="Calibri" w:cs="Times New Roman"/>
                <w:color w:val="000000"/>
                <w:lang w:val="en-GB"/>
              </w:rPr>
              <w:t>11</w:t>
            </w:r>
          </w:p>
          <w:p w14:paraId="21B0FF71" w14:textId="77777777" w:rsidR="000B65EF" w:rsidRDefault="000B65EF" w:rsidP="00D30DB1">
            <w:pPr>
              <w:spacing w:after="0" w:line="240" w:lineRule="auto"/>
              <w:rPr>
                <w:rFonts w:ascii="Calibri" w:eastAsia="Times New Roman" w:hAnsi="Calibri" w:cs="Times New Roman"/>
                <w:color w:val="000000"/>
                <w:lang w:val="en-GB"/>
              </w:rPr>
            </w:pPr>
          </w:p>
          <w:p w14:paraId="40848BAA" w14:textId="77777777" w:rsidR="000B65EF" w:rsidRDefault="000B65EF" w:rsidP="00D30DB1">
            <w:pPr>
              <w:spacing w:after="0" w:line="240" w:lineRule="auto"/>
              <w:rPr>
                <w:rFonts w:ascii="Calibri" w:eastAsia="Times New Roman" w:hAnsi="Calibri" w:cs="Times New Roman"/>
                <w:color w:val="000000"/>
                <w:lang w:val="en-GB"/>
              </w:rPr>
            </w:pPr>
          </w:p>
          <w:p w14:paraId="0C833B71" w14:textId="383ABD9E" w:rsidR="000B65EF" w:rsidRPr="00D30DB1" w:rsidRDefault="00DD499D"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6</w:t>
            </w:r>
            <w:r w:rsidR="000B621D">
              <w:rPr>
                <w:rFonts w:ascii="Calibri" w:eastAsia="Times New Roman" w:hAnsi="Calibri" w:cs="Times New Roman"/>
                <w:color w:val="000000"/>
                <w:lang w:val="en-GB"/>
              </w:rPr>
              <w:t>,</w:t>
            </w:r>
            <w:r w:rsidR="00B136C3">
              <w:rPr>
                <w:rFonts w:ascii="Calibri" w:eastAsia="Times New Roman" w:hAnsi="Calibri" w:cs="Times New Roman"/>
                <w:color w:val="000000"/>
                <w:lang w:val="en-GB"/>
              </w:rPr>
              <w:t>11</w:t>
            </w:r>
            <w:r w:rsidR="000B621D">
              <w:rPr>
                <w:rFonts w:ascii="Calibri" w:eastAsia="Times New Roman" w:hAnsi="Calibri" w:cs="Times New Roman"/>
                <w:color w:val="000000"/>
                <w:lang w:val="en-GB"/>
              </w:rPr>
              <w:t>, 14</w:t>
            </w:r>
            <w:r w:rsidR="00B2392F">
              <w:rPr>
                <w:rFonts w:ascii="Calibri" w:eastAsia="Times New Roman" w:hAnsi="Calibri" w:cs="Times New Roman"/>
                <w:color w:val="000000"/>
                <w:lang w:val="en-GB"/>
              </w:rPr>
              <w:t xml:space="preserve">       </w:t>
            </w:r>
          </w:p>
        </w:tc>
        <w:tc>
          <w:tcPr>
            <w:tcW w:w="1008" w:type="pct"/>
            <w:shd w:val="clear" w:color="auto" w:fill="auto"/>
          </w:tcPr>
          <w:p w14:paraId="69E147C5" w14:textId="77777777" w:rsidR="009F3CAF" w:rsidRDefault="00316561"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0</w:t>
            </w:r>
          </w:p>
          <w:p w14:paraId="335921C0" w14:textId="77777777" w:rsidR="00B40D9E" w:rsidRDefault="00B40D9E" w:rsidP="00D30DB1">
            <w:pPr>
              <w:spacing w:after="0" w:line="240" w:lineRule="auto"/>
              <w:rPr>
                <w:rFonts w:ascii="Calibri" w:eastAsia="Times New Roman" w:hAnsi="Calibri" w:cs="Times New Roman"/>
                <w:color w:val="000000"/>
                <w:lang w:val="en-GB"/>
              </w:rPr>
            </w:pPr>
          </w:p>
          <w:p w14:paraId="644294E2" w14:textId="77777777" w:rsidR="00B40D9E" w:rsidRDefault="00B40D9E" w:rsidP="00D30DB1">
            <w:pPr>
              <w:spacing w:after="0" w:line="240" w:lineRule="auto"/>
              <w:rPr>
                <w:rFonts w:ascii="Calibri" w:eastAsia="Times New Roman" w:hAnsi="Calibri" w:cs="Times New Roman"/>
                <w:color w:val="000000"/>
                <w:lang w:val="en-GB"/>
              </w:rPr>
            </w:pPr>
          </w:p>
          <w:p w14:paraId="218C1C3E" w14:textId="5C235DE8" w:rsidR="00B40D9E" w:rsidRPr="00D30DB1" w:rsidRDefault="00B40D9E"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38</w:t>
            </w:r>
            <w:r w:rsidR="00CE70E7">
              <w:rPr>
                <w:rFonts w:ascii="Calibri" w:eastAsia="Times New Roman" w:hAnsi="Calibri" w:cs="Times New Roman"/>
                <w:color w:val="000000"/>
                <w:lang w:val="en-GB"/>
              </w:rPr>
              <w:t>.4</w:t>
            </w:r>
          </w:p>
        </w:tc>
        <w:tc>
          <w:tcPr>
            <w:tcW w:w="919" w:type="pct"/>
            <w:shd w:val="clear" w:color="auto" w:fill="auto"/>
          </w:tcPr>
          <w:p w14:paraId="68F65F37" w14:textId="77777777" w:rsidR="00100A84" w:rsidRDefault="00316561"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0</w:t>
            </w:r>
          </w:p>
          <w:p w14:paraId="46932542" w14:textId="77777777" w:rsidR="008B477F" w:rsidRDefault="008B477F" w:rsidP="00D30DB1">
            <w:pPr>
              <w:spacing w:after="0" w:line="240" w:lineRule="auto"/>
              <w:rPr>
                <w:rFonts w:ascii="Calibri" w:eastAsia="Times New Roman" w:hAnsi="Calibri" w:cs="Times New Roman"/>
                <w:color w:val="000000"/>
                <w:lang w:val="en-GB"/>
              </w:rPr>
            </w:pPr>
          </w:p>
          <w:p w14:paraId="76BDD778" w14:textId="77777777" w:rsidR="008B477F" w:rsidRDefault="008B477F" w:rsidP="00D30DB1">
            <w:pPr>
              <w:spacing w:after="0" w:line="240" w:lineRule="auto"/>
              <w:rPr>
                <w:rFonts w:ascii="Calibri" w:eastAsia="Times New Roman" w:hAnsi="Calibri" w:cs="Times New Roman"/>
                <w:color w:val="000000"/>
                <w:lang w:val="en-GB"/>
              </w:rPr>
            </w:pPr>
          </w:p>
          <w:p w14:paraId="17244739" w14:textId="257BE313" w:rsidR="008B477F" w:rsidRPr="00D30DB1" w:rsidRDefault="008B477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39</w:t>
            </w:r>
            <w:r w:rsidR="00EC0F34">
              <w:rPr>
                <w:rFonts w:ascii="Calibri" w:eastAsia="Times New Roman" w:hAnsi="Calibri" w:cs="Times New Roman"/>
                <w:color w:val="000000"/>
                <w:lang w:val="en-GB"/>
              </w:rPr>
              <w:t>1.0</w:t>
            </w:r>
          </w:p>
        </w:tc>
        <w:tc>
          <w:tcPr>
            <w:tcW w:w="919" w:type="pct"/>
            <w:shd w:val="clear" w:color="auto" w:fill="auto"/>
          </w:tcPr>
          <w:p w14:paraId="7157B34A" w14:textId="77777777" w:rsidR="009F3CAF" w:rsidRDefault="00AE7FA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0</w:t>
            </w:r>
          </w:p>
          <w:p w14:paraId="50204508" w14:textId="77777777" w:rsidR="008B477F" w:rsidRDefault="008B477F" w:rsidP="00D30DB1">
            <w:pPr>
              <w:spacing w:after="0" w:line="240" w:lineRule="auto"/>
              <w:rPr>
                <w:rFonts w:ascii="Calibri" w:eastAsia="Times New Roman" w:hAnsi="Calibri" w:cs="Times New Roman"/>
                <w:color w:val="000000"/>
                <w:lang w:val="en-GB"/>
              </w:rPr>
            </w:pPr>
          </w:p>
          <w:p w14:paraId="3DBA49E5" w14:textId="77777777" w:rsidR="008B477F" w:rsidRDefault="008B477F" w:rsidP="00D30DB1">
            <w:pPr>
              <w:spacing w:after="0" w:line="240" w:lineRule="auto"/>
              <w:rPr>
                <w:rFonts w:ascii="Calibri" w:eastAsia="Times New Roman" w:hAnsi="Calibri" w:cs="Times New Roman"/>
                <w:color w:val="000000"/>
                <w:lang w:val="en-GB"/>
              </w:rPr>
            </w:pPr>
          </w:p>
          <w:p w14:paraId="65CD213C" w14:textId="33E27B54" w:rsidR="008B477F" w:rsidRPr="00D30DB1" w:rsidRDefault="008B477F" w:rsidP="00D30DB1">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429</w:t>
            </w:r>
            <w:r w:rsidR="0061357E">
              <w:rPr>
                <w:rFonts w:ascii="Calibri" w:eastAsia="Times New Roman" w:hAnsi="Calibri" w:cs="Times New Roman"/>
                <w:color w:val="000000"/>
                <w:lang w:val="en-GB"/>
              </w:rPr>
              <w:t>.4</w:t>
            </w:r>
          </w:p>
        </w:tc>
      </w:tr>
      <w:tr w:rsidR="008A74E2" w:rsidRPr="00D30DB1" w14:paraId="1678B737" w14:textId="77777777" w:rsidTr="00630594">
        <w:trPr>
          <w:trHeight w:val="702"/>
        </w:trPr>
        <w:tc>
          <w:tcPr>
            <w:tcW w:w="1277" w:type="pct"/>
            <w:tcBorders>
              <w:bottom w:val="single" w:sz="4" w:space="0" w:color="auto"/>
            </w:tcBorders>
            <w:shd w:val="clear" w:color="auto" w:fill="auto"/>
          </w:tcPr>
          <w:p w14:paraId="5130FFE6" w14:textId="77777777" w:rsidR="008A74E2" w:rsidRDefault="008A74E2" w:rsidP="00BA3FA3">
            <w:pPr>
              <w:spacing w:after="0" w:line="240" w:lineRule="auto"/>
              <w:rPr>
                <w:rFonts w:ascii="Calibri" w:eastAsia="Times New Roman" w:hAnsi="Calibri" w:cs="Times New Roman"/>
                <w:color w:val="000000"/>
                <w:lang w:val="en-GB"/>
              </w:rPr>
            </w:pPr>
          </w:p>
          <w:p w14:paraId="36BF4394" w14:textId="300A9718" w:rsidR="008A74E2" w:rsidRPr="00045526" w:rsidRDefault="00A930E4" w:rsidP="00A930E4">
            <w:pPr>
              <w:spacing w:after="0" w:line="240" w:lineRule="auto"/>
              <w:rPr>
                <w:rFonts w:ascii="Calibri" w:eastAsia="Times New Roman" w:hAnsi="Calibri" w:cs="Times New Roman"/>
                <w:b/>
                <w:color w:val="000000"/>
                <w:lang w:val="en-GB"/>
              </w:rPr>
            </w:pPr>
            <w:proofErr w:type="spellStart"/>
            <w:r>
              <w:rPr>
                <w:rFonts w:ascii="SimSun" w:hAnsi="SimSun" w:cs="SimSun" w:hint="eastAsia"/>
                <w:b/>
                <w:color w:val="000000"/>
                <w:lang w:val="en-GB"/>
              </w:rPr>
              <w:t>共计</w:t>
            </w:r>
            <w:proofErr w:type="spellEnd"/>
          </w:p>
        </w:tc>
        <w:tc>
          <w:tcPr>
            <w:tcW w:w="877" w:type="pct"/>
            <w:tcBorders>
              <w:bottom w:val="single" w:sz="4" w:space="0" w:color="auto"/>
            </w:tcBorders>
            <w:shd w:val="clear" w:color="auto" w:fill="auto"/>
          </w:tcPr>
          <w:p w14:paraId="62905816" w14:textId="77777777" w:rsidR="008A74E2" w:rsidRPr="00D30DB1" w:rsidRDefault="008A74E2" w:rsidP="00BA3FA3">
            <w:pPr>
              <w:spacing w:after="0" w:line="240" w:lineRule="auto"/>
              <w:rPr>
                <w:rFonts w:ascii="Calibri" w:eastAsia="Times New Roman" w:hAnsi="Calibri" w:cs="Times New Roman"/>
                <w:color w:val="000000"/>
                <w:lang w:val="en-GB"/>
              </w:rPr>
            </w:pPr>
          </w:p>
        </w:tc>
        <w:tc>
          <w:tcPr>
            <w:tcW w:w="1008" w:type="pct"/>
            <w:tcBorders>
              <w:top w:val="nil"/>
              <w:left w:val="nil"/>
              <w:bottom w:val="single" w:sz="4" w:space="0" w:color="auto"/>
              <w:right w:val="nil"/>
            </w:tcBorders>
            <w:shd w:val="clear" w:color="auto" w:fill="auto"/>
          </w:tcPr>
          <w:p w14:paraId="4D5C9445" w14:textId="77777777" w:rsidR="00630594" w:rsidRDefault="00630594" w:rsidP="00BA3FA3">
            <w:pPr>
              <w:spacing w:after="0" w:line="240" w:lineRule="auto"/>
              <w:rPr>
                <w:rFonts w:ascii="Calibri" w:hAnsi="Calibri" w:cs="Calibri"/>
                <w:color w:val="000000"/>
              </w:rPr>
            </w:pPr>
          </w:p>
          <w:p w14:paraId="56901D3B" w14:textId="5A190146" w:rsidR="008A74E2" w:rsidRPr="00D30DB1" w:rsidRDefault="008A74E2" w:rsidP="00BA3FA3">
            <w:pPr>
              <w:spacing w:after="0" w:line="240" w:lineRule="auto"/>
              <w:rPr>
                <w:rFonts w:ascii="Calibri" w:eastAsia="Times New Roman" w:hAnsi="Calibri" w:cs="Times New Roman"/>
                <w:color w:val="000000"/>
                <w:lang w:val="en-GB"/>
              </w:rPr>
            </w:pPr>
            <w:r>
              <w:rPr>
                <w:rFonts w:ascii="Calibri" w:hAnsi="Calibri" w:cs="Calibri"/>
                <w:color w:val="000000"/>
              </w:rPr>
              <w:t>90</w:t>
            </w:r>
            <w:r w:rsidR="00CE70E7">
              <w:rPr>
                <w:rFonts w:ascii="Calibri" w:hAnsi="Calibri" w:cs="Calibri"/>
                <w:color w:val="000000"/>
              </w:rPr>
              <w:t>.5</w:t>
            </w:r>
          </w:p>
        </w:tc>
        <w:tc>
          <w:tcPr>
            <w:tcW w:w="919" w:type="pct"/>
            <w:tcBorders>
              <w:top w:val="nil"/>
              <w:left w:val="nil"/>
              <w:bottom w:val="single" w:sz="4" w:space="0" w:color="auto"/>
              <w:right w:val="nil"/>
            </w:tcBorders>
            <w:shd w:val="clear" w:color="auto" w:fill="auto"/>
          </w:tcPr>
          <w:p w14:paraId="68C6E1E5" w14:textId="77777777" w:rsidR="00630594" w:rsidRDefault="00630594" w:rsidP="00BA3FA3">
            <w:pPr>
              <w:spacing w:after="0" w:line="240" w:lineRule="auto"/>
              <w:rPr>
                <w:rFonts w:ascii="Calibri" w:hAnsi="Calibri" w:cs="Calibri"/>
                <w:color w:val="000000"/>
              </w:rPr>
            </w:pPr>
          </w:p>
          <w:p w14:paraId="71BE4715" w14:textId="3D4676A1" w:rsidR="008A74E2" w:rsidRPr="00D30DB1" w:rsidRDefault="008A74E2" w:rsidP="00BA3FA3">
            <w:pPr>
              <w:spacing w:after="0" w:line="240" w:lineRule="auto"/>
              <w:rPr>
                <w:rFonts w:ascii="Calibri" w:eastAsia="Times New Roman" w:hAnsi="Calibri" w:cs="Times New Roman"/>
                <w:color w:val="000000"/>
                <w:lang w:val="en-GB"/>
              </w:rPr>
            </w:pPr>
            <w:r>
              <w:rPr>
                <w:rFonts w:ascii="Calibri" w:hAnsi="Calibri" w:cs="Calibri"/>
                <w:color w:val="000000"/>
              </w:rPr>
              <w:t>664</w:t>
            </w:r>
            <w:r w:rsidR="00EC0F34">
              <w:rPr>
                <w:rFonts w:ascii="Calibri" w:hAnsi="Calibri" w:cs="Calibri"/>
                <w:color w:val="000000"/>
              </w:rPr>
              <w:t>.4</w:t>
            </w:r>
          </w:p>
        </w:tc>
        <w:tc>
          <w:tcPr>
            <w:tcW w:w="919" w:type="pct"/>
            <w:tcBorders>
              <w:bottom w:val="single" w:sz="4" w:space="0" w:color="auto"/>
            </w:tcBorders>
            <w:shd w:val="clear" w:color="auto" w:fill="auto"/>
          </w:tcPr>
          <w:p w14:paraId="78A189D8" w14:textId="77777777" w:rsidR="00630594" w:rsidRDefault="00630594" w:rsidP="00BA3FA3">
            <w:pPr>
              <w:spacing w:after="0" w:line="240" w:lineRule="auto"/>
              <w:rPr>
                <w:rFonts w:ascii="Calibri" w:eastAsia="Times New Roman" w:hAnsi="Calibri" w:cs="Times New Roman"/>
                <w:color w:val="000000"/>
                <w:lang w:val="en-GB"/>
              </w:rPr>
            </w:pPr>
          </w:p>
          <w:p w14:paraId="0168EC0B" w14:textId="2A97CCF9" w:rsidR="003A7D61" w:rsidRDefault="005029F8" w:rsidP="00BA3FA3">
            <w:pPr>
              <w:spacing w:after="0" w:line="240" w:lineRule="auto"/>
              <w:rPr>
                <w:rFonts w:ascii="Calibri" w:eastAsia="Times New Roman" w:hAnsi="Calibri" w:cs="Times New Roman"/>
                <w:color w:val="000000"/>
                <w:lang w:val="en-GB"/>
              </w:rPr>
            </w:pPr>
            <w:r w:rsidRPr="005029F8">
              <w:rPr>
                <w:rFonts w:ascii="Calibri" w:eastAsia="Times New Roman" w:hAnsi="Calibri" w:cs="Times New Roman"/>
                <w:color w:val="000000"/>
                <w:lang w:val="en-GB"/>
              </w:rPr>
              <w:t>754</w:t>
            </w:r>
            <w:r w:rsidR="0061357E">
              <w:rPr>
                <w:rFonts w:ascii="Calibri" w:eastAsia="Times New Roman" w:hAnsi="Calibri" w:cs="Times New Roman"/>
                <w:color w:val="000000"/>
                <w:lang w:val="en-GB"/>
              </w:rPr>
              <w:t>.9</w:t>
            </w:r>
          </w:p>
          <w:p w14:paraId="2BB9EAFD" w14:textId="0636DA7F" w:rsidR="002B1FF4" w:rsidRPr="00D30DB1" w:rsidRDefault="002B1FF4" w:rsidP="00BA3FA3">
            <w:pPr>
              <w:spacing w:after="0" w:line="240" w:lineRule="auto"/>
              <w:rPr>
                <w:rFonts w:ascii="Calibri" w:eastAsia="Times New Roman" w:hAnsi="Calibri" w:cs="Times New Roman"/>
                <w:color w:val="000000"/>
                <w:lang w:val="en-GB"/>
              </w:rPr>
            </w:pPr>
          </w:p>
        </w:tc>
      </w:tr>
    </w:tbl>
    <w:p w14:paraId="7B0C2747" w14:textId="77777777" w:rsidR="00046027" w:rsidRDefault="00046027" w:rsidP="00AA13C2">
      <w:pPr>
        <w:rPr>
          <w:snapToGrid w:val="0"/>
          <w:lang w:eastAsia="zh-CN"/>
        </w:rPr>
      </w:pPr>
    </w:p>
    <w:p w14:paraId="1915A9AE" w14:textId="77777777" w:rsidR="00A54941" w:rsidRDefault="00A54941" w:rsidP="00AA13C2">
      <w:pPr>
        <w:rPr>
          <w:snapToGrid w:val="0"/>
          <w:lang w:eastAsia="zh-CN"/>
        </w:rPr>
      </w:pPr>
    </w:p>
    <w:p w14:paraId="5C79DADC" w14:textId="10ED99FE" w:rsidR="00D30DB1" w:rsidRPr="00F35B14" w:rsidRDefault="00A930E4" w:rsidP="00475312">
      <w:pPr>
        <w:pStyle w:val="Heading3"/>
        <w:rPr>
          <w:snapToGrid w:val="0"/>
        </w:rPr>
      </w:pPr>
      <w:r w:rsidRPr="00F35B14">
        <w:rPr>
          <w:snapToGrid w:val="0"/>
        </w:rPr>
        <w:t>非赠款工具</w:t>
      </w:r>
    </w:p>
    <w:p w14:paraId="23F7F4EC" w14:textId="7BD737A6" w:rsidR="00A54941" w:rsidRPr="00F35B14" w:rsidRDefault="00A54941"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全环基金</w:t>
      </w:r>
      <w:r w:rsidR="00BF4663" w:rsidRPr="00F35B14">
        <w:rPr>
          <w:rFonts w:hint="eastAsia"/>
          <w:sz w:val="24"/>
          <w:szCs w:val="24"/>
          <w:lang w:eastAsia="zh-CN"/>
        </w:rPr>
        <w:t>利益攸关方</w:t>
      </w:r>
      <w:r w:rsidRPr="00F35B14">
        <w:rPr>
          <w:rFonts w:hint="eastAsia"/>
          <w:sz w:val="24"/>
          <w:szCs w:val="24"/>
          <w:lang w:eastAsia="zh-CN"/>
        </w:rPr>
        <w:t>越来越多地使用非赠款工具进行混合</w:t>
      </w:r>
      <w:r w:rsidR="00BF4663" w:rsidRPr="00F35B14">
        <w:rPr>
          <w:rFonts w:hint="eastAsia"/>
          <w:sz w:val="24"/>
          <w:szCs w:val="24"/>
          <w:lang w:eastAsia="zh-CN"/>
        </w:rPr>
        <w:t>供资</w:t>
      </w:r>
      <w:r w:rsidRPr="00F35B14">
        <w:rPr>
          <w:rFonts w:hint="eastAsia"/>
          <w:sz w:val="24"/>
          <w:szCs w:val="24"/>
          <w:lang w:eastAsia="zh-CN"/>
        </w:rPr>
        <w:t>，以此作为加强私营部门参与的机制。混合</w:t>
      </w:r>
      <w:r w:rsidR="00BF4663" w:rsidRPr="00F35B14">
        <w:rPr>
          <w:rFonts w:hint="eastAsia"/>
          <w:sz w:val="24"/>
          <w:szCs w:val="24"/>
          <w:lang w:eastAsia="zh-CN"/>
        </w:rPr>
        <w:t>供资的目的在于</w:t>
      </w:r>
      <w:r w:rsidRPr="00F35B14">
        <w:rPr>
          <w:rFonts w:hint="eastAsia"/>
          <w:sz w:val="24"/>
          <w:szCs w:val="24"/>
          <w:lang w:eastAsia="zh-CN"/>
        </w:rPr>
        <w:t>利用</w:t>
      </w:r>
      <w:r w:rsidR="00BF4663" w:rsidRPr="00F35B14">
        <w:rPr>
          <w:rFonts w:hint="eastAsia"/>
          <w:sz w:val="24"/>
          <w:szCs w:val="24"/>
          <w:lang w:eastAsia="zh-CN"/>
        </w:rPr>
        <w:t>珍贵</w:t>
      </w:r>
      <w:r w:rsidRPr="00F35B14">
        <w:rPr>
          <w:rFonts w:hint="eastAsia"/>
          <w:sz w:val="24"/>
          <w:szCs w:val="24"/>
          <w:lang w:eastAsia="zh-CN"/>
        </w:rPr>
        <w:t>的公共资源来释放大量私营部门</w:t>
      </w:r>
      <w:r w:rsidR="00BF4663" w:rsidRPr="00F35B14">
        <w:rPr>
          <w:rFonts w:hint="eastAsia"/>
          <w:sz w:val="24"/>
          <w:szCs w:val="24"/>
          <w:lang w:eastAsia="zh-CN"/>
        </w:rPr>
        <w:t>资金</w:t>
      </w:r>
      <w:r w:rsidRPr="00F35B14">
        <w:rPr>
          <w:rFonts w:hint="eastAsia"/>
          <w:sz w:val="24"/>
          <w:szCs w:val="24"/>
          <w:lang w:eastAsia="zh-CN"/>
        </w:rPr>
        <w:t>，因此近年来</w:t>
      </w:r>
      <w:r w:rsidR="00BF4663" w:rsidRPr="00F35B14">
        <w:rPr>
          <w:rFonts w:hint="eastAsia"/>
          <w:sz w:val="24"/>
          <w:szCs w:val="24"/>
          <w:lang w:eastAsia="zh-CN"/>
        </w:rPr>
        <w:t>它</w:t>
      </w:r>
      <w:r w:rsidRPr="00F35B14">
        <w:rPr>
          <w:rFonts w:hint="eastAsia"/>
          <w:sz w:val="24"/>
          <w:szCs w:val="24"/>
          <w:lang w:eastAsia="zh-CN"/>
        </w:rPr>
        <w:t>引起了极大的兴趣，包括</w:t>
      </w:r>
      <w:r w:rsidR="00BF4663" w:rsidRPr="00F35B14">
        <w:rPr>
          <w:rFonts w:hint="eastAsia"/>
          <w:sz w:val="24"/>
          <w:szCs w:val="24"/>
          <w:lang w:eastAsia="zh-CN"/>
        </w:rPr>
        <w:t>提供</w:t>
      </w:r>
      <w:r w:rsidRPr="00F35B14">
        <w:rPr>
          <w:rFonts w:hint="eastAsia"/>
          <w:sz w:val="24"/>
          <w:szCs w:val="24"/>
          <w:lang w:eastAsia="zh-CN"/>
        </w:rPr>
        <w:t>国际开发援助</w:t>
      </w:r>
      <w:r w:rsidR="00BF4663" w:rsidRPr="00F35B14">
        <w:rPr>
          <w:rFonts w:hint="eastAsia"/>
          <w:sz w:val="24"/>
          <w:szCs w:val="24"/>
          <w:lang w:eastAsia="zh-CN"/>
        </w:rPr>
        <w:t>（</w:t>
      </w:r>
      <w:r w:rsidRPr="00F35B14">
        <w:rPr>
          <w:rFonts w:hint="eastAsia"/>
          <w:sz w:val="24"/>
          <w:szCs w:val="24"/>
          <w:lang w:eastAsia="zh-CN"/>
        </w:rPr>
        <w:t>IDA</w:t>
      </w:r>
      <w:r w:rsidR="00BF4663" w:rsidRPr="00F35B14">
        <w:rPr>
          <w:rFonts w:hint="eastAsia"/>
          <w:sz w:val="24"/>
          <w:szCs w:val="24"/>
          <w:lang w:eastAsia="zh-CN"/>
        </w:rPr>
        <w:t>）</w:t>
      </w:r>
      <w:r w:rsidRPr="00F35B14">
        <w:rPr>
          <w:rFonts w:hint="eastAsia"/>
          <w:sz w:val="24"/>
          <w:szCs w:val="24"/>
          <w:lang w:eastAsia="zh-CN"/>
        </w:rPr>
        <w:t>的私营部门窗口，并强调</w:t>
      </w:r>
      <w:r w:rsidRPr="00F35B14">
        <w:rPr>
          <w:rFonts w:hint="eastAsia"/>
          <w:sz w:val="24"/>
          <w:szCs w:val="24"/>
          <w:lang w:eastAsia="zh-CN"/>
        </w:rPr>
        <w:lastRenderedPageBreak/>
        <w:t>了许多双边和多边基金</w:t>
      </w:r>
      <w:r w:rsidR="00BF4663" w:rsidRPr="00F35B14">
        <w:rPr>
          <w:rFonts w:hint="eastAsia"/>
          <w:sz w:val="24"/>
          <w:szCs w:val="24"/>
          <w:lang w:eastAsia="zh-CN"/>
        </w:rPr>
        <w:t>促进</w:t>
      </w:r>
      <w:r w:rsidRPr="00F35B14">
        <w:rPr>
          <w:rFonts w:hint="eastAsia"/>
          <w:sz w:val="24"/>
          <w:szCs w:val="24"/>
          <w:lang w:eastAsia="zh-CN"/>
        </w:rPr>
        <w:t>私</w:t>
      </w:r>
      <w:r w:rsidR="00BF4663" w:rsidRPr="00F35B14">
        <w:rPr>
          <w:rFonts w:hint="eastAsia"/>
          <w:sz w:val="24"/>
          <w:szCs w:val="24"/>
          <w:lang w:eastAsia="zh-CN"/>
        </w:rPr>
        <w:t>有</w:t>
      </w:r>
      <w:r w:rsidRPr="00F35B14">
        <w:rPr>
          <w:rFonts w:hint="eastAsia"/>
          <w:sz w:val="24"/>
          <w:szCs w:val="24"/>
          <w:lang w:eastAsia="zh-CN"/>
        </w:rPr>
        <w:t>投资的作用。全球环境基金使用非赠款工具的经验表明，混合</w:t>
      </w:r>
      <w:r w:rsidR="00BF4663" w:rsidRPr="00F35B14">
        <w:rPr>
          <w:rFonts w:hint="eastAsia"/>
          <w:sz w:val="24"/>
          <w:szCs w:val="24"/>
          <w:lang w:eastAsia="zh-CN"/>
        </w:rPr>
        <w:t>供资</w:t>
      </w:r>
      <w:r w:rsidRPr="00F35B14">
        <w:rPr>
          <w:rFonts w:hint="eastAsia"/>
          <w:sz w:val="24"/>
          <w:szCs w:val="24"/>
          <w:lang w:eastAsia="zh-CN"/>
        </w:rPr>
        <w:t>可以成为有效的工具。</w:t>
      </w:r>
    </w:p>
    <w:p w14:paraId="0A7EE0C1" w14:textId="44DAB17F" w:rsidR="00BF4663" w:rsidRPr="00F35B14" w:rsidRDefault="00326DCF"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在全环基金第七次增资期间，全环基金正在为混合供资加快使用非赠款工具，以支持实现全球环境效益，并促进与重点领域目标相一致的全球和国家一级资本市场的投资。</w:t>
      </w:r>
    </w:p>
    <w:p w14:paraId="11A87F5C" w14:textId="2A628645" w:rsidR="00301E1A" w:rsidRPr="00F35B14" w:rsidRDefault="00301E1A" w:rsidP="00FF3B4A">
      <w:pPr>
        <w:pStyle w:val="ListParagraph"/>
        <w:numPr>
          <w:ilvl w:val="0"/>
          <w:numId w:val="25"/>
        </w:numPr>
        <w:spacing w:before="240" w:after="240" w:line="240" w:lineRule="auto"/>
        <w:ind w:left="0" w:firstLine="0"/>
        <w:contextualSpacing w:val="0"/>
        <w:rPr>
          <w:rFonts w:ascii="Calibri" w:eastAsia="MS Mincho" w:hAnsi="Calibri" w:cs="Times New Roman"/>
          <w:snapToGrid w:val="0"/>
          <w:sz w:val="24"/>
          <w:szCs w:val="24"/>
          <w:lang w:eastAsia="zh-CN"/>
        </w:rPr>
      </w:pPr>
      <w:r w:rsidRPr="00F35B14">
        <w:rPr>
          <w:rFonts w:hint="eastAsia"/>
          <w:sz w:val="24"/>
          <w:szCs w:val="24"/>
          <w:lang w:eastAsia="zh-CN"/>
        </w:rPr>
        <w:t>在本报告所述期间，批准了一项非赠款工具（</w:t>
      </w:r>
      <w:r w:rsidRPr="00F35B14">
        <w:rPr>
          <w:rFonts w:hint="eastAsia"/>
          <w:sz w:val="24"/>
          <w:szCs w:val="24"/>
          <w:lang w:eastAsia="zh-CN"/>
        </w:rPr>
        <w:t>NGI</w:t>
      </w:r>
      <w:r w:rsidRPr="00F35B14">
        <w:rPr>
          <w:rFonts w:hint="eastAsia"/>
          <w:sz w:val="24"/>
          <w:szCs w:val="24"/>
          <w:lang w:eastAsia="zh-CN"/>
        </w:rPr>
        <w:t>）项目，如下表</w:t>
      </w:r>
      <w:r w:rsidRPr="00F35B14">
        <w:rPr>
          <w:rFonts w:hint="eastAsia"/>
          <w:sz w:val="24"/>
          <w:szCs w:val="24"/>
          <w:lang w:eastAsia="zh-CN"/>
        </w:rPr>
        <w:t>11</w:t>
      </w:r>
      <w:r w:rsidRPr="00F35B14">
        <w:rPr>
          <w:rFonts w:hint="eastAsia"/>
          <w:sz w:val="24"/>
          <w:szCs w:val="24"/>
          <w:lang w:eastAsia="zh-CN"/>
        </w:rPr>
        <w:t>所示，该项目直接为爱知生物多样性目标</w:t>
      </w:r>
      <w:r w:rsidRPr="00F35B14">
        <w:rPr>
          <w:rFonts w:hint="eastAsia"/>
          <w:sz w:val="24"/>
          <w:szCs w:val="24"/>
          <w:lang w:eastAsia="zh-CN"/>
        </w:rPr>
        <w:t>2</w:t>
      </w:r>
      <w:r w:rsidRPr="00F35B14">
        <w:rPr>
          <w:rFonts w:hint="eastAsia"/>
          <w:sz w:val="24"/>
          <w:szCs w:val="24"/>
          <w:lang w:eastAsia="zh-CN"/>
        </w:rPr>
        <w:t>和</w:t>
      </w:r>
      <w:r w:rsidRPr="00F35B14">
        <w:rPr>
          <w:rFonts w:hint="eastAsia"/>
          <w:sz w:val="24"/>
          <w:szCs w:val="24"/>
          <w:lang w:eastAsia="zh-CN"/>
        </w:rPr>
        <w:t>5</w:t>
      </w:r>
      <w:r w:rsidRPr="00F35B14">
        <w:rPr>
          <w:rFonts w:hint="eastAsia"/>
          <w:sz w:val="24"/>
          <w:szCs w:val="24"/>
          <w:lang w:eastAsia="zh-CN"/>
        </w:rPr>
        <w:t>做出了贡献。</w:t>
      </w:r>
    </w:p>
    <w:p w14:paraId="40DFA431" w14:textId="5BE8BEF1" w:rsidR="000F67FB" w:rsidRPr="000F67FB" w:rsidRDefault="000F67FB" w:rsidP="00CB6102">
      <w:pPr>
        <w:spacing w:before="240" w:after="240" w:line="240" w:lineRule="auto"/>
        <w:jc w:val="center"/>
        <w:rPr>
          <w:rFonts w:ascii="Calibri" w:eastAsia="DengXian" w:hAnsi="Calibri" w:cs="Calibri"/>
          <w:b/>
          <w:snapToGrid w:val="0"/>
          <w:sz w:val="24"/>
          <w:szCs w:val="24"/>
          <w:lang w:eastAsia="zh-CN"/>
        </w:rPr>
      </w:pPr>
      <w:r w:rsidRPr="00656983">
        <w:rPr>
          <w:rFonts w:ascii="Times New Roman" w:hAnsi="Times New Roman" w:cs="Times New Roman"/>
          <w:b/>
          <w:snapToGrid w:val="0"/>
          <w:lang w:val="en-GB" w:eastAsia="zh-CN"/>
        </w:rPr>
        <w:t>表</w:t>
      </w:r>
      <w:r>
        <w:rPr>
          <w:rFonts w:ascii="Times New Roman" w:hAnsi="Times New Roman" w:cs="Times New Roman" w:hint="eastAsia"/>
          <w:b/>
          <w:snapToGrid w:val="0"/>
          <w:lang w:val="en-GB" w:eastAsia="zh-CN"/>
        </w:rPr>
        <w:t>11</w:t>
      </w:r>
      <w:r w:rsidRPr="00656983">
        <w:rPr>
          <w:rFonts w:ascii="Times New Roman" w:hAnsi="Times New Roman" w:cs="Times New Roman"/>
          <w:b/>
          <w:snapToGrid w:val="0"/>
          <w:lang w:val="en-GB" w:eastAsia="zh-CN"/>
        </w:rPr>
        <w:t>.</w:t>
      </w:r>
      <w:r>
        <w:rPr>
          <w:rFonts w:ascii="Times New Roman" w:hAnsi="Times New Roman" w:cs="Times New Roman" w:hint="eastAsia"/>
          <w:b/>
          <w:snapToGrid w:val="0"/>
          <w:lang w:val="en-GB" w:eastAsia="zh-CN"/>
        </w:rPr>
        <w:t xml:space="preserve"> </w:t>
      </w:r>
      <w:r>
        <w:rPr>
          <w:rFonts w:ascii="Times New Roman" w:hAnsi="Times New Roman" w:cs="Times New Roman" w:hint="eastAsia"/>
          <w:b/>
          <w:snapToGrid w:val="0"/>
          <w:lang w:val="en-GB" w:eastAsia="zh-CN"/>
        </w:rPr>
        <w:t>非赠款工具</w:t>
      </w:r>
      <w:r w:rsidRPr="00656983">
        <w:rPr>
          <w:rFonts w:ascii="Times New Roman" w:hAnsi="Times New Roman" w:cs="Times New Roman"/>
          <w:b/>
          <w:snapToGrid w:val="0"/>
          <w:lang w:val="en-GB" w:eastAsia="zh-CN"/>
        </w:rPr>
        <w:t>提供的全环基金资源累计分配额</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和对实现爱知生物多样性目标的贡献</w:t>
      </w:r>
      <w:r w:rsidRPr="00656983">
        <w:rPr>
          <w:rFonts w:ascii="Times New Roman" w:hAnsi="Times New Roman" w:cs="Times New Roman"/>
          <w:b/>
          <w:snapToGrid w:val="0"/>
          <w:lang w:val="en-GB" w:eastAsia="zh-CN"/>
        </w:rPr>
        <w:br/>
      </w:r>
      <w:r w:rsidRPr="00656983">
        <w:rPr>
          <w:rFonts w:ascii="Times New Roman" w:hAnsi="Times New Roman" w:cs="Times New Roman"/>
          <w:b/>
          <w:snapToGrid w:val="0"/>
          <w:lang w:val="en-GB" w:eastAsia="zh-CN"/>
        </w:rPr>
        <w:t>（</w:t>
      </w:r>
      <w:r w:rsidRPr="00656983">
        <w:rPr>
          <w:rFonts w:ascii="Times New Roman" w:hAnsi="Times New Roman" w:cs="Times New Roman"/>
          <w:b/>
          <w:snapToGrid w:val="0"/>
          <w:lang w:val="en-GB" w:eastAsia="zh-CN"/>
        </w:rPr>
        <w:t>2018</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7</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1</w:t>
      </w:r>
      <w:r w:rsidRPr="00656983">
        <w:rPr>
          <w:rFonts w:ascii="Times New Roman" w:hAnsi="Times New Roman" w:cs="Times New Roman"/>
          <w:b/>
          <w:snapToGrid w:val="0"/>
          <w:lang w:val="en-GB" w:eastAsia="zh-CN"/>
        </w:rPr>
        <w:t>日至</w:t>
      </w:r>
      <w:r w:rsidRPr="00656983">
        <w:rPr>
          <w:rFonts w:ascii="Times New Roman" w:hAnsi="Times New Roman" w:cs="Times New Roman"/>
          <w:b/>
          <w:snapToGrid w:val="0"/>
          <w:lang w:val="en-GB" w:eastAsia="zh-CN"/>
        </w:rPr>
        <w:t>2019</w:t>
      </w:r>
      <w:r w:rsidRPr="00656983">
        <w:rPr>
          <w:rFonts w:ascii="Times New Roman" w:hAnsi="Times New Roman" w:cs="Times New Roman"/>
          <w:b/>
          <w:snapToGrid w:val="0"/>
          <w:lang w:val="en-GB" w:eastAsia="zh-CN"/>
        </w:rPr>
        <w:t>年</w:t>
      </w:r>
      <w:r w:rsidRPr="00656983">
        <w:rPr>
          <w:rFonts w:ascii="Times New Roman" w:hAnsi="Times New Roman" w:cs="Times New Roman"/>
          <w:b/>
          <w:snapToGrid w:val="0"/>
          <w:lang w:val="en-GB" w:eastAsia="zh-CN"/>
        </w:rPr>
        <w:t>12</w:t>
      </w:r>
      <w:r w:rsidRPr="00656983">
        <w:rPr>
          <w:rFonts w:ascii="Times New Roman" w:hAnsi="Times New Roman" w:cs="Times New Roman"/>
          <w:b/>
          <w:snapToGrid w:val="0"/>
          <w:lang w:val="en-GB" w:eastAsia="zh-CN"/>
        </w:rPr>
        <w:t>月</w:t>
      </w:r>
      <w:r w:rsidRPr="00656983">
        <w:rPr>
          <w:rFonts w:ascii="Times New Roman" w:hAnsi="Times New Roman" w:cs="Times New Roman"/>
          <w:b/>
          <w:snapToGrid w:val="0"/>
          <w:lang w:val="en-GB" w:eastAsia="zh-CN"/>
        </w:rPr>
        <w:t>31</w:t>
      </w:r>
      <w:r w:rsidRPr="00656983">
        <w:rPr>
          <w:rFonts w:ascii="Times New Roman" w:hAnsi="Times New Roman" w:cs="Times New Roman"/>
          <w:b/>
          <w:snapToGrid w:val="0"/>
          <w:lang w:val="en-GB" w:eastAsia="zh-CN"/>
        </w:rPr>
        <w:t>日）</w:t>
      </w:r>
      <w:r w:rsidRPr="00D30DB1">
        <w:rPr>
          <w:rFonts w:ascii="Calibri" w:eastAsia="MS Mincho" w:hAnsi="Calibri" w:cs="Calibri"/>
          <w:b/>
          <w:snapToGrid w:val="0"/>
          <w:sz w:val="24"/>
          <w:szCs w:val="24"/>
          <w:vertAlign w:val="superscript"/>
        </w:rPr>
        <w:footnoteReference w:id="16"/>
      </w:r>
    </w:p>
    <w:tbl>
      <w:tblPr>
        <w:tblW w:w="4663" w:type="pct"/>
        <w:tblBorders>
          <w:top w:val="single" w:sz="12" w:space="0" w:color="008000"/>
          <w:bottom w:val="single" w:sz="12" w:space="0" w:color="008000"/>
        </w:tblBorders>
        <w:tblLook w:val="04A0" w:firstRow="1" w:lastRow="0" w:firstColumn="1" w:lastColumn="0" w:noHBand="0" w:noVBand="1"/>
      </w:tblPr>
      <w:tblGrid>
        <w:gridCol w:w="2700"/>
        <w:gridCol w:w="1350"/>
        <w:gridCol w:w="1440"/>
        <w:gridCol w:w="1622"/>
        <w:gridCol w:w="1617"/>
      </w:tblGrid>
      <w:tr w:rsidR="000F67FB" w:rsidRPr="00D30DB1" w14:paraId="342EF160" w14:textId="77777777" w:rsidTr="00926978">
        <w:trPr>
          <w:trHeight w:val="570"/>
        </w:trPr>
        <w:tc>
          <w:tcPr>
            <w:tcW w:w="1547" w:type="pct"/>
            <w:shd w:val="clear" w:color="auto" w:fill="auto"/>
            <w:hideMark/>
          </w:tcPr>
          <w:p w14:paraId="3FEC071E" w14:textId="45413695" w:rsidR="000F67FB" w:rsidRPr="00FE1367" w:rsidRDefault="000F67FB" w:rsidP="000F67FB">
            <w:pPr>
              <w:spacing w:after="0" w:line="240" w:lineRule="auto"/>
              <w:rPr>
                <w:rFonts w:ascii="Calibri" w:eastAsia="Times New Roman" w:hAnsi="Calibri" w:cs="Calibri"/>
                <w:b/>
                <w:bCs/>
                <w:color w:val="000000"/>
                <w:lang w:val="en-GB" w:eastAsia="zh-CN"/>
              </w:rPr>
            </w:pPr>
            <w:r>
              <w:rPr>
                <w:rFonts w:ascii="SimSun" w:hAnsi="SimSun" w:cs="SimSun" w:hint="eastAsia"/>
                <w:b/>
                <w:bCs/>
                <w:color w:val="000000"/>
                <w:lang w:eastAsia="zh-CN"/>
              </w:rPr>
              <w:t>非赠款工具（NGI）项目</w:t>
            </w:r>
          </w:p>
        </w:tc>
        <w:tc>
          <w:tcPr>
            <w:tcW w:w="773" w:type="pct"/>
            <w:shd w:val="clear" w:color="auto" w:fill="auto"/>
            <w:hideMark/>
          </w:tcPr>
          <w:p w14:paraId="5CD9ED07" w14:textId="4359AFCA" w:rsidR="000F67FB" w:rsidRPr="00FE1367" w:rsidRDefault="000F67FB" w:rsidP="00D30DB1">
            <w:pPr>
              <w:spacing w:after="0" w:line="240" w:lineRule="auto"/>
              <w:rPr>
                <w:rFonts w:ascii="Calibri" w:eastAsia="Times New Roman" w:hAnsi="Calibri" w:cs="Calibri"/>
                <w:b/>
                <w:bCs/>
                <w:color w:val="000000"/>
                <w:lang w:val="en-GB"/>
              </w:rPr>
            </w:pPr>
            <w:proofErr w:type="spellStart"/>
            <w:r>
              <w:rPr>
                <w:rFonts w:ascii="SimSun" w:hAnsi="SimSun" w:cs="SimSun" w:hint="eastAsia"/>
                <w:b/>
                <w:bCs/>
                <w:color w:val="000000"/>
                <w:lang w:val="en-GB"/>
              </w:rPr>
              <w:t>爱知生物多样性目标</w:t>
            </w:r>
            <w:proofErr w:type="spellEnd"/>
          </w:p>
        </w:tc>
        <w:tc>
          <w:tcPr>
            <w:tcW w:w="825" w:type="pct"/>
            <w:shd w:val="clear" w:color="auto" w:fill="auto"/>
          </w:tcPr>
          <w:p w14:paraId="1F292FB7" w14:textId="0AFF4EF9" w:rsidR="000F67FB" w:rsidRPr="00FE1367" w:rsidRDefault="000F67FB" w:rsidP="00D30DB1">
            <w:pPr>
              <w:spacing w:after="0" w:line="240" w:lineRule="auto"/>
              <w:rPr>
                <w:rFonts w:ascii="Calibri" w:eastAsia="Times New Roman" w:hAnsi="Calibri" w:cs="Calibri"/>
                <w:b/>
                <w:bCs/>
                <w:color w:val="000000"/>
                <w:lang w:val="en-GB" w:eastAsia="zh-CN"/>
              </w:rPr>
            </w:pPr>
            <w:r>
              <w:rPr>
                <w:rFonts w:ascii="SimSun" w:hAnsi="SimSun" w:cs="SimSun" w:hint="eastAsia"/>
                <w:b/>
                <w:bCs/>
                <w:color w:val="000000"/>
                <w:lang w:val="en-GB" w:eastAsia="zh-CN"/>
              </w:rPr>
              <w:t>全环基金</w:t>
            </w:r>
            <w:r>
              <w:rPr>
                <w:rFonts w:ascii="SimSun" w:hAnsi="SimSun" w:cs="SimSun"/>
                <w:b/>
                <w:bCs/>
                <w:color w:val="000000"/>
                <w:lang w:val="en-GB" w:eastAsia="zh-CN"/>
              </w:rPr>
              <w:br/>
            </w:r>
            <w:r>
              <w:rPr>
                <w:rFonts w:ascii="SimSun" w:hAnsi="SimSun" w:cs="SimSun" w:hint="eastAsia"/>
                <w:b/>
                <w:bCs/>
                <w:color w:val="000000"/>
                <w:lang w:val="en-GB" w:eastAsia="zh-CN"/>
              </w:rPr>
              <w:t>项目供资</w:t>
            </w:r>
            <w:r>
              <w:rPr>
                <w:rFonts w:ascii="SimSun" w:hAnsi="SimSun" w:cs="SimSun"/>
                <w:b/>
                <w:bCs/>
                <w:color w:val="000000"/>
                <w:lang w:val="en-GB" w:eastAsia="zh-CN"/>
              </w:rPr>
              <w:br/>
            </w:r>
            <w:r w:rsidRPr="00045526">
              <w:rPr>
                <w:rFonts w:ascii="Calibri" w:eastAsia="Times New Roman" w:hAnsi="Calibri" w:cs="Times New Roman"/>
                <w:b/>
                <w:bCs/>
                <w:color w:val="000000"/>
                <w:lang w:val="en-GB" w:eastAsia="zh-CN"/>
              </w:rPr>
              <w:t xml:space="preserve"> (</w:t>
            </w:r>
            <w:r>
              <w:rPr>
                <w:rFonts w:ascii="SimSun" w:hAnsi="SimSun" w:cs="SimSun" w:hint="eastAsia"/>
                <w:b/>
                <w:bCs/>
                <w:color w:val="000000"/>
                <w:lang w:val="en-GB" w:eastAsia="zh-CN"/>
              </w:rPr>
              <w:t>百万美元</w:t>
            </w:r>
            <w:r w:rsidRPr="00045526">
              <w:rPr>
                <w:rFonts w:ascii="Calibri" w:eastAsia="Times New Roman" w:hAnsi="Calibri" w:cs="Times New Roman"/>
                <w:b/>
                <w:bCs/>
                <w:color w:val="000000"/>
                <w:lang w:val="en-GB" w:eastAsia="zh-CN"/>
              </w:rPr>
              <w:t>)</w:t>
            </w:r>
          </w:p>
        </w:tc>
        <w:tc>
          <w:tcPr>
            <w:tcW w:w="929" w:type="pct"/>
            <w:shd w:val="clear" w:color="auto" w:fill="auto"/>
            <w:hideMark/>
          </w:tcPr>
          <w:p w14:paraId="3CF9F36A"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共同筹资</w:t>
            </w:r>
            <w:proofErr w:type="spellEnd"/>
            <w:r w:rsidRPr="00045526">
              <w:rPr>
                <w:rFonts w:ascii="Calibri" w:eastAsia="Times New Roman" w:hAnsi="Calibri" w:cs="Times New Roman"/>
                <w:b/>
                <w:bCs/>
                <w:color w:val="000000"/>
                <w:lang w:val="en-GB"/>
              </w:rPr>
              <w:t xml:space="preserve"> </w:t>
            </w:r>
          </w:p>
          <w:p w14:paraId="5CE098C1" w14:textId="5BFC0418" w:rsidR="000F67FB" w:rsidRPr="00FE1367" w:rsidRDefault="000F67FB" w:rsidP="00D30DB1">
            <w:pPr>
              <w:spacing w:after="0" w:line="240" w:lineRule="auto"/>
              <w:rPr>
                <w:rFonts w:ascii="Calibri" w:eastAsia="Times New Roman" w:hAnsi="Calibri" w:cs="Calibri"/>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 xml:space="preserve">) </w:t>
            </w:r>
          </w:p>
        </w:tc>
        <w:tc>
          <w:tcPr>
            <w:tcW w:w="926" w:type="pct"/>
            <w:shd w:val="clear" w:color="auto" w:fill="auto"/>
          </w:tcPr>
          <w:p w14:paraId="285305A9" w14:textId="77777777" w:rsidR="000F67FB" w:rsidRPr="00045526" w:rsidRDefault="000F67FB" w:rsidP="00A0073D">
            <w:pPr>
              <w:spacing w:after="0" w:line="240" w:lineRule="auto"/>
              <w:rPr>
                <w:rFonts w:ascii="Calibri" w:eastAsia="Times New Roman" w:hAnsi="Calibri" w:cs="Times New Roman"/>
                <w:b/>
                <w:bCs/>
                <w:color w:val="000000"/>
                <w:lang w:val="en-GB"/>
              </w:rPr>
            </w:pPr>
            <w:proofErr w:type="spellStart"/>
            <w:r>
              <w:rPr>
                <w:rFonts w:ascii="SimSun" w:hAnsi="SimSun" w:cs="SimSun" w:hint="eastAsia"/>
                <w:b/>
                <w:bCs/>
                <w:color w:val="000000"/>
                <w:lang w:val="en-GB"/>
              </w:rPr>
              <w:t>资源总额</w:t>
            </w:r>
            <w:proofErr w:type="spellEnd"/>
            <w:r w:rsidRPr="00045526">
              <w:rPr>
                <w:rFonts w:ascii="Calibri" w:eastAsia="Times New Roman" w:hAnsi="Calibri" w:cs="Times New Roman"/>
                <w:b/>
                <w:bCs/>
                <w:color w:val="000000"/>
                <w:lang w:val="en-GB"/>
              </w:rPr>
              <w:t xml:space="preserve"> </w:t>
            </w:r>
          </w:p>
          <w:p w14:paraId="5161E8DB" w14:textId="140CF672" w:rsidR="000F67FB" w:rsidRPr="00FE1367" w:rsidRDefault="000F67FB" w:rsidP="00D30DB1">
            <w:pPr>
              <w:spacing w:after="0" w:line="240" w:lineRule="auto"/>
              <w:rPr>
                <w:rFonts w:ascii="Calibri" w:eastAsia="Times New Roman" w:hAnsi="Calibri" w:cs="Calibri"/>
                <w:b/>
                <w:bCs/>
                <w:color w:val="000000"/>
                <w:lang w:val="en-GB"/>
              </w:rPr>
            </w:pPr>
            <w:r w:rsidRPr="00045526">
              <w:rPr>
                <w:rFonts w:ascii="Calibri" w:eastAsia="Times New Roman" w:hAnsi="Calibri" w:cs="Times New Roman"/>
                <w:b/>
                <w:bCs/>
                <w:color w:val="000000"/>
                <w:lang w:val="en-GB"/>
              </w:rPr>
              <w:t>(</w:t>
            </w:r>
            <w:proofErr w:type="spellStart"/>
            <w:r>
              <w:rPr>
                <w:rFonts w:ascii="SimSun" w:hAnsi="SimSun" w:cs="SimSun" w:hint="eastAsia"/>
                <w:b/>
                <w:bCs/>
                <w:color w:val="000000"/>
                <w:lang w:val="en-GB"/>
              </w:rPr>
              <w:t>百万美元</w:t>
            </w:r>
            <w:proofErr w:type="spellEnd"/>
            <w:r w:rsidRPr="00045526">
              <w:rPr>
                <w:rFonts w:ascii="Calibri" w:eastAsia="Times New Roman" w:hAnsi="Calibri" w:cs="Times New Roman"/>
                <w:b/>
                <w:bCs/>
                <w:color w:val="000000"/>
                <w:lang w:val="en-GB"/>
              </w:rPr>
              <w:t>)</w:t>
            </w:r>
          </w:p>
        </w:tc>
      </w:tr>
      <w:tr w:rsidR="00D30DB1" w:rsidRPr="00D30DB1" w14:paraId="408BB20D" w14:textId="77777777" w:rsidTr="00926978">
        <w:trPr>
          <w:trHeight w:val="900"/>
        </w:trPr>
        <w:tc>
          <w:tcPr>
            <w:tcW w:w="1547" w:type="pct"/>
            <w:shd w:val="clear" w:color="auto" w:fill="auto"/>
          </w:tcPr>
          <w:p w14:paraId="64845A41" w14:textId="77777777" w:rsidR="00BE3A1C" w:rsidRDefault="00BE3A1C" w:rsidP="00FC75DD">
            <w:pPr>
              <w:spacing w:after="0" w:line="240" w:lineRule="auto"/>
              <w:rPr>
                <w:rFonts w:ascii="SimSun" w:hAnsi="SimSun" w:cs="Calibri"/>
                <w:color w:val="000000"/>
                <w:lang w:val="en-GB" w:eastAsia="zh-CN"/>
              </w:rPr>
            </w:pPr>
          </w:p>
          <w:p w14:paraId="6E10CAE9" w14:textId="59E5EB65" w:rsidR="00D30DB1" w:rsidRPr="00FC75DD" w:rsidRDefault="00FC75DD" w:rsidP="00FC75DD">
            <w:pPr>
              <w:spacing w:after="0" w:line="240" w:lineRule="auto"/>
              <w:rPr>
                <w:rFonts w:ascii="SimSun" w:hAnsi="SimSun" w:cs="Calibri"/>
                <w:color w:val="000000"/>
                <w:lang w:val="en-GB" w:eastAsia="zh-CN"/>
              </w:rPr>
            </w:pPr>
            <w:r w:rsidRPr="00FC75DD">
              <w:rPr>
                <w:rFonts w:ascii="SimSun" w:hAnsi="SimSun" w:cs="Calibri"/>
                <w:color w:val="000000"/>
                <w:lang w:val="en-GB" w:eastAsia="zh-CN"/>
              </w:rPr>
              <w:t>粮食安全基金</w:t>
            </w:r>
            <w:r>
              <w:rPr>
                <w:rFonts w:ascii="SimSun" w:hAnsi="SimSun" w:cs="Calibri" w:hint="eastAsia"/>
                <w:color w:val="000000"/>
                <w:lang w:val="en-GB" w:eastAsia="zh-CN"/>
              </w:rPr>
              <w:t>：</w:t>
            </w:r>
            <w:r w:rsidR="00BE3A1C" w:rsidRPr="00BE3A1C">
              <w:rPr>
                <w:rFonts w:ascii="SimSun" w:hAnsi="SimSun" w:cs="Calibri" w:hint="eastAsia"/>
                <w:color w:val="000000"/>
                <w:lang w:val="en-GB" w:eastAsia="zh-CN"/>
              </w:rPr>
              <w:t>一项在新兴市场大规模资助可持续供应链的基金</w:t>
            </w:r>
          </w:p>
        </w:tc>
        <w:tc>
          <w:tcPr>
            <w:tcW w:w="773" w:type="pct"/>
            <w:shd w:val="clear" w:color="auto" w:fill="auto"/>
          </w:tcPr>
          <w:p w14:paraId="06EDBEA4" w14:textId="77777777" w:rsidR="00D30DB1" w:rsidRDefault="00D30DB1" w:rsidP="00D30DB1">
            <w:pPr>
              <w:spacing w:after="0" w:line="240" w:lineRule="auto"/>
              <w:rPr>
                <w:rFonts w:ascii="Calibri" w:eastAsia="Times New Roman" w:hAnsi="Calibri" w:cs="Calibri"/>
                <w:color w:val="000000"/>
                <w:lang w:val="en-GB" w:eastAsia="zh-CN"/>
              </w:rPr>
            </w:pPr>
          </w:p>
          <w:p w14:paraId="1545371F" w14:textId="12D88076" w:rsidR="00857A08" w:rsidRPr="00FE1367" w:rsidRDefault="00485EDA"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2, 5</w:t>
            </w:r>
          </w:p>
        </w:tc>
        <w:tc>
          <w:tcPr>
            <w:tcW w:w="825" w:type="pct"/>
            <w:shd w:val="clear" w:color="auto" w:fill="auto"/>
          </w:tcPr>
          <w:p w14:paraId="1A5739B4" w14:textId="77777777" w:rsidR="00D30DB1" w:rsidRDefault="00D30DB1" w:rsidP="00D30DB1">
            <w:pPr>
              <w:spacing w:after="0" w:line="240" w:lineRule="auto"/>
              <w:rPr>
                <w:rFonts w:ascii="Calibri" w:eastAsia="MS Mincho" w:hAnsi="Calibri" w:cs="Calibri"/>
                <w:lang w:val="en-GB"/>
              </w:rPr>
            </w:pPr>
          </w:p>
          <w:p w14:paraId="1B605816" w14:textId="70FA6998" w:rsidR="00485EDA" w:rsidRPr="00FE1367" w:rsidRDefault="00663160" w:rsidP="00D30DB1">
            <w:pPr>
              <w:spacing w:after="0" w:line="240" w:lineRule="auto"/>
              <w:rPr>
                <w:rFonts w:ascii="Calibri" w:eastAsia="MS Mincho" w:hAnsi="Calibri" w:cs="Calibri"/>
                <w:lang w:val="en-GB"/>
              </w:rPr>
            </w:pPr>
            <w:r>
              <w:rPr>
                <w:rFonts w:ascii="Calibri" w:eastAsia="MS Mincho" w:hAnsi="Calibri" w:cs="Calibri"/>
                <w:lang w:val="en-GB"/>
              </w:rPr>
              <w:t>15.0</w:t>
            </w:r>
          </w:p>
        </w:tc>
        <w:tc>
          <w:tcPr>
            <w:tcW w:w="929" w:type="pct"/>
            <w:shd w:val="clear" w:color="auto" w:fill="auto"/>
          </w:tcPr>
          <w:p w14:paraId="2DC2AB48" w14:textId="77777777" w:rsidR="00D30DB1" w:rsidRDefault="00D30DB1" w:rsidP="00D30DB1">
            <w:pPr>
              <w:spacing w:after="0" w:line="240" w:lineRule="auto"/>
              <w:rPr>
                <w:rFonts w:ascii="Calibri" w:eastAsia="MS Mincho" w:hAnsi="Calibri" w:cs="Calibri"/>
                <w:lang w:val="en-GB"/>
              </w:rPr>
            </w:pPr>
          </w:p>
          <w:p w14:paraId="5A2003D4" w14:textId="43C86A67" w:rsidR="00663160" w:rsidRPr="00FE1367" w:rsidRDefault="00663160" w:rsidP="00D30DB1">
            <w:pPr>
              <w:spacing w:after="0" w:line="240" w:lineRule="auto"/>
              <w:rPr>
                <w:rFonts w:ascii="Calibri" w:eastAsia="MS Mincho" w:hAnsi="Calibri" w:cs="Calibri"/>
                <w:lang w:val="en-GB"/>
              </w:rPr>
            </w:pPr>
            <w:r>
              <w:rPr>
                <w:rFonts w:ascii="Calibri" w:eastAsia="MS Mincho" w:hAnsi="Calibri" w:cs="Calibri"/>
                <w:lang w:val="en-GB"/>
              </w:rPr>
              <w:t>773.3</w:t>
            </w:r>
          </w:p>
        </w:tc>
        <w:tc>
          <w:tcPr>
            <w:tcW w:w="926" w:type="pct"/>
            <w:shd w:val="clear" w:color="auto" w:fill="auto"/>
          </w:tcPr>
          <w:p w14:paraId="6D1DE5A5" w14:textId="77777777" w:rsidR="00D30DB1" w:rsidRDefault="00D30DB1" w:rsidP="00D30DB1">
            <w:pPr>
              <w:spacing w:after="0" w:line="240" w:lineRule="auto"/>
              <w:rPr>
                <w:rFonts w:ascii="Calibri" w:eastAsia="MS Mincho" w:hAnsi="Calibri" w:cs="Calibri"/>
                <w:lang w:val="en-GB"/>
              </w:rPr>
            </w:pPr>
          </w:p>
          <w:p w14:paraId="193FD2EE" w14:textId="328192A0" w:rsidR="00663160" w:rsidRPr="00FE1367" w:rsidRDefault="00663160" w:rsidP="00D30DB1">
            <w:pPr>
              <w:spacing w:after="0" w:line="240" w:lineRule="auto"/>
              <w:rPr>
                <w:rFonts w:ascii="Calibri" w:eastAsia="MS Mincho" w:hAnsi="Calibri" w:cs="Calibri"/>
                <w:lang w:val="en-GB"/>
              </w:rPr>
            </w:pPr>
            <w:r>
              <w:rPr>
                <w:rFonts w:ascii="Calibri" w:eastAsia="MS Mincho" w:hAnsi="Calibri" w:cs="Calibri"/>
                <w:lang w:val="en-GB"/>
              </w:rPr>
              <w:t>788.3</w:t>
            </w:r>
          </w:p>
        </w:tc>
      </w:tr>
      <w:tr w:rsidR="00D30DB1" w:rsidRPr="00D30DB1" w14:paraId="5A984CB2" w14:textId="77777777" w:rsidTr="00926978">
        <w:trPr>
          <w:trHeight w:val="900"/>
        </w:trPr>
        <w:tc>
          <w:tcPr>
            <w:tcW w:w="1547" w:type="pct"/>
            <w:shd w:val="clear" w:color="auto" w:fill="auto"/>
          </w:tcPr>
          <w:p w14:paraId="3B7F14A9" w14:textId="77777777" w:rsidR="00D30DB1" w:rsidRPr="00FE1367" w:rsidRDefault="00D30DB1" w:rsidP="00D30DB1">
            <w:pPr>
              <w:spacing w:after="0" w:line="240" w:lineRule="auto"/>
              <w:rPr>
                <w:rFonts w:ascii="Calibri" w:eastAsia="Times New Roman" w:hAnsi="Calibri" w:cs="Calibri"/>
                <w:color w:val="000000"/>
                <w:lang w:val="en-GB"/>
              </w:rPr>
            </w:pPr>
          </w:p>
          <w:p w14:paraId="15485AD5" w14:textId="01030BBF" w:rsidR="00D30DB1" w:rsidRPr="00475312" w:rsidRDefault="00BE3A1C" w:rsidP="00D30DB1">
            <w:pPr>
              <w:spacing w:after="0" w:line="240" w:lineRule="auto"/>
              <w:rPr>
                <w:rFonts w:ascii="Calibri" w:hAnsi="Calibri" w:cs="Calibri"/>
                <w:b/>
                <w:color w:val="000000"/>
                <w:lang w:val="en-GB"/>
              </w:rPr>
            </w:pPr>
            <w:proofErr w:type="spellStart"/>
            <w:r w:rsidRPr="00475312">
              <w:rPr>
                <w:rFonts w:ascii="Calibri" w:hAnsi="Calibri" w:cs="Calibri"/>
                <w:b/>
                <w:color w:val="000000"/>
                <w:lang w:val="en-GB"/>
              </w:rPr>
              <w:t>共计</w:t>
            </w:r>
            <w:proofErr w:type="spellEnd"/>
          </w:p>
          <w:p w14:paraId="13D16324" w14:textId="77777777" w:rsidR="00D30DB1" w:rsidRPr="00FE1367" w:rsidRDefault="00D30DB1" w:rsidP="00D30DB1">
            <w:pPr>
              <w:spacing w:after="0" w:line="240" w:lineRule="auto"/>
              <w:rPr>
                <w:rFonts w:ascii="Calibri" w:eastAsia="Times New Roman" w:hAnsi="Calibri" w:cs="Calibri"/>
                <w:color w:val="000000"/>
                <w:lang w:val="en-GB"/>
              </w:rPr>
            </w:pPr>
          </w:p>
        </w:tc>
        <w:tc>
          <w:tcPr>
            <w:tcW w:w="773" w:type="pct"/>
            <w:shd w:val="clear" w:color="auto" w:fill="auto"/>
          </w:tcPr>
          <w:p w14:paraId="77A1ADBC" w14:textId="77777777" w:rsidR="00D30DB1" w:rsidRDefault="00D30DB1" w:rsidP="00D30DB1">
            <w:pPr>
              <w:spacing w:after="0" w:line="240" w:lineRule="auto"/>
              <w:rPr>
                <w:rFonts w:ascii="Calibri" w:eastAsia="Times New Roman" w:hAnsi="Calibri" w:cs="Calibri"/>
                <w:color w:val="000000"/>
                <w:lang w:val="en-GB"/>
              </w:rPr>
            </w:pPr>
          </w:p>
          <w:p w14:paraId="62D513AC" w14:textId="28203BC5" w:rsidR="006E6D87" w:rsidRPr="00FE1367" w:rsidRDefault="006E6D87" w:rsidP="00D30DB1">
            <w:pPr>
              <w:spacing w:after="0" w:line="240" w:lineRule="auto"/>
              <w:rPr>
                <w:rFonts w:ascii="Calibri" w:eastAsia="Times New Roman" w:hAnsi="Calibri" w:cs="Calibri"/>
                <w:color w:val="000000"/>
                <w:lang w:val="en-GB"/>
              </w:rPr>
            </w:pPr>
          </w:p>
        </w:tc>
        <w:tc>
          <w:tcPr>
            <w:tcW w:w="825" w:type="pct"/>
            <w:shd w:val="clear" w:color="auto" w:fill="auto"/>
          </w:tcPr>
          <w:p w14:paraId="40CA3BF6" w14:textId="77777777" w:rsidR="00553A18" w:rsidRDefault="00553A18" w:rsidP="00D30DB1">
            <w:pPr>
              <w:spacing w:after="0" w:line="240" w:lineRule="auto"/>
              <w:rPr>
                <w:rFonts w:ascii="Calibri" w:eastAsia="Times New Roman" w:hAnsi="Calibri" w:cs="Calibri"/>
                <w:color w:val="000000"/>
                <w:lang w:val="en-GB"/>
              </w:rPr>
            </w:pPr>
          </w:p>
          <w:p w14:paraId="4DAC595A" w14:textId="241E7DBB" w:rsidR="00D30DB1" w:rsidRPr="00FE1367" w:rsidRDefault="00553A18"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15.0</w:t>
            </w:r>
          </w:p>
        </w:tc>
        <w:tc>
          <w:tcPr>
            <w:tcW w:w="929" w:type="pct"/>
            <w:shd w:val="clear" w:color="auto" w:fill="auto"/>
          </w:tcPr>
          <w:p w14:paraId="0D132309" w14:textId="77777777" w:rsidR="00D30DB1" w:rsidRDefault="00D30DB1" w:rsidP="00D30DB1">
            <w:pPr>
              <w:spacing w:after="0" w:line="240" w:lineRule="auto"/>
              <w:rPr>
                <w:rFonts w:ascii="Calibri" w:eastAsia="Times New Roman" w:hAnsi="Calibri" w:cs="Calibri"/>
                <w:color w:val="000000"/>
                <w:lang w:val="en-GB"/>
              </w:rPr>
            </w:pPr>
          </w:p>
          <w:p w14:paraId="7ED668EB" w14:textId="0C84BDCD" w:rsidR="00553A18" w:rsidRPr="00FE1367" w:rsidRDefault="00553A18"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773.3</w:t>
            </w:r>
          </w:p>
        </w:tc>
        <w:tc>
          <w:tcPr>
            <w:tcW w:w="926" w:type="pct"/>
            <w:shd w:val="clear" w:color="auto" w:fill="auto"/>
          </w:tcPr>
          <w:p w14:paraId="4349D80F" w14:textId="77777777" w:rsidR="00D30DB1" w:rsidRDefault="00D30DB1" w:rsidP="00D30DB1">
            <w:pPr>
              <w:spacing w:after="0" w:line="240" w:lineRule="auto"/>
              <w:rPr>
                <w:rFonts w:ascii="Calibri" w:eastAsia="Times New Roman" w:hAnsi="Calibri" w:cs="Calibri"/>
                <w:color w:val="000000"/>
                <w:lang w:val="en-GB"/>
              </w:rPr>
            </w:pPr>
          </w:p>
          <w:p w14:paraId="1D8035AF" w14:textId="34EA9E91" w:rsidR="00553A18" w:rsidRPr="00FE1367" w:rsidRDefault="00C56687" w:rsidP="00D30DB1">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788.3</w:t>
            </w:r>
          </w:p>
        </w:tc>
      </w:tr>
    </w:tbl>
    <w:p w14:paraId="513B1256" w14:textId="77777777" w:rsidR="00B312AC" w:rsidRDefault="00B312AC" w:rsidP="00B312AC">
      <w:pPr>
        <w:spacing w:after="0"/>
        <w:rPr>
          <w:snapToGrid w:val="0"/>
          <w:lang w:eastAsia="zh-CN"/>
        </w:rPr>
      </w:pPr>
    </w:p>
    <w:p w14:paraId="1FC33C81" w14:textId="55E9D7E9" w:rsidR="00D30DB1" w:rsidRPr="00F35B14" w:rsidRDefault="00BE3A1C" w:rsidP="00475312">
      <w:pPr>
        <w:pStyle w:val="Heading3"/>
        <w:rPr>
          <w:snapToGrid w:val="0"/>
        </w:rPr>
      </w:pPr>
      <w:r w:rsidRPr="00F35B14">
        <w:rPr>
          <w:snapToGrid w:val="0"/>
        </w:rPr>
        <w:t>小额赠款方案</w:t>
      </w:r>
    </w:p>
    <w:p w14:paraId="070CE495" w14:textId="75DE27B6" w:rsidR="00BE3A1C" w:rsidRPr="00F35B14" w:rsidRDefault="00BE3A1C"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eastAsia="zh-CN"/>
        </w:rPr>
      </w:pPr>
      <w:r w:rsidRPr="00F35B14">
        <w:rPr>
          <w:rFonts w:hint="eastAsia"/>
          <w:sz w:val="24"/>
          <w:szCs w:val="24"/>
          <w:lang w:eastAsia="zh-CN"/>
        </w:rPr>
        <w:t>在本报告所述期间，全球环境基金核准了总额为</w:t>
      </w:r>
      <w:r w:rsidRPr="00F35B14">
        <w:rPr>
          <w:rFonts w:hint="eastAsia"/>
          <w:sz w:val="24"/>
          <w:szCs w:val="24"/>
          <w:lang w:eastAsia="zh-CN"/>
        </w:rPr>
        <w:t>6400</w:t>
      </w:r>
      <w:r w:rsidRPr="00F35B14">
        <w:rPr>
          <w:rFonts w:hint="eastAsia"/>
          <w:sz w:val="24"/>
          <w:szCs w:val="24"/>
          <w:lang w:eastAsia="zh-CN"/>
        </w:rPr>
        <w:t>万美元的</w:t>
      </w:r>
      <w:r w:rsidR="00D57919" w:rsidRPr="00F35B14">
        <w:rPr>
          <w:rFonts w:hint="eastAsia"/>
          <w:sz w:val="24"/>
          <w:szCs w:val="24"/>
          <w:lang w:eastAsia="zh-CN"/>
        </w:rPr>
        <w:t>全环基金第七次增资的</w:t>
      </w:r>
      <w:r w:rsidRPr="00F35B14">
        <w:rPr>
          <w:rFonts w:hint="eastAsia"/>
          <w:sz w:val="24"/>
          <w:szCs w:val="24"/>
          <w:lang w:eastAsia="zh-CN"/>
        </w:rPr>
        <w:t>小额赠款方案的第一阶段</w:t>
      </w:r>
      <w:r w:rsidR="00D57919" w:rsidRPr="00F35B14">
        <w:rPr>
          <w:rFonts w:hint="eastAsia"/>
          <w:sz w:val="24"/>
          <w:szCs w:val="24"/>
          <w:lang w:eastAsia="zh-CN"/>
        </w:rPr>
        <w:t>，</w:t>
      </w:r>
      <w:r w:rsidRPr="00F35B14">
        <w:rPr>
          <w:rFonts w:hint="eastAsia"/>
          <w:sz w:val="24"/>
          <w:szCs w:val="24"/>
          <w:lang w:eastAsia="zh-CN"/>
        </w:rPr>
        <w:t>其中包括全环基金资源</w:t>
      </w:r>
      <w:r w:rsidR="00D57919" w:rsidRPr="00F35B14">
        <w:rPr>
          <w:rFonts w:hint="eastAsia"/>
          <w:sz w:val="24"/>
          <w:szCs w:val="24"/>
          <w:lang w:eastAsia="zh-CN"/>
        </w:rPr>
        <w:t>2 100</w:t>
      </w:r>
      <w:r w:rsidR="00D57919" w:rsidRPr="00F35B14">
        <w:rPr>
          <w:rFonts w:hint="eastAsia"/>
          <w:sz w:val="24"/>
          <w:szCs w:val="24"/>
          <w:lang w:eastAsia="zh-CN"/>
        </w:rPr>
        <w:t>万美元</w:t>
      </w:r>
      <w:r w:rsidRPr="00F35B14">
        <w:rPr>
          <w:rFonts w:hint="eastAsia"/>
          <w:sz w:val="24"/>
          <w:szCs w:val="24"/>
          <w:lang w:eastAsia="zh-CN"/>
        </w:rPr>
        <w:t>的生物多样性部分</w:t>
      </w:r>
      <w:r w:rsidR="00D57919" w:rsidRPr="00F35B14">
        <w:rPr>
          <w:rFonts w:hint="eastAsia"/>
          <w:sz w:val="24"/>
          <w:szCs w:val="24"/>
          <w:lang w:eastAsia="zh-CN"/>
        </w:rPr>
        <w:t>以及</w:t>
      </w:r>
      <w:r w:rsidRPr="00F35B14">
        <w:rPr>
          <w:rFonts w:hint="eastAsia"/>
          <w:sz w:val="24"/>
          <w:szCs w:val="24"/>
          <w:lang w:eastAsia="zh-CN"/>
        </w:rPr>
        <w:t>等额的共同</w:t>
      </w:r>
      <w:r w:rsidR="00D57919" w:rsidRPr="00F35B14">
        <w:rPr>
          <w:rFonts w:hint="eastAsia"/>
          <w:sz w:val="24"/>
          <w:szCs w:val="24"/>
          <w:lang w:eastAsia="zh-CN"/>
        </w:rPr>
        <w:t>筹资金额</w:t>
      </w:r>
      <w:r w:rsidRPr="00F35B14">
        <w:rPr>
          <w:rFonts w:hint="eastAsia"/>
          <w:sz w:val="24"/>
          <w:szCs w:val="24"/>
          <w:lang w:eastAsia="zh-CN"/>
        </w:rPr>
        <w:t>。此外，全球环境基金还核准了七个升级的小额赠款方案国家方案概念（巴西</w:t>
      </w:r>
      <w:r w:rsidR="00D57919" w:rsidRPr="00F35B14">
        <w:rPr>
          <w:rFonts w:hint="eastAsia"/>
          <w:sz w:val="24"/>
          <w:szCs w:val="24"/>
          <w:lang w:eastAsia="zh-CN"/>
        </w:rPr>
        <w:t>、</w:t>
      </w:r>
      <w:r w:rsidRPr="00F35B14">
        <w:rPr>
          <w:rFonts w:hint="eastAsia"/>
          <w:sz w:val="24"/>
          <w:szCs w:val="24"/>
          <w:lang w:eastAsia="zh-CN"/>
        </w:rPr>
        <w:t>哥斯达黎加</w:t>
      </w:r>
      <w:r w:rsidR="00D57919" w:rsidRPr="00F35B14">
        <w:rPr>
          <w:rFonts w:hint="eastAsia"/>
          <w:sz w:val="24"/>
          <w:szCs w:val="24"/>
          <w:lang w:eastAsia="zh-CN"/>
        </w:rPr>
        <w:t>、</w:t>
      </w:r>
      <w:r w:rsidRPr="00F35B14">
        <w:rPr>
          <w:rFonts w:hint="eastAsia"/>
          <w:sz w:val="24"/>
          <w:szCs w:val="24"/>
          <w:lang w:eastAsia="zh-CN"/>
        </w:rPr>
        <w:t>埃及</w:t>
      </w:r>
      <w:r w:rsidR="00D57919" w:rsidRPr="00F35B14">
        <w:rPr>
          <w:rFonts w:hint="eastAsia"/>
          <w:sz w:val="24"/>
          <w:szCs w:val="24"/>
          <w:lang w:eastAsia="zh-CN"/>
        </w:rPr>
        <w:t>、</w:t>
      </w:r>
      <w:r w:rsidRPr="00F35B14">
        <w:rPr>
          <w:rFonts w:hint="eastAsia"/>
          <w:sz w:val="24"/>
          <w:szCs w:val="24"/>
          <w:lang w:eastAsia="zh-CN"/>
        </w:rPr>
        <w:t>印度</w:t>
      </w:r>
      <w:r w:rsidR="00D57919" w:rsidRPr="00F35B14">
        <w:rPr>
          <w:rFonts w:hint="eastAsia"/>
          <w:sz w:val="24"/>
          <w:szCs w:val="24"/>
          <w:lang w:eastAsia="zh-CN"/>
        </w:rPr>
        <w:t>、</w:t>
      </w:r>
      <w:r w:rsidRPr="00F35B14">
        <w:rPr>
          <w:rFonts w:hint="eastAsia"/>
          <w:sz w:val="24"/>
          <w:szCs w:val="24"/>
          <w:lang w:eastAsia="zh-CN"/>
        </w:rPr>
        <w:t>肯尼亚</w:t>
      </w:r>
      <w:r w:rsidR="00D57919" w:rsidRPr="00F35B14">
        <w:rPr>
          <w:rFonts w:hint="eastAsia"/>
          <w:sz w:val="24"/>
          <w:szCs w:val="24"/>
          <w:lang w:eastAsia="zh-CN"/>
        </w:rPr>
        <w:t>、</w:t>
      </w:r>
      <w:r w:rsidRPr="00F35B14">
        <w:rPr>
          <w:rFonts w:hint="eastAsia"/>
          <w:sz w:val="24"/>
          <w:szCs w:val="24"/>
          <w:lang w:eastAsia="zh-CN"/>
        </w:rPr>
        <w:t>马来西亚和菲律宾）和一个</w:t>
      </w:r>
      <w:r w:rsidR="00D57919" w:rsidRPr="00F35B14">
        <w:rPr>
          <w:rFonts w:hint="eastAsia"/>
          <w:sz w:val="24"/>
          <w:szCs w:val="24"/>
          <w:lang w:eastAsia="zh-CN"/>
        </w:rPr>
        <w:t>海洋空间</w:t>
      </w:r>
      <w:r w:rsidRPr="00F35B14">
        <w:rPr>
          <w:rFonts w:hint="eastAsia"/>
          <w:sz w:val="24"/>
          <w:szCs w:val="24"/>
          <w:lang w:eastAsia="zh-CN"/>
        </w:rPr>
        <w:t>方案（厄瓜多尔），这些资源具有</w:t>
      </w:r>
      <w:r w:rsidR="00D57919" w:rsidRPr="00F35B14">
        <w:rPr>
          <w:rFonts w:hint="eastAsia"/>
          <w:sz w:val="24"/>
          <w:szCs w:val="24"/>
          <w:lang w:eastAsia="zh-CN"/>
        </w:rPr>
        <w:t>资金透明分配系统（</w:t>
      </w:r>
      <w:r w:rsidR="00D57919" w:rsidRPr="00F35B14">
        <w:rPr>
          <w:rFonts w:hint="eastAsia"/>
          <w:sz w:val="24"/>
          <w:szCs w:val="24"/>
          <w:lang w:eastAsia="zh-CN"/>
        </w:rPr>
        <w:t>STAR</w:t>
      </w:r>
      <w:r w:rsidR="00D57919" w:rsidRPr="00F35B14">
        <w:rPr>
          <w:rFonts w:hint="eastAsia"/>
          <w:sz w:val="24"/>
          <w:szCs w:val="24"/>
          <w:lang w:eastAsia="zh-CN"/>
        </w:rPr>
        <w:t>）的</w:t>
      </w:r>
      <w:r w:rsidRPr="00F35B14">
        <w:rPr>
          <w:rFonts w:hint="eastAsia"/>
          <w:sz w:val="24"/>
          <w:szCs w:val="24"/>
          <w:lang w:eastAsia="zh-CN"/>
        </w:rPr>
        <w:t>资源，其中生物多样性构成部分</w:t>
      </w:r>
      <w:r w:rsidR="00D57919" w:rsidRPr="00F35B14">
        <w:rPr>
          <w:rFonts w:hint="eastAsia"/>
          <w:sz w:val="24"/>
          <w:szCs w:val="24"/>
          <w:lang w:eastAsia="zh-CN"/>
        </w:rPr>
        <w:t>约为</w:t>
      </w:r>
      <w:r w:rsidRPr="00F35B14">
        <w:rPr>
          <w:rFonts w:hint="eastAsia"/>
          <w:sz w:val="24"/>
          <w:szCs w:val="24"/>
          <w:lang w:eastAsia="zh-CN"/>
        </w:rPr>
        <w:t>全球环境基金资源总额</w:t>
      </w:r>
      <w:r w:rsidR="00B978F6" w:rsidRPr="00F35B14">
        <w:rPr>
          <w:rFonts w:hint="eastAsia"/>
          <w:sz w:val="24"/>
          <w:szCs w:val="24"/>
          <w:lang w:eastAsia="zh-CN"/>
        </w:rPr>
        <w:t>的</w:t>
      </w:r>
      <w:r w:rsidR="00B978F6" w:rsidRPr="00F35B14">
        <w:rPr>
          <w:rFonts w:hint="eastAsia"/>
          <w:sz w:val="24"/>
          <w:szCs w:val="24"/>
          <w:lang w:eastAsia="zh-CN"/>
        </w:rPr>
        <w:t>1</w:t>
      </w:r>
      <w:r w:rsidRPr="00F35B14">
        <w:rPr>
          <w:rFonts w:hint="eastAsia"/>
          <w:sz w:val="24"/>
          <w:szCs w:val="24"/>
          <w:lang w:eastAsia="zh-CN"/>
        </w:rPr>
        <w:t>880</w:t>
      </w:r>
      <w:r w:rsidRPr="00F35B14">
        <w:rPr>
          <w:rFonts w:hint="eastAsia"/>
          <w:sz w:val="24"/>
          <w:szCs w:val="24"/>
          <w:lang w:eastAsia="zh-CN"/>
        </w:rPr>
        <w:t>万美元，预计生物多样性部分的共同</w:t>
      </w:r>
      <w:r w:rsidR="00B978F6" w:rsidRPr="00F35B14">
        <w:rPr>
          <w:rFonts w:hint="eastAsia"/>
          <w:sz w:val="24"/>
          <w:szCs w:val="24"/>
          <w:lang w:eastAsia="zh-CN"/>
        </w:rPr>
        <w:t>筹资金额</w:t>
      </w:r>
      <w:r w:rsidRPr="00F35B14">
        <w:rPr>
          <w:rFonts w:hint="eastAsia"/>
          <w:sz w:val="24"/>
          <w:szCs w:val="24"/>
          <w:lang w:eastAsia="zh-CN"/>
        </w:rPr>
        <w:t>为</w:t>
      </w:r>
      <w:r w:rsidRPr="00F35B14">
        <w:rPr>
          <w:rFonts w:hint="eastAsia"/>
          <w:sz w:val="24"/>
          <w:szCs w:val="24"/>
          <w:lang w:eastAsia="zh-CN"/>
        </w:rPr>
        <w:t>2930</w:t>
      </w:r>
      <w:r w:rsidRPr="00F35B14">
        <w:rPr>
          <w:rFonts w:hint="eastAsia"/>
          <w:sz w:val="24"/>
          <w:szCs w:val="24"/>
          <w:lang w:eastAsia="zh-CN"/>
        </w:rPr>
        <w:t>万美元。</w:t>
      </w:r>
    </w:p>
    <w:p w14:paraId="66A66328" w14:textId="19D6C9DB" w:rsidR="00B978F6" w:rsidRPr="00F35B14" w:rsidRDefault="00B978F6"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eastAsia="zh-CN"/>
        </w:rPr>
      </w:pPr>
      <w:r w:rsidRPr="00F35B14">
        <w:rPr>
          <w:rFonts w:hint="eastAsia"/>
          <w:sz w:val="24"/>
          <w:szCs w:val="24"/>
          <w:lang w:eastAsia="zh-CN"/>
        </w:rPr>
        <w:t>根据涵盖</w:t>
      </w:r>
      <w:r w:rsidRPr="00F35B14">
        <w:rPr>
          <w:rFonts w:hint="eastAsia"/>
          <w:sz w:val="24"/>
          <w:szCs w:val="24"/>
          <w:lang w:eastAsia="zh-CN"/>
        </w:rPr>
        <w:t>2018</w:t>
      </w:r>
      <w:r w:rsidRPr="00F35B14">
        <w:rPr>
          <w:rFonts w:hint="eastAsia"/>
          <w:sz w:val="24"/>
          <w:szCs w:val="24"/>
          <w:lang w:eastAsia="zh-CN"/>
        </w:rPr>
        <w:t>年</w:t>
      </w:r>
      <w:r w:rsidRPr="00F35B14">
        <w:rPr>
          <w:rFonts w:hint="eastAsia"/>
          <w:sz w:val="24"/>
          <w:szCs w:val="24"/>
          <w:lang w:eastAsia="zh-CN"/>
        </w:rPr>
        <w:t>7</w:t>
      </w:r>
      <w:r w:rsidRPr="00F35B14">
        <w:rPr>
          <w:rFonts w:hint="eastAsia"/>
          <w:sz w:val="24"/>
          <w:szCs w:val="24"/>
          <w:lang w:eastAsia="zh-CN"/>
        </w:rPr>
        <w:t>月至</w:t>
      </w:r>
      <w:r w:rsidRPr="00F35B14">
        <w:rPr>
          <w:rFonts w:hint="eastAsia"/>
          <w:sz w:val="24"/>
          <w:szCs w:val="24"/>
          <w:lang w:eastAsia="zh-CN"/>
        </w:rPr>
        <w:t>2019</w:t>
      </w:r>
      <w:r w:rsidRPr="00F35B14">
        <w:rPr>
          <w:rFonts w:hint="eastAsia"/>
          <w:sz w:val="24"/>
          <w:szCs w:val="24"/>
          <w:lang w:eastAsia="zh-CN"/>
        </w:rPr>
        <w:t>年</w:t>
      </w:r>
      <w:r w:rsidRPr="00F35B14">
        <w:rPr>
          <w:rFonts w:hint="eastAsia"/>
          <w:sz w:val="24"/>
          <w:szCs w:val="24"/>
          <w:lang w:eastAsia="zh-CN"/>
        </w:rPr>
        <w:t>6</w:t>
      </w:r>
      <w:r w:rsidRPr="00F35B14">
        <w:rPr>
          <w:rFonts w:hint="eastAsia"/>
          <w:sz w:val="24"/>
          <w:szCs w:val="24"/>
          <w:lang w:eastAsia="zh-CN"/>
        </w:rPr>
        <w:t>月的</w:t>
      </w:r>
      <w:r w:rsidRPr="00F35B14">
        <w:rPr>
          <w:rFonts w:hint="eastAsia"/>
          <w:sz w:val="24"/>
          <w:szCs w:val="24"/>
          <w:lang w:eastAsia="zh-CN"/>
        </w:rPr>
        <w:t>2018</w:t>
      </w:r>
      <w:r w:rsidRPr="00F35B14">
        <w:rPr>
          <w:rFonts w:hint="eastAsia"/>
          <w:sz w:val="24"/>
          <w:szCs w:val="24"/>
          <w:lang w:eastAsia="zh-CN"/>
        </w:rPr>
        <w:t>财政年度的</w:t>
      </w:r>
      <w:r w:rsidRPr="00F35B14">
        <w:rPr>
          <w:snapToGrid w:val="0"/>
          <w:sz w:val="24"/>
          <w:szCs w:val="24"/>
          <w:lang w:eastAsia="zh-CN"/>
        </w:rPr>
        <w:t>小额赠款方案</w:t>
      </w:r>
      <w:r w:rsidRPr="00F35B14">
        <w:rPr>
          <w:rFonts w:hint="eastAsia"/>
          <w:snapToGrid w:val="0"/>
          <w:sz w:val="24"/>
          <w:szCs w:val="24"/>
          <w:lang w:eastAsia="zh-CN"/>
        </w:rPr>
        <w:t>（</w:t>
      </w:r>
      <w:r w:rsidRPr="00F35B14">
        <w:rPr>
          <w:rFonts w:ascii="Calibri" w:eastAsia="MS Mincho" w:hAnsi="Calibri" w:cs="Calibri"/>
          <w:snapToGrid w:val="0"/>
          <w:sz w:val="24"/>
          <w:szCs w:val="24"/>
          <w:lang w:val="en-GB" w:eastAsia="zh-CN"/>
        </w:rPr>
        <w:t>SGP</w:t>
      </w:r>
      <w:r w:rsidRPr="00F35B14">
        <w:rPr>
          <w:rFonts w:hint="eastAsia"/>
          <w:snapToGrid w:val="0"/>
          <w:sz w:val="24"/>
          <w:szCs w:val="24"/>
          <w:lang w:eastAsia="zh-CN"/>
        </w:rPr>
        <w:t>）</w:t>
      </w:r>
      <w:r w:rsidRPr="00F35B14">
        <w:rPr>
          <w:rFonts w:hint="eastAsia"/>
          <w:sz w:val="24"/>
          <w:szCs w:val="24"/>
          <w:lang w:eastAsia="zh-CN"/>
        </w:rPr>
        <w:t>年度监测报告，全环基金资助的赠款项目组合共有</w:t>
      </w:r>
      <w:r w:rsidRPr="00F35B14">
        <w:rPr>
          <w:rFonts w:hint="eastAsia"/>
          <w:sz w:val="24"/>
          <w:szCs w:val="24"/>
          <w:lang w:eastAsia="zh-CN"/>
        </w:rPr>
        <w:t>3,182</w:t>
      </w:r>
      <w:r w:rsidRPr="00F35B14">
        <w:rPr>
          <w:rFonts w:hint="eastAsia"/>
          <w:sz w:val="24"/>
          <w:szCs w:val="24"/>
          <w:lang w:eastAsia="zh-CN"/>
        </w:rPr>
        <w:t>个项目，金额为</w:t>
      </w:r>
      <w:r w:rsidRPr="00F35B14">
        <w:rPr>
          <w:rFonts w:hint="eastAsia"/>
          <w:sz w:val="24"/>
          <w:szCs w:val="24"/>
          <w:lang w:eastAsia="zh-CN"/>
        </w:rPr>
        <w:t>1.085</w:t>
      </w:r>
      <w:r w:rsidRPr="00F35B14">
        <w:rPr>
          <w:rFonts w:hint="eastAsia"/>
          <w:sz w:val="24"/>
          <w:szCs w:val="24"/>
          <w:lang w:eastAsia="zh-CN"/>
        </w:rPr>
        <w:t>亿美元，共同筹资提供</w:t>
      </w:r>
      <w:r w:rsidRPr="00F35B14">
        <w:rPr>
          <w:rFonts w:hint="eastAsia"/>
          <w:sz w:val="24"/>
          <w:szCs w:val="24"/>
          <w:lang w:eastAsia="zh-CN"/>
        </w:rPr>
        <w:t>9950</w:t>
      </w:r>
      <w:r w:rsidRPr="00F35B14">
        <w:rPr>
          <w:rFonts w:hint="eastAsia"/>
          <w:sz w:val="24"/>
          <w:szCs w:val="24"/>
          <w:lang w:eastAsia="zh-CN"/>
        </w:rPr>
        <w:t>万美元。正在实施的所有小额赠款方案项目的重点领域分配额仍然高度</w:t>
      </w:r>
      <w:r w:rsidR="003004B0" w:rsidRPr="00F35B14">
        <w:rPr>
          <w:rFonts w:hint="eastAsia"/>
          <w:sz w:val="24"/>
          <w:szCs w:val="24"/>
          <w:lang w:eastAsia="zh-CN"/>
        </w:rPr>
        <w:t>集中于</w:t>
      </w:r>
      <w:r w:rsidRPr="00F35B14">
        <w:rPr>
          <w:rFonts w:hint="eastAsia"/>
          <w:sz w:val="24"/>
          <w:szCs w:val="24"/>
          <w:lang w:eastAsia="zh-CN"/>
        </w:rPr>
        <w:t>生物多样性，将其作为主要重点领域，</w:t>
      </w:r>
      <w:r w:rsidR="003004B0" w:rsidRPr="00F35B14">
        <w:rPr>
          <w:rFonts w:hint="eastAsia"/>
          <w:sz w:val="24"/>
          <w:szCs w:val="24"/>
          <w:lang w:eastAsia="zh-CN"/>
        </w:rPr>
        <w:t>这些方案占</w:t>
      </w:r>
      <w:r w:rsidRPr="00F35B14">
        <w:rPr>
          <w:rFonts w:hint="eastAsia"/>
          <w:sz w:val="24"/>
          <w:szCs w:val="24"/>
          <w:lang w:eastAsia="zh-CN"/>
        </w:rPr>
        <w:t>40</w:t>
      </w:r>
      <w:r w:rsidRPr="00F35B14">
        <w:rPr>
          <w:rFonts w:hint="eastAsia"/>
          <w:sz w:val="24"/>
          <w:szCs w:val="24"/>
          <w:lang w:eastAsia="zh-CN"/>
        </w:rPr>
        <w:t>％</w:t>
      </w:r>
      <w:r w:rsidR="003004B0" w:rsidRPr="00F35B14">
        <w:rPr>
          <w:rFonts w:hint="eastAsia"/>
          <w:sz w:val="24"/>
          <w:szCs w:val="24"/>
          <w:lang w:eastAsia="zh-CN"/>
        </w:rPr>
        <w:t>，在项目</w:t>
      </w:r>
      <w:r w:rsidRPr="00F35B14">
        <w:rPr>
          <w:rFonts w:hint="eastAsia"/>
          <w:sz w:val="24"/>
          <w:szCs w:val="24"/>
          <w:lang w:eastAsia="zh-CN"/>
        </w:rPr>
        <w:t>组合中</w:t>
      </w:r>
      <w:r w:rsidR="003004B0" w:rsidRPr="00F35B14">
        <w:rPr>
          <w:rFonts w:hint="eastAsia"/>
          <w:sz w:val="24"/>
          <w:szCs w:val="24"/>
          <w:lang w:eastAsia="zh-CN"/>
        </w:rPr>
        <w:t>占</w:t>
      </w:r>
      <w:r w:rsidRPr="00F35B14">
        <w:rPr>
          <w:rFonts w:hint="eastAsia"/>
          <w:sz w:val="24"/>
          <w:szCs w:val="24"/>
          <w:lang w:eastAsia="zh-CN"/>
        </w:rPr>
        <w:t>最大份额。</w:t>
      </w:r>
    </w:p>
    <w:p w14:paraId="600AA54E" w14:textId="22CF601A" w:rsidR="003004B0" w:rsidRPr="00F35B14" w:rsidRDefault="003004B0"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eastAsia="zh-CN"/>
        </w:rPr>
      </w:pPr>
      <w:r w:rsidRPr="00F35B14">
        <w:rPr>
          <w:rFonts w:hint="eastAsia"/>
          <w:sz w:val="24"/>
          <w:szCs w:val="24"/>
          <w:lang w:eastAsia="zh-CN"/>
        </w:rPr>
        <w:lastRenderedPageBreak/>
        <w:t>随同</w:t>
      </w:r>
      <w:r w:rsidRPr="00F35B14">
        <w:rPr>
          <w:rFonts w:hint="eastAsia"/>
          <w:sz w:val="24"/>
          <w:szCs w:val="24"/>
          <w:lang w:eastAsia="zh-CN"/>
        </w:rPr>
        <w:t>2018</w:t>
      </w:r>
      <w:r w:rsidRPr="00F35B14">
        <w:rPr>
          <w:rFonts w:hint="eastAsia"/>
          <w:sz w:val="24"/>
          <w:szCs w:val="24"/>
          <w:lang w:eastAsia="zh-CN"/>
        </w:rPr>
        <w:t>财政年度完成</w:t>
      </w:r>
      <w:r w:rsidRPr="00F35B14">
        <w:rPr>
          <w:rFonts w:hint="eastAsia"/>
          <w:sz w:val="24"/>
          <w:szCs w:val="24"/>
          <w:lang w:eastAsia="zh-CN"/>
        </w:rPr>
        <w:t>408</w:t>
      </w:r>
      <w:r w:rsidRPr="00F35B14">
        <w:rPr>
          <w:rFonts w:hint="eastAsia"/>
          <w:sz w:val="24"/>
          <w:szCs w:val="24"/>
          <w:lang w:eastAsia="zh-CN"/>
        </w:rPr>
        <w:t>个小额赠款方案的生物多样性项目，小型赠款方案已帮助维持或改善了至少</w:t>
      </w:r>
      <w:r w:rsidRPr="00F35B14">
        <w:rPr>
          <w:rFonts w:hint="eastAsia"/>
          <w:sz w:val="24"/>
          <w:szCs w:val="24"/>
          <w:lang w:eastAsia="zh-CN"/>
        </w:rPr>
        <w:t>859</w:t>
      </w:r>
      <w:r w:rsidRPr="00F35B14">
        <w:rPr>
          <w:rFonts w:hint="eastAsia"/>
          <w:sz w:val="24"/>
          <w:szCs w:val="24"/>
          <w:lang w:eastAsia="zh-CN"/>
        </w:rPr>
        <w:t>种物种的保护状况，并对</w:t>
      </w:r>
      <w:r w:rsidRPr="00F35B14">
        <w:rPr>
          <w:rFonts w:hint="eastAsia"/>
          <w:sz w:val="24"/>
          <w:szCs w:val="24"/>
          <w:lang w:eastAsia="zh-CN"/>
        </w:rPr>
        <w:t>172</w:t>
      </w:r>
      <w:r w:rsidRPr="00F35B14">
        <w:rPr>
          <w:rFonts w:hint="eastAsia"/>
          <w:sz w:val="24"/>
          <w:szCs w:val="24"/>
          <w:lang w:eastAsia="zh-CN"/>
        </w:rPr>
        <w:t>个保护区和</w:t>
      </w:r>
      <w:r w:rsidRPr="00F35B14">
        <w:rPr>
          <w:rFonts w:hint="eastAsia"/>
          <w:sz w:val="24"/>
          <w:szCs w:val="24"/>
          <w:lang w:eastAsia="zh-CN"/>
        </w:rPr>
        <w:t>244</w:t>
      </w:r>
      <w:r w:rsidRPr="00F35B14">
        <w:rPr>
          <w:rFonts w:hint="eastAsia"/>
          <w:sz w:val="24"/>
          <w:szCs w:val="24"/>
          <w:lang w:eastAsia="zh-CN"/>
        </w:rPr>
        <w:t>个土著和社区保护区（</w:t>
      </w:r>
      <w:r w:rsidRPr="00F35B14">
        <w:rPr>
          <w:rFonts w:ascii="Calibri" w:eastAsia="MS Mincho" w:hAnsi="Calibri" w:cs="Calibri"/>
          <w:snapToGrid w:val="0"/>
          <w:sz w:val="24"/>
          <w:szCs w:val="24"/>
          <w:lang w:val="en-GB" w:eastAsia="zh-CN"/>
        </w:rPr>
        <w:t>ICCA</w:t>
      </w:r>
      <w:r w:rsidRPr="00F35B14">
        <w:rPr>
          <w:rFonts w:hint="eastAsia"/>
          <w:sz w:val="24"/>
          <w:szCs w:val="24"/>
          <w:lang w:eastAsia="zh-CN"/>
        </w:rPr>
        <w:t>）产生了积极影响，共涉及</w:t>
      </w:r>
      <w:r w:rsidRPr="00F35B14">
        <w:rPr>
          <w:rFonts w:hint="eastAsia"/>
          <w:sz w:val="24"/>
          <w:szCs w:val="24"/>
          <w:lang w:eastAsia="zh-CN"/>
        </w:rPr>
        <w:t>58</w:t>
      </w:r>
      <w:r w:rsidR="003444CC" w:rsidRPr="00F35B14">
        <w:rPr>
          <w:rFonts w:hint="eastAsia"/>
          <w:sz w:val="24"/>
          <w:szCs w:val="24"/>
          <w:lang w:eastAsia="zh-CN"/>
        </w:rPr>
        <w:t>0</w:t>
      </w:r>
      <w:r w:rsidRPr="00F35B14">
        <w:rPr>
          <w:rFonts w:hint="eastAsia"/>
          <w:sz w:val="24"/>
          <w:szCs w:val="24"/>
          <w:lang w:eastAsia="zh-CN"/>
        </w:rPr>
        <w:t>万公顷</w:t>
      </w:r>
      <w:r w:rsidR="003444CC" w:rsidRPr="00F35B14">
        <w:rPr>
          <w:rFonts w:hint="eastAsia"/>
          <w:sz w:val="24"/>
          <w:szCs w:val="24"/>
          <w:lang w:eastAsia="zh-CN"/>
        </w:rPr>
        <w:t>土地</w:t>
      </w:r>
      <w:r w:rsidRPr="00F35B14">
        <w:rPr>
          <w:rFonts w:hint="eastAsia"/>
          <w:sz w:val="24"/>
          <w:szCs w:val="24"/>
          <w:lang w:eastAsia="zh-CN"/>
        </w:rPr>
        <w:t>。此外，共有</w:t>
      </w:r>
      <w:r w:rsidRPr="00F35B14">
        <w:rPr>
          <w:rFonts w:hint="eastAsia"/>
          <w:sz w:val="24"/>
          <w:szCs w:val="24"/>
          <w:lang w:eastAsia="zh-CN"/>
        </w:rPr>
        <w:t>162</w:t>
      </w:r>
      <w:r w:rsidRPr="00F35B14">
        <w:rPr>
          <w:rFonts w:hint="eastAsia"/>
          <w:sz w:val="24"/>
          <w:szCs w:val="24"/>
          <w:lang w:eastAsia="zh-CN"/>
        </w:rPr>
        <w:t>个目标</w:t>
      </w:r>
      <w:r w:rsidR="003444CC" w:rsidRPr="00F35B14">
        <w:rPr>
          <w:rFonts w:hint="eastAsia"/>
          <w:sz w:val="24"/>
          <w:szCs w:val="24"/>
          <w:lang w:eastAsia="zh-CN"/>
        </w:rPr>
        <w:t>陆地</w:t>
      </w:r>
      <w:r w:rsidRPr="00F35B14">
        <w:rPr>
          <w:rFonts w:hint="eastAsia"/>
          <w:sz w:val="24"/>
          <w:szCs w:val="24"/>
          <w:lang w:eastAsia="zh-CN"/>
        </w:rPr>
        <w:t>景观</w:t>
      </w:r>
      <w:r w:rsidRPr="00F35B14">
        <w:rPr>
          <w:rFonts w:hint="eastAsia"/>
          <w:sz w:val="24"/>
          <w:szCs w:val="24"/>
          <w:lang w:eastAsia="zh-CN"/>
        </w:rPr>
        <w:t>/</w:t>
      </w:r>
      <w:r w:rsidRPr="00F35B14">
        <w:rPr>
          <w:rFonts w:hint="eastAsia"/>
          <w:sz w:val="24"/>
          <w:szCs w:val="24"/>
          <w:lang w:eastAsia="zh-CN"/>
        </w:rPr>
        <w:t>海洋景观得到了以社区为基础的保护和可持续利用。关于生物多样性的可持续利用，小额赠款方案项目共支助了</w:t>
      </w:r>
      <w:r w:rsidRPr="00F35B14">
        <w:rPr>
          <w:rFonts w:hint="eastAsia"/>
          <w:sz w:val="24"/>
          <w:szCs w:val="24"/>
          <w:lang w:eastAsia="zh-CN"/>
        </w:rPr>
        <w:t>471</w:t>
      </w:r>
      <w:r w:rsidRPr="00F35B14">
        <w:rPr>
          <w:rFonts w:hint="eastAsia"/>
          <w:sz w:val="24"/>
          <w:szCs w:val="24"/>
          <w:lang w:eastAsia="zh-CN"/>
        </w:rPr>
        <w:t>种基于生物多样性的产品。</w:t>
      </w:r>
    </w:p>
    <w:p w14:paraId="5242E5A1" w14:textId="51FEDF59" w:rsidR="00CC255E" w:rsidRPr="00F35B14" w:rsidRDefault="00CC255E"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eastAsia="zh-CN"/>
        </w:rPr>
      </w:pPr>
      <w:r w:rsidRPr="00F35B14">
        <w:rPr>
          <w:rFonts w:hint="eastAsia"/>
          <w:sz w:val="24"/>
          <w:szCs w:val="24"/>
          <w:lang w:eastAsia="zh-CN"/>
        </w:rPr>
        <w:t>小额赠款方案的生物多样性重点领域组合将其支持重点放在改善保护区的管理效力以及将生物多样性保护和可持续利用纳入生产</w:t>
      </w:r>
      <w:r w:rsidR="00C316C5" w:rsidRPr="00F35B14">
        <w:rPr>
          <w:rFonts w:hint="eastAsia"/>
          <w:sz w:val="24"/>
          <w:szCs w:val="24"/>
          <w:lang w:eastAsia="zh-CN"/>
        </w:rPr>
        <w:t>陆地</w:t>
      </w:r>
      <w:r w:rsidRPr="00F35B14">
        <w:rPr>
          <w:rFonts w:hint="eastAsia"/>
          <w:sz w:val="24"/>
          <w:szCs w:val="24"/>
          <w:lang w:eastAsia="zh-CN"/>
        </w:rPr>
        <w:t>景观</w:t>
      </w:r>
      <w:r w:rsidRPr="00F35B14">
        <w:rPr>
          <w:rFonts w:hint="eastAsia"/>
          <w:sz w:val="24"/>
          <w:szCs w:val="24"/>
          <w:lang w:eastAsia="zh-CN"/>
        </w:rPr>
        <w:t>/</w:t>
      </w:r>
      <w:r w:rsidR="00C316C5" w:rsidRPr="00F35B14">
        <w:rPr>
          <w:rFonts w:hint="eastAsia"/>
          <w:sz w:val="24"/>
          <w:szCs w:val="24"/>
          <w:lang w:eastAsia="zh-CN"/>
        </w:rPr>
        <w:t>海洋景观</w:t>
      </w:r>
      <w:r w:rsidRPr="00F35B14">
        <w:rPr>
          <w:rFonts w:hint="eastAsia"/>
          <w:sz w:val="24"/>
          <w:szCs w:val="24"/>
          <w:lang w:eastAsia="zh-CN"/>
        </w:rPr>
        <w:t>和</w:t>
      </w:r>
      <w:r w:rsidR="00C316C5" w:rsidRPr="00F35B14">
        <w:rPr>
          <w:rFonts w:hint="eastAsia"/>
          <w:sz w:val="24"/>
          <w:szCs w:val="24"/>
          <w:lang w:eastAsia="zh-CN"/>
        </w:rPr>
        <w:t>各个</w:t>
      </w:r>
      <w:r w:rsidRPr="00F35B14">
        <w:rPr>
          <w:rFonts w:hint="eastAsia"/>
          <w:sz w:val="24"/>
          <w:szCs w:val="24"/>
          <w:lang w:eastAsia="zh-CN"/>
        </w:rPr>
        <w:t>部门的主流。在全环基金第七次</w:t>
      </w:r>
      <w:r w:rsidR="00C316C5" w:rsidRPr="00F35B14">
        <w:rPr>
          <w:rFonts w:hint="eastAsia"/>
          <w:sz w:val="24"/>
          <w:szCs w:val="24"/>
          <w:lang w:eastAsia="zh-CN"/>
        </w:rPr>
        <w:t>增资</w:t>
      </w:r>
      <w:r w:rsidRPr="00F35B14">
        <w:rPr>
          <w:rFonts w:hint="eastAsia"/>
          <w:sz w:val="24"/>
          <w:szCs w:val="24"/>
          <w:lang w:eastAsia="zh-CN"/>
        </w:rPr>
        <w:t>期间，小额赠款方案旨在进一步发展其综合和多重点领域方法，以支持社区主导的项目。解决生物多样性重点领域</w:t>
      </w:r>
      <w:r w:rsidR="00C316C5" w:rsidRPr="00F35B14">
        <w:rPr>
          <w:rFonts w:hint="eastAsia"/>
          <w:sz w:val="24"/>
          <w:szCs w:val="24"/>
          <w:lang w:eastAsia="zh-CN"/>
        </w:rPr>
        <w:t>效益</w:t>
      </w:r>
      <w:r w:rsidRPr="00F35B14">
        <w:rPr>
          <w:rFonts w:hint="eastAsia"/>
          <w:sz w:val="24"/>
          <w:szCs w:val="24"/>
          <w:lang w:eastAsia="zh-CN"/>
        </w:rPr>
        <w:t>的</w:t>
      </w:r>
      <w:r w:rsidR="00C316C5" w:rsidRPr="00F35B14">
        <w:rPr>
          <w:rFonts w:hint="eastAsia"/>
          <w:sz w:val="24"/>
          <w:szCs w:val="24"/>
          <w:lang w:eastAsia="zh-CN"/>
        </w:rPr>
        <w:t>全环基金第七次增资的小额赠款方案的</w:t>
      </w:r>
      <w:r w:rsidRPr="00F35B14">
        <w:rPr>
          <w:rFonts w:hint="eastAsia"/>
          <w:sz w:val="24"/>
          <w:szCs w:val="24"/>
          <w:lang w:eastAsia="zh-CN"/>
        </w:rPr>
        <w:t>战略</w:t>
      </w:r>
      <w:r w:rsidR="00C316C5" w:rsidRPr="00F35B14">
        <w:rPr>
          <w:rFonts w:hint="eastAsia"/>
          <w:sz w:val="24"/>
          <w:szCs w:val="24"/>
          <w:lang w:eastAsia="zh-CN"/>
        </w:rPr>
        <w:t>举措</w:t>
      </w:r>
      <w:r w:rsidRPr="00F35B14">
        <w:rPr>
          <w:rFonts w:hint="eastAsia"/>
          <w:sz w:val="24"/>
          <w:szCs w:val="24"/>
          <w:lang w:eastAsia="zh-CN"/>
        </w:rPr>
        <w:t>包括：基于社区的受威胁</w:t>
      </w:r>
      <w:r w:rsidR="00C316C5" w:rsidRPr="00F35B14">
        <w:rPr>
          <w:rFonts w:hint="eastAsia"/>
          <w:sz w:val="24"/>
          <w:szCs w:val="24"/>
          <w:lang w:eastAsia="zh-CN"/>
        </w:rPr>
        <w:t>的</w:t>
      </w:r>
      <w:r w:rsidRPr="00F35B14">
        <w:rPr>
          <w:rFonts w:hint="eastAsia"/>
          <w:sz w:val="24"/>
          <w:szCs w:val="24"/>
          <w:lang w:eastAsia="zh-CN"/>
        </w:rPr>
        <w:t>生态系统和物种</w:t>
      </w:r>
      <w:r w:rsidR="00C316C5" w:rsidRPr="00F35B14">
        <w:rPr>
          <w:rFonts w:hint="eastAsia"/>
          <w:sz w:val="24"/>
          <w:szCs w:val="24"/>
          <w:lang w:eastAsia="zh-CN"/>
        </w:rPr>
        <w:t>的</w:t>
      </w:r>
      <w:r w:rsidRPr="00F35B14">
        <w:rPr>
          <w:rFonts w:hint="eastAsia"/>
          <w:sz w:val="24"/>
          <w:szCs w:val="24"/>
          <w:lang w:eastAsia="zh-CN"/>
        </w:rPr>
        <w:t>保护；可持续</w:t>
      </w:r>
      <w:r w:rsidR="00C316C5" w:rsidRPr="00F35B14">
        <w:rPr>
          <w:rFonts w:hint="eastAsia"/>
          <w:sz w:val="24"/>
          <w:szCs w:val="24"/>
          <w:lang w:eastAsia="zh-CN"/>
        </w:rPr>
        <w:t>的</w:t>
      </w:r>
      <w:r w:rsidRPr="00F35B14">
        <w:rPr>
          <w:rFonts w:hint="eastAsia"/>
          <w:sz w:val="24"/>
          <w:szCs w:val="24"/>
          <w:lang w:eastAsia="zh-CN"/>
        </w:rPr>
        <w:t>农业和渔业管理；地方和全球化学品和废物管理联盟；可持续的城市解决方案。这些</w:t>
      </w:r>
      <w:r w:rsidR="00C316C5" w:rsidRPr="00F35B14">
        <w:rPr>
          <w:rFonts w:hint="eastAsia"/>
          <w:sz w:val="24"/>
          <w:szCs w:val="24"/>
          <w:lang w:eastAsia="zh-CN"/>
        </w:rPr>
        <w:t>小额赠款方案</w:t>
      </w:r>
      <w:r w:rsidRPr="00F35B14">
        <w:rPr>
          <w:rFonts w:hint="eastAsia"/>
          <w:sz w:val="24"/>
          <w:szCs w:val="24"/>
          <w:lang w:eastAsia="zh-CN"/>
        </w:rPr>
        <w:t>战略</w:t>
      </w:r>
      <w:r w:rsidR="00C316C5" w:rsidRPr="00F35B14">
        <w:rPr>
          <w:rFonts w:hint="eastAsia"/>
          <w:sz w:val="24"/>
          <w:szCs w:val="24"/>
          <w:lang w:eastAsia="zh-CN"/>
        </w:rPr>
        <w:t>举措</w:t>
      </w:r>
      <w:r w:rsidRPr="00F35B14">
        <w:rPr>
          <w:rFonts w:hint="eastAsia"/>
          <w:sz w:val="24"/>
          <w:szCs w:val="24"/>
          <w:lang w:eastAsia="zh-CN"/>
        </w:rPr>
        <w:t>以及</w:t>
      </w:r>
      <w:r w:rsidR="00C316C5" w:rsidRPr="00F35B14">
        <w:rPr>
          <w:rFonts w:hint="eastAsia"/>
          <w:sz w:val="24"/>
          <w:szCs w:val="24"/>
          <w:lang w:eastAsia="zh-CN"/>
        </w:rPr>
        <w:t>小额赠款方案的</w:t>
      </w:r>
      <w:r w:rsidRPr="00F35B14">
        <w:rPr>
          <w:rFonts w:hint="eastAsia"/>
          <w:sz w:val="24"/>
          <w:szCs w:val="24"/>
          <w:lang w:eastAsia="zh-CN"/>
        </w:rPr>
        <w:t>每个国家计划战略均与</w:t>
      </w:r>
      <w:r w:rsidR="00C316C5" w:rsidRPr="00F35B14">
        <w:rPr>
          <w:rFonts w:hint="eastAsia"/>
          <w:sz w:val="24"/>
          <w:szCs w:val="24"/>
          <w:lang w:eastAsia="zh-CN"/>
        </w:rPr>
        <w:t>全环基金第七次增资的</w:t>
      </w:r>
      <w:r w:rsidRPr="00F35B14">
        <w:rPr>
          <w:rFonts w:hint="eastAsia"/>
          <w:sz w:val="24"/>
          <w:szCs w:val="24"/>
          <w:lang w:eastAsia="zh-CN"/>
        </w:rPr>
        <w:t>总体规划方向保持一致，包括报告</w:t>
      </w:r>
      <w:r w:rsidR="00C316C5" w:rsidRPr="00F35B14">
        <w:rPr>
          <w:rFonts w:hint="eastAsia"/>
          <w:sz w:val="24"/>
          <w:szCs w:val="24"/>
          <w:lang w:eastAsia="zh-CN"/>
        </w:rPr>
        <w:t>全环基金的</w:t>
      </w:r>
      <w:r w:rsidRPr="00F35B14">
        <w:rPr>
          <w:rFonts w:hint="eastAsia"/>
          <w:sz w:val="24"/>
          <w:szCs w:val="24"/>
          <w:lang w:eastAsia="zh-CN"/>
        </w:rPr>
        <w:t>成果框架和与生物多样性相关的指标。</w:t>
      </w:r>
    </w:p>
    <w:p w14:paraId="39CB4CA6" w14:textId="5DBADF4F" w:rsidR="00C316C5" w:rsidRPr="00F35B14" w:rsidRDefault="00C316C5" w:rsidP="00FF3B4A">
      <w:pPr>
        <w:pStyle w:val="ListParagraph"/>
        <w:numPr>
          <w:ilvl w:val="0"/>
          <w:numId w:val="25"/>
        </w:numPr>
        <w:spacing w:before="240" w:after="240" w:line="240" w:lineRule="auto"/>
        <w:ind w:left="0" w:firstLine="0"/>
        <w:contextualSpacing w:val="0"/>
        <w:rPr>
          <w:rFonts w:ascii="Calibri" w:eastAsia="MS Mincho" w:hAnsi="Calibri" w:cs="Calibri"/>
          <w:snapToGrid w:val="0"/>
          <w:sz w:val="24"/>
          <w:szCs w:val="24"/>
          <w:lang w:val="en-GB" w:eastAsia="zh-CN"/>
        </w:rPr>
      </w:pPr>
      <w:r w:rsidRPr="00F35B14">
        <w:rPr>
          <w:rFonts w:hint="eastAsia"/>
          <w:sz w:val="24"/>
          <w:szCs w:val="24"/>
          <w:lang w:eastAsia="zh-CN"/>
        </w:rPr>
        <w:t>关于《生物多样性战略计划》和各项爱知目标的实施，小额赠款方案还继续与其他捐助方合作，</w:t>
      </w:r>
      <w:r w:rsidR="003D1FC8" w:rsidRPr="00F35B14">
        <w:rPr>
          <w:rFonts w:hint="eastAsia"/>
          <w:sz w:val="24"/>
          <w:szCs w:val="24"/>
          <w:lang w:eastAsia="zh-CN"/>
        </w:rPr>
        <w:t>并为全环基金共同筹措资金，</w:t>
      </w:r>
      <w:r w:rsidRPr="00F35B14">
        <w:rPr>
          <w:rFonts w:hint="eastAsia"/>
          <w:sz w:val="24"/>
          <w:szCs w:val="24"/>
          <w:lang w:eastAsia="zh-CN"/>
        </w:rPr>
        <w:t>包括德国政府（</w:t>
      </w:r>
      <w:r w:rsidR="003D1FC8" w:rsidRPr="00F35B14">
        <w:rPr>
          <w:rFonts w:hint="eastAsia"/>
          <w:sz w:val="24"/>
          <w:szCs w:val="24"/>
          <w:lang w:eastAsia="zh-CN"/>
        </w:rPr>
        <w:t>土著和社区保护区</w:t>
      </w:r>
      <w:r w:rsidRPr="00F35B14">
        <w:rPr>
          <w:rFonts w:hint="eastAsia"/>
          <w:sz w:val="24"/>
          <w:szCs w:val="24"/>
          <w:lang w:eastAsia="zh-CN"/>
        </w:rPr>
        <w:t>）</w:t>
      </w:r>
      <w:r w:rsidR="003D1FC8" w:rsidRPr="00F35B14">
        <w:rPr>
          <w:rFonts w:hint="eastAsia"/>
          <w:sz w:val="24"/>
          <w:szCs w:val="24"/>
          <w:lang w:eastAsia="zh-CN"/>
        </w:rPr>
        <w:t>、</w:t>
      </w:r>
      <w:r w:rsidRPr="00F35B14">
        <w:rPr>
          <w:rFonts w:hint="eastAsia"/>
          <w:sz w:val="24"/>
          <w:szCs w:val="24"/>
          <w:lang w:eastAsia="zh-CN"/>
        </w:rPr>
        <w:t>澳大利亚政府（生态系统</w:t>
      </w:r>
      <w:r w:rsidR="003D1FC8" w:rsidRPr="00F35B14">
        <w:rPr>
          <w:rFonts w:hint="eastAsia"/>
          <w:sz w:val="24"/>
          <w:szCs w:val="24"/>
          <w:lang w:eastAsia="zh-CN"/>
        </w:rPr>
        <w:t>复原力</w:t>
      </w:r>
      <w:r w:rsidRPr="00F35B14">
        <w:rPr>
          <w:rFonts w:hint="eastAsia"/>
          <w:sz w:val="24"/>
          <w:szCs w:val="24"/>
          <w:lang w:eastAsia="zh-CN"/>
        </w:rPr>
        <w:t>）和日本</w:t>
      </w:r>
      <w:r w:rsidR="003D1FC8" w:rsidRPr="00F35B14">
        <w:rPr>
          <w:rFonts w:hint="eastAsia"/>
          <w:sz w:val="24"/>
          <w:szCs w:val="24"/>
          <w:lang w:eastAsia="zh-CN"/>
        </w:rPr>
        <w:t>政府</w:t>
      </w:r>
      <w:r w:rsidRPr="00F35B14">
        <w:rPr>
          <w:rFonts w:hint="eastAsia"/>
          <w:sz w:val="24"/>
          <w:szCs w:val="24"/>
          <w:lang w:eastAsia="zh-CN"/>
        </w:rPr>
        <w:t>（生产格局的社会生态</w:t>
      </w:r>
      <w:r w:rsidR="003D1FC8" w:rsidRPr="00F35B14">
        <w:rPr>
          <w:rFonts w:hint="eastAsia"/>
          <w:sz w:val="24"/>
          <w:szCs w:val="24"/>
          <w:lang w:eastAsia="zh-CN"/>
        </w:rPr>
        <w:t>复原力</w:t>
      </w:r>
      <w:r w:rsidRPr="00F35B14">
        <w:rPr>
          <w:rFonts w:hint="eastAsia"/>
          <w:sz w:val="24"/>
          <w:szCs w:val="24"/>
          <w:lang w:eastAsia="zh-CN"/>
        </w:rPr>
        <w:t>）在以下关键领域</w:t>
      </w:r>
      <w:r w:rsidR="003D1FC8" w:rsidRPr="00F35B14">
        <w:rPr>
          <w:rFonts w:hint="eastAsia"/>
          <w:sz w:val="24"/>
          <w:szCs w:val="24"/>
          <w:lang w:eastAsia="zh-CN"/>
        </w:rPr>
        <w:t>提供的资金：</w:t>
      </w:r>
    </w:p>
    <w:p w14:paraId="6515B915" w14:textId="7589ACBC" w:rsidR="003D1FC8" w:rsidRPr="00F35B14" w:rsidRDefault="0029686D"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eastAsia="zh-CN"/>
        </w:rPr>
      </w:pPr>
      <w:r w:rsidRPr="00F35B14">
        <w:rPr>
          <w:rFonts w:hint="eastAsia"/>
          <w:sz w:val="24"/>
          <w:szCs w:val="24"/>
          <w:lang w:eastAsia="zh-CN"/>
        </w:rPr>
        <w:t>认识到</w:t>
      </w:r>
      <w:r w:rsidRPr="00F35B14">
        <w:rPr>
          <w:sz w:val="24"/>
          <w:szCs w:val="24"/>
          <w:lang w:eastAsia="zh-CN"/>
        </w:rPr>
        <w:t>关于执行第</w:t>
      </w:r>
      <w:r w:rsidRPr="00F35B14">
        <w:rPr>
          <w:sz w:val="24"/>
          <w:szCs w:val="24"/>
          <w:lang w:eastAsia="zh-CN"/>
        </w:rPr>
        <w:t>8j</w:t>
      </w:r>
      <w:r w:rsidRPr="00F35B14">
        <w:rPr>
          <w:sz w:val="24"/>
          <w:szCs w:val="24"/>
          <w:lang w:eastAsia="zh-CN"/>
        </w:rPr>
        <w:t>条（传统知识）和第</w:t>
      </w:r>
      <w:r w:rsidRPr="00F35B14">
        <w:rPr>
          <w:sz w:val="24"/>
          <w:szCs w:val="24"/>
          <w:lang w:eastAsia="zh-CN"/>
        </w:rPr>
        <w:t>10c</w:t>
      </w:r>
      <w:r w:rsidRPr="00F35B14">
        <w:rPr>
          <w:sz w:val="24"/>
          <w:szCs w:val="24"/>
          <w:lang w:eastAsia="zh-CN"/>
        </w:rPr>
        <w:t>条（习惯使用方式）的生物多样性公约工作组</w:t>
      </w:r>
      <w:r w:rsidR="003D1FC8" w:rsidRPr="00F35B14">
        <w:rPr>
          <w:rFonts w:hint="eastAsia"/>
          <w:sz w:val="24"/>
          <w:szCs w:val="24"/>
          <w:lang w:eastAsia="zh-CN"/>
        </w:rPr>
        <w:t>所处理的土著人民和地方社区（</w:t>
      </w:r>
      <w:r w:rsidR="003D1FC8" w:rsidRPr="00F35B14">
        <w:rPr>
          <w:rFonts w:hint="eastAsia"/>
          <w:sz w:val="24"/>
          <w:szCs w:val="24"/>
          <w:lang w:eastAsia="zh-CN"/>
        </w:rPr>
        <w:t>IPLC</w:t>
      </w:r>
      <w:r w:rsidR="003D1FC8" w:rsidRPr="00F35B14">
        <w:rPr>
          <w:rFonts w:hint="eastAsia"/>
          <w:sz w:val="24"/>
          <w:szCs w:val="24"/>
          <w:lang w:eastAsia="zh-CN"/>
        </w:rPr>
        <w:t>）的传统知识</w:t>
      </w:r>
      <w:r w:rsidRPr="00F35B14">
        <w:rPr>
          <w:rFonts w:hint="eastAsia"/>
          <w:sz w:val="24"/>
          <w:szCs w:val="24"/>
          <w:lang w:eastAsia="zh-CN"/>
        </w:rPr>
        <w:t>、</w:t>
      </w:r>
      <w:r w:rsidR="003D1FC8" w:rsidRPr="00F35B14">
        <w:rPr>
          <w:rFonts w:hint="eastAsia"/>
          <w:sz w:val="24"/>
          <w:szCs w:val="24"/>
          <w:lang w:eastAsia="zh-CN"/>
        </w:rPr>
        <w:t>创新和做法，包括与土著妇女生物多样性网络（</w:t>
      </w:r>
      <w:r w:rsidR="003D1FC8" w:rsidRPr="00F35B14">
        <w:rPr>
          <w:rFonts w:hint="eastAsia"/>
          <w:sz w:val="24"/>
          <w:szCs w:val="24"/>
          <w:lang w:eastAsia="zh-CN"/>
        </w:rPr>
        <w:t>IWBN</w:t>
      </w:r>
      <w:r w:rsidR="003D1FC8" w:rsidRPr="00F35B14">
        <w:rPr>
          <w:rFonts w:hint="eastAsia"/>
          <w:sz w:val="24"/>
          <w:szCs w:val="24"/>
          <w:lang w:eastAsia="zh-CN"/>
        </w:rPr>
        <w:t>）如拉丁美洲的红色妇女和亚洲土著人民公约（</w:t>
      </w:r>
      <w:r w:rsidR="003D1FC8" w:rsidRPr="00F35B14">
        <w:rPr>
          <w:rFonts w:hint="eastAsia"/>
          <w:sz w:val="24"/>
          <w:szCs w:val="24"/>
          <w:lang w:eastAsia="zh-CN"/>
        </w:rPr>
        <w:t>AIPP</w:t>
      </w:r>
      <w:r w:rsidR="003D1FC8" w:rsidRPr="00F35B14">
        <w:rPr>
          <w:rFonts w:hint="eastAsia"/>
          <w:sz w:val="24"/>
          <w:szCs w:val="24"/>
          <w:lang w:eastAsia="zh-CN"/>
        </w:rPr>
        <w:t>）</w:t>
      </w:r>
      <w:r w:rsidRPr="00F35B14">
        <w:rPr>
          <w:rFonts w:hint="eastAsia"/>
          <w:sz w:val="24"/>
          <w:szCs w:val="24"/>
          <w:lang w:eastAsia="zh-CN"/>
        </w:rPr>
        <w:t>建立伙伴关系</w:t>
      </w:r>
      <w:r w:rsidR="003D1FC8" w:rsidRPr="00F35B14">
        <w:rPr>
          <w:rFonts w:hint="eastAsia"/>
          <w:sz w:val="24"/>
          <w:szCs w:val="24"/>
          <w:lang w:eastAsia="zh-CN"/>
        </w:rPr>
        <w:t>；</w:t>
      </w:r>
    </w:p>
    <w:p w14:paraId="3DB49B50" w14:textId="4A958446" w:rsidR="0029686D" w:rsidRPr="00F35B14" w:rsidRDefault="0029686D"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eastAsia="zh-CN"/>
        </w:rPr>
      </w:pPr>
      <w:r w:rsidRPr="00F35B14">
        <w:rPr>
          <w:rFonts w:hint="eastAsia"/>
          <w:sz w:val="24"/>
          <w:szCs w:val="24"/>
          <w:lang w:eastAsia="zh-CN"/>
        </w:rPr>
        <w:t>根据</w:t>
      </w:r>
      <w:r w:rsidR="004A1324" w:rsidRPr="00F35B14">
        <w:rPr>
          <w:rFonts w:ascii="SimSun" w:hAnsi="SimSun" w:cs="Segoe UI" w:hint="eastAsia"/>
          <w:color w:val="000000"/>
          <w:sz w:val="24"/>
          <w:szCs w:val="24"/>
          <w:lang w:eastAsia="zh-CN"/>
        </w:rPr>
        <w:t>生物多样性和生态系统服务政府间科学-政策平台</w:t>
      </w:r>
      <w:r w:rsidRPr="00F35B14">
        <w:rPr>
          <w:rFonts w:hint="eastAsia"/>
          <w:sz w:val="24"/>
          <w:szCs w:val="24"/>
          <w:lang w:eastAsia="zh-CN"/>
        </w:rPr>
        <w:t>（</w:t>
      </w:r>
      <w:r w:rsidRPr="00F35B14">
        <w:rPr>
          <w:rFonts w:hint="eastAsia"/>
          <w:sz w:val="24"/>
          <w:szCs w:val="24"/>
          <w:lang w:eastAsia="zh-CN"/>
        </w:rPr>
        <w:t>IPBES</w:t>
      </w:r>
      <w:r w:rsidRPr="00F35B14">
        <w:rPr>
          <w:rFonts w:hint="eastAsia"/>
          <w:sz w:val="24"/>
          <w:szCs w:val="24"/>
          <w:lang w:eastAsia="zh-CN"/>
        </w:rPr>
        <w:t>）</w:t>
      </w:r>
      <w:r w:rsidRPr="00F35B14">
        <w:rPr>
          <w:rFonts w:hint="eastAsia"/>
          <w:sz w:val="24"/>
          <w:szCs w:val="24"/>
          <w:lang w:eastAsia="zh-CN"/>
        </w:rPr>
        <w:t>2019</w:t>
      </w:r>
      <w:r w:rsidRPr="00F35B14">
        <w:rPr>
          <w:rFonts w:hint="eastAsia"/>
          <w:sz w:val="24"/>
          <w:szCs w:val="24"/>
          <w:lang w:eastAsia="zh-CN"/>
        </w:rPr>
        <w:t>年</w:t>
      </w:r>
      <w:r w:rsidR="004A1324" w:rsidRPr="00F35B14">
        <w:rPr>
          <w:rFonts w:hint="eastAsia"/>
          <w:sz w:val="24"/>
          <w:szCs w:val="24"/>
          <w:lang w:eastAsia="zh-CN"/>
        </w:rPr>
        <w:t>4</w:t>
      </w:r>
      <w:r w:rsidR="004A1324" w:rsidRPr="00F35B14">
        <w:rPr>
          <w:rFonts w:hint="eastAsia"/>
          <w:sz w:val="24"/>
          <w:szCs w:val="24"/>
          <w:lang w:eastAsia="zh-CN"/>
        </w:rPr>
        <w:t>月的</w:t>
      </w:r>
      <w:r w:rsidRPr="00F35B14">
        <w:rPr>
          <w:rFonts w:hint="eastAsia"/>
          <w:sz w:val="24"/>
          <w:szCs w:val="24"/>
          <w:lang w:eastAsia="zh-CN"/>
        </w:rPr>
        <w:t>全球评估报告的建议，</w:t>
      </w:r>
      <w:r w:rsidR="004A1324" w:rsidRPr="00F35B14">
        <w:rPr>
          <w:rFonts w:hint="eastAsia"/>
          <w:sz w:val="24"/>
          <w:szCs w:val="24"/>
          <w:lang w:eastAsia="zh-CN"/>
        </w:rPr>
        <w:t>土著人民和地方社区</w:t>
      </w:r>
      <w:r w:rsidRPr="00F35B14">
        <w:rPr>
          <w:rFonts w:hint="eastAsia"/>
          <w:sz w:val="24"/>
          <w:szCs w:val="24"/>
          <w:lang w:eastAsia="zh-CN"/>
        </w:rPr>
        <w:t>对授粉服务和生态系统连通性和走廊保护的“土地</w:t>
      </w:r>
      <w:r w:rsidR="004A1324" w:rsidRPr="00F35B14">
        <w:rPr>
          <w:rFonts w:hint="eastAsia"/>
          <w:sz w:val="24"/>
          <w:szCs w:val="24"/>
          <w:lang w:eastAsia="zh-CN"/>
        </w:rPr>
        <w:t>用途兼顾</w:t>
      </w:r>
      <w:r w:rsidRPr="00F35B14">
        <w:rPr>
          <w:rFonts w:hint="eastAsia"/>
          <w:sz w:val="24"/>
          <w:szCs w:val="24"/>
          <w:lang w:eastAsia="zh-CN"/>
        </w:rPr>
        <w:t>”模型的贡献；</w:t>
      </w:r>
    </w:p>
    <w:p w14:paraId="65003C48" w14:textId="08FF123A" w:rsidR="004A1324" w:rsidRPr="00F35B14" w:rsidRDefault="004A1324"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eastAsia="zh-CN"/>
        </w:rPr>
      </w:pPr>
      <w:r w:rsidRPr="00F35B14">
        <w:rPr>
          <w:rFonts w:hint="eastAsia"/>
          <w:sz w:val="24"/>
          <w:szCs w:val="24"/>
          <w:lang w:eastAsia="zh-CN"/>
        </w:rPr>
        <w:t>对政府管理的保护区（自然保护联盟类型</w:t>
      </w:r>
      <w:r w:rsidRPr="00F35B14">
        <w:rPr>
          <w:rFonts w:hint="eastAsia"/>
          <w:sz w:val="24"/>
          <w:szCs w:val="24"/>
          <w:lang w:eastAsia="zh-CN"/>
        </w:rPr>
        <w:t>A</w:t>
      </w:r>
      <w:r w:rsidRPr="00F35B14">
        <w:rPr>
          <w:rFonts w:hint="eastAsia"/>
          <w:sz w:val="24"/>
          <w:szCs w:val="24"/>
          <w:lang w:eastAsia="zh-CN"/>
        </w:rPr>
        <w:t>和</w:t>
      </w:r>
      <w:r w:rsidRPr="00F35B14">
        <w:rPr>
          <w:rFonts w:hint="eastAsia"/>
          <w:sz w:val="24"/>
          <w:szCs w:val="24"/>
          <w:lang w:eastAsia="zh-CN"/>
        </w:rPr>
        <w:t>B</w:t>
      </w:r>
      <w:r w:rsidRPr="00F35B14">
        <w:rPr>
          <w:rFonts w:hint="eastAsia"/>
          <w:sz w:val="24"/>
          <w:szCs w:val="24"/>
          <w:lang w:eastAsia="zh-CN"/>
        </w:rPr>
        <w:t>）和私营保护区和</w:t>
      </w:r>
      <w:r w:rsidRPr="00F35B14">
        <w:rPr>
          <w:rFonts w:hint="eastAsia"/>
          <w:sz w:val="24"/>
          <w:szCs w:val="24"/>
          <w:lang w:eastAsia="zh-CN"/>
        </w:rPr>
        <w:t>/</w:t>
      </w:r>
      <w:r w:rsidRPr="00F35B14">
        <w:rPr>
          <w:rFonts w:hint="eastAsia"/>
          <w:sz w:val="24"/>
          <w:szCs w:val="24"/>
          <w:lang w:eastAsia="zh-CN"/>
        </w:rPr>
        <w:t>或养护区（自然保护联盟类型</w:t>
      </w:r>
      <w:r w:rsidRPr="00F35B14">
        <w:rPr>
          <w:rFonts w:hint="eastAsia"/>
          <w:sz w:val="24"/>
          <w:szCs w:val="24"/>
          <w:lang w:eastAsia="zh-CN"/>
        </w:rPr>
        <w:t>C</w:t>
      </w:r>
      <w:r w:rsidRPr="00F35B14">
        <w:rPr>
          <w:rFonts w:hint="eastAsia"/>
          <w:sz w:val="24"/>
          <w:szCs w:val="24"/>
          <w:lang w:eastAsia="zh-CN"/>
        </w:rPr>
        <w:t>）进行共同治理，包括有针对性地集中关注教科文组织</w:t>
      </w:r>
      <w:r w:rsidR="00866280" w:rsidRPr="00F35B14">
        <w:rPr>
          <w:rFonts w:hint="eastAsia"/>
          <w:sz w:val="24"/>
          <w:szCs w:val="24"/>
          <w:lang w:eastAsia="zh-CN"/>
        </w:rPr>
        <w:t>的世界遗址、</w:t>
      </w:r>
      <w:r w:rsidRPr="00F35B14">
        <w:rPr>
          <w:rFonts w:hint="eastAsia"/>
          <w:sz w:val="24"/>
          <w:szCs w:val="24"/>
          <w:lang w:eastAsia="zh-CN"/>
        </w:rPr>
        <w:t>生物圈保护区</w:t>
      </w:r>
      <w:r w:rsidR="00866280" w:rsidRPr="00F35B14">
        <w:rPr>
          <w:rFonts w:hint="eastAsia"/>
          <w:sz w:val="24"/>
          <w:szCs w:val="24"/>
          <w:lang w:eastAsia="zh-CN"/>
        </w:rPr>
        <w:t>、</w:t>
      </w:r>
      <w:r w:rsidRPr="00F35B14">
        <w:rPr>
          <w:rFonts w:hint="eastAsia"/>
          <w:sz w:val="24"/>
          <w:szCs w:val="24"/>
          <w:lang w:eastAsia="zh-CN"/>
        </w:rPr>
        <w:t>拉姆萨尔</w:t>
      </w:r>
      <w:r w:rsidR="00866280" w:rsidRPr="00F35B14">
        <w:rPr>
          <w:rFonts w:hint="eastAsia"/>
          <w:sz w:val="24"/>
          <w:szCs w:val="24"/>
          <w:lang w:eastAsia="zh-CN"/>
        </w:rPr>
        <w:t>湿地、</w:t>
      </w:r>
      <w:r w:rsidRPr="00F35B14">
        <w:rPr>
          <w:rFonts w:hint="eastAsia"/>
          <w:sz w:val="24"/>
          <w:szCs w:val="24"/>
          <w:lang w:eastAsia="zh-CN"/>
        </w:rPr>
        <w:t>地质公园和海洋保护区，包括</w:t>
      </w:r>
      <w:r w:rsidR="00866280" w:rsidRPr="00F35B14">
        <w:rPr>
          <w:rFonts w:hint="eastAsia"/>
          <w:sz w:val="24"/>
          <w:szCs w:val="24"/>
          <w:lang w:eastAsia="zh-CN"/>
        </w:rPr>
        <w:t>本地</w:t>
      </w:r>
      <w:r w:rsidRPr="00F35B14">
        <w:rPr>
          <w:rFonts w:hint="eastAsia"/>
          <w:sz w:val="24"/>
          <w:szCs w:val="24"/>
          <w:lang w:eastAsia="zh-CN"/>
        </w:rPr>
        <w:t>管理的海洋区</w:t>
      </w:r>
      <w:r w:rsidR="00866280" w:rsidRPr="00F35B14">
        <w:rPr>
          <w:rFonts w:hint="eastAsia"/>
          <w:sz w:val="24"/>
          <w:szCs w:val="24"/>
          <w:lang w:eastAsia="zh-CN"/>
        </w:rPr>
        <w:t>（</w:t>
      </w:r>
      <w:r w:rsidR="00866280" w:rsidRPr="00F35B14">
        <w:rPr>
          <w:rFonts w:ascii="Calibri" w:eastAsia="MS Mincho" w:hAnsi="Calibri" w:cs="Calibri"/>
          <w:snapToGrid w:val="0"/>
          <w:sz w:val="24"/>
          <w:szCs w:val="24"/>
          <w:lang w:val="en-GB" w:eastAsia="zh-CN"/>
        </w:rPr>
        <w:t>LMMA</w:t>
      </w:r>
      <w:r w:rsidR="00866280" w:rsidRPr="00F35B14">
        <w:rPr>
          <w:rFonts w:hint="eastAsia"/>
          <w:sz w:val="24"/>
          <w:szCs w:val="24"/>
          <w:lang w:eastAsia="zh-CN"/>
        </w:rPr>
        <w:t>）的小型赠款的陆地景观群落；</w:t>
      </w:r>
    </w:p>
    <w:p w14:paraId="3C6B022E" w14:textId="7B219EB2" w:rsidR="00866280" w:rsidRPr="00F35B14" w:rsidRDefault="00866280" w:rsidP="00023073">
      <w:pPr>
        <w:pStyle w:val="ListParagraph"/>
        <w:numPr>
          <w:ilvl w:val="0"/>
          <w:numId w:val="22"/>
        </w:numPr>
        <w:spacing w:before="120" w:after="120" w:line="240" w:lineRule="auto"/>
        <w:ind w:left="1080"/>
        <w:contextualSpacing w:val="0"/>
        <w:rPr>
          <w:rFonts w:ascii="Calibri" w:eastAsia="MS Mincho" w:hAnsi="Calibri" w:cs="Calibri"/>
          <w:snapToGrid w:val="0"/>
          <w:sz w:val="24"/>
          <w:szCs w:val="24"/>
          <w:lang w:val="en-GB" w:eastAsia="zh-CN"/>
        </w:rPr>
      </w:pPr>
      <w:r w:rsidRPr="00F35B14">
        <w:rPr>
          <w:rFonts w:hint="eastAsia"/>
          <w:sz w:val="24"/>
          <w:szCs w:val="24"/>
          <w:lang w:eastAsia="zh-CN"/>
        </w:rPr>
        <w:t>土著人民和社区保护区</w:t>
      </w:r>
      <w:r w:rsidR="007513DA" w:rsidRPr="00F35B14">
        <w:rPr>
          <w:rFonts w:hint="eastAsia"/>
          <w:sz w:val="24"/>
          <w:szCs w:val="24"/>
          <w:lang w:eastAsia="zh-CN"/>
        </w:rPr>
        <w:t>（</w:t>
      </w:r>
      <w:r w:rsidR="007513DA" w:rsidRPr="00F35B14">
        <w:rPr>
          <w:rFonts w:ascii="Calibri" w:eastAsia="MS Mincho" w:hAnsi="Calibri" w:cs="Calibri"/>
          <w:snapToGrid w:val="0"/>
          <w:sz w:val="24"/>
          <w:szCs w:val="24"/>
          <w:lang w:val="en-GB" w:eastAsia="zh-CN"/>
        </w:rPr>
        <w:t>ICCA</w:t>
      </w:r>
      <w:r w:rsidR="007513DA" w:rsidRPr="00F35B14">
        <w:rPr>
          <w:rFonts w:hint="eastAsia"/>
          <w:sz w:val="24"/>
          <w:szCs w:val="24"/>
          <w:lang w:eastAsia="zh-CN"/>
        </w:rPr>
        <w:t>）</w:t>
      </w:r>
      <w:r w:rsidRPr="00F35B14">
        <w:rPr>
          <w:rFonts w:hint="eastAsia"/>
          <w:sz w:val="24"/>
          <w:szCs w:val="24"/>
          <w:lang w:eastAsia="zh-CN"/>
        </w:rPr>
        <w:t>对实现爱知目标</w:t>
      </w:r>
      <w:r w:rsidRPr="00F35B14">
        <w:rPr>
          <w:rFonts w:hint="eastAsia"/>
          <w:sz w:val="24"/>
          <w:szCs w:val="24"/>
          <w:lang w:eastAsia="zh-CN"/>
        </w:rPr>
        <w:t>11</w:t>
      </w:r>
      <w:r w:rsidRPr="00F35B14">
        <w:rPr>
          <w:rFonts w:hint="eastAsia"/>
          <w:sz w:val="24"/>
          <w:szCs w:val="24"/>
          <w:lang w:eastAsia="zh-CN"/>
        </w:rPr>
        <w:t>的作用，包括与自然保护联盟世界保护区委员会（</w:t>
      </w:r>
      <w:r w:rsidRPr="00F35B14">
        <w:rPr>
          <w:rFonts w:hint="eastAsia"/>
          <w:sz w:val="24"/>
          <w:szCs w:val="24"/>
          <w:lang w:eastAsia="zh-CN"/>
        </w:rPr>
        <w:t>WCPA</w:t>
      </w:r>
      <w:r w:rsidRPr="00F35B14">
        <w:rPr>
          <w:rFonts w:hint="eastAsia"/>
          <w:sz w:val="24"/>
          <w:szCs w:val="24"/>
          <w:lang w:eastAsia="zh-CN"/>
        </w:rPr>
        <w:t>）工作组积极合作，开展“</w:t>
      </w:r>
      <w:r w:rsidR="007513DA" w:rsidRPr="00F35B14">
        <w:rPr>
          <w:rFonts w:ascii="SimSun" w:hAnsi="SimSun" w:cs="Segoe UI" w:hint="eastAsia"/>
          <w:sz w:val="24"/>
          <w:szCs w:val="24"/>
          <w:lang w:eastAsia="zh-CN"/>
        </w:rPr>
        <w:t>其他有效地区保护措施</w:t>
      </w:r>
      <w:r w:rsidRPr="00F35B14">
        <w:rPr>
          <w:rFonts w:hint="eastAsia"/>
          <w:sz w:val="24"/>
          <w:szCs w:val="24"/>
          <w:lang w:eastAsia="zh-CN"/>
        </w:rPr>
        <w:t>”（</w:t>
      </w:r>
      <w:r w:rsidRPr="00F35B14">
        <w:rPr>
          <w:rFonts w:hint="eastAsia"/>
          <w:sz w:val="24"/>
          <w:szCs w:val="24"/>
          <w:lang w:eastAsia="zh-CN"/>
        </w:rPr>
        <w:t>OECM</w:t>
      </w:r>
      <w:r w:rsidRPr="00F35B14">
        <w:rPr>
          <w:rFonts w:hint="eastAsia"/>
          <w:sz w:val="24"/>
          <w:szCs w:val="24"/>
          <w:lang w:eastAsia="zh-CN"/>
        </w:rPr>
        <w:t>）</w:t>
      </w:r>
      <w:r w:rsidR="007513DA" w:rsidRPr="00F35B14">
        <w:rPr>
          <w:rFonts w:hint="eastAsia"/>
          <w:sz w:val="24"/>
          <w:szCs w:val="24"/>
          <w:lang w:eastAsia="zh-CN"/>
        </w:rPr>
        <w:t>，它</w:t>
      </w:r>
      <w:r w:rsidRPr="00F35B14">
        <w:rPr>
          <w:rFonts w:hint="eastAsia"/>
          <w:sz w:val="24"/>
          <w:szCs w:val="24"/>
          <w:lang w:eastAsia="zh-CN"/>
        </w:rPr>
        <w:t>在埃及沙姆沙伊赫举行的</w:t>
      </w:r>
      <w:r w:rsidR="007513DA" w:rsidRPr="00F35B14">
        <w:rPr>
          <w:rFonts w:hint="eastAsia"/>
          <w:sz w:val="24"/>
          <w:szCs w:val="24"/>
          <w:lang w:eastAsia="zh-CN"/>
        </w:rPr>
        <w:t>生物多样性缔约方大会第十四届会议</w:t>
      </w:r>
      <w:r w:rsidRPr="00F35B14">
        <w:rPr>
          <w:rFonts w:hint="eastAsia"/>
          <w:sz w:val="24"/>
          <w:szCs w:val="24"/>
          <w:lang w:eastAsia="zh-CN"/>
        </w:rPr>
        <w:t>的</w:t>
      </w:r>
      <w:r w:rsidRPr="00F35B14">
        <w:rPr>
          <w:rFonts w:hint="eastAsia"/>
          <w:sz w:val="24"/>
          <w:szCs w:val="24"/>
          <w:lang w:eastAsia="zh-CN"/>
        </w:rPr>
        <w:t>CBD / COP/DEC/14/8</w:t>
      </w:r>
      <w:r w:rsidRPr="00F35B14">
        <w:rPr>
          <w:rFonts w:hint="eastAsia"/>
          <w:sz w:val="24"/>
          <w:szCs w:val="24"/>
          <w:lang w:eastAsia="zh-CN"/>
        </w:rPr>
        <w:t>号决定中得到认可，</w:t>
      </w:r>
      <w:r w:rsidR="007513DA" w:rsidRPr="00F35B14">
        <w:rPr>
          <w:rFonts w:hint="eastAsia"/>
          <w:sz w:val="24"/>
          <w:szCs w:val="24"/>
          <w:lang w:eastAsia="zh-CN"/>
        </w:rPr>
        <w:t>作为</w:t>
      </w:r>
      <w:r w:rsidRPr="00F35B14">
        <w:rPr>
          <w:rFonts w:hint="eastAsia"/>
          <w:sz w:val="24"/>
          <w:szCs w:val="24"/>
          <w:lang w:eastAsia="zh-CN"/>
        </w:rPr>
        <w:t>对新</w:t>
      </w:r>
      <w:r w:rsidR="007513DA" w:rsidRPr="00F35B14">
        <w:rPr>
          <w:rFonts w:hint="eastAsia"/>
          <w:sz w:val="24"/>
          <w:szCs w:val="24"/>
          <w:lang w:eastAsia="zh-CN"/>
        </w:rPr>
        <w:t>出现的</w:t>
      </w:r>
      <w:r w:rsidRPr="00F35B14">
        <w:rPr>
          <w:rFonts w:hint="eastAsia"/>
          <w:sz w:val="24"/>
          <w:szCs w:val="24"/>
          <w:lang w:eastAsia="zh-CN"/>
        </w:rPr>
        <w:t>2020</w:t>
      </w:r>
      <w:r w:rsidRPr="00F35B14">
        <w:rPr>
          <w:rFonts w:hint="eastAsia"/>
          <w:sz w:val="24"/>
          <w:szCs w:val="24"/>
          <w:lang w:eastAsia="zh-CN"/>
        </w:rPr>
        <w:t>年后</w:t>
      </w:r>
      <w:r w:rsidR="007513DA" w:rsidRPr="00F35B14">
        <w:rPr>
          <w:rFonts w:hint="eastAsia"/>
          <w:sz w:val="24"/>
          <w:szCs w:val="24"/>
          <w:lang w:eastAsia="zh-CN"/>
        </w:rPr>
        <w:t>生物多样性</w:t>
      </w:r>
      <w:r w:rsidRPr="00F35B14">
        <w:rPr>
          <w:rFonts w:hint="eastAsia"/>
          <w:sz w:val="24"/>
          <w:szCs w:val="24"/>
          <w:lang w:eastAsia="zh-CN"/>
        </w:rPr>
        <w:t>战略框架和自然新政的贡献。</w:t>
      </w:r>
    </w:p>
    <w:p w14:paraId="6F7B6FC9" w14:textId="1E699BF7" w:rsidR="00BE3A1C" w:rsidRDefault="00BE3A1C">
      <w:pPr>
        <w:rPr>
          <w:rFonts w:ascii="Calibri" w:eastAsia="MS Mincho" w:hAnsi="Calibri" w:cs="Calibri"/>
          <w:snapToGrid w:val="0"/>
          <w:sz w:val="24"/>
          <w:szCs w:val="24"/>
          <w:lang w:val="en-GB" w:eastAsia="zh-CN"/>
        </w:rPr>
      </w:pPr>
    </w:p>
    <w:p w14:paraId="0813F3C4" w14:textId="44F0A03C" w:rsidR="0010120A" w:rsidRPr="00C40C23" w:rsidRDefault="006B336F" w:rsidP="004D5062">
      <w:pPr>
        <w:pStyle w:val="Heading1"/>
      </w:pPr>
      <w:r>
        <w:rPr>
          <w:rFonts w:hint="eastAsia"/>
        </w:rPr>
        <w:lastRenderedPageBreak/>
        <w:t>二．</w:t>
      </w:r>
      <w:r w:rsidR="00C40C23" w:rsidRPr="00C40C23">
        <w:rPr>
          <w:rFonts w:hint="eastAsia"/>
        </w:rPr>
        <w:t>全环</w:t>
      </w:r>
      <w:r w:rsidR="00C40C23" w:rsidRPr="00C40C23">
        <w:rPr>
          <w:rFonts w:cs="Yu Gothic Light" w:hint="eastAsia"/>
        </w:rPr>
        <w:t>基金</w:t>
      </w:r>
      <w:r w:rsidR="00C40C23" w:rsidRPr="00C40C23">
        <w:rPr>
          <w:rFonts w:hint="eastAsia"/>
        </w:rPr>
        <w:t>对</w:t>
      </w:r>
      <w:r w:rsidR="00C40C23" w:rsidRPr="00C40C23">
        <w:rPr>
          <w:rFonts w:cs="Yu Gothic Light" w:hint="eastAsia"/>
        </w:rPr>
        <w:t>生物多</w:t>
      </w:r>
      <w:r w:rsidR="00C40C23" w:rsidRPr="00C40C23">
        <w:rPr>
          <w:rFonts w:hint="eastAsia"/>
        </w:rPr>
        <w:t>样</w:t>
      </w:r>
      <w:r w:rsidR="00C40C23" w:rsidRPr="00C40C23">
        <w:rPr>
          <w:rFonts w:cs="Yu Gothic Light" w:hint="eastAsia"/>
        </w:rPr>
        <w:t>性公</w:t>
      </w:r>
      <w:r w:rsidR="00C40C23" w:rsidRPr="00C40C23">
        <w:rPr>
          <w:rFonts w:hint="eastAsia"/>
        </w:rPr>
        <w:t>约缔约</w:t>
      </w:r>
      <w:r w:rsidR="00C40C23" w:rsidRPr="00C40C23">
        <w:rPr>
          <w:rFonts w:cs="Yu Gothic Light" w:hint="eastAsia"/>
        </w:rPr>
        <w:t>方大会第十四届会</w:t>
      </w:r>
      <w:r w:rsidR="00C40C23" w:rsidRPr="00C40C23">
        <w:rPr>
          <w:rFonts w:hint="eastAsia"/>
        </w:rPr>
        <w:t>议提出</w:t>
      </w:r>
      <w:r w:rsidR="00C40C23" w:rsidRPr="00C40C23">
        <w:rPr>
          <w:rFonts w:cs="Yu Gothic Light" w:hint="eastAsia"/>
        </w:rPr>
        <w:t>的指</w:t>
      </w:r>
      <w:r w:rsidR="00C40C23" w:rsidRPr="00C40C23">
        <w:rPr>
          <w:rFonts w:hint="eastAsia"/>
        </w:rPr>
        <w:t>导意见的</w:t>
      </w:r>
      <w:r w:rsidR="00F12893">
        <w:rPr>
          <w:rFonts w:hint="eastAsia"/>
        </w:rPr>
        <w:t>回应</w:t>
      </w:r>
    </w:p>
    <w:p w14:paraId="1A1B81D7" w14:textId="1E8344F4" w:rsidR="00C40C23" w:rsidRPr="00F12893" w:rsidRDefault="00C40C23" w:rsidP="00C40C23">
      <w:pPr>
        <w:pStyle w:val="ListParagraph"/>
        <w:numPr>
          <w:ilvl w:val="0"/>
          <w:numId w:val="25"/>
        </w:numPr>
        <w:spacing w:before="240" w:after="240" w:line="240" w:lineRule="auto"/>
        <w:ind w:left="0" w:firstLine="0"/>
        <w:contextualSpacing w:val="0"/>
        <w:rPr>
          <w:sz w:val="24"/>
          <w:szCs w:val="24"/>
          <w:lang w:eastAsia="zh-CN"/>
        </w:rPr>
      </w:pPr>
      <w:r w:rsidRPr="00F12893">
        <w:rPr>
          <w:rFonts w:hint="eastAsia"/>
          <w:sz w:val="24"/>
          <w:szCs w:val="24"/>
          <w:lang w:eastAsia="zh-CN"/>
        </w:rPr>
        <w:t>在缔约方</w:t>
      </w:r>
      <w:r w:rsidR="00775ED6" w:rsidRPr="00F12893">
        <w:rPr>
          <w:rFonts w:hint="eastAsia"/>
          <w:sz w:val="24"/>
          <w:szCs w:val="24"/>
          <w:lang w:eastAsia="zh-CN"/>
        </w:rPr>
        <w:t>大会</w:t>
      </w:r>
      <w:r w:rsidRPr="00F12893">
        <w:rPr>
          <w:rFonts w:hint="eastAsia"/>
          <w:sz w:val="24"/>
          <w:szCs w:val="24"/>
          <w:lang w:eastAsia="zh-CN"/>
        </w:rPr>
        <w:t>第十四届会议上，缔约方就各种主题向全环基金提供了指导</w:t>
      </w:r>
      <w:r w:rsidR="00775ED6" w:rsidRPr="00F12893">
        <w:rPr>
          <w:rFonts w:hint="eastAsia"/>
          <w:sz w:val="24"/>
          <w:szCs w:val="24"/>
          <w:lang w:eastAsia="zh-CN"/>
        </w:rPr>
        <w:t>意见</w:t>
      </w:r>
      <w:r w:rsidRPr="00F12893">
        <w:rPr>
          <w:rFonts w:hint="eastAsia"/>
          <w:sz w:val="24"/>
          <w:szCs w:val="24"/>
          <w:lang w:eastAsia="zh-CN"/>
        </w:rPr>
        <w:t>。</w:t>
      </w:r>
      <w:r w:rsidR="00B33C86">
        <w:rPr>
          <w:rStyle w:val="FootnoteReference"/>
          <w:sz w:val="24"/>
          <w:szCs w:val="24"/>
          <w:lang w:eastAsia="zh-CN"/>
        </w:rPr>
        <w:footnoteReference w:id="17"/>
      </w:r>
      <w:r w:rsidRPr="00F12893">
        <w:rPr>
          <w:rFonts w:hint="eastAsia"/>
          <w:sz w:val="24"/>
          <w:szCs w:val="24"/>
          <w:lang w:eastAsia="zh-CN"/>
        </w:rPr>
        <w:t>有关全环基金</w:t>
      </w:r>
      <w:r w:rsidR="00775ED6" w:rsidRPr="00F12893">
        <w:rPr>
          <w:rFonts w:hint="eastAsia"/>
          <w:sz w:val="24"/>
          <w:szCs w:val="24"/>
          <w:lang w:eastAsia="zh-CN"/>
        </w:rPr>
        <w:t>运行情况</w:t>
      </w:r>
      <w:r w:rsidRPr="00F12893">
        <w:rPr>
          <w:rFonts w:hint="eastAsia"/>
          <w:sz w:val="24"/>
          <w:szCs w:val="24"/>
          <w:lang w:eastAsia="zh-CN"/>
        </w:rPr>
        <w:t>和特定生物多样性专题的具体指导</w:t>
      </w:r>
      <w:r w:rsidR="00775ED6" w:rsidRPr="00F12893">
        <w:rPr>
          <w:rFonts w:hint="eastAsia"/>
          <w:sz w:val="24"/>
          <w:szCs w:val="24"/>
          <w:lang w:eastAsia="zh-CN"/>
        </w:rPr>
        <w:t>意见都</w:t>
      </w:r>
      <w:r w:rsidRPr="00F12893">
        <w:rPr>
          <w:rFonts w:hint="eastAsia"/>
          <w:sz w:val="24"/>
          <w:szCs w:val="24"/>
          <w:lang w:eastAsia="zh-CN"/>
        </w:rPr>
        <w:t>已得到适当处理，下表</w:t>
      </w:r>
      <w:r w:rsidRPr="00F12893">
        <w:rPr>
          <w:rFonts w:hint="eastAsia"/>
          <w:sz w:val="24"/>
          <w:szCs w:val="24"/>
          <w:lang w:eastAsia="zh-CN"/>
        </w:rPr>
        <w:t>12</w:t>
      </w:r>
      <w:r w:rsidRPr="00F12893">
        <w:rPr>
          <w:rFonts w:hint="eastAsia"/>
          <w:sz w:val="24"/>
          <w:szCs w:val="24"/>
          <w:lang w:eastAsia="zh-CN"/>
        </w:rPr>
        <w:t>提供了全环基金</w:t>
      </w:r>
      <w:r w:rsidR="00775ED6" w:rsidRPr="00F12893">
        <w:rPr>
          <w:rFonts w:hint="eastAsia"/>
          <w:sz w:val="24"/>
          <w:szCs w:val="24"/>
          <w:lang w:eastAsia="zh-CN"/>
        </w:rPr>
        <w:t>采取的行动</w:t>
      </w:r>
      <w:r w:rsidRPr="00F12893">
        <w:rPr>
          <w:rFonts w:hint="eastAsia"/>
          <w:sz w:val="24"/>
          <w:szCs w:val="24"/>
          <w:lang w:eastAsia="zh-CN"/>
        </w:rPr>
        <w:t>的进度报告。</w:t>
      </w:r>
    </w:p>
    <w:p w14:paraId="04843493" w14:textId="56302247" w:rsidR="00775ED6" w:rsidRPr="00775ED6" w:rsidRDefault="00775ED6" w:rsidP="00CB6102">
      <w:pPr>
        <w:spacing w:before="240" w:after="240" w:line="240" w:lineRule="auto"/>
        <w:jc w:val="center"/>
        <w:rPr>
          <w:rFonts w:cstheme="minorHAnsi"/>
          <w:b/>
          <w:lang w:eastAsia="zh-CN"/>
        </w:rPr>
      </w:pPr>
      <w:r w:rsidRPr="00775ED6">
        <w:rPr>
          <w:rFonts w:cstheme="minorHAnsi" w:hint="eastAsia"/>
          <w:b/>
          <w:lang w:eastAsia="zh-CN"/>
        </w:rPr>
        <w:t>表</w:t>
      </w:r>
      <w:r w:rsidRPr="00775ED6">
        <w:rPr>
          <w:rFonts w:cstheme="minorHAnsi" w:hint="eastAsia"/>
          <w:b/>
          <w:lang w:eastAsia="zh-CN"/>
        </w:rPr>
        <w:t>12</w:t>
      </w:r>
      <w:r w:rsidRPr="00775ED6">
        <w:rPr>
          <w:rFonts w:cstheme="minorHAnsi" w:hint="eastAsia"/>
          <w:b/>
          <w:lang w:eastAsia="zh-CN"/>
        </w:rPr>
        <w:t>：生物多样性公约缔约方大会第十四届会议通过的决定（第</w:t>
      </w:r>
      <w:r w:rsidRPr="00775ED6">
        <w:rPr>
          <w:rFonts w:cstheme="minorHAnsi" w:hint="eastAsia"/>
          <w:b/>
          <w:lang w:eastAsia="zh-CN"/>
        </w:rPr>
        <w:t>14/23</w:t>
      </w:r>
      <w:r w:rsidRPr="00775ED6">
        <w:rPr>
          <w:rFonts w:cstheme="minorHAnsi" w:hint="eastAsia"/>
          <w:b/>
          <w:lang w:eastAsia="zh-CN"/>
        </w:rPr>
        <w:t>号决定）</w:t>
      </w:r>
      <w:r>
        <w:rPr>
          <w:rFonts w:cstheme="minorHAnsi"/>
          <w:b/>
          <w:lang w:eastAsia="zh-CN"/>
        </w:rPr>
        <w:br/>
      </w:r>
      <w:r w:rsidRPr="00775ED6">
        <w:rPr>
          <w:rFonts w:cstheme="minorHAnsi" w:hint="eastAsia"/>
          <w:b/>
          <w:lang w:eastAsia="zh-CN"/>
        </w:rPr>
        <w:t>和全球环境基金</w:t>
      </w:r>
      <w:r w:rsidR="00F12893">
        <w:rPr>
          <w:rFonts w:cstheme="minorHAnsi" w:hint="eastAsia"/>
          <w:b/>
          <w:lang w:eastAsia="zh-CN"/>
        </w:rPr>
        <w:t>的回应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CB2F0E" w:rsidRPr="00CB2F0E" w14:paraId="62BACA94" w14:textId="77777777" w:rsidTr="008354E6">
        <w:trPr>
          <w:tblHeader/>
        </w:trPr>
        <w:tc>
          <w:tcPr>
            <w:tcW w:w="4675" w:type="dxa"/>
            <w:shd w:val="clear" w:color="auto" w:fill="F2F2F2" w:themeFill="background1" w:themeFillShade="F2"/>
          </w:tcPr>
          <w:p w14:paraId="61C34C54" w14:textId="357B11EB" w:rsidR="00CB2F0E" w:rsidRPr="00CB2F0E" w:rsidRDefault="00F902DA" w:rsidP="00F902DA">
            <w:pPr>
              <w:rPr>
                <w:b/>
                <w:iCs/>
                <w:lang w:val="en-GB" w:eastAsia="zh-CN"/>
              </w:rPr>
            </w:pPr>
            <w:r w:rsidRPr="00775ED6">
              <w:rPr>
                <w:rFonts w:cstheme="minorHAnsi" w:hint="eastAsia"/>
                <w:b/>
                <w:lang w:eastAsia="zh-CN"/>
              </w:rPr>
              <w:t>缔约方大会第十四届会议的决定</w:t>
            </w:r>
          </w:p>
        </w:tc>
        <w:tc>
          <w:tcPr>
            <w:tcW w:w="4675" w:type="dxa"/>
            <w:shd w:val="clear" w:color="auto" w:fill="F2F2F2" w:themeFill="background1" w:themeFillShade="F2"/>
          </w:tcPr>
          <w:p w14:paraId="1C542276" w14:textId="712C3DB4" w:rsidR="00CB2F0E" w:rsidRPr="00CB2F0E" w:rsidRDefault="00F902DA" w:rsidP="00CB2F0E">
            <w:pPr>
              <w:rPr>
                <w:b/>
                <w:iCs/>
                <w:lang w:val="en-GB" w:eastAsia="zh-CN"/>
              </w:rPr>
            </w:pPr>
            <w:r w:rsidRPr="00775ED6">
              <w:rPr>
                <w:rFonts w:cstheme="minorHAnsi" w:hint="eastAsia"/>
                <w:b/>
                <w:lang w:eastAsia="zh-CN"/>
              </w:rPr>
              <w:t>全球环境基金采取的行动</w:t>
            </w:r>
          </w:p>
        </w:tc>
      </w:tr>
      <w:tr w:rsidR="00CB2F0E" w:rsidRPr="00CB2F0E" w14:paraId="76232FD7" w14:textId="77777777" w:rsidTr="008354E6">
        <w:tc>
          <w:tcPr>
            <w:tcW w:w="4675" w:type="dxa"/>
            <w:shd w:val="clear" w:color="auto" w:fill="auto"/>
          </w:tcPr>
          <w:p w14:paraId="32FA7512" w14:textId="01C50B58" w:rsidR="00CB2F0E" w:rsidRPr="00CB2F0E" w:rsidRDefault="00A0073D" w:rsidP="00CB2F0E">
            <w:pPr>
              <w:rPr>
                <w:b/>
                <w:lang w:val="en-GB" w:eastAsia="zh-CN"/>
              </w:rPr>
            </w:pPr>
            <w:r w:rsidRPr="00C97C44">
              <w:rPr>
                <w:rFonts w:ascii="楷体" w:eastAsia="KaiTi" w:hAnsi="楷体"/>
                <w:kern w:val="22"/>
                <w:lang w:val="zh-CN" w:eastAsia="zh-CN"/>
              </w:rPr>
              <w:t>欢迎</w:t>
            </w:r>
            <w:r w:rsidRPr="00A0073D">
              <w:rPr>
                <w:rFonts w:ascii="SimSun" w:hAnsi="SimSun" w:hint="eastAsia"/>
                <w:iCs/>
                <w:lang w:eastAsia="zh-CN"/>
              </w:rPr>
              <w:t>全球</w:t>
            </w:r>
            <w:r w:rsidRPr="00A0073D">
              <w:rPr>
                <w:rFonts w:ascii="SimSun" w:hAnsi="SimSun" w:cs="SimSun" w:hint="eastAsia"/>
                <w:iCs/>
                <w:lang w:eastAsia="zh-CN"/>
              </w:rPr>
              <w:t>环</w:t>
            </w:r>
            <w:r w:rsidRPr="00A0073D">
              <w:rPr>
                <w:rFonts w:ascii="SimSun" w:hAnsi="SimSun" w:cs="MS Gothic" w:hint="eastAsia"/>
                <w:iCs/>
                <w:lang w:eastAsia="zh-CN"/>
              </w:rPr>
              <w:t>境基金信托基金第七次增</w:t>
            </w:r>
            <w:r w:rsidRPr="00A0073D">
              <w:rPr>
                <w:rFonts w:ascii="SimSun" w:hAnsi="SimSun" w:cs="SimSun" w:hint="eastAsia"/>
                <w:iCs/>
                <w:lang w:eastAsia="zh-CN"/>
              </w:rPr>
              <w:t>资圆满结</w:t>
            </w:r>
            <w:r w:rsidRPr="00A0073D">
              <w:rPr>
                <w:rFonts w:ascii="SimSun" w:hAnsi="SimSun" w:cs="MS Gothic" w:hint="eastAsia"/>
                <w:iCs/>
                <w:lang w:eastAsia="zh-CN"/>
              </w:rPr>
              <w:t>束，</w:t>
            </w:r>
            <w:r w:rsidRPr="00C97C44">
              <w:rPr>
                <w:rFonts w:ascii="楷体" w:eastAsia="KaiTi" w:hAnsi="楷体" w:cs="MS Gothic" w:hint="eastAsia"/>
                <w:iCs/>
                <w:lang w:eastAsia="zh-CN"/>
              </w:rPr>
              <w:t>感</w:t>
            </w:r>
            <w:r w:rsidRPr="00C97C44">
              <w:rPr>
                <w:rFonts w:ascii="楷体" w:eastAsia="KaiTi" w:hAnsi="楷体" w:cs="SimSun" w:hint="eastAsia"/>
                <w:iCs/>
                <w:lang w:eastAsia="zh-CN"/>
              </w:rPr>
              <w:t>谢</w:t>
            </w:r>
            <w:r w:rsidRPr="00A0073D">
              <w:rPr>
                <w:rFonts w:ascii="SimSun" w:hAnsi="SimSun" w:cs="MS Gothic" w:hint="eastAsia"/>
                <w:iCs/>
                <w:lang w:eastAsia="zh-CN"/>
              </w:rPr>
              <w:t>各</w:t>
            </w:r>
            <w:r w:rsidRPr="00A0073D">
              <w:rPr>
                <w:rFonts w:ascii="SimSun" w:hAnsi="SimSun" w:cs="SimSun" w:hint="eastAsia"/>
                <w:iCs/>
                <w:lang w:eastAsia="zh-CN"/>
              </w:rPr>
              <w:t>缔约</w:t>
            </w:r>
            <w:r w:rsidRPr="00A0073D">
              <w:rPr>
                <w:rFonts w:ascii="SimSun" w:hAnsi="SimSun" w:cs="MS Gothic" w:hint="eastAsia"/>
                <w:iCs/>
                <w:lang w:eastAsia="zh-CN"/>
              </w:rPr>
              <w:t>方和各国政府</w:t>
            </w:r>
            <w:r w:rsidRPr="00A0073D">
              <w:rPr>
                <w:rFonts w:ascii="SimSun" w:hAnsi="SimSun" w:cs="SimSun" w:hint="eastAsia"/>
                <w:iCs/>
                <w:lang w:eastAsia="zh-CN"/>
              </w:rPr>
              <w:t>为</w:t>
            </w:r>
            <w:r w:rsidRPr="00A0073D">
              <w:rPr>
                <w:rFonts w:ascii="SimSun" w:hAnsi="SimSun" w:cs="MS Gothic" w:hint="eastAsia"/>
                <w:iCs/>
                <w:lang w:eastAsia="zh-CN"/>
              </w:rPr>
              <w:t>在剩余年份中</w:t>
            </w:r>
            <w:r w:rsidRPr="00A0073D">
              <w:rPr>
                <w:rFonts w:ascii="SimSun" w:hAnsi="SimSun" w:cs="SimSun" w:hint="eastAsia"/>
                <w:iCs/>
                <w:lang w:eastAsia="zh-CN"/>
              </w:rPr>
              <w:t>执</w:t>
            </w:r>
            <w:r w:rsidRPr="00A0073D">
              <w:rPr>
                <w:rFonts w:ascii="SimSun" w:hAnsi="SimSun" w:cs="MS Gothic" w:hint="eastAsia"/>
                <w:iCs/>
                <w:lang w:eastAsia="zh-CN"/>
              </w:rPr>
              <w:t>行</w:t>
            </w:r>
            <w:r w:rsidRPr="00A0073D">
              <w:rPr>
                <w:rFonts w:ascii="SimSun" w:hAnsi="SimSun" w:hint="eastAsia"/>
                <w:lang w:eastAsia="zh-CN"/>
              </w:rPr>
              <w:t>《</w:t>
            </w:r>
            <w:r w:rsidRPr="00A0073D">
              <w:rPr>
                <w:rFonts w:ascii="SimSun" w:hAnsi="SimSun"/>
                <w:lang w:eastAsia="zh-CN"/>
              </w:rPr>
              <w:t>2011-2020</w:t>
            </w:r>
            <w:r w:rsidRPr="00A0073D">
              <w:rPr>
                <w:rFonts w:ascii="SimSun" w:hAnsi="SimSun" w:hint="eastAsia"/>
                <w:iCs/>
                <w:lang w:eastAsia="zh-CN"/>
              </w:rPr>
              <w:t>年生物多</w:t>
            </w:r>
            <w:r w:rsidRPr="00A0073D">
              <w:rPr>
                <w:rFonts w:ascii="SimSun" w:hAnsi="SimSun" w:cs="SimSun" w:hint="eastAsia"/>
                <w:iCs/>
                <w:lang w:eastAsia="zh-CN"/>
              </w:rPr>
              <w:t>样</w:t>
            </w:r>
            <w:r w:rsidRPr="00A0073D">
              <w:rPr>
                <w:rFonts w:ascii="SimSun" w:hAnsi="SimSun" w:cs="MS Gothic" w:hint="eastAsia"/>
                <w:iCs/>
                <w:lang w:eastAsia="zh-CN"/>
              </w:rPr>
              <w:t>性</w:t>
            </w:r>
            <w:r w:rsidRPr="00A0073D">
              <w:rPr>
                <w:rFonts w:ascii="SimSun" w:hAnsi="SimSun" w:cs="SimSun" w:hint="eastAsia"/>
                <w:iCs/>
                <w:lang w:eastAsia="zh-CN"/>
              </w:rPr>
              <w:t>战</w:t>
            </w:r>
            <w:r w:rsidRPr="00A0073D">
              <w:rPr>
                <w:rFonts w:ascii="SimSun" w:hAnsi="SimSun" w:cs="MS Gothic" w:hint="eastAsia"/>
                <w:iCs/>
                <w:lang w:eastAsia="zh-CN"/>
              </w:rPr>
              <w:t>略</w:t>
            </w:r>
            <w:r w:rsidRPr="00A0073D">
              <w:rPr>
                <w:rFonts w:ascii="SimSun" w:hAnsi="SimSun" w:cs="SimSun" w:hint="eastAsia"/>
                <w:iCs/>
                <w:lang w:eastAsia="zh-CN"/>
              </w:rPr>
              <w:t>计</w:t>
            </w:r>
            <w:r w:rsidRPr="00A0073D">
              <w:rPr>
                <w:rFonts w:ascii="SimSun" w:hAnsi="SimSun" w:cs="MS Gothic" w:hint="eastAsia"/>
                <w:iCs/>
                <w:lang w:eastAsia="zh-CN"/>
              </w:rPr>
              <w:t>划》的任</w:t>
            </w:r>
            <w:r w:rsidRPr="00A0073D">
              <w:rPr>
                <w:rFonts w:ascii="SimSun" w:hAnsi="SimSun" w:cs="SimSun" w:hint="eastAsia"/>
                <w:iCs/>
                <w:lang w:eastAsia="zh-CN"/>
              </w:rPr>
              <w:t>务继续</w:t>
            </w:r>
            <w:r w:rsidRPr="00A0073D">
              <w:rPr>
                <w:rFonts w:ascii="SimSun" w:hAnsi="SimSun" w:cs="MS Gothic" w:hint="eastAsia"/>
                <w:iCs/>
                <w:lang w:eastAsia="zh-CN"/>
              </w:rPr>
              <w:t>提供</w:t>
            </w:r>
            <w:r w:rsidRPr="00A0073D">
              <w:rPr>
                <w:rFonts w:ascii="SimSun" w:hAnsi="SimSun" w:cs="SimSun" w:hint="eastAsia"/>
                <w:iCs/>
                <w:lang w:eastAsia="zh-CN"/>
              </w:rPr>
              <w:t>财务</w:t>
            </w:r>
            <w:r w:rsidRPr="00A0073D">
              <w:rPr>
                <w:rFonts w:ascii="SimSun" w:hAnsi="SimSun" w:cs="MS Gothic" w:hint="eastAsia"/>
                <w:iCs/>
                <w:lang w:eastAsia="zh-CN"/>
              </w:rPr>
              <w:t>支持，以及支持</w:t>
            </w:r>
            <w:r w:rsidRPr="00A0073D">
              <w:rPr>
                <w:rFonts w:ascii="SimSun" w:hAnsi="SimSun"/>
                <w:iCs/>
                <w:lang w:eastAsia="zh-CN"/>
              </w:rPr>
              <w:t>2020</w:t>
            </w:r>
            <w:r w:rsidRPr="00A0073D">
              <w:rPr>
                <w:rFonts w:ascii="SimSun" w:hAnsi="SimSun" w:hint="eastAsia"/>
                <w:iCs/>
                <w:lang w:eastAsia="zh-CN"/>
              </w:rPr>
              <w:t>年后全球生物多</w:t>
            </w:r>
            <w:r w:rsidRPr="00A0073D">
              <w:rPr>
                <w:rFonts w:ascii="SimSun" w:hAnsi="SimSun" w:cs="SimSun" w:hint="eastAsia"/>
                <w:iCs/>
                <w:lang w:eastAsia="zh-CN"/>
              </w:rPr>
              <w:t>样</w:t>
            </w:r>
            <w:r w:rsidRPr="00A0073D">
              <w:rPr>
                <w:rFonts w:ascii="SimSun" w:hAnsi="SimSun" w:cs="MS Gothic" w:hint="eastAsia"/>
                <w:iCs/>
                <w:lang w:eastAsia="zh-CN"/>
              </w:rPr>
              <w:t>性框架</w:t>
            </w:r>
            <w:r w:rsidRPr="00A0073D">
              <w:rPr>
                <w:rFonts w:ascii="SimSun" w:hAnsi="SimSun" w:cs="SimSun" w:hint="eastAsia"/>
                <w:iCs/>
                <w:lang w:eastAsia="zh-CN"/>
              </w:rPr>
              <w:t>头</w:t>
            </w:r>
            <w:r w:rsidRPr="00A0073D">
              <w:rPr>
                <w:rFonts w:ascii="SimSun" w:hAnsi="SimSun" w:cs="MS Gothic" w:hint="eastAsia"/>
                <w:iCs/>
                <w:lang w:eastAsia="zh-CN"/>
              </w:rPr>
              <w:t>两年的</w:t>
            </w:r>
            <w:r w:rsidRPr="00A0073D">
              <w:rPr>
                <w:rFonts w:ascii="SimSun" w:hAnsi="SimSun" w:cs="SimSun" w:hint="eastAsia"/>
                <w:iCs/>
                <w:lang w:eastAsia="zh-CN"/>
              </w:rPr>
              <w:t>执</w:t>
            </w:r>
            <w:r w:rsidRPr="00A0073D">
              <w:rPr>
                <w:rFonts w:ascii="SimSun" w:hAnsi="SimSun" w:cs="MS Gothic" w:hint="eastAsia"/>
                <w:iCs/>
                <w:lang w:eastAsia="zh-CN"/>
              </w:rPr>
              <w:t>行工</w:t>
            </w:r>
            <w:r w:rsidRPr="00A0073D">
              <w:rPr>
                <w:rFonts w:ascii="SimSun" w:hAnsi="SimSun" w:hint="eastAsia"/>
                <w:iCs/>
                <w:lang w:eastAsia="zh-CN"/>
              </w:rPr>
              <w:t>作</w:t>
            </w:r>
            <w:r>
              <w:rPr>
                <w:rFonts w:ascii="SimSun" w:hAnsi="SimSun" w:hint="eastAsia"/>
                <w:iCs/>
                <w:lang w:eastAsia="zh-CN"/>
              </w:rPr>
              <w:t>；</w:t>
            </w:r>
          </w:p>
        </w:tc>
        <w:tc>
          <w:tcPr>
            <w:tcW w:w="4675" w:type="dxa"/>
            <w:shd w:val="clear" w:color="auto" w:fill="auto"/>
          </w:tcPr>
          <w:p w14:paraId="4D69FD31" w14:textId="4AE2AE05" w:rsidR="00CB2F0E" w:rsidRPr="00CB2F0E" w:rsidRDefault="00A0073D" w:rsidP="00A0073D">
            <w:pPr>
              <w:rPr>
                <w:iCs/>
                <w:lang w:val="en-GB"/>
              </w:rPr>
            </w:pPr>
            <w:proofErr w:type="spellStart"/>
            <w:r>
              <w:rPr>
                <w:bCs/>
              </w:rPr>
              <w:t>无需回应</w:t>
            </w:r>
            <w:proofErr w:type="spellEnd"/>
            <w:r>
              <w:rPr>
                <w:rFonts w:hint="eastAsia"/>
                <w:bCs/>
                <w:lang w:eastAsia="zh-CN"/>
              </w:rPr>
              <w:t>。</w:t>
            </w:r>
          </w:p>
        </w:tc>
      </w:tr>
      <w:tr w:rsidR="00CB2F0E" w:rsidRPr="00CB2F0E" w14:paraId="5C386A0E" w14:textId="77777777" w:rsidTr="008354E6">
        <w:tc>
          <w:tcPr>
            <w:tcW w:w="4675" w:type="dxa"/>
            <w:shd w:val="clear" w:color="auto" w:fill="auto"/>
          </w:tcPr>
          <w:p w14:paraId="5345B5CB" w14:textId="7E21FB25" w:rsidR="00A0073D" w:rsidRDefault="00A0073D" w:rsidP="00A0073D">
            <w:pPr>
              <w:pStyle w:val="Para1"/>
              <w:numPr>
                <w:ilvl w:val="0"/>
                <w:numId w:val="0"/>
              </w:numPr>
              <w:adjustRightInd w:val="0"/>
              <w:snapToGrid w:val="0"/>
              <w:spacing w:before="120"/>
              <w:rPr>
                <w:rFonts w:eastAsiaTheme="minorEastAsia"/>
                <w:iCs/>
                <w:sz w:val="24"/>
                <w:lang w:eastAsia="zh-CN"/>
              </w:rPr>
            </w:pPr>
            <w:r w:rsidRPr="00C97C44">
              <w:rPr>
                <w:rFonts w:ascii="楷体" w:eastAsia="KaiTi" w:hAnsi="楷体"/>
                <w:kern w:val="22"/>
                <w:szCs w:val="22"/>
                <w:lang w:val="zh-CN" w:eastAsia="zh-CN"/>
              </w:rPr>
              <w:t>注意到</w:t>
            </w:r>
            <w:r w:rsidRPr="00A0073D">
              <w:rPr>
                <w:rFonts w:ascii="SimSun" w:eastAsia="SimSun" w:hAnsi="SimSun" w:hint="eastAsia"/>
                <w:iCs/>
                <w:szCs w:val="22"/>
                <w:lang w:eastAsia="zh-CN"/>
              </w:rPr>
              <w:t>信托基金第七次增</w:t>
            </w:r>
            <w:r w:rsidRPr="00A0073D">
              <w:rPr>
                <w:rFonts w:ascii="SimSun" w:eastAsia="SimSun" w:hAnsi="SimSun" w:cs="SimSun" w:hint="eastAsia"/>
                <w:iCs/>
                <w:szCs w:val="22"/>
                <w:lang w:eastAsia="zh-CN"/>
              </w:rPr>
              <w:t>资</w:t>
            </w:r>
            <w:r w:rsidRPr="00A0073D">
              <w:rPr>
                <w:rFonts w:ascii="SimSun" w:eastAsia="SimSun" w:hAnsi="SimSun" w:cs="MS Gothic" w:hint="eastAsia"/>
                <w:iCs/>
                <w:szCs w:val="22"/>
                <w:lang w:eastAsia="zh-CN"/>
              </w:rPr>
              <w:t>的生物多</w:t>
            </w:r>
            <w:r w:rsidRPr="00A0073D">
              <w:rPr>
                <w:rFonts w:ascii="SimSun" w:eastAsia="SimSun" w:hAnsi="SimSun" w:cs="SimSun" w:hint="eastAsia"/>
                <w:iCs/>
                <w:szCs w:val="22"/>
                <w:lang w:eastAsia="zh-CN"/>
              </w:rPr>
              <w:t>样</w:t>
            </w:r>
            <w:r w:rsidRPr="00A0073D">
              <w:rPr>
                <w:rFonts w:ascii="SimSun" w:eastAsia="SimSun" w:hAnsi="SimSun" w:cs="MS Gothic" w:hint="eastAsia"/>
                <w:iCs/>
                <w:szCs w:val="22"/>
                <w:lang w:eastAsia="zh-CN"/>
              </w:rPr>
              <w:t>性方案</w:t>
            </w:r>
            <w:r w:rsidRPr="00A0073D">
              <w:rPr>
                <w:rFonts w:ascii="SimSun" w:eastAsia="SimSun" w:hAnsi="SimSun" w:cs="SimSun" w:hint="eastAsia"/>
                <w:iCs/>
                <w:szCs w:val="22"/>
                <w:lang w:eastAsia="zh-CN"/>
              </w:rPr>
              <w:t>编</w:t>
            </w:r>
            <w:r w:rsidRPr="00A0073D">
              <w:rPr>
                <w:rFonts w:ascii="SimSun" w:eastAsia="SimSun" w:hAnsi="SimSun" w:cs="MS Gothic" w:hint="eastAsia"/>
                <w:iCs/>
                <w:szCs w:val="22"/>
                <w:lang w:eastAsia="zh-CN"/>
              </w:rPr>
              <w:t>制方向反映了</w:t>
            </w:r>
            <w:r w:rsidRPr="00A0073D">
              <w:rPr>
                <w:rFonts w:ascii="SimSun" w:eastAsia="SimSun" w:hAnsi="SimSun" w:cs="SimSun" w:hint="eastAsia"/>
                <w:iCs/>
                <w:szCs w:val="22"/>
                <w:lang w:eastAsia="zh-CN"/>
              </w:rPr>
              <w:t>缔约</w:t>
            </w:r>
            <w:r w:rsidRPr="00A0073D">
              <w:rPr>
                <w:rFonts w:ascii="SimSun" w:eastAsia="SimSun" w:hAnsi="SimSun" w:cs="MS Gothic" w:hint="eastAsia"/>
                <w:iCs/>
                <w:szCs w:val="22"/>
                <w:lang w:eastAsia="zh-CN"/>
              </w:rPr>
              <w:t>方大会第十三届会</w:t>
            </w:r>
            <w:r w:rsidRPr="00A0073D">
              <w:rPr>
                <w:rFonts w:ascii="SimSun" w:eastAsia="SimSun" w:hAnsi="SimSun" w:cs="SimSun" w:hint="eastAsia"/>
                <w:iCs/>
                <w:szCs w:val="22"/>
                <w:lang w:eastAsia="zh-CN"/>
              </w:rPr>
              <w:t>议</w:t>
            </w:r>
            <w:r w:rsidRPr="00A0073D">
              <w:rPr>
                <w:rFonts w:ascii="SimSun" w:eastAsia="SimSun" w:hAnsi="SimSun" w:cs="MS Gothic" w:hint="eastAsia"/>
                <w:iCs/>
                <w:szCs w:val="22"/>
                <w:lang w:eastAsia="zh-CN"/>
              </w:rPr>
              <w:t>通</w:t>
            </w:r>
            <w:r w:rsidRPr="00A0073D">
              <w:rPr>
                <w:rFonts w:ascii="SimSun" w:eastAsia="SimSun" w:hAnsi="SimSun" w:cs="SimSun" w:hint="eastAsia"/>
                <w:iCs/>
                <w:szCs w:val="22"/>
                <w:lang w:eastAsia="zh-CN"/>
              </w:rPr>
              <w:t>过</w:t>
            </w:r>
            <w:r w:rsidRPr="00A0073D">
              <w:rPr>
                <w:rFonts w:ascii="SimSun" w:eastAsia="SimSun" w:hAnsi="SimSun" w:cs="MS Gothic" w:hint="eastAsia"/>
                <w:iCs/>
                <w:szCs w:val="22"/>
                <w:lang w:eastAsia="zh-CN"/>
              </w:rPr>
              <w:t>的指</w:t>
            </w:r>
            <w:r w:rsidRPr="00A0073D">
              <w:rPr>
                <w:rFonts w:ascii="SimSun" w:eastAsia="SimSun" w:hAnsi="SimSun" w:cs="SimSun" w:hint="eastAsia"/>
                <w:iCs/>
                <w:szCs w:val="22"/>
                <w:lang w:eastAsia="zh-CN"/>
              </w:rPr>
              <w:t>导</w:t>
            </w:r>
            <w:r w:rsidRPr="00A0073D">
              <w:rPr>
                <w:rFonts w:ascii="SimSun" w:eastAsia="SimSun" w:hAnsi="SimSun" w:cs="MS Gothic" w:hint="eastAsia"/>
                <w:iCs/>
                <w:szCs w:val="22"/>
                <w:lang w:eastAsia="zh-CN"/>
              </w:rPr>
              <w:t>意</w:t>
            </w:r>
            <w:r w:rsidRPr="00A0073D">
              <w:rPr>
                <w:rFonts w:ascii="SimSun" w:eastAsia="SimSun" w:hAnsi="SimSun" w:cs="SimSun" w:hint="eastAsia"/>
                <w:iCs/>
                <w:szCs w:val="22"/>
                <w:lang w:eastAsia="zh-CN"/>
              </w:rPr>
              <w:t>见</w:t>
            </w:r>
            <w:r w:rsidRPr="00A0073D">
              <w:rPr>
                <w:rFonts w:ascii="SimSun" w:eastAsia="SimSun" w:hAnsi="SimSun" w:cs="MS Gothic" w:hint="eastAsia"/>
                <w:iCs/>
                <w:szCs w:val="22"/>
                <w:lang w:eastAsia="zh-CN"/>
              </w:rPr>
              <w:t>，其中包括</w:t>
            </w:r>
            <w:r w:rsidRPr="00A0073D">
              <w:rPr>
                <w:rFonts w:ascii="SimSun" w:eastAsia="SimSun" w:hAnsi="SimSun" w:cs="SimSun" w:hint="eastAsia"/>
                <w:iCs/>
                <w:szCs w:val="22"/>
                <w:lang w:eastAsia="zh-CN"/>
              </w:rPr>
              <w:t>对财务</w:t>
            </w:r>
            <w:r w:rsidRPr="00A0073D">
              <w:rPr>
                <w:rFonts w:ascii="SimSun" w:eastAsia="SimSun" w:hAnsi="SimSun" w:cs="MS Gothic" w:hint="eastAsia"/>
                <w:iCs/>
                <w:szCs w:val="22"/>
                <w:lang w:eastAsia="zh-CN"/>
              </w:rPr>
              <w:t>机制的</w:t>
            </w:r>
            <w:r w:rsidRPr="00A0073D">
              <w:rPr>
                <w:rFonts w:ascii="SimSun" w:eastAsia="SimSun" w:hAnsi="SimSun" w:cs="SimSun" w:hint="eastAsia"/>
                <w:iCs/>
                <w:szCs w:val="22"/>
                <w:lang w:eastAsia="zh-CN"/>
              </w:rPr>
              <w:t>综</w:t>
            </w:r>
            <w:r w:rsidRPr="00A0073D">
              <w:rPr>
                <w:rFonts w:ascii="SimSun" w:eastAsia="SimSun" w:hAnsi="SimSun" w:cs="MS Gothic" w:hint="eastAsia"/>
                <w:iCs/>
                <w:szCs w:val="22"/>
                <w:lang w:eastAsia="zh-CN"/>
              </w:rPr>
              <w:t>合指</w:t>
            </w:r>
            <w:r w:rsidRPr="00A0073D">
              <w:rPr>
                <w:rFonts w:ascii="SimSun" w:eastAsia="SimSun" w:hAnsi="SimSun" w:cs="SimSun" w:hint="eastAsia"/>
                <w:iCs/>
                <w:szCs w:val="22"/>
                <w:lang w:eastAsia="zh-CN"/>
              </w:rPr>
              <w:t>导</w:t>
            </w:r>
            <w:r w:rsidRPr="00A0073D">
              <w:rPr>
                <w:rFonts w:ascii="SimSun" w:eastAsia="SimSun" w:hAnsi="SimSun" w:cs="MS Gothic" w:hint="eastAsia"/>
                <w:iCs/>
                <w:szCs w:val="22"/>
                <w:lang w:eastAsia="zh-CN"/>
              </w:rPr>
              <w:t>意</w:t>
            </w:r>
            <w:r w:rsidRPr="00A0073D">
              <w:rPr>
                <w:rFonts w:ascii="SimSun" w:eastAsia="SimSun" w:hAnsi="SimSun" w:cs="SimSun" w:hint="eastAsia"/>
                <w:iCs/>
                <w:szCs w:val="22"/>
                <w:lang w:eastAsia="zh-CN"/>
              </w:rPr>
              <w:t>见</w:t>
            </w:r>
            <w:r w:rsidRPr="00A0073D">
              <w:rPr>
                <w:rFonts w:ascii="SimSun" w:eastAsia="SimSun" w:hAnsi="SimSun" w:cs="MS Gothic" w:hint="eastAsia"/>
                <w:iCs/>
                <w:szCs w:val="22"/>
                <w:lang w:eastAsia="zh-CN"/>
              </w:rPr>
              <w:t>和方案</w:t>
            </w:r>
            <w:r w:rsidRPr="00A0073D">
              <w:rPr>
                <w:rFonts w:ascii="SimSun" w:eastAsia="SimSun" w:hAnsi="SimSun" w:cs="SimSun" w:hint="eastAsia"/>
                <w:iCs/>
                <w:szCs w:val="22"/>
                <w:lang w:eastAsia="zh-CN"/>
              </w:rPr>
              <w:t>优</w:t>
            </w:r>
            <w:r w:rsidRPr="00A0073D">
              <w:rPr>
                <w:rFonts w:ascii="SimSun" w:eastAsia="SimSun" w:hAnsi="SimSun" w:cs="MS Gothic" w:hint="eastAsia"/>
                <w:iCs/>
                <w:szCs w:val="22"/>
                <w:lang w:eastAsia="zh-CN"/>
              </w:rPr>
              <w:t>先事</w:t>
            </w:r>
            <w:r w:rsidRPr="00A0073D">
              <w:rPr>
                <w:rFonts w:ascii="SimSun" w:eastAsia="SimSun" w:hAnsi="SimSun" w:cs="SimSun" w:hint="eastAsia"/>
                <w:iCs/>
                <w:szCs w:val="22"/>
                <w:lang w:eastAsia="zh-CN"/>
              </w:rPr>
              <w:t>项</w:t>
            </w:r>
            <w:r w:rsidRPr="00A0073D">
              <w:rPr>
                <w:rFonts w:ascii="SimSun" w:eastAsia="SimSun" w:hAnsi="SimSun" w:cs="MS Gothic" w:hint="eastAsia"/>
                <w:iCs/>
                <w:szCs w:val="22"/>
                <w:lang w:eastAsia="zh-CN"/>
              </w:rPr>
              <w:t>的四年期框架（</w:t>
            </w:r>
            <w:r w:rsidRPr="00A0073D">
              <w:rPr>
                <w:rFonts w:ascii="SimSun" w:eastAsia="SimSun" w:hAnsi="SimSun"/>
                <w:iCs/>
                <w:szCs w:val="22"/>
                <w:lang w:eastAsia="zh-CN"/>
              </w:rPr>
              <w:t>2018</w:t>
            </w:r>
            <w:r w:rsidRPr="00A0073D">
              <w:rPr>
                <w:rFonts w:ascii="SimSun" w:eastAsia="SimSun" w:hAnsi="SimSun" w:hint="eastAsia"/>
                <w:iCs/>
                <w:szCs w:val="22"/>
                <w:lang w:eastAsia="zh-CN"/>
              </w:rPr>
              <w:t>年</w:t>
            </w:r>
            <w:r w:rsidRPr="00A0073D">
              <w:rPr>
                <w:rFonts w:ascii="SimSun" w:eastAsia="SimSun" w:hAnsi="SimSun"/>
                <w:iCs/>
                <w:szCs w:val="22"/>
                <w:lang w:eastAsia="zh-CN"/>
              </w:rPr>
              <w:t>7</w:t>
            </w:r>
            <w:r w:rsidRPr="00A0073D">
              <w:rPr>
                <w:rFonts w:ascii="SimSun" w:eastAsia="SimSun" w:hAnsi="SimSun" w:hint="eastAsia"/>
                <w:iCs/>
                <w:szCs w:val="22"/>
                <w:lang w:eastAsia="zh-CN"/>
              </w:rPr>
              <w:t>月至</w:t>
            </w:r>
            <w:r w:rsidRPr="00A0073D">
              <w:rPr>
                <w:rFonts w:ascii="SimSun" w:eastAsia="SimSun" w:hAnsi="SimSun"/>
                <w:iCs/>
                <w:szCs w:val="22"/>
                <w:lang w:eastAsia="zh-CN"/>
              </w:rPr>
              <w:t>2022</w:t>
            </w:r>
            <w:r w:rsidRPr="00A0073D">
              <w:rPr>
                <w:rFonts w:ascii="SimSun" w:eastAsia="SimSun" w:hAnsi="SimSun" w:hint="eastAsia"/>
                <w:iCs/>
                <w:szCs w:val="22"/>
                <w:lang w:eastAsia="zh-CN"/>
              </w:rPr>
              <w:t>年</w:t>
            </w:r>
            <w:r w:rsidRPr="00A0073D">
              <w:rPr>
                <w:rFonts w:ascii="SimSun" w:eastAsia="SimSun" w:hAnsi="SimSun"/>
                <w:iCs/>
                <w:szCs w:val="22"/>
                <w:lang w:eastAsia="zh-CN"/>
              </w:rPr>
              <w:t>6</w:t>
            </w:r>
            <w:r w:rsidRPr="00A0073D">
              <w:rPr>
                <w:rFonts w:ascii="SimSun" w:eastAsia="SimSun" w:hAnsi="SimSun" w:hint="eastAsia"/>
                <w:iCs/>
                <w:szCs w:val="22"/>
                <w:lang w:eastAsia="zh-CN"/>
              </w:rPr>
              <w:t>月）以及</w:t>
            </w:r>
            <w:r w:rsidRPr="00A0073D">
              <w:rPr>
                <w:rFonts w:ascii="SimSun" w:eastAsia="SimSun" w:hAnsi="SimSun" w:cs="SimSun" w:hint="eastAsia"/>
                <w:iCs/>
                <w:szCs w:val="22"/>
                <w:lang w:eastAsia="zh-CN"/>
              </w:rPr>
              <w:t>进</w:t>
            </w:r>
            <w:r w:rsidRPr="00A0073D">
              <w:rPr>
                <w:rFonts w:ascii="SimSun" w:eastAsia="SimSun" w:hAnsi="SimSun" w:cs="MS Gothic" w:hint="eastAsia"/>
                <w:iCs/>
                <w:szCs w:val="22"/>
                <w:lang w:eastAsia="zh-CN"/>
              </w:rPr>
              <w:t>一步的指</w:t>
            </w:r>
            <w:r w:rsidRPr="00A0073D">
              <w:rPr>
                <w:rFonts w:ascii="SimSun" w:eastAsia="SimSun" w:hAnsi="SimSun" w:cs="SimSun" w:hint="eastAsia"/>
                <w:iCs/>
                <w:szCs w:val="22"/>
                <w:lang w:eastAsia="zh-CN"/>
              </w:rPr>
              <w:t>导</w:t>
            </w:r>
            <w:r w:rsidRPr="00A0073D">
              <w:rPr>
                <w:rFonts w:ascii="SimSun" w:eastAsia="SimSun" w:hAnsi="SimSun" w:cs="MS Gothic" w:hint="eastAsia"/>
                <w:iCs/>
                <w:szCs w:val="22"/>
                <w:lang w:eastAsia="zh-CN"/>
              </w:rPr>
              <w:t>意</w:t>
            </w:r>
            <w:r w:rsidRPr="00A0073D">
              <w:rPr>
                <w:rFonts w:ascii="SimSun" w:eastAsia="SimSun" w:hAnsi="SimSun" w:cs="SimSun" w:hint="eastAsia"/>
                <w:iCs/>
                <w:szCs w:val="22"/>
                <w:lang w:eastAsia="zh-CN"/>
              </w:rPr>
              <w:t>见</w:t>
            </w:r>
            <w:r>
              <w:rPr>
                <w:rFonts w:ascii="SimSun" w:eastAsia="SimSun" w:hAnsi="SimSun" w:cs="SimSun" w:hint="eastAsia"/>
                <w:iCs/>
                <w:szCs w:val="22"/>
                <w:lang w:eastAsia="zh-CN"/>
              </w:rPr>
              <w:t>；</w:t>
            </w:r>
            <w:r>
              <w:rPr>
                <w:rFonts w:eastAsiaTheme="minorEastAsia"/>
                <w:iCs/>
                <w:sz w:val="24"/>
                <w:vertAlign w:val="superscript"/>
              </w:rPr>
              <w:footnoteReference w:id="18"/>
            </w:r>
          </w:p>
          <w:p w14:paraId="3EEF52A7" w14:textId="77777777" w:rsidR="00A0073D" w:rsidRPr="00CB2F0E" w:rsidRDefault="00A0073D" w:rsidP="00CB2F0E">
            <w:pPr>
              <w:rPr>
                <w:iCs/>
                <w:lang w:val="en-GB" w:eastAsia="zh-CN"/>
              </w:rPr>
            </w:pPr>
          </w:p>
        </w:tc>
        <w:tc>
          <w:tcPr>
            <w:tcW w:w="4675" w:type="dxa"/>
            <w:shd w:val="clear" w:color="auto" w:fill="auto"/>
          </w:tcPr>
          <w:p w14:paraId="7E429AC5" w14:textId="12024113" w:rsidR="00CB2F0E" w:rsidRPr="00CB2F0E" w:rsidRDefault="00A0073D" w:rsidP="00CB2F0E">
            <w:pPr>
              <w:rPr>
                <w:iCs/>
                <w:lang w:val="en-GB"/>
              </w:rPr>
            </w:pPr>
            <w:proofErr w:type="spellStart"/>
            <w:r>
              <w:rPr>
                <w:bCs/>
              </w:rPr>
              <w:t>无需回应</w:t>
            </w:r>
            <w:proofErr w:type="spellEnd"/>
            <w:r>
              <w:rPr>
                <w:rFonts w:hint="eastAsia"/>
                <w:bCs/>
                <w:lang w:eastAsia="zh-CN"/>
              </w:rPr>
              <w:t>。</w:t>
            </w:r>
          </w:p>
        </w:tc>
      </w:tr>
      <w:tr w:rsidR="00CB2F0E" w:rsidRPr="00CB2F0E" w14:paraId="58AB257D" w14:textId="77777777" w:rsidTr="008354E6">
        <w:tc>
          <w:tcPr>
            <w:tcW w:w="4675" w:type="dxa"/>
            <w:shd w:val="clear" w:color="auto" w:fill="auto"/>
          </w:tcPr>
          <w:p w14:paraId="7B4989E7" w14:textId="3A61507F" w:rsidR="00CB2F0E" w:rsidRPr="002C17EE" w:rsidRDefault="00A0073D" w:rsidP="002C17EE">
            <w:pPr>
              <w:rPr>
                <w:rFonts w:ascii="SimSun" w:hAnsi="SimSun"/>
                <w:lang w:val="en-GB" w:eastAsia="zh-CN"/>
              </w:rPr>
            </w:pPr>
            <w:r w:rsidRPr="00C97C44">
              <w:rPr>
                <w:rFonts w:ascii="楷体" w:eastAsia="KaiTi" w:hAnsi="楷体"/>
                <w:kern w:val="22"/>
                <w:lang w:val="zh-CN" w:eastAsia="zh-CN"/>
              </w:rPr>
              <w:t>欢迎</w:t>
            </w:r>
            <w:r w:rsidRPr="002C17EE">
              <w:rPr>
                <w:rFonts w:ascii="SimSun" w:hAnsi="SimSun" w:hint="eastAsia"/>
                <w:kern w:val="22"/>
                <w:lang w:eastAsia="zh-CN"/>
              </w:rPr>
              <w:t>全球</w:t>
            </w:r>
            <w:r w:rsidRPr="002C17EE">
              <w:rPr>
                <w:rFonts w:ascii="SimSun" w:hAnsi="SimSun" w:cs="SimSun" w:hint="eastAsia"/>
                <w:kern w:val="22"/>
                <w:lang w:eastAsia="zh-CN"/>
              </w:rPr>
              <w:t>环</w:t>
            </w:r>
            <w:r w:rsidRPr="002C17EE">
              <w:rPr>
                <w:rFonts w:ascii="SimSun" w:hAnsi="SimSun" w:cs="MS Gothic" w:hint="eastAsia"/>
                <w:kern w:val="22"/>
                <w:lang w:eastAsia="zh-CN"/>
              </w:rPr>
              <w:t>境基金</w:t>
            </w:r>
            <w:r w:rsidRPr="002C17EE">
              <w:rPr>
                <w:rFonts w:ascii="SimSun" w:hAnsi="SimSun" w:cs="SimSun" w:hint="eastAsia"/>
                <w:kern w:val="22"/>
                <w:lang w:eastAsia="zh-CN"/>
              </w:rPr>
              <w:t>审查</w:t>
            </w:r>
            <w:r w:rsidRPr="002C17EE">
              <w:rPr>
                <w:rFonts w:ascii="SimSun" w:hAnsi="SimSun" w:cs="MS Gothic" w:hint="eastAsia"/>
                <w:kern w:val="22"/>
                <w:lang w:eastAsia="zh-CN"/>
              </w:rPr>
              <w:t>和更新其</w:t>
            </w:r>
            <w:r w:rsidRPr="002C17EE">
              <w:rPr>
                <w:rFonts w:ascii="SimSun" w:hAnsi="SimSun" w:cs="SimSun" w:hint="eastAsia"/>
                <w:kern w:val="22"/>
                <w:lang w:eastAsia="zh-CN"/>
              </w:rPr>
              <w:t>环</w:t>
            </w:r>
            <w:r w:rsidRPr="002C17EE">
              <w:rPr>
                <w:rFonts w:ascii="SimSun" w:hAnsi="SimSun" w:cs="MS Gothic" w:hint="eastAsia"/>
                <w:kern w:val="22"/>
                <w:lang w:eastAsia="zh-CN"/>
              </w:rPr>
              <w:t>境和社会保障措施及其各机构的相关系</w:t>
            </w:r>
            <w:r w:rsidRPr="002C17EE">
              <w:rPr>
                <w:rFonts w:ascii="SimSun" w:hAnsi="SimSun" w:cs="SimSun" w:hint="eastAsia"/>
                <w:kern w:val="22"/>
                <w:lang w:eastAsia="zh-CN"/>
              </w:rPr>
              <w:t>统</w:t>
            </w:r>
            <w:r w:rsidRPr="002C17EE">
              <w:rPr>
                <w:rFonts w:ascii="SimSun" w:hAnsi="SimSun" w:cs="MS Gothic" w:hint="eastAsia"/>
                <w:kern w:val="22"/>
                <w:lang w:eastAsia="zh-CN"/>
              </w:rPr>
              <w:t>的</w:t>
            </w:r>
            <w:r w:rsidRPr="002C17EE">
              <w:rPr>
                <w:rFonts w:ascii="SimSun" w:hAnsi="SimSun" w:cs="SimSun" w:hint="eastAsia"/>
                <w:kern w:val="22"/>
                <w:lang w:eastAsia="zh-CN"/>
              </w:rPr>
              <w:t>进</w:t>
            </w:r>
            <w:r w:rsidRPr="002C17EE">
              <w:rPr>
                <w:rFonts w:ascii="SimSun" w:hAnsi="SimSun" w:cs="MS Gothic" w:hint="eastAsia"/>
                <w:kern w:val="22"/>
                <w:lang w:eastAsia="zh-CN"/>
              </w:rPr>
              <w:t>程以及</w:t>
            </w:r>
            <w:r w:rsidRPr="002C17EE">
              <w:rPr>
                <w:rFonts w:ascii="SimSun" w:hAnsi="SimSun" w:hint="eastAsia"/>
                <w:color w:val="212121"/>
                <w:lang w:eastAsia="zh-CN"/>
              </w:rPr>
              <w:t>在新的性</w:t>
            </w:r>
            <w:r w:rsidRPr="002C17EE">
              <w:rPr>
                <w:rFonts w:ascii="SimSun" w:hAnsi="SimSun" w:cs="SimSun" w:hint="eastAsia"/>
                <w:color w:val="212121"/>
                <w:lang w:eastAsia="zh-CN"/>
              </w:rPr>
              <w:t>别</w:t>
            </w:r>
            <w:r w:rsidRPr="002C17EE">
              <w:rPr>
                <w:rFonts w:ascii="SimSun" w:hAnsi="SimSun" w:cs="MS Gothic" w:hint="eastAsia"/>
                <w:color w:val="212121"/>
                <w:lang w:eastAsia="zh-CN"/>
              </w:rPr>
              <w:t>平等</w:t>
            </w:r>
            <w:r w:rsidRPr="002C17EE">
              <w:rPr>
                <w:rFonts w:ascii="SimSun" w:hAnsi="SimSun" w:cs="SimSun" w:hint="eastAsia"/>
                <w:color w:val="212121"/>
                <w:lang w:eastAsia="zh-CN"/>
              </w:rPr>
              <w:t>实</w:t>
            </w:r>
            <w:r w:rsidRPr="002C17EE">
              <w:rPr>
                <w:rFonts w:ascii="SimSun" w:hAnsi="SimSun" w:cs="MS Gothic" w:hint="eastAsia"/>
                <w:color w:val="212121"/>
                <w:lang w:eastAsia="zh-CN"/>
              </w:rPr>
              <w:t>施</w:t>
            </w:r>
            <w:r w:rsidRPr="002C17EE">
              <w:rPr>
                <w:rFonts w:ascii="SimSun" w:hAnsi="SimSun" w:cs="SimSun" w:hint="eastAsia"/>
                <w:color w:val="212121"/>
                <w:lang w:eastAsia="zh-CN"/>
              </w:rPr>
              <w:t>战</w:t>
            </w:r>
            <w:r w:rsidRPr="002C17EE">
              <w:rPr>
                <w:rFonts w:ascii="SimSun" w:hAnsi="SimSun" w:cs="MS Gothic" w:hint="eastAsia"/>
                <w:color w:val="212121"/>
                <w:lang w:eastAsia="zh-CN"/>
              </w:rPr>
              <w:t>略中推</w:t>
            </w:r>
            <w:r w:rsidRPr="002C17EE">
              <w:rPr>
                <w:rFonts w:ascii="SimSun" w:hAnsi="SimSun" w:cs="SimSun" w:hint="eastAsia"/>
                <w:color w:val="212121"/>
                <w:lang w:eastAsia="zh-CN"/>
              </w:rPr>
              <w:t>进</w:t>
            </w:r>
            <w:r w:rsidRPr="002C17EE">
              <w:rPr>
                <w:rFonts w:ascii="SimSun" w:hAnsi="SimSun" w:cs="MS Gothic" w:hint="eastAsia"/>
                <w:color w:val="212121"/>
                <w:lang w:eastAsia="zh-CN"/>
              </w:rPr>
              <w:t>性</w:t>
            </w:r>
            <w:r w:rsidRPr="002C17EE">
              <w:rPr>
                <w:rFonts w:ascii="SimSun" w:hAnsi="SimSun" w:cs="SimSun" w:hint="eastAsia"/>
                <w:color w:val="212121"/>
                <w:lang w:eastAsia="zh-CN"/>
              </w:rPr>
              <w:t>别</w:t>
            </w:r>
            <w:r w:rsidRPr="002C17EE">
              <w:rPr>
                <w:rFonts w:ascii="SimSun" w:hAnsi="SimSun" w:cs="MS Gothic" w:hint="eastAsia"/>
                <w:color w:val="212121"/>
                <w:lang w:eastAsia="zh-CN"/>
              </w:rPr>
              <w:t>平等的指</w:t>
            </w:r>
            <w:r w:rsidRPr="002C17EE">
              <w:rPr>
                <w:rFonts w:ascii="SimSun" w:hAnsi="SimSun" w:cs="SimSun" w:hint="eastAsia"/>
                <w:color w:val="212121"/>
                <w:lang w:eastAsia="zh-CN"/>
              </w:rPr>
              <w:t>导</w:t>
            </w:r>
            <w:r w:rsidRPr="002C17EE">
              <w:rPr>
                <w:rFonts w:ascii="SimSun" w:hAnsi="SimSun" w:cs="MS Gothic" w:hint="eastAsia"/>
                <w:color w:val="212121"/>
                <w:lang w:eastAsia="zh-CN"/>
              </w:rPr>
              <w:t>意</w:t>
            </w:r>
            <w:r w:rsidRPr="002C17EE">
              <w:rPr>
                <w:rFonts w:ascii="SimSun" w:hAnsi="SimSun" w:cs="SimSun" w:hint="eastAsia"/>
                <w:color w:val="212121"/>
                <w:lang w:eastAsia="zh-CN"/>
              </w:rPr>
              <w:t>见</w:t>
            </w:r>
            <w:r w:rsidRPr="002C17EE">
              <w:rPr>
                <w:rFonts w:ascii="SimSun" w:hAnsi="SimSun" w:hint="eastAsia"/>
                <w:kern w:val="22"/>
                <w:lang w:eastAsia="zh-CN"/>
              </w:rPr>
              <w:t>，同</w:t>
            </w:r>
            <w:r w:rsidRPr="002C17EE">
              <w:rPr>
                <w:rFonts w:ascii="SimSun" w:hAnsi="SimSun" w:cs="SimSun" w:hint="eastAsia"/>
                <w:kern w:val="22"/>
                <w:lang w:eastAsia="zh-CN"/>
              </w:rPr>
              <w:t>时</w:t>
            </w:r>
            <w:r w:rsidRPr="002C17EE">
              <w:rPr>
                <w:rFonts w:ascii="SimSun" w:hAnsi="SimSun" w:cs="MS Gothic" w:hint="eastAsia"/>
                <w:kern w:val="22"/>
                <w:lang w:eastAsia="zh-CN"/>
              </w:rPr>
              <w:t>注意到其</w:t>
            </w:r>
            <w:r w:rsidRPr="002C17EE">
              <w:rPr>
                <w:rFonts w:ascii="SimSun" w:hAnsi="SimSun" w:cs="SimSun" w:hint="eastAsia"/>
                <w:kern w:val="22"/>
                <w:lang w:eastAsia="zh-CN"/>
              </w:rPr>
              <w:t>结</w:t>
            </w:r>
            <w:r w:rsidRPr="002C17EE">
              <w:rPr>
                <w:rFonts w:ascii="SimSun" w:hAnsi="SimSun" w:cs="MS Gothic" w:hint="eastAsia"/>
                <w:kern w:val="22"/>
                <w:lang w:eastAsia="zh-CN"/>
              </w:rPr>
              <w:t>果将同</w:t>
            </w:r>
            <w:r w:rsidRPr="002C17EE">
              <w:rPr>
                <w:rFonts w:ascii="SimSun" w:hAnsi="SimSun" w:cs="SimSun" w:hint="eastAsia"/>
                <w:kern w:val="22"/>
                <w:lang w:eastAsia="zh-CN"/>
              </w:rPr>
              <w:t>样</w:t>
            </w:r>
            <w:r w:rsidRPr="002C17EE">
              <w:rPr>
                <w:rFonts w:ascii="SimSun" w:hAnsi="SimSun" w:cs="MS Gothic" w:hint="eastAsia"/>
                <w:kern w:val="22"/>
                <w:lang w:eastAsia="zh-CN"/>
              </w:rPr>
              <w:t>适用于全球</w:t>
            </w:r>
            <w:r w:rsidRPr="002C17EE">
              <w:rPr>
                <w:rFonts w:ascii="SimSun" w:hAnsi="SimSun" w:cs="SimSun" w:hint="eastAsia"/>
                <w:kern w:val="22"/>
                <w:lang w:eastAsia="zh-CN"/>
              </w:rPr>
              <w:t>环</w:t>
            </w:r>
            <w:r w:rsidRPr="002C17EE">
              <w:rPr>
                <w:rFonts w:ascii="SimSun" w:hAnsi="SimSun" w:cs="MS Gothic" w:hint="eastAsia"/>
                <w:kern w:val="22"/>
                <w:lang w:eastAsia="zh-CN"/>
              </w:rPr>
              <w:t>境基金</w:t>
            </w:r>
            <w:r w:rsidRPr="002C17EE">
              <w:rPr>
                <w:rFonts w:ascii="SimSun" w:hAnsi="SimSun" w:cs="SimSun" w:hint="eastAsia"/>
                <w:kern w:val="22"/>
                <w:lang w:eastAsia="zh-CN"/>
              </w:rPr>
              <w:t>资</w:t>
            </w:r>
            <w:r w:rsidRPr="002C17EE">
              <w:rPr>
                <w:rFonts w:ascii="SimSun" w:hAnsi="SimSun" w:cs="MS Gothic" w:hint="eastAsia"/>
                <w:kern w:val="22"/>
                <w:lang w:eastAsia="zh-CN"/>
              </w:rPr>
              <w:t>助的所有</w:t>
            </w:r>
            <w:r w:rsidRPr="002C17EE">
              <w:rPr>
                <w:rFonts w:ascii="SimSun" w:hAnsi="SimSun" w:cs="SimSun" w:hint="eastAsia"/>
                <w:kern w:val="22"/>
                <w:lang w:eastAsia="zh-CN"/>
              </w:rPr>
              <w:t>项</w:t>
            </w:r>
            <w:r w:rsidRPr="002C17EE">
              <w:rPr>
                <w:rFonts w:ascii="SimSun" w:hAnsi="SimSun" w:cs="MS Gothic" w:hint="eastAsia"/>
                <w:kern w:val="22"/>
                <w:lang w:eastAsia="zh-CN"/>
              </w:rPr>
              <w:t>目，并</w:t>
            </w:r>
            <w:r w:rsidRPr="00C97C44">
              <w:rPr>
                <w:rFonts w:ascii="SimSun" w:eastAsia="KaiTi" w:hAnsi="SimSun" w:hint="eastAsia"/>
                <w:kern w:val="20"/>
                <w:lang w:eastAsia="zh-CN"/>
              </w:rPr>
              <w:t>邀</w:t>
            </w:r>
            <w:r w:rsidRPr="00C97C44">
              <w:rPr>
                <w:rFonts w:ascii="SimSun" w:eastAsia="KaiTi" w:hAnsi="SimSun" w:cs="SimSun" w:hint="eastAsia"/>
                <w:kern w:val="20"/>
                <w:lang w:eastAsia="zh-CN"/>
              </w:rPr>
              <w:t>请</w:t>
            </w:r>
            <w:r w:rsidRPr="002C17EE">
              <w:rPr>
                <w:rFonts w:ascii="SimSun" w:hAnsi="SimSun" w:hint="eastAsia"/>
                <w:kern w:val="22"/>
                <w:lang w:eastAsia="zh-CN"/>
              </w:rPr>
              <w:t>全球</w:t>
            </w:r>
            <w:r w:rsidRPr="002C17EE">
              <w:rPr>
                <w:rFonts w:ascii="SimSun" w:hAnsi="SimSun" w:cs="SimSun" w:hint="eastAsia"/>
                <w:kern w:val="22"/>
                <w:lang w:eastAsia="zh-CN"/>
              </w:rPr>
              <w:t>环</w:t>
            </w:r>
            <w:r w:rsidRPr="002C17EE">
              <w:rPr>
                <w:rFonts w:ascii="SimSun" w:hAnsi="SimSun" w:cs="MS Gothic" w:hint="eastAsia"/>
                <w:kern w:val="22"/>
                <w:lang w:eastAsia="zh-CN"/>
              </w:rPr>
              <w:t>境基金向</w:t>
            </w:r>
            <w:r w:rsidRPr="002C17EE">
              <w:rPr>
                <w:rFonts w:ascii="SimSun" w:hAnsi="SimSun" w:cs="SimSun" w:hint="eastAsia"/>
                <w:kern w:val="22"/>
                <w:lang w:eastAsia="zh-CN"/>
              </w:rPr>
              <w:t>缔约</w:t>
            </w:r>
            <w:r w:rsidRPr="002C17EE">
              <w:rPr>
                <w:rFonts w:ascii="SimSun" w:hAnsi="SimSun" w:cs="MS Gothic" w:hint="eastAsia"/>
                <w:kern w:val="22"/>
                <w:lang w:eastAsia="zh-CN"/>
              </w:rPr>
              <w:t>方大会通</w:t>
            </w:r>
            <w:r w:rsidRPr="002C17EE">
              <w:rPr>
                <w:rFonts w:ascii="SimSun" w:hAnsi="SimSun" w:cs="SimSun" w:hint="eastAsia"/>
                <w:kern w:val="22"/>
                <w:lang w:eastAsia="zh-CN"/>
              </w:rPr>
              <w:t>报</w:t>
            </w:r>
            <w:r w:rsidRPr="002C17EE">
              <w:rPr>
                <w:rFonts w:ascii="SimSun" w:hAnsi="SimSun" w:cs="MS Gothic" w:hint="eastAsia"/>
                <w:kern w:val="22"/>
                <w:lang w:eastAsia="zh-CN"/>
              </w:rPr>
              <w:t>如何在</w:t>
            </w:r>
            <w:r w:rsidRPr="002C17EE">
              <w:rPr>
                <w:rFonts w:ascii="SimSun" w:hAnsi="SimSun" w:cs="SimSun" w:hint="eastAsia"/>
                <w:kern w:val="22"/>
                <w:lang w:eastAsia="zh-CN"/>
              </w:rPr>
              <w:t>这</w:t>
            </w:r>
            <w:r w:rsidRPr="002C17EE">
              <w:rPr>
                <w:rFonts w:ascii="SimSun" w:hAnsi="SimSun" w:cs="MS Gothic" w:hint="eastAsia"/>
                <w:kern w:val="22"/>
                <w:lang w:eastAsia="zh-CN"/>
              </w:rPr>
              <w:t>一重要</w:t>
            </w:r>
            <w:r w:rsidRPr="002C17EE">
              <w:rPr>
                <w:rFonts w:ascii="SimSun" w:hAnsi="SimSun" w:cs="SimSun" w:hint="eastAsia"/>
                <w:kern w:val="22"/>
                <w:lang w:eastAsia="zh-CN"/>
              </w:rPr>
              <w:t>进</w:t>
            </w:r>
            <w:r w:rsidRPr="002C17EE">
              <w:rPr>
                <w:rFonts w:ascii="SimSun" w:hAnsi="SimSun" w:cs="MS Gothic" w:hint="eastAsia"/>
                <w:kern w:val="22"/>
                <w:lang w:eastAsia="zh-CN"/>
              </w:rPr>
              <w:t>程中考</w:t>
            </w:r>
            <w:r w:rsidRPr="002C17EE">
              <w:rPr>
                <w:rFonts w:ascii="SimSun" w:hAnsi="SimSun" w:cs="SimSun" w:hint="eastAsia"/>
                <w:kern w:val="22"/>
                <w:lang w:eastAsia="zh-CN"/>
              </w:rPr>
              <w:t>虑</w:t>
            </w:r>
            <w:r w:rsidRPr="002C17EE">
              <w:rPr>
                <w:rFonts w:ascii="SimSun" w:hAnsi="SimSun" w:cs="MS Gothic" w:hint="eastAsia"/>
                <w:kern w:val="22"/>
                <w:lang w:eastAsia="zh-CN"/>
              </w:rPr>
              <w:t>到《公</w:t>
            </w:r>
            <w:r w:rsidRPr="002C17EE">
              <w:rPr>
                <w:rFonts w:ascii="SimSun" w:hAnsi="SimSun" w:cs="SimSun" w:hint="eastAsia"/>
                <w:kern w:val="22"/>
                <w:lang w:eastAsia="zh-CN"/>
              </w:rPr>
              <w:t>约</w:t>
            </w:r>
            <w:r w:rsidRPr="002C17EE">
              <w:rPr>
                <w:rFonts w:ascii="SimSun" w:hAnsi="SimSun" w:cs="MS Gothic" w:hint="eastAsia"/>
                <w:kern w:val="22"/>
                <w:lang w:eastAsia="zh-CN"/>
              </w:rPr>
              <w:t>》的生物多</w:t>
            </w:r>
            <w:r w:rsidRPr="002C17EE">
              <w:rPr>
                <w:rFonts w:ascii="SimSun" w:hAnsi="SimSun" w:cs="SimSun" w:hint="eastAsia"/>
                <w:kern w:val="22"/>
                <w:lang w:eastAsia="zh-CN"/>
              </w:rPr>
              <w:t>样</w:t>
            </w:r>
            <w:r w:rsidRPr="002C17EE">
              <w:rPr>
                <w:rFonts w:ascii="SimSun" w:hAnsi="SimSun" w:cs="MS Gothic" w:hint="eastAsia"/>
                <w:kern w:val="22"/>
                <w:lang w:eastAsia="zh-CN"/>
              </w:rPr>
              <w:t>性融</w:t>
            </w:r>
            <w:r w:rsidRPr="002C17EE">
              <w:rPr>
                <w:rFonts w:ascii="SimSun" w:hAnsi="SimSun" w:cs="SimSun" w:hint="eastAsia"/>
                <w:kern w:val="22"/>
                <w:lang w:eastAsia="zh-CN"/>
              </w:rPr>
              <w:t>资</w:t>
            </w:r>
            <w:r w:rsidRPr="002C17EE">
              <w:rPr>
                <w:rFonts w:ascii="SimSun" w:hAnsi="SimSun" w:cs="MS Gothic" w:hint="eastAsia"/>
                <w:kern w:val="22"/>
                <w:lang w:eastAsia="zh-CN"/>
              </w:rPr>
              <w:t>机制保障措施自愿准</w:t>
            </w:r>
            <w:r w:rsidRPr="002C17EE">
              <w:rPr>
                <w:rFonts w:ascii="SimSun" w:hAnsi="SimSun" w:cs="SimSun" w:hint="eastAsia"/>
                <w:kern w:val="22"/>
                <w:lang w:eastAsia="zh-CN"/>
              </w:rPr>
              <w:t>则</w:t>
            </w:r>
            <w:r w:rsidR="002C17EE" w:rsidRPr="002C17EE">
              <w:rPr>
                <w:rFonts w:ascii="SimSun" w:hAnsi="SimSun" w:cs="SimSun" w:hint="eastAsia"/>
                <w:kern w:val="22"/>
                <w:lang w:eastAsia="zh-CN"/>
              </w:rPr>
              <w:t>；</w:t>
            </w:r>
          </w:p>
        </w:tc>
        <w:tc>
          <w:tcPr>
            <w:tcW w:w="4675" w:type="dxa"/>
            <w:shd w:val="clear" w:color="auto" w:fill="auto"/>
          </w:tcPr>
          <w:p w14:paraId="4F3C558F" w14:textId="0F582684" w:rsidR="00F902DA" w:rsidRPr="00CB2F0E" w:rsidRDefault="00F902DA" w:rsidP="00041B7A">
            <w:pPr>
              <w:rPr>
                <w:iCs/>
                <w:lang w:val="en-GB" w:eastAsia="zh-CN"/>
              </w:rPr>
            </w:pPr>
            <w:r w:rsidRPr="00F902DA">
              <w:rPr>
                <w:rFonts w:hint="eastAsia"/>
                <w:iCs/>
                <w:lang w:val="en-GB" w:eastAsia="zh-CN"/>
              </w:rPr>
              <w:t>全球环境基金理事会于</w:t>
            </w:r>
            <w:r w:rsidRPr="00F902DA">
              <w:rPr>
                <w:rFonts w:hint="eastAsia"/>
                <w:iCs/>
                <w:lang w:val="en-GB" w:eastAsia="zh-CN"/>
              </w:rPr>
              <w:t>2018</w:t>
            </w:r>
            <w:r w:rsidRPr="00F902DA">
              <w:rPr>
                <w:rFonts w:hint="eastAsia"/>
                <w:iCs/>
                <w:lang w:val="en-GB" w:eastAsia="zh-CN"/>
              </w:rPr>
              <w:t>年</w:t>
            </w:r>
            <w:r w:rsidRPr="00F902DA">
              <w:rPr>
                <w:rFonts w:hint="eastAsia"/>
                <w:iCs/>
                <w:lang w:val="en-GB" w:eastAsia="zh-CN"/>
              </w:rPr>
              <w:t>12</w:t>
            </w:r>
            <w:r w:rsidRPr="00F902DA">
              <w:rPr>
                <w:rFonts w:hint="eastAsia"/>
                <w:iCs/>
                <w:lang w:val="en-GB" w:eastAsia="zh-CN"/>
              </w:rPr>
              <w:t>月批准了更新</w:t>
            </w:r>
            <w:r>
              <w:rPr>
                <w:rFonts w:hint="eastAsia"/>
                <w:iCs/>
                <w:lang w:val="en-GB" w:eastAsia="zh-CN"/>
              </w:rPr>
              <w:t>后</w:t>
            </w:r>
            <w:r w:rsidRPr="00F902DA">
              <w:rPr>
                <w:rFonts w:hint="eastAsia"/>
                <w:iCs/>
                <w:lang w:val="en-GB" w:eastAsia="zh-CN"/>
              </w:rPr>
              <w:t>的《环境和社会保障政策》。</w:t>
            </w:r>
            <w:r w:rsidR="00041B7A">
              <w:rPr>
                <w:rStyle w:val="FootnoteReference"/>
                <w:iCs/>
                <w:lang w:val="en-GB"/>
              </w:rPr>
              <w:footnoteReference w:id="19"/>
            </w:r>
            <w:r w:rsidR="00041B7A">
              <w:rPr>
                <w:iCs/>
                <w:lang w:val="en-GB" w:eastAsia="zh-CN"/>
              </w:rPr>
              <w:t xml:space="preserve"> </w:t>
            </w:r>
            <w:r w:rsidRPr="00F902DA">
              <w:rPr>
                <w:rFonts w:hint="eastAsia"/>
                <w:iCs/>
                <w:lang w:val="en-GB" w:eastAsia="zh-CN"/>
              </w:rPr>
              <w:t>该更新</w:t>
            </w:r>
            <w:r w:rsidR="00041B7A">
              <w:rPr>
                <w:rFonts w:hint="eastAsia"/>
                <w:iCs/>
                <w:lang w:val="en-GB" w:eastAsia="zh-CN"/>
              </w:rPr>
              <w:t>后</w:t>
            </w:r>
            <w:r w:rsidRPr="00F902DA">
              <w:rPr>
                <w:rFonts w:hint="eastAsia"/>
                <w:iCs/>
                <w:lang w:val="en-GB" w:eastAsia="zh-CN"/>
              </w:rPr>
              <w:t>的政策与《自愿准则》基本一致。</w:t>
            </w:r>
            <w:r w:rsidRPr="00F902DA">
              <w:rPr>
                <w:rFonts w:hint="eastAsia"/>
                <w:iCs/>
                <w:lang w:val="en-GB" w:eastAsia="zh-CN"/>
              </w:rPr>
              <w:t xml:space="preserve"> </w:t>
            </w:r>
            <w:r w:rsidRPr="00F902DA">
              <w:rPr>
                <w:rFonts w:hint="eastAsia"/>
                <w:iCs/>
                <w:lang w:val="en-GB" w:eastAsia="zh-CN"/>
              </w:rPr>
              <w:t>秘书处目前正在</w:t>
            </w:r>
            <w:r w:rsidR="00727744">
              <w:rPr>
                <w:rFonts w:hint="eastAsia"/>
                <w:iCs/>
                <w:lang w:val="en-GB" w:eastAsia="zh-CN"/>
              </w:rPr>
              <w:t>推动</w:t>
            </w:r>
            <w:r w:rsidR="00041B7A">
              <w:rPr>
                <w:rFonts w:hint="eastAsia"/>
                <w:iCs/>
                <w:lang w:val="en-GB" w:eastAsia="zh-CN"/>
              </w:rPr>
              <w:t>进行一项进程</w:t>
            </w:r>
            <w:r w:rsidRPr="00F902DA">
              <w:rPr>
                <w:rFonts w:hint="eastAsia"/>
                <w:iCs/>
                <w:lang w:val="en-GB" w:eastAsia="zh-CN"/>
              </w:rPr>
              <w:t>，审查</w:t>
            </w:r>
            <w:r w:rsidR="00727744">
              <w:rPr>
                <w:rFonts w:hint="eastAsia"/>
                <w:iCs/>
                <w:lang w:val="en-GB" w:eastAsia="zh-CN"/>
              </w:rPr>
              <w:t>各</w:t>
            </w:r>
            <w:r w:rsidRPr="00F902DA">
              <w:rPr>
                <w:rFonts w:hint="eastAsia"/>
                <w:iCs/>
                <w:lang w:val="en-GB" w:eastAsia="zh-CN"/>
              </w:rPr>
              <w:t>机构对更新</w:t>
            </w:r>
            <w:r w:rsidR="00727744">
              <w:rPr>
                <w:rFonts w:hint="eastAsia"/>
                <w:iCs/>
                <w:lang w:val="en-GB" w:eastAsia="zh-CN"/>
              </w:rPr>
              <w:t>后的</w:t>
            </w:r>
            <w:r w:rsidRPr="00F902DA">
              <w:rPr>
                <w:rFonts w:hint="eastAsia"/>
                <w:iCs/>
                <w:lang w:val="en-GB" w:eastAsia="zh-CN"/>
              </w:rPr>
              <w:t>政策中包含的最低标准的遵守情况。</w:t>
            </w:r>
          </w:p>
        </w:tc>
      </w:tr>
      <w:tr w:rsidR="00CB2F0E" w:rsidRPr="00CB2F0E" w14:paraId="4EC30EA0" w14:textId="77777777" w:rsidTr="008354E6">
        <w:tc>
          <w:tcPr>
            <w:tcW w:w="4675" w:type="dxa"/>
            <w:shd w:val="clear" w:color="auto" w:fill="auto"/>
          </w:tcPr>
          <w:p w14:paraId="38CA24BF" w14:textId="5B843FC1" w:rsidR="002C17EE" w:rsidRPr="002C17EE" w:rsidRDefault="002C17EE" w:rsidP="002C17EE">
            <w:pPr>
              <w:rPr>
                <w:rFonts w:ascii="SimSun" w:hAnsi="SimSun"/>
                <w:i/>
                <w:iCs/>
                <w:lang w:val="en-GB" w:eastAsia="zh-CN"/>
              </w:rPr>
            </w:pPr>
            <w:r w:rsidRPr="00C97C44">
              <w:rPr>
                <w:rFonts w:ascii="楷体" w:eastAsia="KaiTi" w:hAnsi="楷体" w:cs="SimSun" w:hint="eastAsia"/>
                <w:kern w:val="22"/>
                <w:lang w:val="zh-CN" w:eastAsia="zh-CN"/>
              </w:rPr>
              <w:t>注意到</w:t>
            </w:r>
            <w:r w:rsidRPr="002C17EE">
              <w:rPr>
                <w:rFonts w:ascii="SimSun" w:hAnsi="SimSun"/>
                <w:lang w:eastAsia="zh-CN"/>
              </w:rPr>
              <w:t>正在根据最佳做法</w:t>
            </w:r>
            <w:r w:rsidRPr="002C17EE">
              <w:rPr>
                <w:rFonts w:ascii="SimSun" w:hAnsi="SimSun" w:cs="SimSun" w:hint="eastAsia"/>
                <w:lang w:eastAsia="zh-CN"/>
              </w:rPr>
              <w:t>标</w:t>
            </w:r>
            <w:r w:rsidRPr="002C17EE">
              <w:rPr>
                <w:rFonts w:ascii="SimSun" w:hAnsi="SimSun" w:cs="MS Gothic" w:hint="eastAsia"/>
                <w:lang w:eastAsia="zh-CN"/>
              </w:rPr>
              <w:t>准，</w:t>
            </w:r>
            <w:r w:rsidRPr="002C17EE">
              <w:rPr>
                <w:rFonts w:ascii="SimSun" w:hAnsi="SimSun" w:cs="SimSun" w:hint="eastAsia"/>
                <w:lang w:eastAsia="zh-CN"/>
              </w:rPr>
              <w:t>审查</w:t>
            </w:r>
            <w:r w:rsidRPr="002C17EE">
              <w:rPr>
                <w:rFonts w:ascii="SimSun" w:hAnsi="SimSun" w:cs="MS Gothic" w:hint="eastAsia"/>
                <w:lang w:eastAsia="zh-CN"/>
              </w:rPr>
              <w:t>和更新全球</w:t>
            </w:r>
            <w:r w:rsidRPr="002C17EE">
              <w:rPr>
                <w:rFonts w:ascii="SimSun" w:hAnsi="SimSun" w:cs="SimSun" w:hint="eastAsia"/>
                <w:lang w:eastAsia="zh-CN"/>
              </w:rPr>
              <w:t>环</w:t>
            </w:r>
            <w:r w:rsidRPr="002C17EE">
              <w:rPr>
                <w:rFonts w:ascii="SimSun" w:hAnsi="SimSun" w:cs="MS Gothic" w:hint="eastAsia"/>
                <w:lang w:eastAsia="zh-CN"/>
              </w:rPr>
              <w:t>境基金关于保障措施的政策和与土著人民</w:t>
            </w:r>
            <w:r w:rsidRPr="002C17EE">
              <w:rPr>
                <w:rFonts w:ascii="SimSun" w:hAnsi="SimSun"/>
                <w:lang w:eastAsia="zh-CN"/>
              </w:rPr>
              <w:t>接触的</w:t>
            </w:r>
            <w:r w:rsidRPr="002C17EE">
              <w:rPr>
                <w:rFonts w:ascii="SimSun" w:hAnsi="SimSun" w:cs="SimSun" w:hint="eastAsia"/>
                <w:lang w:eastAsia="zh-CN"/>
              </w:rPr>
              <w:t>规则</w:t>
            </w:r>
            <w:r>
              <w:rPr>
                <w:rFonts w:ascii="SimSun" w:hAnsi="SimSun" w:cs="SimSun" w:hint="eastAsia"/>
                <w:lang w:eastAsia="zh-CN"/>
              </w:rPr>
              <w:t>；</w:t>
            </w:r>
          </w:p>
        </w:tc>
        <w:tc>
          <w:tcPr>
            <w:tcW w:w="4675" w:type="dxa"/>
            <w:shd w:val="clear" w:color="auto" w:fill="auto"/>
          </w:tcPr>
          <w:p w14:paraId="3DF08249" w14:textId="7AB482F4" w:rsidR="00F14C7E" w:rsidRPr="00CB2F0E" w:rsidRDefault="00F14C7E" w:rsidP="00F14C7E">
            <w:pPr>
              <w:rPr>
                <w:iCs/>
                <w:lang w:val="en-GB" w:eastAsia="zh-CN"/>
              </w:rPr>
            </w:pPr>
            <w:r w:rsidRPr="00F14C7E">
              <w:rPr>
                <w:rFonts w:hint="eastAsia"/>
                <w:iCs/>
                <w:lang w:val="en-GB" w:eastAsia="zh-CN"/>
              </w:rPr>
              <w:t>全球环境基金理事会于</w:t>
            </w:r>
            <w:r w:rsidRPr="00F14C7E">
              <w:rPr>
                <w:rFonts w:hint="eastAsia"/>
                <w:iCs/>
                <w:lang w:val="en-GB" w:eastAsia="zh-CN"/>
              </w:rPr>
              <w:t>2018</w:t>
            </w:r>
            <w:r w:rsidRPr="00F14C7E">
              <w:rPr>
                <w:rFonts w:hint="eastAsia"/>
                <w:iCs/>
                <w:lang w:val="en-GB" w:eastAsia="zh-CN"/>
              </w:rPr>
              <w:t>年</w:t>
            </w:r>
            <w:r w:rsidRPr="00F14C7E">
              <w:rPr>
                <w:rFonts w:hint="eastAsia"/>
                <w:iCs/>
                <w:lang w:val="en-GB" w:eastAsia="zh-CN"/>
              </w:rPr>
              <w:t>12</w:t>
            </w:r>
            <w:r w:rsidRPr="00F14C7E">
              <w:rPr>
                <w:rFonts w:hint="eastAsia"/>
                <w:iCs/>
                <w:lang w:val="en-GB" w:eastAsia="zh-CN"/>
              </w:rPr>
              <w:t>月批准了更新</w:t>
            </w:r>
            <w:r>
              <w:rPr>
                <w:rFonts w:hint="eastAsia"/>
                <w:iCs/>
                <w:lang w:val="en-GB" w:eastAsia="zh-CN"/>
              </w:rPr>
              <w:t>后</w:t>
            </w:r>
            <w:r w:rsidRPr="00F14C7E">
              <w:rPr>
                <w:rFonts w:hint="eastAsia"/>
                <w:iCs/>
                <w:lang w:val="en-GB" w:eastAsia="zh-CN"/>
              </w:rPr>
              <w:t>的《环境与社会保障政策》。</w:t>
            </w:r>
            <w:r>
              <w:rPr>
                <w:rStyle w:val="FootnoteReference"/>
                <w:iCs/>
                <w:lang w:val="en-GB"/>
              </w:rPr>
              <w:footnoteReference w:id="20"/>
            </w:r>
            <w:r>
              <w:rPr>
                <w:rFonts w:hint="eastAsia"/>
                <w:iCs/>
                <w:lang w:val="en-GB" w:eastAsia="zh-CN"/>
              </w:rPr>
              <w:t xml:space="preserve"> </w:t>
            </w:r>
            <w:r w:rsidRPr="00F14C7E">
              <w:rPr>
                <w:rFonts w:hint="eastAsia"/>
                <w:iCs/>
                <w:lang w:val="en-GB" w:eastAsia="zh-CN"/>
              </w:rPr>
              <w:t>更新</w:t>
            </w:r>
            <w:r>
              <w:rPr>
                <w:rFonts w:hint="eastAsia"/>
                <w:iCs/>
                <w:lang w:val="en-GB" w:eastAsia="zh-CN"/>
              </w:rPr>
              <w:t>后</w:t>
            </w:r>
            <w:r w:rsidRPr="00F14C7E">
              <w:rPr>
                <w:rFonts w:hint="eastAsia"/>
                <w:iCs/>
                <w:lang w:val="en-GB" w:eastAsia="zh-CN"/>
              </w:rPr>
              <w:t>的政策与国际最佳</w:t>
            </w:r>
            <w:r>
              <w:rPr>
                <w:rFonts w:hint="eastAsia"/>
                <w:iCs/>
                <w:lang w:val="en-GB" w:eastAsia="zh-CN"/>
              </w:rPr>
              <w:t>做法</w:t>
            </w:r>
            <w:r w:rsidRPr="00F14C7E">
              <w:rPr>
                <w:rFonts w:hint="eastAsia"/>
                <w:iCs/>
                <w:lang w:val="en-GB" w:eastAsia="zh-CN"/>
              </w:rPr>
              <w:t>保持一致，包括在与土著人民的接触以及适用自由</w:t>
            </w:r>
            <w:r>
              <w:rPr>
                <w:rFonts w:hint="eastAsia"/>
                <w:iCs/>
                <w:lang w:val="en-GB" w:eastAsia="zh-CN"/>
              </w:rPr>
              <w:t>、</w:t>
            </w:r>
            <w:r w:rsidRPr="00F14C7E">
              <w:rPr>
                <w:rFonts w:hint="eastAsia"/>
                <w:iCs/>
                <w:lang w:val="en-GB" w:eastAsia="zh-CN"/>
              </w:rPr>
              <w:t>事先和知情同意（</w:t>
            </w:r>
            <w:r w:rsidRPr="00F14C7E">
              <w:rPr>
                <w:rFonts w:hint="eastAsia"/>
                <w:iCs/>
                <w:lang w:val="en-GB" w:eastAsia="zh-CN"/>
              </w:rPr>
              <w:t>FPIC</w:t>
            </w:r>
            <w:r w:rsidRPr="00F14C7E">
              <w:rPr>
                <w:rFonts w:hint="eastAsia"/>
                <w:iCs/>
                <w:lang w:val="en-GB" w:eastAsia="zh-CN"/>
              </w:rPr>
              <w:t>）方面。</w:t>
            </w:r>
          </w:p>
        </w:tc>
      </w:tr>
      <w:tr w:rsidR="00CB2F0E" w:rsidRPr="00CB2F0E" w14:paraId="670F1D2D" w14:textId="77777777" w:rsidTr="008354E6">
        <w:tc>
          <w:tcPr>
            <w:tcW w:w="4675" w:type="dxa"/>
            <w:shd w:val="clear" w:color="auto" w:fill="auto"/>
          </w:tcPr>
          <w:p w14:paraId="6B7ABB74" w14:textId="5DE06F2A" w:rsidR="002C17EE" w:rsidRPr="002C17EE" w:rsidRDefault="002C17EE" w:rsidP="002C17EE">
            <w:pPr>
              <w:rPr>
                <w:rFonts w:ascii="SimSun" w:hAnsi="SimSun"/>
                <w:lang w:eastAsia="zh-CN"/>
              </w:rPr>
            </w:pPr>
            <w:r w:rsidRPr="00C97C44">
              <w:rPr>
                <w:rFonts w:ascii="楷体" w:eastAsia="KaiTi" w:hAnsi="楷体" w:cs="SimSun" w:hint="eastAsia"/>
                <w:kern w:val="22"/>
                <w:lang w:val="zh-CN" w:eastAsia="zh-CN"/>
              </w:rPr>
              <w:lastRenderedPageBreak/>
              <w:t>邀请</w:t>
            </w:r>
            <w:r w:rsidRPr="002C17EE">
              <w:rPr>
                <w:rFonts w:ascii="SimSun" w:hAnsi="SimSun"/>
                <w:iCs/>
                <w:lang w:eastAsia="zh-CN"/>
              </w:rPr>
              <w:t>各</w:t>
            </w:r>
            <w:r w:rsidRPr="002C17EE">
              <w:rPr>
                <w:rFonts w:ascii="SimSun" w:hAnsi="SimSun" w:cs="SimSun" w:hint="eastAsia"/>
                <w:iCs/>
                <w:lang w:eastAsia="zh-CN"/>
              </w:rPr>
              <w:t>缔约</w:t>
            </w:r>
            <w:r w:rsidRPr="002C17EE">
              <w:rPr>
                <w:rFonts w:ascii="SimSun" w:hAnsi="SimSun" w:cs="MS Gothic" w:hint="eastAsia"/>
                <w:iCs/>
                <w:lang w:eastAsia="zh-CN"/>
              </w:rPr>
              <w:t>方在利用全球</w:t>
            </w:r>
            <w:r w:rsidRPr="002C17EE">
              <w:rPr>
                <w:rFonts w:ascii="SimSun" w:hAnsi="SimSun" w:cs="SimSun" w:hint="eastAsia"/>
                <w:iCs/>
                <w:lang w:eastAsia="zh-CN"/>
              </w:rPr>
              <w:t>环</w:t>
            </w:r>
            <w:r w:rsidRPr="002C17EE">
              <w:rPr>
                <w:rFonts w:ascii="SimSun" w:hAnsi="SimSun" w:cs="MS Gothic" w:hint="eastAsia"/>
                <w:iCs/>
                <w:lang w:eastAsia="zh-CN"/>
              </w:rPr>
              <w:t>境基金第七次增</w:t>
            </w:r>
            <w:r w:rsidRPr="002C17EE">
              <w:rPr>
                <w:rFonts w:ascii="SimSun" w:hAnsi="SimSun" w:cs="SimSun" w:hint="eastAsia"/>
                <w:iCs/>
                <w:lang w:eastAsia="zh-CN"/>
              </w:rPr>
              <w:t>资拨</w:t>
            </w:r>
            <w:r w:rsidRPr="002C17EE">
              <w:rPr>
                <w:rFonts w:ascii="SimSun" w:hAnsi="SimSun" w:cs="MS Gothic" w:hint="eastAsia"/>
                <w:iCs/>
                <w:lang w:eastAsia="zh-CN"/>
              </w:rPr>
              <w:t>款的同</w:t>
            </w:r>
            <w:r w:rsidRPr="002C17EE">
              <w:rPr>
                <w:rFonts w:ascii="SimSun" w:hAnsi="SimSun" w:cs="SimSun" w:hint="eastAsia"/>
                <w:iCs/>
                <w:lang w:eastAsia="zh-CN"/>
              </w:rPr>
              <w:t>时</w:t>
            </w:r>
            <w:r w:rsidRPr="002C17EE">
              <w:rPr>
                <w:rFonts w:ascii="SimSun" w:hAnsi="SimSun" w:cs="MS Gothic" w:hint="eastAsia"/>
                <w:iCs/>
                <w:lang w:eastAsia="zh-CN"/>
              </w:rPr>
              <w:t>，酌情通</w:t>
            </w:r>
            <w:r w:rsidRPr="002C17EE">
              <w:rPr>
                <w:rFonts w:ascii="SimSun" w:hAnsi="SimSun" w:cs="SimSun" w:hint="eastAsia"/>
                <w:iCs/>
                <w:lang w:eastAsia="zh-CN"/>
              </w:rPr>
              <w:t>过</w:t>
            </w:r>
            <w:r w:rsidRPr="002C17EE">
              <w:rPr>
                <w:rFonts w:ascii="SimSun" w:hAnsi="SimSun" w:cs="MS Gothic" w:hint="eastAsia"/>
                <w:iCs/>
                <w:lang w:eastAsia="zh-CN"/>
              </w:rPr>
              <w:t>土著人民和地方社区的方案、</w:t>
            </w:r>
            <w:r w:rsidRPr="002C17EE">
              <w:rPr>
                <w:rFonts w:ascii="SimSun" w:hAnsi="SimSun" w:cs="SimSun" w:hint="eastAsia"/>
                <w:iCs/>
                <w:lang w:eastAsia="zh-CN"/>
              </w:rPr>
              <w:t>项</w:t>
            </w:r>
            <w:r w:rsidRPr="002C17EE">
              <w:rPr>
                <w:rFonts w:ascii="SimSun" w:hAnsi="SimSun" w:cs="MS Gothic" w:hint="eastAsia"/>
                <w:iCs/>
                <w:lang w:eastAsia="zh-CN"/>
              </w:rPr>
              <w:t>目和活</w:t>
            </w:r>
            <w:r w:rsidRPr="002C17EE">
              <w:rPr>
                <w:rFonts w:ascii="SimSun" w:hAnsi="SimSun" w:cs="SimSun" w:hint="eastAsia"/>
                <w:iCs/>
                <w:lang w:eastAsia="zh-CN"/>
              </w:rPr>
              <w:t>动</w:t>
            </w:r>
            <w:r w:rsidRPr="002C17EE">
              <w:rPr>
                <w:rFonts w:ascii="SimSun" w:hAnsi="SimSun" w:cs="MS Gothic" w:hint="eastAsia"/>
                <w:iCs/>
                <w:lang w:eastAsia="zh-CN"/>
              </w:rPr>
              <w:t>，包括全球</w:t>
            </w:r>
            <w:r w:rsidRPr="002C17EE">
              <w:rPr>
                <w:rFonts w:ascii="SimSun" w:hAnsi="SimSun" w:cs="SimSun" w:hint="eastAsia"/>
                <w:iCs/>
                <w:lang w:eastAsia="zh-CN"/>
              </w:rPr>
              <w:t>环</w:t>
            </w:r>
            <w:r w:rsidRPr="002C17EE">
              <w:rPr>
                <w:rFonts w:ascii="SimSun" w:hAnsi="SimSun" w:cs="MS Gothic" w:hint="eastAsia"/>
                <w:iCs/>
                <w:lang w:eastAsia="zh-CN"/>
              </w:rPr>
              <w:t>境基金的小</w:t>
            </w:r>
            <w:r w:rsidRPr="002C17EE">
              <w:rPr>
                <w:rFonts w:ascii="SimSun" w:hAnsi="SimSun" w:cs="SimSun" w:hint="eastAsia"/>
                <w:iCs/>
                <w:lang w:eastAsia="zh-CN"/>
              </w:rPr>
              <w:t>额赠</w:t>
            </w:r>
            <w:r w:rsidRPr="002C17EE">
              <w:rPr>
                <w:rFonts w:ascii="SimSun" w:hAnsi="SimSun" w:cs="MS Gothic" w:hint="eastAsia"/>
                <w:iCs/>
                <w:lang w:eastAsia="zh-CN"/>
              </w:rPr>
              <w:t>款方案，</w:t>
            </w:r>
            <w:r w:rsidRPr="002C17EE">
              <w:rPr>
                <w:rFonts w:ascii="SimSun" w:hAnsi="SimSun" w:cs="SimSun" w:hint="eastAsia"/>
                <w:iCs/>
                <w:lang w:eastAsia="zh-CN"/>
              </w:rPr>
              <w:t>继续</w:t>
            </w:r>
            <w:r w:rsidRPr="002C17EE">
              <w:rPr>
                <w:rFonts w:ascii="SimSun" w:hAnsi="SimSun"/>
                <w:iCs/>
                <w:lang w:eastAsia="zh-CN"/>
              </w:rPr>
              <w:t>支持土著人民和地方社区</w:t>
            </w:r>
            <w:r w:rsidRPr="002C17EE">
              <w:rPr>
                <w:rFonts w:ascii="SimSun" w:hAnsi="SimSun" w:cs="SimSun" w:hint="eastAsia"/>
                <w:iCs/>
                <w:lang w:eastAsia="zh-CN"/>
              </w:rPr>
              <w:t>对实现</w:t>
            </w:r>
            <w:r w:rsidRPr="002C17EE">
              <w:rPr>
                <w:rFonts w:ascii="SimSun" w:hAnsi="SimSun" w:cs="MS Gothic" w:hint="eastAsia"/>
                <w:iCs/>
                <w:lang w:eastAsia="zh-CN"/>
              </w:rPr>
              <w:t>《</w:t>
            </w:r>
            <w:r w:rsidRPr="002C17EE">
              <w:rPr>
                <w:rFonts w:ascii="SimSun" w:hAnsi="SimSun" w:cs="SimSun" w:hint="eastAsia"/>
                <w:iCs/>
                <w:lang w:eastAsia="zh-CN"/>
              </w:rPr>
              <w:t>爱</w:t>
            </w:r>
            <w:r w:rsidRPr="002C17EE">
              <w:rPr>
                <w:rFonts w:ascii="SimSun" w:hAnsi="SimSun" w:cs="MS Gothic" w:hint="eastAsia"/>
                <w:iCs/>
                <w:lang w:eastAsia="zh-CN"/>
              </w:rPr>
              <w:t>知生物多</w:t>
            </w:r>
            <w:r w:rsidRPr="002C17EE">
              <w:rPr>
                <w:rFonts w:ascii="SimSun" w:hAnsi="SimSun" w:cs="SimSun" w:hint="eastAsia"/>
                <w:iCs/>
                <w:lang w:eastAsia="zh-CN"/>
              </w:rPr>
              <w:t>样</w:t>
            </w:r>
            <w:r w:rsidRPr="002C17EE">
              <w:rPr>
                <w:rFonts w:ascii="SimSun" w:hAnsi="SimSun" w:cs="MS Gothic" w:hint="eastAsia"/>
                <w:iCs/>
                <w:lang w:eastAsia="zh-CN"/>
              </w:rPr>
              <w:t>性指</w:t>
            </w:r>
            <w:r w:rsidRPr="002C17EE">
              <w:rPr>
                <w:rFonts w:ascii="SimSun" w:hAnsi="SimSun" w:cs="SimSun" w:hint="eastAsia"/>
                <w:iCs/>
                <w:lang w:eastAsia="zh-CN"/>
              </w:rPr>
              <w:t>标</w:t>
            </w:r>
            <w:r w:rsidRPr="002C17EE">
              <w:rPr>
                <w:rFonts w:ascii="SimSun" w:hAnsi="SimSun" w:cs="MS Gothic" w:hint="eastAsia"/>
                <w:iCs/>
                <w:lang w:eastAsia="zh-CN"/>
              </w:rPr>
              <w:t>》的集体行</w:t>
            </w:r>
            <w:r w:rsidRPr="002C17EE">
              <w:rPr>
                <w:rFonts w:ascii="SimSun" w:hAnsi="SimSun" w:cs="SimSun" w:hint="eastAsia"/>
                <w:iCs/>
                <w:lang w:eastAsia="zh-CN"/>
              </w:rPr>
              <w:t>动</w:t>
            </w:r>
            <w:r w:rsidRPr="002C17EE">
              <w:rPr>
                <w:rFonts w:ascii="SimSun" w:hAnsi="SimSun" w:cs="MS Gothic" w:hint="eastAsia"/>
                <w:iCs/>
                <w:lang w:eastAsia="zh-CN"/>
              </w:rPr>
              <w:t>和</w:t>
            </w:r>
            <w:r w:rsidRPr="002C17EE">
              <w:rPr>
                <w:rFonts w:ascii="SimSun" w:hAnsi="SimSun" w:cs="SimSun" w:hint="eastAsia"/>
                <w:iCs/>
                <w:lang w:eastAsia="zh-CN"/>
              </w:rPr>
              <w:t>贡</w:t>
            </w:r>
            <w:r w:rsidRPr="002C17EE">
              <w:rPr>
                <w:rFonts w:ascii="SimSun" w:hAnsi="SimSun" w:cs="MS Gothic" w:hint="eastAsia"/>
                <w:iCs/>
                <w:lang w:eastAsia="zh-CN"/>
              </w:rPr>
              <w:t>献；</w:t>
            </w:r>
          </w:p>
          <w:p w14:paraId="2C14DD61" w14:textId="77777777" w:rsidR="002C17EE" w:rsidRPr="00CB2F0E" w:rsidRDefault="002C17EE" w:rsidP="00CB2F0E">
            <w:pPr>
              <w:rPr>
                <w:lang w:val="en-GB" w:eastAsia="zh-CN"/>
              </w:rPr>
            </w:pPr>
          </w:p>
        </w:tc>
        <w:tc>
          <w:tcPr>
            <w:tcW w:w="4675" w:type="dxa"/>
            <w:shd w:val="clear" w:color="auto" w:fill="auto"/>
          </w:tcPr>
          <w:p w14:paraId="377D9021" w14:textId="463374B6" w:rsidR="00F14C7E" w:rsidRPr="00CB2F0E" w:rsidRDefault="00F14C7E" w:rsidP="00A74152">
            <w:pPr>
              <w:rPr>
                <w:lang w:val="en-GB" w:eastAsia="zh-CN"/>
              </w:rPr>
            </w:pPr>
            <w:r w:rsidRPr="00F14C7E">
              <w:rPr>
                <w:rFonts w:hint="eastAsia"/>
                <w:lang w:val="en-GB" w:eastAsia="zh-CN"/>
              </w:rPr>
              <w:t>全环基金继续在全环基金第七次</w:t>
            </w:r>
            <w:r>
              <w:rPr>
                <w:rFonts w:hint="eastAsia"/>
                <w:lang w:val="en-GB" w:eastAsia="zh-CN"/>
              </w:rPr>
              <w:t>增资</w:t>
            </w:r>
            <w:r w:rsidRPr="00F14C7E">
              <w:rPr>
                <w:rFonts w:hint="eastAsia"/>
                <w:lang w:val="en-GB" w:eastAsia="zh-CN"/>
              </w:rPr>
              <w:t>中支持国家推动的项目，以执行与全环基金第七次</w:t>
            </w:r>
            <w:r>
              <w:rPr>
                <w:rFonts w:hint="eastAsia"/>
                <w:lang w:val="en-GB" w:eastAsia="zh-CN"/>
              </w:rPr>
              <w:t>增资</w:t>
            </w:r>
            <w:r w:rsidRPr="00F14C7E">
              <w:rPr>
                <w:rFonts w:hint="eastAsia"/>
                <w:lang w:val="en-GB" w:eastAsia="zh-CN"/>
              </w:rPr>
              <w:t>方案</w:t>
            </w:r>
            <w:r w:rsidR="00A74152">
              <w:rPr>
                <w:rFonts w:hint="eastAsia"/>
                <w:lang w:val="en-GB" w:eastAsia="zh-CN"/>
              </w:rPr>
              <w:t>编制指导意见</w:t>
            </w:r>
            <w:r w:rsidRPr="00F14C7E">
              <w:rPr>
                <w:rFonts w:hint="eastAsia"/>
                <w:lang w:val="en-GB" w:eastAsia="zh-CN"/>
              </w:rPr>
              <w:t>和全环基金第七次</w:t>
            </w:r>
            <w:r w:rsidR="00A74152">
              <w:rPr>
                <w:rFonts w:hint="eastAsia"/>
                <w:lang w:val="en-GB" w:eastAsia="zh-CN"/>
              </w:rPr>
              <w:t>增资</w:t>
            </w:r>
            <w:r w:rsidRPr="00F14C7E">
              <w:rPr>
                <w:rFonts w:hint="eastAsia"/>
                <w:lang w:val="en-GB" w:eastAsia="zh-CN"/>
              </w:rPr>
              <w:t>生物多样性战略相一致的《</w:t>
            </w:r>
            <w:r w:rsidRPr="00F14C7E">
              <w:rPr>
                <w:rFonts w:hint="eastAsia"/>
                <w:lang w:val="en-GB" w:eastAsia="zh-CN"/>
              </w:rPr>
              <w:t xml:space="preserve"> 2011-2020</w:t>
            </w:r>
            <w:r w:rsidRPr="00F14C7E">
              <w:rPr>
                <w:rFonts w:hint="eastAsia"/>
                <w:lang w:val="en-GB" w:eastAsia="zh-CN"/>
              </w:rPr>
              <w:t>年生物多样性战略计划》。</w:t>
            </w:r>
            <w:r w:rsidRPr="00F14C7E">
              <w:rPr>
                <w:rFonts w:hint="eastAsia"/>
                <w:lang w:val="en-GB" w:eastAsia="zh-CN"/>
              </w:rPr>
              <w:t xml:space="preserve"> </w:t>
            </w:r>
            <w:r w:rsidRPr="00F14C7E">
              <w:rPr>
                <w:rFonts w:hint="eastAsia"/>
                <w:lang w:val="en-GB" w:eastAsia="zh-CN"/>
              </w:rPr>
              <w:t>在本报告所述期间，全球环境基金批准了三个国家项目（马达加斯加</w:t>
            </w:r>
            <w:r w:rsidR="00A74152">
              <w:rPr>
                <w:rFonts w:hint="eastAsia"/>
                <w:lang w:val="en-GB" w:eastAsia="zh-CN"/>
              </w:rPr>
              <w:t>、</w:t>
            </w:r>
            <w:r w:rsidRPr="00F14C7E">
              <w:rPr>
                <w:rFonts w:hint="eastAsia"/>
                <w:lang w:val="en-GB" w:eastAsia="zh-CN"/>
              </w:rPr>
              <w:t>巴拿马</w:t>
            </w:r>
            <w:r w:rsidR="00A74152">
              <w:rPr>
                <w:rFonts w:hint="eastAsia"/>
                <w:lang w:val="en-GB" w:eastAsia="zh-CN"/>
              </w:rPr>
              <w:t>、</w:t>
            </w:r>
            <w:r w:rsidRPr="00F14C7E">
              <w:rPr>
                <w:rFonts w:hint="eastAsia"/>
                <w:lang w:val="en-GB" w:eastAsia="zh-CN"/>
              </w:rPr>
              <w:t>苏丹），以</w:t>
            </w:r>
            <w:r w:rsidR="00A74152">
              <w:rPr>
                <w:rFonts w:hint="eastAsia"/>
                <w:lang w:val="en-GB" w:eastAsia="zh-CN"/>
              </w:rPr>
              <w:t>便</w:t>
            </w:r>
            <w:r w:rsidRPr="00F14C7E">
              <w:rPr>
                <w:rFonts w:hint="eastAsia"/>
                <w:lang w:val="en-GB" w:eastAsia="zh-CN"/>
              </w:rPr>
              <w:t>加强执行《名古屋议定书》所需的技术</w:t>
            </w:r>
            <w:r w:rsidR="00A74152">
              <w:rPr>
                <w:rFonts w:hint="eastAsia"/>
                <w:lang w:val="en-GB" w:eastAsia="zh-CN"/>
              </w:rPr>
              <w:t>、</w:t>
            </w:r>
            <w:r w:rsidRPr="00F14C7E">
              <w:rPr>
                <w:rFonts w:hint="eastAsia"/>
                <w:lang w:val="en-GB" w:eastAsia="zh-CN"/>
              </w:rPr>
              <w:t>法律和体制能力。</w:t>
            </w:r>
            <w:r w:rsidR="00A74152">
              <w:rPr>
                <w:rFonts w:hint="eastAsia"/>
                <w:lang w:val="en-GB" w:eastAsia="zh-CN"/>
              </w:rPr>
              <w:t>全环基金</w:t>
            </w:r>
            <w:r w:rsidRPr="00F14C7E">
              <w:rPr>
                <w:rFonts w:hint="eastAsia"/>
                <w:lang w:val="en-GB" w:eastAsia="zh-CN"/>
              </w:rPr>
              <w:t>投资了</w:t>
            </w:r>
            <w:r w:rsidRPr="00F14C7E">
              <w:rPr>
                <w:rFonts w:hint="eastAsia"/>
                <w:lang w:val="en-GB" w:eastAsia="zh-CN"/>
              </w:rPr>
              <w:t>390</w:t>
            </w:r>
            <w:r w:rsidRPr="00F14C7E">
              <w:rPr>
                <w:rFonts w:hint="eastAsia"/>
                <w:lang w:val="en-GB" w:eastAsia="zh-CN"/>
              </w:rPr>
              <w:t>万美元，并利用</w:t>
            </w:r>
            <w:r w:rsidR="00A74152">
              <w:rPr>
                <w:rFonts w:hint="eastAsia"/>
                <w:lang w:val="en-GB" w:eastAsia="zh-CN"/>
              </w:rPr>
              <w:t>共同筹资</w:t>
            </w:r>
            <w:r w:rsidRPr="00F14C7E">
              <w:rPr>
                <w:rFonts w:hint="eastAsia"/>
                <w:lang w:val="en-GB" w:eastAsia="zh-CN"/>
              </w:rPr>
              <w:t>筹集了</w:t>
            </w:r>
            <w:r w:rsidRPr="00F14C7E">
              <w:rPr>
                <w:rFonts w:hint="eastAsia"/>
                <w:lang w:val="en-GB" w:eastAsia="zh-CN"/>
              </w:rPr>
              <w:t>2420</w:t>
            </w:r>
            <w:r w:rsidRPr="00F14C7E">
              <w:rPr>
                <w:rFonts w:hint="eastAsia"/>
                <w:lang w:val="en-GB" w:eastAsia="zh-CN"/>
              </w:rPr>
              <w:t>万美元。</w:t>
            </w:r>
          </w:p>
        </w:tc>
      </w:tr>
      <w:tr w:rsidR="00CB2F0E" w:rsidRPr="00CB2F0E" w14:paraId="0F8282BB" w14:textId="77777777" w:rsidTr="008354E6">
        <w:tc>
          <w:tcPr>
            <w:tcW w:w="4675" w:type="dxa"/>
            <w:shd w:val="clear" w:color="auto" w:fill="auto"/>
          </w:tcPr>
          <w:p w14:paraId="160C83E5" w14:textId="5C62D910" w:rsidR="00693400" w:rsidRPr="00693400" w:rsidRDefault="00693400" w:rsidP="00693400">
            <w:pPr>
              <w:rPr>
                <w:lang w:val="en-GB" w:eastAsia="zh-CN"/>
              </w:rPr>
            </w:pPr>
            <w:r w:rsidRPr="00C97C44">
              <w:rPr>
                <w:rFonts w:ascii="楷体" w:eastAsia="KaiTi" w:hAnsi="楷体" w:hint="eastAsia"/>
                <w:lang w:val="en-GB" w:eastAsia="zh-CN"/>
              </w:rPr>
              <w:t>邀请</w:t>
            </w:r>
            <w:r w:rsidRPr="00693400">
              <w:rPr>
                <w:rFonts w:hint="eastAsia"/>
                <w:lang w:val="en-GB" w:eastAsia="zh-CN"/>
              </w:rPr>
              <w:t>全球环境基金依照第</w:t>
            </w:r>
            <w:r w:rsidRPr="00693400">
              <w:rPr>
                <w:rFonts w:hint="eastAsia"/>
                <w:lang w:val="en-GB" w:eastAsia="zh-CN"/>
              </w:rPr>
              <w:t>XIII/21</w:t>
            </w:r>
            <w:r w:rsidRPr="00693400">
              <w:rPr>
                <w:rFonts w:hint="eastAsia"/>
                <w:lang w:val="en-GB" w:eastAsia="zh-CN"/>
              </w:rPr>
              <w:t>号决定所载综合指导意见，继续在以下方面向所有符合资格的缔约方提供能力建设支持：</w:t>
            </w:r>
          </w:p>
          <w:p w14:paraId="792C9EA9" w14:textId="07C88282" w:rsidR="00693400" w:rsidRPr="00693400" w:rsidRDefault="00693400" w:rsidP="00693400">
            <w:pPr>
              <w:numPr>
                <w:ilvl w:val="0"/>
                <w:numId w:val="2"/>
              </w:numPr>
              <w:rPr>
                <w:lang w:val="en-GB" w:eastAsia="zh-CN"/>
              </w:rPr>
            </w:pPr>
            <w:r w:rsidRPr="00693400">
              <w:rPr>
                <w:rFonts w:hint="eastAsia"/>
                <w:lang w:val="en-GB" w:eastAsia="zh-CN"/>
              </w:rPr>
              <w:t>缔约方确定的便利进一步执行《卡塔赫纳生物安全议定书》和《关于获取遗传资源和惠益分享的名古屋议定书》的问题，包括区域合作项目，以期促进分享取得的经验教训和发挥相关的协同作用；</w:t>
            </w:r>
          </w:p>
          <w:p w14:paraId="42500A64" w14:textId="2ADDF663" w:rsidR="00693400" w:rsidRPr="00CB2F0E" w:rsidRDefault="00693400" w:rsidP="00693400">
            <w:pPr>
              <w:numPr>
                <w:ilvl w:val="0"/>
                <w:numId w:val="2"/>
              </w:numPr>
              <w:rPr>
                <w:lang w:val="en-GB" w:eastAsia="zh-CN"/>
              </w:rPr>
            </w:pPr>
            <w:r w:rsidRPr="00693400">
              <w:rPr>
                <w:rFonts w:hint="eastAsia"/>
                <w:lang w:val="en-GB" w:eastAsia="zh-CN"/>
              </w:rPr>
              <w:t>根据持续加强能力建设促进有效参与生物安全信息交换所的项目期间和利用生物多样性重点领域资源中学得的经验教训，利用获取和惠益分享信息交换所；</w:t>
            </w:r>
          </w:p>
        </w:tc>
        <w:tc>
          <w:tcPr>
            <w:tcW w:w="4675" w:type="dxa"/>
            <w:shd w:val="clear" w:color="auto" w:fill="auto"/>
          </w:tcPr>
          <w:p w14:paraId="5F2705BD" w14:textId="0AE58E49" w:rsidR="00A74152" w:rsidRPr="00CB2F0E" w:rsidRDefault="00A74152" w:rsidP="00CB2F0E">
            <w:pPr>
              <w:rPr>
                <w:lang w:eastAsia="zh-CN"/>
              </w:rPr>
            </w:pPr>
            <w:r w:rsidRPr="00A74152">
              <w:rPr>
                <w:rFonts w:hint="eastAsia"/>
                <w:lang w:eastAsia="zh-CN"/>
              </w:rPr>
              <w:t>全球环境基金</w:t>
            </w:r>
            <w:r w:rsidR="00CE4D34">
              <w:rPr>
                <w:rFonts w:hint="eastAsia"/>
                <w:lang w:eastAsia="zh-CN"/>
              </w:rPr>
              <w:t>鉴于</w:t>
            </w:r>
            <w:r w:rsidR="00CE4D34" w:rsidRPr="00A74152">
              <w:rPr>
                <w:rFonts w:hint="eastAsia"/>
                <w:lang w:eastAsia="zh-CN"/>
              </w:rPr>
              <w:t>目前</w:t>
            </w:r>
            <w:r w:rsidR="00CE4D34">
              <w:rPr>
                <w:rFonts w:hint="eastAsia"/>
                <w:lang w:eastAsia="zh-CN"/>
              </w:rPr>
              <w:t>设于生物多样性公约秘书处的门户网站的使用</w:t>
            </w:r>
            <w:r w:rsidR="00CE4D34" w:rsidRPr="00A74152">
              <w:rPr>
                <w:rFonts w:hint="eastAsia"/>
                <w:lang w:eastAsia="zh-CN"/>
              </w:rPr>
              <w:t>情况</w:t>
            </w:r>
            <w:r w:rsidR="00CE4D34">
              <w:rPr>
                <w:rFonts w:hint="eastAsia"/>
                <w:lang w:eastAsia="zh-CN"/>
              </w:rPr>
              <w:t>，</w:t>
            </w:r>
            <w:r w:rsidRPr="00A74152">
              <w:rPr>
                <w:rFonts w:hint="eastAsia"/>
                <w:lang w:eastAsia="zh-CN"/>
              </w:rPr>
              <w:t>继续支持国家推动的项目，</w:t>
            </w:r>
            <w:r w:rsidR="00CE4D34">
              <w:rPr>
                <w:rFonts w:hint="eastAsia"/>
                <w:lang w:eastAsia="zh-CN"/>
              </w:rPr>
              <w:t>以便</w:t>
            </w:r>
            <w:r w:rsidRPr="00A74152">
              <w:rPr>
                <w:rFonts w:hint="eastAsia"/>
                <w:lang w:eastAsia="zh-CN"/>
              </w:rPr>
              <w:t>在</w:t>
            </w:r>
            <w:r>
              <w:rPr>
                <w:rFonts w:hint="eastAsia"/>
                <w:lang w:eastAsia="zh-CN"/>
              </w:rPr>
              <w:t>全环基金第七次增资期间建立能力</w:t>
            </w:r>
            <w:r w:rsidRPr="00A74152">
              <w:rPr>
                <w:rFonts w:hint="eastAsia"/>
                <w:lang w:eastAsia="zh-CN"/>
              </w:rPr>
              <w:t>，执行</w:t>
            </w:r>
            <w:r>
              <w:rPr>
                <w:rFonts w:hint="eastAsia"/>
                <w:lang w:eastAsia="zh-CN"/>
              </w:rPr>
              <w:t>全环基金第七次增资期间</w:t>
            </w:r>
            <w:r w:rsidR="00CE4D34">
              <w:rPr>
                <w:rFonts w:hint="eastAsia"/>
                <w:lang w:eastAsia="zh-CN"/>
              </w:rPr>
              <w:t>的</w:t>
            </w:r>
            <w:r w:rsidRPr="00A74152">
              <w:rPr>
                <w:rFonts w:hint="eastAsia"/>
                <w:lang w:eastAsia="zh-CN"/>
              </w:rPr>
              <w:t>生物多样性战略所述的《名古屋议定书》和《卡塔赫纳议定书》，包括获取</w:t>
            </w:r>
            <w:r>
              <w:rPr>
                <w:rFonts w:hint="eastAsia"/>
                <w:lang w:eastAsia="zh-CN"/>
              </w:rPr>
              <w:t>遗传资源</w:t>
            </w:r>
            <w:r w:rsidRPr="00A74152">
              <w:rPr>
                <w:rFonts w:hint="eastAsia"/>
                <w:lang w:eastAsia="zh-CN"/>
              </w:rPr>
              <w:t>和惠益分享信息交换所。</w:t>
            </w:r>
          </w:p>
          <w:p w14:paraId="34111C96" w14:textId="77777777" w:rsidR="00CB2F0E" w:rsidRPr="00CB2F0E" w:rsidRDefault="00CB2F0E" w:rsidP="00CB2F0E">
            <w:pPr>
              <w:rPr>
                <w:iCs/>
                <w:lang w:val="en-GB" w:eastAsia="zh-CN"/>
              </w:rPr>
            </w:pPr>
          </w:p>
        </w:tc>
      </w:tr>
      <w:tr w:rsidR="00CB2F0E" w:rsidRPr="00CB2F0E" w14:paraId="0EB48CFF" w14:textId="77777777" w:rsidTr="008354E6">
        <w:tc>
          <w:tcPr>
            <w:tcW w:w="4675" w:type="dxa"/>
            <w:shd w:val="clear" w:color="auto" w:fill="auto"/>
          </w:tcPr>
          <w:p w14:paraId="595A8766" w14:textId="77777777" w:rsidR="00693400" w:rsidRPr="00693400" w:rsidRDefault="00693400" w:rsidP="00693400">
            <w:pPr>
              <w:rPr>
                <w:lang w:val="en-GB" w:eastAsia="zh-CN"/>
              </w:rPr>
            </w:pPr>
            <w:r w:rsidRPr="00C97C44">
              <w:rPr>
                <w:rFonts w:ascii="楷体" w:eastAsia="KaiTi" w:hAnsi="楷体" w:hint="eastAsia"/>
                <w:lang w:val="en-GB" w:eastAsia="zh-CN"/>
              </w:rPr>
              <w:t>邀请</w:t>
            </w:r>
            <w:r w:rsidRPr="00693400">
              <w:rPr>
                <w:rFonts w:hint="eastAsia"/>
                <w:lang w:val="en-GB" w:eastAsia="zh-CN"/>
              </w:rPr>
              <w:t>全球环境基金继续提供资金，协助符合资格的缔约方执行《卡塔赫纳议定书》，特别是：</w:t>
            </w:r>
          </w:p>
          <w:p w14:paraId="01094128" w14:textId="77777777" w:rsidR="00693400" w:rsidRPr="00693400" w:rsidRDefault="00693400" w:rsidP="00693400">
            <w:pPr>
              <w:numPr>
                <w:ilvl w:val="0"/>
                <w:numId w:val="3"/>
              </w:numPr>
              <w:rPr>
                <w:lang w:val="en-GB" w:eastAsia="zh-CN"/>
              </w:rPr>
            </w:pPr>
            <w:r w:rsidRPr="00693400">
              <w:rPr>
                <w:rFonts w:hint="eastAsia"/>
                <w:lang w:val="en-GB" w:eastAsia="zh-CN"/>
              </w:rPr>
              <w:t>协助尚未这样做的符合资格的缔约方全面实施《议定书》规定的措施；</w:t>
            </w:r>
          </w:p>
          <w:p w14:paraId="5B153AA0" w14:textId="77777777" w:rsidR="00693400" w:rsidRPr="00693400" w:rsidRDefault="00693400" w:rsidP="00693400">
            <w:pPr>
              <w:numPr>
                <w:ilvl w:val="0"/>
                <w:numId w:val="3"/>
              </w:numPr>
              <w:rPr>
                <w:lang w:val="en-GB" w:eastAsia="zh-CN"/>
              </w:rPr>
            </w:pPr>
            <w:r w:rsidRPr="00693400">
              <w:rPr>
                <w:rFonts w:hint="eastAsia"/>
                <w:lang w:val="en-GB" w:eastAsia="zh-CN"/>
              </w:rPr>
              <w:t>支持符合资格的缔约方履行《议定书》规定的报告义务，包括编制和提交《议定书》规定的第四次国家报告；</w:t>
            </w:r>
          </w:p>
          <w:p w14:paraId="6AF98CB3" w14:textId="3927356D" w:rsidR="00693400" w:rsidRPr="00CB2F0E" w:rsidRDefault="00693400" w:rsidP="00693400">
            <w:pPr>
              <w:numPr>
                <w:ilvl w:val="0"/>
                <w:numId w:val="3"/>
              </w:numPr>
              <w:rPr>
                <w:lang w:val="en-GB" w:eastAsia="zh-CN"/>
              </w:rPr>
            </w:pPr>
            <w:r w:rsidRPr="00693400">
              <w:rPr>
                <w:rFonts w:hint="eastAsia"/>
                <w:lang w:val="en-GB" w:eastAsia="zh-CN"/>
              </w:rPr>
              <w:t>支持缔约方执行关于遵守《议定书》的履约行动计划；</w:t>
            </w:r>
          </w:p>
        </w:tc>
        <w:tc>
          <w:tcPr>
            <w:tcW w:w="4675" w:type="dxa"/>
            <w:shd w:val="clear" w:color="auto" w:fill="auto"/>
          </w:tcPr>
          <w:p w14:paraId="0297A57E" w14:textId="2BAB6AFE" w:rsidR="00CE4D34" w:rsidRPr="00282210" w:rsidRDefault="00CE4D34" w:rsidP="00D351D4">
            <w:pPr>
              <w:rPr>
                <w:lang w:val="en-GB" w:eastAsia="zh-CN"/>
              </w:rPr>
            </w:pPr>
            <w:r w:rsidRPr="00CE4D34">
              <w:rPr>
                <w:rFonts w:hint="eastAsia"/>
                <w:lang w:val="en-GB" w:eastAsia="zh-CN"/>
              </w:rPr>
              <w:t>全球环境基金</w:t>
            </w:r>
            <w:r>
              <w:rPr>
                <w:rFonts w:hint="eastAsia"/>
                <w:lang w:val="en-GB" w:eastAsia="zh-CN"/>
              </w:rPr>
              <w:t>在全环基金第七次增资期间</w:t>
            </w:r>
            <w:r w:rsidRPr="00CE4D34">
              <w:rPr>
                <w:rFonts w:hint="eastAsia"/>
                <w:lang w:val="en-GB" w:eastAsia="zh-CN"/>
              </w:rPr>
              <w:t>将继续支持国家驱动的项目，以执行全球环境基金第七次</w:t>
            </w:r>
            <w:r w:rsidR="00D351D4">
              <w:rPr>
                <w:rFonts w:hint="eastAsia"/>
                <w:lang w:val="en-GB" w:eastAsia="zh-CN"/>
              </w:rPr>
              <w:t>增资期间</w:t>
            </w:r>
            <w:r w:rsidRPr="00CE4D34">
              <w:rPr>
                <w:rFonts w:hint="eastAsia"/>
                <w:lang w:val="en-GB" w:eastAsia="zh-CN"/>
              </w:rPr>
              <w:t>生物多样性战略所述的《卡塔赫纳议定书》，包括</w:t>
            </w:r>
            <w:r w:rsidR="001E520A">
              <w:rPr>
                <w:rFonts w:hint="eastAsia"/>
                <w:lang w:val="en-GB" w:eastAsia="zh-CN"/>
              </w:rPr>
              <w:t>提交</w:t>
            </w:r>
            <w:r w:rsidRPr="00CE4D34">
              <w:rPr>
                <w:rFonts w:hint="eastAsia"/>
                <w:lang w:val="en-GB" w:eastAsia="zh-CN"/>
              </w:rPr>
              <w:t>第四次国家报告。</w:t>
            </w:r>
            <w:r w:rsidRPr="00CE4D34">
              <w:rPr>
                <w:rFonts w:hint="eastAsia"/>
                <w:lang w:val="en-GB" w:eastAsia="zh-CN"/>
              </w:rPr>
              <w:t xml:space="preserve"> </w:t>
            </w:r>
            <w:r w:rsidRPr="00CE4D34">
              <w:rPr>
                <w:rFonts w:hint="eastAsia"/>
                <w:lang w:val="en-GB" w:eastAsia="zh-CN"/>
              </w:rPr>
              <w:t>在本报告所述期间，</w:t>
            </w:r>
            <w:r w:rsidR="001E520A">
              <w:rPr>
                <w:rFonts w:hint="eastAsia"/>
                <w:lang w:val="en-GB" w:eastAsia="zh-CN"/>
              </w:rPr>
              <w:t>没有提交</w:t>
            </w:r>
            <w:r w:rsidRPr="00CE4D34">
              <w:rPr>
                <w:rFonts w:hint="eastAsia"/>
                <w:lang w:val="en-GB" w:eastAsia="zh-CN"/>
              </w:rPr>
              <w:t>任何提案。</w:t>
            </w:r>
          </w:p>
        </w:tc>
      </w:tr>
      <w:tr w:rsidR="00CB2F0E" w:rsidRPr="00CB2F0E" w14:paraId="7B9C8565" w14:textId="77777777" w:rsidTr="008354E6">
        <w:tc>
          <w:tcPr>
            <w:tcW w:w="4675" w:type="dxa"/>
            <w:shd w:val="clear" w:color="auto" w:fill="auto"/>
          </w:tcPr>
          <w:p w14:paraId="3F91CB49" w14:textId="3912E571" w:rsidR="00693400" w:rsidRPr="00CB2F0E" w:rsidRDefault="00693400" w:rsidP="00CB2F0E">
            <w:pPr>
              <w:rPr>
                <w:lang w:val="en-GB" w:eastAsia="zh-CN"/>
              </w:rPr>
            </w:pPr>
            <w:r w:rsidRPr="00C97C44">
              <w:rPr>
                <w:rFonts w:ascii="楷体" w:eastAsia="KaiTi" w:hAnsi="楷体" w:hint="eastAsia"/>
                <w:lang w:val="en-GB" w:eastAsia="zh-CN"/>
              </w:rPr>
              <w:t>邀请</w:t>
            </w:r>
            <w:r w:rsidRPr="00693400">
              <w:rPr>
                <w:rFonts w:hint="eastAsia"/>
                <w:lang w:val="en-GB" w:eastAsia="zh-CN"/>
              </w:rPr>
              <w:t>全球环境基金和其他相关融资机构为区域项目提供资金支持执行《卡塔赫纳议定书》，包括旨在建设科学能力以支持各国采取行动检</w:t>
            </w:r>
            <w:r w:rsidRPr="00693400">
              <w:rPr>
                <w:rFonts w:hint="eastAsia"/>
                <w:lang w:val="en-GB" w:eastAsia="zh-CN"/>
              </w:rPr>
              <w:lastRenderedPageBreak/>
              <w:t>测和识别改性活生物体的项目，特别是能够促进南北和南南分享经验和教训的项目；</w:t>
            </w:r>
          </w:p>
        </w:tc>
        <w:tc>
          <w:tcPr>
            <w:tcW w:w="4675" w:type="dxa"/>
            <w:shd w:val="clear" w:color="auto" w:fill="auto"/>
          </w:tcPr>
          <w:p w14:paraId="57308649" w14:textId="693E4A6C" w:rsidR="001E520A" w:rsidRPr="00282210" w:rsidRDefault="001E520A" w:rsidP="00D351D4">
            <w:pPr>
              <w:rPr>
                <w:lang w:val="en-GB" w:eastAsia="zh-CN"/>
              </w:rPr>
            </w:pPr>
            <w:r w:rsidRPr="00CE4D34">
              <w:rPr>
                <w:rFonts w:hint="eastAsia"/>
                <w:lang w:val="en-GB" w:eastAsia="zh-CN"/>
              </w:rPr>
              <w:lastRenderedPageBreak/>
              <w:t>全球环境基金</w:t>
            </w:r>
            <w:r>
              <w:rPr>
                <w:rFonts w:hint="eastAsia"/>
                <w:lang w:val="en-GB" w:eastAsia="zh-CN"/>
              </w:rPr>
              <w:t>在全环基金第七次增资期间</w:t>
            </w:r>
            <w:r w:rsidRPr="00CE4D34">
              <w:rPr>
                <w:rFonts w:hint="eastAsia"/>
                <w:lang w:val="en-GB" w:eastAsia="zh-CN"/>
              </w:rPr>
              <w:t>将继续支持国家驱动的项目，以执行全球环境基金第七次</w:t>
            </w:r>
            <w:r w:rsidR="00D351D4">
              <w:rPr>
                <w:rFonts w:hint="eastAsia"/>
                <w:lang w:val="en-GB" w:eastAsia="zh-CN"/>
              </w:rPr>
              <w:t>增资期间</w:t>
            </w:r>
            <w:r w:rsidRPr="00CE4D34">
              <w:rPr>
                <w:rFonts w:hint="eastAsia"/>
                <w:lang w:val="en-GB" w:eastAsia="zh-CN"/>
              </w:rPr>
              <w:t>生物多样性战略中所述的《卡</w:t>
            </w:r>
            <w:r w:rsidRPr="00CE4D34">
              <w:rPr>
                <w:rFonts w:hint="eastAsia"/>
                <w:lang w:val="en-GB" w:eastAsia="zh-CN"/>
              </w:rPr>
              <w:lastRenderedPageBreak/>
              <w:t>塔赫纳议定书》</w:t>
            </w:r>
            <w:r>
              <w:rPr>
                <w:rFonts w:hint="eastAsia"/>
                <w:lang w:val="en-GB" w:eastAsia="zh-CN"/>
              </w:rPr>
              <w:t>。</w:t>
            </w:r>
            <w:r w:rsidRPr="001E520A">
              <w:rPr>
                <w:rFonts w:hint="eastAsia"/>
                <w:lang w:val="en-GB" w:eastAsia="zh-CN"/>
              </w:rPr>
              <w:t>在本报告所述期间，尚未提交任何提案。</w:t>
            </w:r>
          </w:p>
        </w:tc>
      </w:tr>
      <w:tr w:rsidR="00CB2F0E" w:rsidRPr="00CB2F0E" w14:paraId="3FF5F8AE" w14:textId="77777777" w:rsidTr="008354E6">
        <w:tc>
          <w:tcPr>
            <w:tcW w:w="4675" w:type="dxa"/>
            <w:shd w:val="clear" w:color="auto" w:fill="auto"/>
          </w:tcPr>
          <w:p w14:paraId="3EB65C97" w14:textId="28916622" w:rsidR="001E24CD" w:rsidRPr="001E24CD" w:rsidRDefault="001E24CD" w:rsidP="00CB2F0E">
            <w:pPr>
              <w:rPr>
                <w:lang w:val="en-GB" w:eastAsia="zh-CN"/>
              </w:rPr>
            </w:pPr>
            <w:r w:rsidRPr="00C97C44">
              <w:rPr>
                <w:rFonts w:ascii="楷体" w:eastAsia="KaiTi" w:hAnsi="楷体" w:hint="eastAsia"/>
                <w:lang w:val="en-GB" w:eastAsia="zh-CN"/>
              </w:rPr>
              <w:lastRenderedPageBreak/>
              <w:t>感谢</w:t>
            </w:r>
            <w:r w:rsidRPr="001E24CD">
              <w:rPr>
                <w:rFonts w:hint="eastAsia"/>
                <w:lang w:val="en-GB" w:eastAsia="zh-CN"/>
              </w:rPr>
              <w:t>全球环境基金为众多符合资格的缔约方提供财政支持，支持其编制履行《名古屋议定书》所规定义务情况的临时国家报告，并注意到及时提供资金支助编制和在报告最后期限之前提交国家报告的重要性；</w:t>
            </w:r>
          </w:p>
        </w:tc>
        <w:tc>
          <w:tcPr>
            <w:tcW w:w="4675" w:type="dxa"/>
            <w:shd w:val="clear" w:color="auto" w:fill="auto"/>
          </w:tcPr>
          <w:p w14:paraId="750AF215" w14:textId="0D4DC8C4" w:rsidR="00CB2F0E" w:rsidRPr="00597952" w:rsidRDefault="00A0073D" w:rsidP="00CB2F0E">
            <w:pPr>
              <w:rPr>
                <w:iCs/>
                <w:lang w:val="en-GB"/>
              </w:rPr>
            </w:pPr>
            <w:proofErr w:type="spellStart"/>
            <w:r>
              <w:rPr>
                <w:bCs/>
              </w:rPr>
              <w:t>无需回应</w:t>
            </w:r>
            <w:proofErr w:type="spellEnd"/>
            <w:r>
              <w:rPr>
                <w:rFonts w:hint="eastAsia"/>
                <w:bCs/>
                <w:lang w:eastAsia="zh-CN"/>
              </w:rPr>
              <w:t>。</w:t>
            </w:r>
          </w:p>
        </w:tc>
      </w:tr>
      <w:tr w:rsidR="00CB2F0E" w:rsidRPr="00CB2F0E" w14:paraId="3C58F7E3" w14:textId="77777777" w:rsidTr="008354E6">
        <w:tc>
          <w:tcPr>
            <w:tcW w:w="4675" w:type="dxa"/>
            <w:shd w:val="clear" w:color="auto" w:fill="auto"/>
          </w:tcPr>
          <w:p w14:paraId="5A51F829" w14:textId="25AADD27" w:rsidR="001E24CD" w:rsidRPr="00CB2F0E" w:rsidRDefault="001E24CD" w:rsidP="00CB2F0E">
            <w:pPr>
              <w:rPr>
                <w:lang w:val="en-GB" w:eastAsia="zh-CN"/>
              </w:rPr>
            </w:pPr>
            <w:r w:rsidRPr="00C97C44">
              <w:rPr>
                <w:rFonts w:ascii="楷体" w:eastAsia="KaiTi" w:hAnsi="楷体" w:hint="eastAsia"/>
                <w:lang w:val="en-GB" w:eastAsia="zh-CN"/>
              </w:rPr>
              <w:t>邀请</w:t>
            </w:r>
            <w:r w:rsidRPr="001E24CD">
              <w:rPr>
                <w:rFonts w:hint="eastAsia"/>
                <w:lang w:val="en-GB" w:eastAsia="zh-CN"/>
              </w:rPr>
              <w:t>全球环境基金继续协助符合资格的缔约方执行《名古屋议定书》，包括制定有关获取和惠益分享的法律、行政和政策措施及相关体制安排，并为此提供资金；</w:t>
            </w:r>
          </w:p>
        </w:tc>
        <w:tc>
          <w:tcPr>
            <w:tcW w:w="4675" w:type="dxa"/>
            <w:shd w:val="clear" w:color="auto" w:fill="auto"/>
          </w:tcPr>
          <w:p w14:paraId="15AA2BA4" w14:textId="059A761C" w:rsidR="00D351D4" w:rsidRPr="00597952" w:rsidRDefault="00D351D4" w:rsidP="00D351D4">
            <w:pPr>
              <w:rPr>
                <w:lang w:val="en-GB" w:eastAsia="zh-CN"/>
              </w:rPr>
            </w:pPr>
            <w:r w:rsidRPr="00CE4D34">
              <w:rPr>
                <w:rFonts w:hint="eastAsia"/>
                <w:lang w:val="en-GB" w:eastAsia="zh-CN"/>
              </w:rPr>
              <w:t>全球环境基金</w:t>
            </w:r>
            <w:r>
              <w:rPr>
                <w:rFonts w:hint="eastAsia"/>
                <w:lang w:val="en-GB" w:eastAsia="zh-CN"/>
              </w:rPr>
              <w:t>在全环基金第七次增资期间</w:t>
            </w:r>
            <w:r w:rsidRPr="00CE4D34">
              <w:rPr>
                <w:rFonts w:hint="eastAsia"/>
                <w:lang w:val="en-GB" w:eastAsia="zh-CN"/>
              </w:rPr>
              <w:t>将继续支持国家驱动的项目，以执行全球环境基金第七次</w:t>
            </w:r>
            <w:r>
              <w:rPr>
                <w:rFonts w:hint="eastAsia"/>
                <w:lang w:val="en-GB" w:eastAsia="zh-CN"/>
              </w:rPr>
              <w:t>增资期间</w:t>
            </w:r>
            <w:r w:rsidRPr="00CE4D34">
              <w:rPr>
                <w:rFonts w:hint="eastAsia"/>
                <w:lang w:val="en-GB" w:eastAsia="zh-CN"/>
              </w:rPr>
              <w:t>生物多样性战略所述的《</w:t>
            </w:r>
            <w:r>
              <w:rPr>
                <w:rFonts w:hint="eastAsia"/>
                <w:lang w:val="en-GB" w:eastAsia="zh-CN"/>
              </w:rPr>
              <w:t>名古屋议定书</w:t>
            </w:r>
            <w:r w:rsidRPr="00CE4D34">
              <w:rPr>
                <w:rFonts w:hint="eastAsia"/>
                <w:lang w:val="en-GB" w:eastAsia="zh-CN"/>
              </w:rPr>
              <w:t>》</w:t>
            </w:r>
            <w:r>
              <w:rPr>
                <w:rFonts w:hint="eastAsia"/>
                <w:lang w:val="en-GB" w:eastAsia="zh-CN"/>
              </w:rPr>
              <w:t>。</w:t>
            </w:r>
            <w:r w:rsidRPr="00D351D4">
              <w:rPr>
                <w:rFonts w:hint="eastAsia"/>
                <w:lang w:val="en-GB" w:eastAsia="zh-CN"/>
              </w:rPr>
              <w:t>在本报告所述期间，全球环境基金批准了三个国家项目（马达加斯加</w:t>
            </w:r>
            <w:r>
              <w:rPr>
                <w:rFonts w:hint="eastAsia"/>
                <w:lang w:val="en-GB" w:eastAsia="zh-CN"/>
              </w:rPr>
              <w:t>、</w:t>
            </w:r>
            <w:r w:rsidRPr="00D351D4">
              <w:rPr>
                <w:rFonts w:hint="eastAsia"/>
                <w:lang w:val="en-GB" w:eastAsia="zh-CN"/>
              </w:rPr>
              <w:t>巴拿马</w:t>
            </w:r>
            <w:r>
              <w:rPr>
                <w:rFonts w:hint="eastAsia"/>
                <w:lang w:val="en-GB" w:eastAsia="zh-CN"/>
              </w:rPr>
              <w:t>、</w:t>
            </w:r>
            <w:r w:rsidRPr="00D351D4">
              <w:rPr>
                <w:rFonts w:hint="eastAsia"/>
                <w:lang w:val="en-GB" w:eastAsia="zh-CN"/>
              </w:rPr>
              <w:t>苏丹），以加强执行《名古屋议定书》所需的技术</w:t>
            </w:r>
            <w:r>
              <w:rPr>
                <w:rFonts w:hint="eastAsia"/>
                <w:lang w:val="en-GB" w:eastAsia="zh-CN"/>
              </w:rPr>
              <w:t>、</w:t>
            </w:r>
            <w:r w:rsidRPr="00D351D4">
              <w:rPr>
                <w:rFonts w:hint="eastAsia"/>
                <w:lang w:val="en-GB" w:eastAsia="zh-CN"/>
              </w:rPr>
              <w:t>法律和体制能力。</w:t>
            </w:r>
            <w:r w:rsidRPr="00D351D4">
              <w:rPr>
                <w:rFonts w:hint="eastAsia"/>
                <w:lang w:val="en-GB" w:eastAsia="zh-CN"/>
              </w:rPr>
              <w:t xml:space="preserve"> GEF</w:t>
            </w:r>
            <w:r w:rsidRPr="00D351D4">
              <w:rPr>
                <w:rFonts w:hint="eastAsia"/>
                <w:lang w:val="en-GB" w:eastAsia="zh-CN"/>
              </w:rPr>
              <w:t>投资了</w:t>
            </w:r>
            <w:r w:rsidRPr="00D351D4">
              <w:rPr>
                <w:rFonts w:hint="eastAsia"/>
                <w:lang w:val="en-GB" w:eastAsia="zh-CN"/>
              </w:rPr>
              <w:t>390</w:t>
            </w:r>
            <w:r w:rsidRPr="00D351D4">
              <w:rPr>
                <w:rFonts w:hint="eastAsia"/>
                <w:lang w:val="en-GB" w:eastAsia="zh-CN"/>
              </w:rPr>
              <w:t>万美元，并</w:t>
            </w:r>
            <w:r>
              <w:rPr>
                <w:rFonts w:hint="eastAsia"/>
                <w:lang w:val="en-GB" w:eastAsia="zh-CN"/>
              </w:rPr>
              <w:t>以共同供资的方式</w:t>
            </w:r>
            <w:r w:rsidRPr="00D351D4">
              <w:rPr>
                <w:rFonts w:hint="eastAsia"/>
                <w:lang w:val="en-GB" w:eastAsia="zh-CN"/>
              </w:rPr>
              <w:t>筹集了</w:t>
            </w:r>
            <w:r w:rsidRPr="00D351D4">
              <w:rPr>
                <w:rFonts w:hint="eastAsia"/>
                <w:lang w:val="en-GB" w:eastAsia="zh-CN"/>
              </w:rPr>
              <w:t>2420</w:t>
            </w:r>
            <w:r w:rsidRPr="00D351D4">
              <w:rPr>
                <w:rFonts w:hint="eastAsia"/>
                <w:lang w:val="en-GB" w:eastAsia="zh-CN"/>
              </w:rPr>
              <w:t>万美元。</w:t>
            </w:r>
          </w:p>
        </w:tc>
      </w:tr>
      <w:tr w:rsidR="00CB2F0E" w:rsidRPr="00CB2F0E" w14:paraId="0D09B499" w14:textId="77777777" w:rsidTr="008354E6">
        <w:tc>
          <w:tcPr>
            <w:tcW w:w="4675" w:type="dxa"/>
            <w:shd w:val="clear" w:color="auto" w:fill="auto"/>
          </w:tcPr>
          <w:p w14:paraId="661812E3" w14:textId="4A586D7C" w:rsidR="001E24CD" w:rsidRPr="001E24CD" w:rsidRDefault="001E24CD" w:rsidP="001E24CD">
            <w:pPr>
              <w:rPr>
                <w:lang w:val="en-GB" w:eastAsia="zh-CN"/>
              </w:rPr>
            </w:pPr>
            <w:r w:rsidRPr="00C97C44">
              <w:rPr>
                <w:rFonts w:ascii="楷体" w:eastAsia="KaiTi" w:hAnsi="楷体" w:hint="eastAsia"/>
                <w:lang w:val="en-GB" w:eastAsia="zh-CN"/>
              </w:rPr>
              <w:t>认为</w:t>
            </w:r>
            <w:r w:rsidRPr="001E24CD">
              <w:rPr>
                <w:rFonts w:hint="eastAsia"/>
                <w:lang w:val="en-GB" w:eastAsia="zh-CN"/>
              </w:rPr>
              <w:t>全球环境基金独立评价办公室进行并于</w:t>
            </w:r>
            <w:r w:rsidRPr="001E24CD">
              <w:rPr>
                <w:rFonts w:hint="eastAsia"/>
                <w:lang w:val="en-GB" w:eastAsia="zh-CN"/>
              </w:rPr>
              <w:t>2017</w:t>
            </w:r>
            <w:r w:rsidRPr="001E24CD">
              <w:rPr>
                <w:rFonts w:hint="eastAsia"/>
                <w:lang w:val="en-GB" w:eastAsia="zh-CN"/>
              </w:rPr>
              <w:t>年</w:t>
            </w:r>
            <w:r w:rsidRPr="001E24CD">
              <w:rPr>
                <w:rFonts w:hint="eastAsia"/>
                <w:lang w:val="en-GB" w:eastAsia="zh-CN"/>
              </w:rPr>
              <w:t>12</w:t>
            </w:r>
            <w:r w:rsidRPr="001E24CD">
              <w:rPr>
                <w:rFonts w:hint="eastAsia"/>
                <w:lang w:val="en-GB" w:eastAsia="zh-CN"/>
              </w:rPr>
              <w:t>月完成的全球环境基金第六次总体业绩研究，为对财务机制的有效性和缔约方相关呈件的第五次审查奠定了良好基础，并</w:t>
            </w:r>
            <w:r w:rsidRPr="00C97C44">
              <w:rPr>
                <w:rFonts w:ascii="楷体" w:eastAsia="KaiTi" w:hAnsi="楷体" w:hint="eastAsia"/>
                <w:lang w:val="en-GB" w:eastAsia="zh-CN"/>
              </w:rPr>
              <w:t>邀请</w:t>
            </w:r>
            <w:r w:rsidRPr="001E24CD">
              <w:rPr>
                <w:rFonts w:hint="eastAsia"/>
                <w:lang w:val="en-GB" w:eastAsia="zh-CN"/>
              </w:rPr>
              <w:t>全球环境基金理事会采取以下行动，进一步提高财务机制的成效：</w:t>
            </w:r>
          </w:p>
          <w:p w14:paraId="44997C9C" w14:textId="31FE20BA" w:rsidR="001E24CD" w:rsidRPr="001E24CD" w:rsidRDefault="001E24CD" w:rsidP="001E24CD">
            <w:pPr>
              <w:numPr>
                <w:ilvl w:val="0"/>
                <w:numId w:val="4"/>
              </w:numPr>
              <w:rPr>
                <w:lang w:val="en-GB" w:eastAsia="zh-CN"/>
              </w:rPr>
            </w:pPr>
            <w:r w:rsidRPr="001E24CD">
              <w:rPr>
                <w:rFonts w:hint="eastAsia"/>
                <w:lang w:val="en-GB" w:eastAsia="zh-CN"/>
              </w:rPr>
              <w:t>继续改进第六次增资统筹方法试点、第七次增资影响方案、其他方案办法和多重点领域项目在解决环境退化驱动因素方面的设计、管理和绩效；</w:t>
            </w:r>
          </w:p>
          <w:p w14:paraId="4F4E46F6" w14:textId="01A476C6" w:rsidR="001E24CD" w:rsidRPr="001E24CD" w:rsidRDefault="001E24CD" w:rsidP="001E24CD">
            <w:pPr>
              <w:numPr>
                <w:ilvl w:val="0"/>
                <w:numId w:val="4"/>
              </w:numPr>
              <w:rPr>
                <w:lang w:val="en-GB" w:eastAsia="zh-CN"/>
              </w:rPr>
            </w:pPr>
            <w:r w:rsidRPr="001E24CD">
              <w:rPr>
                <w:rFonts w:hint="eastAsia"/>
                <w:lang w:val="en-GB" w:eastAsia="zh-CN"/>
              </w:rPr>
              <w:t>提高对解决冲突专员处理与财务机制运作相关的投诉的现有程序的认识；</w:t>
            </w:r>
          </w:p>
          <w:p w14:paraId="0905207D" w14:textId="3F972D03" w:rsidR="001E24CD" w:rsidRPr="001E24CD" w:rsidRDefault="001E24CD" w:rsidP="001E24CD">
            <w:pPr>
              <w:numPr>
                <w:ilvl w:val="0"/>
                <w:numId w:val="4"/>
              </w:numPr>
              <w:rPr>
                <w:lang w:val="en-GB" w:eastAsia="zh-CN"/>
              </w:rPr>
            </w:pPr>
            <w:r w:rsidRPr="001E24CD">
              <w:rPr>
                <w:rFonts w:hint="eastAsia"/>
                <w:lang w:val="en-GB" w:eastAsia="zh-CN"/>
              </w:rPr>
              <w:t>进一步提高受资助项目和方案的可持续性，包括保护区得到可持续的供资；</w:t>
            </w:r>
          </w:p>
          <w:p w14:paraId="24BC1C13" w14:textId="535172E2" w:rsidR="001E24CD" w:rsidRPr="001E24CD" w:rsidRDefault="001E24CD" w:rsidP="001E24CD">
            <w:pPr>
              <w:numPr>
                <w:ilvl w:val="0"/>
                <w:numId w:val="4"/>
              </w:numPr>
              <w:rPr>
                <w:lang w:val="en-GB" w:eastAsia="zh-CN"/>
              </w:rPr>
            </w:pPr>
            <w:r w:rsidRPr="001E24CD">
              <w:rPr>
                <w:rFonts w:hint="eastAsia"/>
                <w:lang w:val="en-GB" w:eastAsia="zh-CN"/>
              </w:rPr>
              <w:t>继续改善全球环境基金伙伴关系的效率和问责；</w:t>
            </w:r>
          </w:p>
          <w:p w14:paraId="5F8DD560" w14:textId="53B6C12F" w:rsidR="001E24CD" w:rsidRPr="001E24CD" w:rsidRDefault="001E24CD" w:rsidP="001E24CD">
            <w:pPr>
              <w:numPr>
                <w:ilvl w:val="0"/>
                <w:numId w:val="4"/>
              </w:numPr>
              <w:rPr>
                <w:lang w:val="en-GB" w:eastAsia="zh-CN"/>
              </w:rPr>
            </w:pPr>
            <w:r w:rsidRPr="001E24CD">
              <w:rPr>
                <w:rFonts w:hint="eastAsia"/>
                <w:lang w:val="en-GB" w:eastAsia="zh-CN"/>
              </w:rPr>
              <w:t>在其提交缔约方大会第十五届会议的报告中列入以下信息：</w:t>
            </w:r>
          </w:p>
          <w:p w14:paraId="5F3FA0DC" w14:textId="75DE09E6" w:rsidR="001E24CD" w:rsidRPr="001E24CD" w:rsidRDefault="001E24CD" w:rsidP="00225E6D">
            <w:pPr>
              <w:numPr>
                <w:ilvl w:val="0"/>
                <w:numId w:val="1"/>
              </w:numPr>
              <w:ind w:left="1440" w:hanging="720"/>
              <w:rPr>
                <w:lang w:val="en-GB" w:eastAsia="zh-CN"/>
              </w:rPr>
            </w:pPr>
            <w:r w:rsidRPr="001E24CD">
              <w:rPr>
                <w:rFonts w:hint="eastAsia"/>
                <w:lang w:val="en-GB" w:eastAsia="zh-CN"/>
              </w:rPr>
              <w:lastRenderedPageBreak/>
              <w:t>实施新的共同</w:t>
            </w:r>
            <w:r w:rsidR="008E7DCD">
              <w:rPr>
                <w:rFonts w:hint="eastAsia"/>
                <w:lang w:val="en-GB" w:eastAsia="zh-CN"/>
              </w:rPr>
              <w:t>筹资</w:t>
            </w:r>
            <w:r w:rsidRPr="001E24CD">
              <w:rPr>
                <w:rFonts w:hint="eastAsia"/>
                <w:lang w:val="en-GB" w:eastAsia="zh-CN"/>
              </w:rPr>
              <w:t>政策的进展情况；</w:t>
            </w:r>
          </w:p>
          <w:p w14:paraId="5C8A4757" w14:textId="3AF34E78" w:rsidR="001E24CD" w:rsidRPr="001E24CD" w:rsidRDefault="001E24CD" w:rsidP="00225E6D">
            <w:pPr>
              <w:numPr>
                <w:ilvl w:val="0"/>
                <w:numId w:val="1"/>
              </w:numPr>
              <w:ind w:left="1440" w:hanging="720"/>
              <w:rPr>
                <w:lang w:val="en-GB" w:eastAsia="zh-CN"/>
              </w:rPr>
            </w:pPr>
            <w:r w:rsidRPr="001E24CD">
              <w:rPr>
                <w:rFonts w:hint="eastAsia"/>
                <w:lang w:val="en-GB" w:eastAsia="zh-CN"/>
              </w:rPr>
              <w:t>全球环境基金的机构网络的业绩；</w:t>
            </w:r>
          </w:p>
          <w:p w14:paraId="0B85B00B" w14:textId="77777777" w:rsidR="001E24CD" w:rsidRPr="00B91012" w:rsidRDefault="001E24CD" w:rsidP="00127061">
            <w:pPr>
              <w:ind w:left="720"/>
              <w:rPr>
                <w:lang w:eastAsia="zh-CN"/>
              </w:rPr>
            </w:pPr>
          </w:p>
        </w:tc>
        <w:tc>
          <w:tcPr>
            <w:tcW w:w="4675" w:type="dxa"/>
            <w:shd w:val="clear" w:color="auto" w:fill="auto"/>
          </w:tcPr>
          <w:p w14:paraId="2AA6BF81" w14:textId="68DD367B" w:rsidR="00A358EF" w:rsidRPr="00B91012" w:rsidRDefault="00A358EF" w:rsidP="00CB2F0E">
            <w:pPr>
              <w:rPr>
                <w:lang w:eastAsia="zh-CN"/>
              </w:rPr>
            </w:pPr>
            <w:r>
              <w:rPr>
                <w:rFonts w:hint="eastAsia"/>
                <w:lang w:eastAsia="zh-CN"/>
              </w:rPr>
              <w:lastRenderedPageBreak/>
              <w:t>作为其目前对执行全环基金第六次增资统筹方法试点以及对制定、拟定和实施全环基金第七次增资影响方案和其他方案办法的一部分，</w:t>
            </w:r>
            <w:r w:rsidR="002A36C6">
              <w:rPr>
                <w:rFonts w:hint="eastAsia"/>
                <w:lang w:eastAsia="zh-CN"/>
              </w:rPr>
              <w:t>全环基金</w:t>
            </w:r>
            <w:r>
              <w:rPr>
                <w:rFonts w:hint="eastAsia"/>
                <w:lang w:eastAsia="zh-CN"/>
              </w:rPr>
              <w:t>仍致力于改善设计</w:t>
            </w:r>
            <w:r w:rsidR="002A36C6">
              <w:rPr>
                <w:rFonts w:hint="eastAsia"/>
                <w:lang w:eastAsia="zh-CN"/>
              </w:rPr>
              <w:t>、</w:t>
            </w:r>
            <w:r>
              <w:rPr>
                <w:rFonts w:hint="eastAsia"/>
                <w:lang w:eastAsia="zh-CN"/>
              </w:rPr>
              <w:t>管理和</w:t>
            </w:r>
            <w:r w:rsidR="002A36C6">
              <w:rPr>
                <w:rFonts w:hint="eastAsia"/>
                <w:lang w:eastAsia="zh-CN"/>
              </w:rPr>
              <w:t>执行绩效</w:t>
            </w:r>
            <w:r>
              <w:rPr>
                <w:rFonts w:hint="eastAsia"/>
                <w:lang w:eastAsia="zh-CN"/>
              </w:rPr>
              <w:t>的所有</w:t>
            </w:r>
            <w:r w:rsidR="002A36C6">
              <w:rPr>
                <w:rFonts w:hint="eastAsia"/>
                <w:lang w:eastAsia="zh-CN"/>
              </w:rPr>
              <w:t>各项</w:t>
            </w:r>
            <w:r>
              <w:rPr>
                <w:rFonts w:hint="eastAsia"/>
                <w:lang w:eastAsia="zh-CN"/>
              </w:rPr>
              <w:t>要素。</w:t>
            </w:r>
          </w:p>
          <w:p w14:paraId="6280F018" w14:textId="1519D8B1" w:rsidR="00A02479" w:rsidRPr="00B91012" w:rsidRDefault="00A02479" w:rsidP="00CB2F0E">
            <w:pPr>
              <w:rPr>
                <w:lang w:eastAsia="zh-CN"/>
              </w:rPr>
            </w:pPr>
            <w:r>
              <w:rPr>
                <w:rFonts w:hint="eastAsia"/>
                <w:lang w:eastAsia="zh-CN"/>
              </w:rPr>
              <w:t>全球环境基金继续使符合全球环境基金供资资格的国家认识到解决冲突专员负责的进程</w:t>
            </w:r>
            <w:r>
              <w:rPr>
                <w:rFonts w:ascii="SimSun" w:hAnsi="SimSun" w:cs="SimSun" w:hint="eastAsia"/>
                <w:lang w:eastAsia="zh-CN"/>
              </w:rPr>
              <w:t>和程序。</w:t>
            </w:r>
          </w:p>
          <w:p w14:paraId="1B9AA99D" w14:textId="42E8C2CA" w:rsidR="00A02479" w:rsidRPr="00B91012" w:rsidRDefault="00A02479" w:rsidP="00CB2F0E">
            <w:pPr>
              <w:rPr>
                <w:lang w:eastAsia="zh-CN"/>
              </w:rPr>
            </w:pPr>
            <w:r>
              <w:rPr>
                <w:rFonts w:hint="eastAsia"/>
                <w:lang w:eastAsia="zh-CN"/>
              </w:rPr>
              <w:t>全环基金仍致力于确保其所有项目和方案的可持续性，尤其是全环基金对保护区系统可持续供资的支持，而该领域仍然是</w:t>
            </w:r>
            <w:r w:rsidR="00177776">
              <w:rPr>
                <w:rFonts w:hint="eastAsia"/>
                <w:lang w:eastAsia="zh-CN"/>
              </w:rPr>
              <w:t>全环基金第七次增资</w:t>
            </w:r>
            <w:r>
              <w:rPr>
                <w:rFonts w:hint="eastAsia"/>
                <w:lang w:eastAsia="zh-CN"/>
              </w:rPr>
              <w:t>生物多样性战略的优先投资领域。</w:t>
            </w:r>
          </w:p>
          <w:p w14:paraId="36B0B90E" w14:textId="428E9B0C" w:rsidR="00177776" w:rsidRPr="00B91012" w:rsidRDefault="00177776" w:rsidP="00CB2F0E">
            <w:pPr>
              <w:rPr>
                <w:lang w:eastAsia="zh-CN"/>
              </w:rPr>
            </w:pPr>
            <w:r>
              <w:rPr>
                <w:rFonts w:hint="eastAsia"/>
                <w:lang w:eastAsia="zh-CN"/>
              </w:rPr>
              <w:t>全球环境基金继续利用现有的核算和管理机制提高全球环境基金伙伴关系的效率和问责制。</w:t>
            </w:r>
          </w:p>
          <w:p w14:paraId="6FF45FBC" w14:textId="5450BB32" w:rsidR="008E7DCD" w:rsidRPr="008E7DCD" w:rsidRDefault="008E7DCD" w:rsidP="008E7DCD">
            <w:pPr>
              <w:rPr>
                <w:lang w:eastAsia="zh-CN"/>
              </w:rPr>
            </w:pPr>
            <w:r>
              <w:rPr>
                <w:rFonts w:hint="eastAsia"/>
                <w:lang w:eastAsia="zh-CN"/>
              </w:rPr>
              <w:t>本报告第三节概述：</w:t>
            </w:r>
            <w:r>
              <w:rPr>
                <w:rFonts w:hint="eastAsia"/>
                <w:lang w:eastAsia="zh-CN"/>
              </w:rPr>
              <w:t>a</w:t>
            </w:r>
            <w:r>
              <w:rPr>
                <w:rFonts w:hint="eastAsia"/>
                <w:lang w:eastAsia="zh-CN"/>
              </w:rPr>
              <w:t>）在执行新的共同筹资政策方面的进展；</w:t>
            </w:r>
            <w:r>
              <w:rPr>
                <w:rFonts w:hint="eastAsia"/>
                <w:lang w:eastAsia="zh-CN"/>
              </w:rPr>
              <w:t xml:space="preserve"> b</w:t>
            </w:r>
            <w:r>
              <w:rPr>
                <w:rFonts w:hint="eastAsia"/>
                <w:lang w:eastAsia="zh-CN"/>
              </w:rPr>
              <w:t>）全环基金的机构网络的绩效。</w:t>
            </w:r>
          </w:p>
        </w:tc>
      </w:tr>
      <w:tr w:rsidR="00CB2F0E" w:rsidRPr="00CB2F0E" w14:paraId="1D8560C8" w14:textId="77777777" w:rsidTr="008354E6">
        <w:tc>
          <w:tcPr>
            <w:tcW w:w="4675" w:type="dxa"/>
            <w:shd w:val="clear" w:color="auto" w:fill="auto"/>
          </w:tcPr>
          <w:p w14:paraId="48620A74" w14:textId="0EA28720" w:rsidR="00127061" w:rsidRPr="009C6030" w:rsidRDefault="00127061" w:rsidP="00CB2F0E">
            <w:pPr>
              <w:rPr>
                <w:lang w:val="en-GB" w:eastAsia="zh-CN"/>
              </w:rPr>
            </w:pPr>
            <w:r w:rsidRPr="005A09AD">
              <w:rPr>
                <w:rFonts w:ascii="楷体" w:eastAsia="KaiTi" w:hAnsi="楷体" w:hint="eastAsia"/>
                <w:lang w:val="en-GB" w:eastAsia="zh-CN"/>
              </w:rPr>
              <w:t>鼓励</w:t>
            </w:r>
            <w:r w:rsidRPr="00127061">
              <w:rPr>
                <w:rFonts w:hint="eastAsia"/>
                <w:lang w:val="en-GB" w:eastAsia="zh-CN"/>
              </w:rPr>
              <w:t>执行秘书在向</w:t>
            </w:r>
            <w:r w:rsidRPr="00127061">
              <w:rPr>
                <w:rFonts w:hint="eastAsia"/>
                <w:lang w:val="en-GB" w:eastAsia="zh-CN"/>
              </w:rPr>
              <w:t>2020</w:t>
            </w:r>
            <w:r w:rsidRPr="00127061">
              <w:rPr>
                <w:rFonts w:hint="eastAsia"/>
                <w:lang w:val="en-GB" w:eastAsia="zh-CN"/>
              </w:rPr>
              <w:t>年后全球生物多样性框架过渡中与全球环境基金密切合作；</w:t>
            </w:r>
          </w:p>
        </w:tc>
        <w:tc>
          <w:tcPr>
            <w:tcW w:w="4675" w:type="dxa"/>
            <w:shd w:val="clear" w:color="auto" w:fill="auto"/>
          </w:tcPr>
          <w:p w14:paraId="36D5A34D" w14:textId="26EFF5C3" w:rsidR="008E7DCD" w:rsidRDefault="008E7DCD" w:rsidP="00CB2F0E">
            <w:pPr>
              <w:rPr>
                <w:lang w:val="en-GB" w:eastAsia="zh-CN"/>
              </w:rPr>
            </w:pPr>
            <w:r w:rsidRPr="008E7DCD">
              <w:rPr>
                <w:rFonts w:hint="eastAsia"/>
                <w:lang w:val="en-GB" w:eastAsia="zh-CN"/>
              </w:rPr>
              <w:t>自缔约方</w:t>
            </w:r>
            <w:r w:rsidR="00D16FEA">
              <w:rPr>
                <w:rFonts w:hint="eastAsia"/>
                <w:lang w:val="en-GB" w:eastAsia="zh-CN"/>
              </w:rPr>
              <w:t>大会</w:t>
            </w:r>
            <w:r w:rsidRPr="008E7DCD">
              <w:rPr>
                <w:rFonts w:hint="eastAsia"/>
                <w:lang w:val="en-GB" w:eastAsia="zh-CN"/>
              </w:rPr>
              <w:t>第十四届会议以来，全环基金一直与生物多样性公约积极合作，以</w:t>
            </w:r>
            <w:r w:rsidR="00D16FEA">
              <w:rPr>
                <w:rFonts w:hint="eastAsia"/>
                <w:lang w:val="en-GB" w:eastAsia="zh-CN"/>
              </w:rPr>
              <w:t>便</w:t>
            </w:r>
            <w:r w:rsidRPr="008E7DCD">
              <w:rPr>
                <w:rFonts w:hint="eastAsia"/>
                <w:lang w:val="en-GB" w:eastAsia="zh-CN"/>
              </w:rPr>
              <w:t>过渡到</w:t>
            </w:r>
            <w:r w:rsidR="00D16FEA">
              <w:rPr>
                <w:rFonts w:hint="eastAsia"/>
                <w:lang w:val="en-GB" w:eastAsia="zh-CN"/>
              </w:rPr>
              <w:t>《</w:t>
            </w:r>
            <w:r w:rsidRPr="008E7DCD">
              <w:rPr>
                <w:rFonts w:hint="eastAsia"/>
                <w:lang w:val="en-GB" w:eastAsia="zh-CN"/>
              </w:rPr>
              <w:t>2020</w:t>
            </w:r>
            <w:r w:rsidRPr="008E7DCD">
              <w:rPr>
                <w:rFonts w:hint="eastAsia"/>
                <w:lang w:val="en-GB" w:eastAsia="zh-CN"/>
              </w:rPr>
              <w:t>年后全球生物多样性框架</w:t>
            </w:r>
            <w:r w:rsidR="00D16FEA">
              <w:rPr>
                <w:rFonts w:hint="eastAsia"/>
                <w:lang w:val="en-GB" w:eastAsia="zh-CN"/>
              </w:rPr>
              <w:t>》，</w:t>
            </w:r>
            <w:r w:rsidRPr="008E7DCD">
              <w:rPr>
                <w:rFonts w:hint="eastAsia"/>
                <w:lang w:val="en-GB" w:eastAsia="zh-CN"/>
              </w:rPr>
              <w:t>全环基金</w:t>
            </w:r>
            <w:r w:rsidR="00D16FEA">
              <w:rPr>
                <w:rFonts w:hint="eastAsia"/>
                <w:lang w:val="en-GB" w:eastAsia="zh-CN"/>
              </w:rPr>
              <w:t>将</w:t>
            </w:r>
            <w:r w:rsidRPr="008E7DCD">
              <w:rPr>
                <w:rFonts w:hint="eastAsia"/>
                <w:lang w:val="en-GB" w:eastAsia="zh-CN"/>
              </w:rPr>
              <w:t>继续</w:t>
            </w:r>
            <w:r w:rsidR="00D16FEA">
              <w:rPr>
                <w:rFonts w:hint="eastAsia"/>
                <w:lang w:val="en-GB" w:eastAsia="zh-CN"/>
              </w:rPr>
              <w:t>进行</w:t>
            </w:r>
            <w:r w:rsidRPr="008E7DCD">
              <w:rPr>
                <w:rFonts w:hint="eastAsia"/>
                <w:lang w:val="en-GB" w:eastAsia="zh-CN"/>
              </w:rPr>
              <w:t>这一合作。全环基金秘书处工作人员参加了关于亚太及拉丁美洲和加勒比地区</w:t>
            </w:r>
            <w:r w:rsidR="00D16FEA">
              <w:rPr>
                <w:rFonts w:hint="eastAsia"/>
                <w:lang w:val="en-GB" w:eastAsia="zh-CN"/>
              </w:rPr>
              <w:t>《</w:t>
            </w:r>
            <w:r w:rsidRPr="008E7DCD">
              <w:rPr>
                <w:rFonts w:hint="eastAsia"/>
                <w:lang w:val="en-GB" w:eastAsia="zh-CN"/>
              </w:rPr>
              <w:t>2020</w:t>
            </w:r>
            <w:r w:rsidRPr="008E7DCD">
              <w:rPr>
                <w:rFonts w:hint="eastAsia"/>
                <w:lang w:val="en-GB" w:eastAsia="zh-CN"/>
              </w:rPr>
              <w:t>年后全球生物多样性框架</w:t>
            </w:r>
            <w:r w:rsidR="00D16FEA">
              <w:rPr>
                <w:rFonts w:hint="eastAsia"/>
                <w:lang w:val="en-GB" w:eastAsia="zh-CN"/>
              </w:rPr>
              <w:t>》</w:t>
            </w:r>
            <w:r w:rsidRPr="008E7DCD">
              <w:rPr>
                <w:rFonts w:hint="eastAsia"/>
                <w:lang w:val="en-GB" w:eastAsia="zh-CN"/>
              </w:rPr>
              <w:t>的区域协商会议，分享了全环基金在支持执行《生物多样性公约》方面的经验。此外，全环基金秘书处工作人员参加了关于</w:t>
            </w:r>
            <w:r w:rsidRPr="008E7DCD">
              <w:rPr>
                <w:rFonts w:hint="eastAsia"/>
                <w:lang w:val="en-GB" w:eastAsia="zh-CN"/>
              </w:rPr>
              <w:t>2020</w:t>
            </w:r>
            <w:r w:rsidRPr="008E7DCD">
              <w:rPr>
                <w:rFonts w:hint="eastAsia"/>
                <w:lang w:val="en-GB" w:eastAsia="zh-CN"/>
              </w:rPr>
              <w:t>年后全球生物多样性框架不限成员名额工作组的第一次和第二次会议。代理执行秘书于</w:t>
            </w:r>
            <w:r w:rsidRPr="008E7DCD">
              <w:rPr>
                <w:rFonts w:hint="eastAsia"/>
                <w:lang w:val="en-GB" w:eastAsia="zh-CN"/>
              </w:rPr>
              <w:t>2019</w:t>
            </w:r>
            <w:r w:rsidRPr="008E7DCD">
              <w:rPr>
                <w:rFonts w:hint="eastAsia"/>
                <w:lang w:val="en-GB" w:eastAsia="zh-CN"/>
              </w:rPr>
              <w:t>年</w:t>
            </w:r>
            <w:r w:rsidRPr="008E7DCD">
              <w:rPr>
                <w:rFonts w:hint="eastAsia"/>
                <w:lang w:val="en-GB" w:eastAsia="zh-CN"/>
              </w:rPr>
              <w:t>12</w:t>
            </w:r>
            <w:r w:rsidRPr="008E7DCD">
              <w:rPr>
                <w:rFonts w:hint="eastAsia"/>
                <w:lang w:val="en-GB" w:eastAsia="zh-CN"/>
              </w:rPr>
              <w:t>月出席了第五十七届全环基金理事会，并向理事会介绍了</w:t>
            </w:r>
            <w:r w:rsidRPr="008E7DCD">
              <w:rPr>
                <w:rFonts w:hint="eastAsia"/>
                <w:lang w:val="en-GB" w:eastAsia="zh-CN"/>
              </w:rPr>
              <w:t>2020</w:t>
            </w:r>
            <w:r w:rsidRPr="008E7DCD">
              <w:rPr>
                <w:rFonts w:hint="eastAsia"/>
                <w:lang w:val="en-GB" w:eastAsia="zh-CN"/>
              </w:rPr>
              <w:t>年后框架讨论的概况。不限成员名额工作组的一位联合主席还介绍了不限成员名额工作组迄今在第五十七届全环基金理事会上制定全球生物多样性框架零草案的进展情况摘要。在这一过程中，全球环境基金秘书处与生物多样性公约秘书处和执行秘书不断进行沟通和合作。</w:t>
            </w:r>
          </w:p>
          <w:p w14:paraId="7437D8CF" w14:textId="2C6BA726" w:rsidR="008E7DCD" w:rsidRPr="009C6030" w:rsidRDefault="008E7DCD" w:rsidP="00CB2F0E">
            <w:pPr>
              <w:rPr>
                <w:iCs/>
                <w:lang w:val="en-GB" w:eastAsia="zh-CN"/>
              </w:rPr>
            </w:pPr>
          </w:p>
        </w:tc>
      </w:tr>
    </w:tbl>
    <w:p w14:paraId="5A0BC304" w14:textId="2D473B37" w:rsidR="00A5035D" w:rsidRDefault="00A5035D" w:rsidP="00FD5D1A">
      <w:pPr>
        <w:rPr>
          <w:lang w:val="en-GB" w:eastAsia="zh-CN"/>
        </w:rPr>
      </w:pPr>
      <w:bookmarkStart w:id="14" w:name="_Hlk26275865"/>
      <w:bookmarkEnd w:id="1"/>
      <w:bookmarkEnd w:id="2"/>
    </w:p>
    <w:p w14:paraId="20B78506" w14:textId="77777777" w:rsidR="00A5035D" w:rsidRDefault="00A5035D">
      <w:pPr>
        <w:rPr>
          <w:lang w:val="en-GB" w:eastAsia="zh-CN"/>
        </w:rPr>
      </w:pPr>
      <w:r>
        <w:rPr>
          <w:lang w:val="en-GB" w:eastAsia="zh-CN"/>
        </w:rPr>
        <w:br w:type="page"/>
      </w:r>
    </w:p>
    <w:p w14:paraId="355A13A0" w14:textId="118C66B0" w:rsidR="00F0526E" w:rsidRPr="00F354D2" w:rsidRDefault="006510AF" w:rsidP="004D5062">
      <w:pPr>
        <w:pStyle w:val="Heading1"/>
      </w:pPr>
      <w:bookmarkStart w:id="15" w:name="_Toc32494931"/>
      <w:r>
        <w:rPr>
          <w:rFonts w:hint="eastAsia"/>
        </w:rPr>
        <w:lastRenderedPageBreak/>
        <w:t xml:space="preserve">三． </w:t>
      </w:r>
      <w:r w:rsidR="000012C6">
        <w:rPr>
          <w:rFonts w:hint="eastAsia"/>
        </w:rPr>
        <w:t>项目</w:t>
      </w:r>
      <w:r w:rsidR="007D499A">
        <w:t>组合的执行情况</w:t>
      </w:r>
      <w:bookmarkEnd w:id="15"/>
      <w:r w:rsidR="00737DE6" w:rsidRPr="00F354D2">
        <w:t xml:space="preserve"> </w:t>
      </w:r>
      <w:bookmarkEnd w:id="14"/>
    </w:p>
    <w:p w14:paraId="3CC5A3A4" w14:textId="1669F5F2" w:rsidR="004F0D75" w:rsidRPr="006510AF" w:rsidRDefault="007D499A" w:rsidP="00CF090D">
      <w:pPr>
        <w:pStyle w:val="Heading2"/>
        <w:rPr>
          <w:sz w:val="24"/>
          <w:szCs w:val="24"/>
        </w:rPr>
      </w:pPr>
      <w:r w:rsidRPr="006510AF">
        <w:rPr>
          <w:sz w:val="24"/>
          <w:szCs w:val="24"/>
        </w:rPr>
        <w:t>实现</w:t>
      </w:r>
      <w:r w:rsidRPr="006510AF">
        <w:rPr>
          <w:rFonts w:hint="eastAsia"/>
          <w:sz w:val="24"/>
          <w:szCs w:val="24"/>
        </w:rPr>
        <w:t>项目开发目标和实施进展情况</w:t>
      </w:r>
    </w:p>
    <w:p w14:paraId="5FB08910" w14:textId="537D92D8" w:rsidR="006D5607" w:rsidRPr="006510AF" w:rsidRDefault="006D5607"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lang w:eastAsia="zh-CN"/>
        </w:rPr>
      </w:pPr>
      <w:r w:rsidRPr="006510AF">
        <w:rPr>
          <w:rFonts w:hint="eastAsia"/>
          <w:sz w:val="24"/>
          <w:szCs w:val="24"/>
          <w:lang w:eastAsia="zh-CN"/>
        </w:rPr>
        <w:t>各机构依照</w:t>
      </w:r>
      <w:r w:rsidRPr="006510AF">
        <w:rPr>
          <w:rFonts w:hint="eastAsia"/>
          <w:sz w:val="24"/>
          <w:szCs w:val="24"/>
          <w:lang w:eastAsia="zh-CN"/>
        </w:rPr>
        <w:t xml:space="preserve"> 2010</w:t>
      </w:r>
      <w:r w:rsidRPr="006510AF">
        <w:rPr>
          <w:rFonts w:hint="eastAsia"/>
          <w:sz w:val="24"/>
          <w:szCs w:val="24"/>
          <w:lang w:eastAsia="zh-CN"/>
        </w:rPr>
        <w:t>年全环基金监测和评估政策以及随后的全环基金监测政策，在项目执行报告中</w:t>
      </w:r>
      <w:r w:rsidRPr="00000EE9">
        <w:rPr>
          <w:rFonts w:hint="eastAsia"/>
          <w:sz w:val="24"/>
          <w:szCs w:val="24"/>
          <w:lang w:eastAsia="zh-CN"/>
        </w:rPr>
        <w:t>每年对实现</w:t>
      </w:r>
      <w:r w:rsidRPr="00000EE9">
        <w:rPr>
          <w:rFonts w:eastAsia="KaiTi" w:hint="eastAsia"/>
          <w:sz w:val="24"/>
          <w:szCs w:val="24"/>
          <w:lang w:eastAsia="zh-CN"/>
        </w:rPr>
        <w:t>项目发展目标和执行进展情况</w:t>
      </w:r>
      <w:r w:rsidRPr="00000EE9">
        <w:rPr>
          <w:rFonts w:hint="eastAsia"/>
          <w:sz w:val="24"/>
          <w:szCs w:val="24"/>
          <w:lang w:eastAsia="zh-CN"/>
        </w:rPr>
        <w:t>的规模进行自我评估</w:t>
      </w:r>
      <w:r w:rsidRPr="006510AF">
        <w:rPr>
          <w:rFonts w:eastAsia="Times New Roman" w:cstheme="minorHAnsi"/>
          <w:noProof/>
          <w:color w:val="000000"/>
          <w:sz w:val="24"/>
          <w:szCs w:val="24"/>
          <w:vertAlign w:val="superscript"/>
        </w:rPr>
        <w:footnoteReference w:id="21"/>
      </w:r>
      <w:r w:rsidRPr="006510AF">
        <w:rPr>
          <w:rFonts w:hint="eastAsia"/>
          <w:sz w:val="24"/>
          <w:szCs w:val="24"/>
          <w:lang w:eastAsia="zh-CN"/>
        </w:rPr>
        <w:t>。各机构在遵循全环基金政策的同时，在对项目进行评级时，也会使用它们自己的标准和准则。</w:t>
      </w:r>
    </w:p>
    <w:p w14:paraId="2567F827" w14:textId="0BAB4CDE" w:rsidR="00101E75" w:rsidRPr="00000EE9" w:rsidRDefault="00101E75" w:rsidP="00000EE9">
      <w:pPr>
        <w:adjustRightInd w:val="0"/>
        <w:snapToGrid w:val="0"/>
        <w:spacing w:before="120" w:after="120" w:line="240" w:lineRule="atLeast"/>
        <w:rPr>
          <w:rFonts w:ascii="Times New Roman" w:eastAsia="KaiTi" w:hAnsi="Times New Roman" w:cs="Times New Roman"/>
          <w:i/>
          <w:noProof/>
          <w:color w:val="000000"/>
          <w:sz w:val="24"/>
          <w:szCs w:val="24"/>
          <w:lang w:eastAsia="zh-CN"/>
        </w:rPr>
      </w:pPr>
      <w:r w:rsidRPr="00000EE9">
        <w:rPr>
          <w:rFonts w:ascii="Times New Roman" w:eastAsia="KaiTi" w:hAnsi="Times New Roman" w:cs="Times New Roman"/>
          <w:sz w:val="24"/>
          <w:szCs w:val="24"/>
          <w:lang w:eastAsia="zh-CN"/>
        </w:rPr>
        <w:t>除非另有说明，否则以下所有图表中的信息均来自全环基金</w:t>
      </w:r>
      <w:r w:rsidRPr="00000EE9">
        <w:rPr>
          <w:rFonts w:ascii="Times New Roman" w:eastAsia="KaiTi" w:hAnsi="Times New Roman" w:cs="Times New Roman"/>
          <w:sz w:val="24"/>
          <w:szCs w:val="24"/>
          <w:lang w:eastAsia="zh-CN"/>
        </w:rPr>
        <w:t>2019</w:t>
      </w:r>
      <w:r w:rsidRPr="00000EE9">
        <w:rPr>
          <w:rFonts w:ascii="Times New Roman" w:eastAsia="KaiTi" w:hAnsi="Times New Roman" w:cs="Times New Roman"/>
          <w:sz w:val="24"/>
          <w:szCs w:val="24"/>
          <w:lang w:eastAsia="zh-CN"/>
        </w:rPr>
        <w:t>财政年度正在执行的项目组合，其中包括全环基金第三次增资至第六次增资期间执行的</w:t>
      </w:r>
      <w:r w:rsidRPr="00000EE9">
        <w:rPr>
          <w:rFonts w:ascii="Times New Roman" w:eastAsia="KaiTi" w:hAnsi="Times New Roman" w:cs="Times New Roman"/>
          <w:sz w:val="24"/>
          <w:szCs w:val="24"/>
          <w:lang w:eastAsia="zh-CN"/>
        </w:rPr>
        <w:t>923</w:t>
      </w:r>
      <w:r w:rsidRPr="00000EE9">
        <w:rPr>
          <w:rFonts w:ascii="Times New Roman" w:eastAsia="KaiTi" w:hAnsi="Times New Roman" w:cs="Times New Roman"/>
          <w:sz w:val="24"/>
          <w:szCs w:val="24"/>
          <w:lang w:eastAsia="zh-CN"/>
        </w:rPr>
        <w:t>个项目。正在执行的项目组合由当前正在实施的项目组成。</w:t>
      </w:r>
    </w:p>
    <w:p w14:paraId="7E21EAC1" w14:textId="5B510480" w:rsidR="00101E75" w:rsidRPr="006510AF" w:rsidRDefault="00101E75"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lang w:eastAsia="zh-CN"/>
        </w:rPr>
      </w:pPr>
      <w:r w:rsidRPr="006510AF">
        <w:rPr>
          <w:rFonts w:hint="eastAsia"/>
          <w:sz w:val="24"/>
          <w:szCs w:val="24"/>
          <w:lang w:eastAsia="zh-CN"/>
        </w:rPr>
        <w:t>下文图</w:t>
      </w:r>
      <w:r w:rsidRPr="006510AF">
        <w:rPr>
          <w:rFonts w:hint="eastAsia"/>
          <w:sz w:val="24"/>
          <w:szCs w:val="24"/>
          <w:lang w:eastAsia="zh-CN"/>
        </w:rPr>
        <w:t>1</w:t>
      </w:r>
      <w:r w:rsidRPr="006510AF">
        <w:rPr>
          <w:rFonts w:hint="eastAsia"/>
          <w:sz w:val="24"/>
          <w:szCs w:val="24"/>
          <w:lang w:eastAsia="zh-CN"/>
        </w:rPr>
        <w:t>说明了全环基金在</w:t>
      </w:r>
      <w:r w:rsidRPr="005A09AD">
        <w:rPr>
          <w:rFonts w:ascii="楷体" w:eastAsia="KaiTi" w:hAnsi="楷体" w:hint="eastAsia"/>
          <w:sz w:val="24"/>
          <w:szCs w:val="24"/>
          <w:lang w:eastAsia="zh-CN"/>
        </w:rPr>
        <w:t>所有重点领域</w:t>
      </w:r>
      <w:r w:rsidRPr="006510AF">
        <w:rPr>
          <w:rFonts w:hint="eastAsia"/>
          <w:sz w:val="24"/>
          <w:szCs w:val="24"/>
          <w:lang w:eastAsia="zh-CN"/>
        </w:rPr>
        <w:t>运行的业务绩效。</w:t>
      </w:r>
    </w:p>
    <w:p w14:paraId="083BE172" w14:textId="12709C2F" w:rsidR="00CD6C3C" w:rsidRPr="006510AF" w:rsidRDefault="00CD6C3C" w:rsidP="004700CD">
      <w:pPr>
        <w:spacing w:before="240" w:after="240" w:line="240" w:lineRule="auto"/>
        <w:jc w:val="center"/>
        <w:rPr>
          <w:rFonts w:eastAsia="DengXian"/>
          <w:b/>
          <w:sz w:val="24"/>
          <w:szCs w:val="24"/>
          <w:lang w:eastAsia="zh-CN"/>
        </w:rPr>
      </w:pPr>
      <w:r w:rsidRPr="006510AF">
        <w:rPr>
          <w:rFonts w:hint="eastAsia"/>
          <w:b/>
          <w:sz w:val="24"/>
          <w:szCs w:val="24"/>
          <w:lang w:eastAsia="zh-CN"/>
        </w:rPr>
        <w:t>图</w:t>
      </w:r>
      <w:r w:rsidRPr="006510AF">
        <w:rPr>
          <w:rFonts w:hint="eastAsia"/>
          <w:b/>
          <w:sz w:val="24"/>
          <w:szCs w:val="24"/>
          <w:lang w:eastAsia="zh-CN"/>
        </w:rPr>
        <w:t xml:space="preserve">1. </w:t>
      </w:r>
      <w:r w:rsidRPr="006510AF">
        <w:rPr>
          <w:rFonts w:hint="eastAsia"/>
          <w:b/>
          <w:sz w:val="24"/>
          <w:szCs w:val="24"/>
          <w:lang w:eastAsia="zh-CN"/>
        </w:rPr>
        <w:t>制定全环基金在所有重点领域正在进行的项目组合</w:t>
      </w:r>
      <w:r w:rsidRPr="006510AF">
        <w:rPr>
          <w:b/>
          <w:sz w:val="24"/>
          <w:szCs w:val="24"/>
          <w:lang w:eastAsia="zh-CN"/>
        </w:rPr>
        <w:br/>
      </w:r>
      <w:r w:rsidRPr="006510AF">
        <w:rPr>
          <w:rFonts w:hint="eastAsia"/>
          <w:b/>
          <w:sz w:val="24"/>
          <w:szCs w:val="24"/>
          <w:lang w:eastAsia="zh-CN"/>
        </w:rPr>
        <w:t>的目标和实施进展情况评级（</w:t>
      </w:r>
      <w:r w:rsidRPr="006510AF">
        <w:rPr>
          <w:rFonts w:hint="eastAsia"/>
          <w:b/>
          <w:sz w:val="24"/>
          <w:szCs w:val="24"/>
          <w:lang w:eastAsia="zh-CN"/>
        </w:rPr>
        <w:t>2019</w:t>
      </w:r>
      <w:r w:rsidRPr="006510AF">
        <w:rPr>
          <w:rFonts w:hint="eastAsia"/>
          <w:b/>
          <w:sz w:val="24"/>
          <w:szCs w:val="24"/>
          <w:lang w:eastAsia="zh-CN"/>
        </w:rPr>
        <w:t>财政年度）</w:t>
      </w:r>
    </w:p>
    <w:p w14:paraId="0ADE6DC9" w14:textId="1D18E383" w:rsidR="00620580" w:rsidRDefault="00620580" w:rsidP="00B312AC">
      <w:pPr>
        <w:spacing w:after="0" w:line="240" w:lineRule="auto"/>
        <w:jc w:val="center"/>
        <w:rPr>
          <w:rFonts w:eastAsiaTheme="minorEastAsia"/>
          <w:b/>
          <w:sz w:val="24"/>
          <w:szCs w:val="24"/>
        </w:rPr>
      </w:pPr>
      <w:r>
        <w:rPr>
          <w:noProof/>
          <w:lang w:eastAsia="zh-CN"/>
        </w:rPr>
        <w:drawing>
          <wp:inline distT="0" distB="0" distL="0" distR="0" wp14:anchorId="14589BEF" wp14:editId="40C8B36A">
            <wp:extent cx="4914900" cy="2628900"/>
            <wp:effectExtent l="0" t="0" r="0" b="0"/>
            <wp:docPr id="1" name="Chart 1">
              <a:extLst xmlns:a="http://schemas.openxmlformats.org/drawingml/2006/main">
                <a:ext uri="{FF2B5EF4-FFF2-40B4-BE49-F238E27FC236}">
                  <a16:creationId xmlns:a16="http://schemas.microsoft.com/office/drawing/2014/main" id="{473D80E4-EBD2-4870-92A0-16FDC010C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DCE936" w14:textId="5BEBA78A" w:rsidR="002A31BF" w:rsidRDefault="002A31BF" w:rsidP="004E7711">
      <w:pPr>
        <w:spacing w:after="0" w:line="240" w:lineRule="auto"/>
        <w:rPr>
          <w:rFonts w:eastAsiaTheme="minorEastAsia"/>
          <w:b/>
          <w:sz w:val="24"/>
          <w:szCs w:val="24"/>
        </w:rPr>
      </w:pPr>
    </w:p>
    <w:p w14:paraId="7A873AB0" w14:textId="145A2345" w:rsidR="002A31BF" w:rsidRDefault="002A31BF" w:rsidP="00B312AC">
      <w:pPr>
        <w:spacing w:after="0" w:line="240" w:lineRule="auto"/>
        <w:jc w:val="center"/>
        <w:rPr>
          <w:rFonts w:eastAsiaTheme="minorEastAsia"/>
          <w:b/>
          <w:sz w:val="24"/>
          <w:szCs w:val="24"/>
        </w:rPr>
      </w:pPr>
      <w:r>
        <w:rPr>
          <w:noProof/>
          <w:lang w:eastAsia="zh-CN"/>
        </w:rPr>
        <w:lastRenderedPageBreak/>
        <w:drawing>
          <wp:inline distT="0" distB="0" distL="0" distR="0" wp14:anchorId="6107CA62" wp14:editId="30B30A74">
            <wp:extent cx="5562599" cy="3057525"/>
            <wp:effectExtent l="0" t="0" r="635" b="0"/>
            <wp:docPr id="5" name="Chart 5">
              <a:extLst xmlns:a="http://schemas.openxmlformats.org/drawingml/2006/main">
                <a:ext uri="{FF2B5EF4-FFF2-40B4-BE49-F238E27FC236}">
                  <a16:creationId xmlns:a16="http://schemas.microsoft.com/office/drawing/2014/main" id="{4421E14E-B7B7-47E4-94F6-260FB2774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843719" w14:textId="3EB1507F" w:rsidR="000C3E78" w:rsidRPr="00B11155" w:rsidRDefault="000C3E78" w:rsidP="006257F6">
      <w:pPr>
        <w:spacing w:after="0" w:line="240" w:lineRule="auto"/>
        <w:jc w:val="center"/>
        <w:rPr>
          <w:rFonts w:eastAsiaTheme="minorEastAsia" w:cstheme="minorHAnsi"/>
          <w:b/>
          <w:bCs/>
          <w:i/>
          <w:sz w:val="24"/>
          <w:szCs w:val="24"/>
        </w:rPr>
      </w:pPr>
    </w:p>
    <w:p w14:paraId="2D3ABFA2" w14:textId="44C1561D" w:rsidR="00CD6C3C" w:rsidRPr="006510AF" w:rsidRDefault="00CD6C3C" w:rsidP="00FF3B4A">
      <w:pPr>
        <w:pStyle w:val="ListParagraph"/>
        <w:numPr>
          <w:ilvl w:val="0"/>
          <w:numId w:val="25"/>
        </w:numPr>
        <w:spacing w:before="240" w:after="240" w:line="240" w:lineRule="auto"/>
        <w:ind w:left="0" w:firstLine="0"/>
        <w:contextualSpacing w:val="0"/>
        <w:rPr>
          <w:rFonts w:cstheme="minorHAnsi"/>
          <w:sz w:val="24"/>
          <w:szCs w:val="24"/>
          <w:lang w:eastAsia="zh-CN"/>
        </w:rPr>
      </w:pPr>
      <w:r w:rsidRPr="006510AF">
        <w:rPr>
          <w:rFonts w:hint="eastAsia"/>
          <w:sz w:val="24"/>
          <w:szCs w:val="24"/>
          <w:lang w:eastAsia="zh-CN"/>
        </w:rPr>
        <w:t>图</w:t>
      </w:r>
      <w:r w:rsidRPr="006510AF">
        <w:rPr>
          <w:rFonts w:hint="eastAsia"/>
          <w:sz w:val="24"/>
          <w:szCs w:val="24"/>
          <w:lang w:eastAsia="zh-CN"/>
        </w:rPr>
        <w:t>2</w:t>
      </w:r>
      <w:r w:rsidRPr="006510AF">
        <w:rPr>
          <w:rFonts w:hint="eastAsia"/>
          <w:sz w:val="24"/>
          <w:szCs w:val="24"/>
          <w:lang w:eastAsia="zh-CN"/>
        </w:rPr>
        <w:t>列出取得令人满意绩效的重点领域项目所占的份额。</w:t>
      </w:r>
      <w:r w:rsidRPr="006510AF">
        <w:rPr>
          <w:rFonts w:hint="eastAsia"/>
          <w:sz w:val="24"/>
          <w:szCs w:val="24"/>
          <w:lang w:eastAsia="zh-CN"/>
        </w:rPr>
        <w:t xml:space="preserve"> </w:t>
      </w:r>
      <w:r w:rsidRPr="006510AF">
        <w:rPr>
          <w:rFonts w:hint="eastAsia"/>
          <w:sz w:val="24"/>
          <w:szCs w:val="24"/>
          <w:lang w:eastAsia="zh-CN"/>
        </w:rPr>
        <w:t>在本报告所述期间，目前正在执行的生物多样性项目中，有</w:t>
      </w:r>
      <w:r w:rsidRPr="006510AF">
        <w:rPr>
          <w:rFonts w:hint="eastAsia"/>
          <w:sz w:val="24"/>
          <w:szCs w:val="24"/>
          <w:lang w:eastAsia="zh-CN"/>
        </w:rPr>
        <w:t>84</w:t>
      </w:r>
      <w:r w:rsidRPr="006510AF">
        <w:rPr>
          <w:rFonts w:hint="eastAsia"/>
          <w:sz w:val="24"/>
          <w:szCs w:val="24"/>
          <w:lang w:eastAsia="zh-CN"/>
        </w:rPr>
        <w:t>％的项目在实现实施进度和项目的制定目标方面被评为中</w:t>
      </w:r>
      <w:r w:rsidR="00F532D1" w:rsidRPr="006510AF">
        <w:rPr>
          <w:rFonts w:hint="eastAsia"/>
          <w:sz w:val="24"/>
          <w:szCs w:val="24"/>
          <w:lang w:eastAsia="zh-CN"/>
        </w:rPr>
        <w:t>等</w:t>
      </w:r>
      <w:r w:rsidRPr="006510AF">
        <w:rPr>
          <w:rFonts w:hint="eastAsia"/>
          <w:sz w:val="24"/>
          <w:szCs w:val="24"/>
          <w:lang w:eastAsia="zh-CN"/>
        </w:rPr>
        <w:t>令人满意或更好。</w:t>
      </w:r>
      <w:r w:rsidRPr="006510AF">
        <w:rPr>
          <w:rFonts w:hint="eastAsia"/>
          <w:sz w:val="24"/>
          <w:szCs w:val="24"/>
          <w:lang w:eastAsia="zh-CN"/>
        </w:rPr>
        <w:t xml:space="preserve"> </w:t>
      </w:r>
      <w:r w:rsidRPr="006510AF">
        <w:rPr>
          <w:rFonts w:hint="eastAsia"/>
          <w:sz w:val="24"/>
          <w:szCs w:val="24"/>
          <w:lang w:eastAsia="zh-CN"/>
        </w:rPr>
        <w:t>此外，在通常包含生物多样性资源的多</w:t>
      </w:r>
      <w:r w:rsidR="00F532D1" w:rsidRPr="006510AF">
        <w:rPr>
          <w:rFonts w:hint="eastAsia"/>
          <w:sz w:val="24"/>
          <w:szCs w:val="24"/>
          <w:lang w:eastAsia="zh-CN"/>
        </w:rPr>
        <w:t>重点</w:t>
      </w:r>
      <w:r w:rsidRPr="006510AF">
        <w:rPr>
          <w:rFonts w:hint="eastAsia"/>
          <w:sz w:val="24"/>
          <w:szCs w:val="24"/>
          <w:lang w:eastAsia="zh-CN"/>
        </w:rPr>
        <w:t>地区项目中，有</w:t>
      </w:r>
      <w:r w:rsidRPr="006510AF">
        <w:rPr>
          <w:rFonts w:hint="eastAsia"/>
          <w:sz w:val="24"/>
          <w:szCs w:val="24"/>
          <w:lang w:eastAsia="zh-CN"/>
        </w:rPr>
        <w:t>84</w:t>
      </w:r>
      <w:r w:rsidRPr="006510AF">
        <w:rPr>
          <w:rFonts w:hint="eastAsia"/>
          <w:sz w:val="24"/>
          <w:szCs w:val="24"/>
          <w:lang w:eastAsia="zh-CN"/>
        </w:rPr>
        <w:t>％</w:t>
      </w:r>
      <w:r w:rsidR="00F532D1" w:rsidRPr="006510AF">
        <w:rPr>
          <w:rFonts w:hint="eastAsia"/>
          <w:sz w:val="24"/>
          <w:szCs w:val="24"/>
          <w:lang w:eastAsia="zh-CN"/>
        </w:rPr>
        <w:t>的项目</w:t>
      </w:r>
      <w:r w:rsidRPr="006510AF">
        <w:rPr>
          <w:rFonts w:hint="eastAsia"/>
          <w:sz w:val="24"/>
          <w:szCs w:val="24"/>
          <w:lang w:eastAsia="zh-CN"/>
        </w:rPr>
        <w:t>在实现实施进度方面被评为中</w:t>
      </w:r>
      <w:r w:rsidR="00F532D1" w:rsidRPr="006510AF">
        <w:rPr>
          <w:rFonts w:hint="eastAsia"/>
          <w:sz w:val="24"/>
          <w:szCs w:val="24"/>
          <w:lang w:eastAsia="zh-CN"/>
        </w:rPr>
        <w:t>等</w:t>
      </w:r>
      <w:r w:rsidRPr="006510AF">
        <w:rPr>
          <w:rFonts w:hint="eastAsia"/>
          <w:sz w:val="24"/>
          <w:szCs w:val="24"/>
          <w:lang w:eastAsia="zh-CN"/>
        </w:rPr>
        <w:t>令人满意或更好，而在实现项目的发展目标中，有</w:t>
      </w:r>
      <w:r w:rsidRPr="006510AF">
        <w:rPr>
          <w:rFonts w:hint="eastAsia"/>
          <w:sz w:val="24"/>
          <w:szCs w:val="24"/>
          <w:lang w:eastAsia="zh-CN"/>
        </w:rPr>
        <w:t>90</w:t>
      </w:r>
      <w:r w:rsidRPr="006510AF">
        <w:rPr>
          <w:rFonts w:hint="eastAsia"/>
          <w:sz w:val="24"/>
          <w:szCs w:val="24"/>
          <w:lang w:eastAsia="zh-CN"/>
        </w:rPr>
        <w:t>％</w:t>
      </w:r>
      <w:r w:rsidR="00F532D1" w:rsidRPr="006510AF">
        <w:rPr>
          <w:rFonts w:hint="eastAsia"/>
          <w:sz w:val="24"/>
          <w:szCs w:val="24"/>
          <w:lang w:eastAsia="zh-CN"/>
        </w:rPr>
        <w:t>的项目</w:t>
      </w:r>
      <w:r w:rsidRPr="006510AF">
        <w:rPr>
          <w:rFonts w:hint="eastAsia"/>
          <w:sz w:val="24"/>
          <w:szCs w:val="24"/>
          <w:lang w:eastAsia="zh-CN"/>
        </w:rPr>
        <w:t>被评为中</w:t>
      </w:r>
      <w:r w:rsidR="00F532D1" w:rsidRPr="006510AF">
        <w:rPr>
          <w:rFonts w:hint="eastAsia"/>
          <w:sz w:val="24"/>
          <w:szCs w:val="24"/>
          <w:lang w:eastAsia="zh-CN"/>
        </w:rPr>
        <w:t>等</w:t>
      </w:r>
      <w:r w:rsidRPr="006510AF">
        <w:rPr>
          <w:rFonts w:hint="eastAsia"/>
          <w:sz w:val="24"/>
          <w:szCs w:val="24"/>
          <w:lang w:eastAsia="zh-CN"/>
        </w:rPr>
        <w:t>令人满意或更好。</w:t>
      </w:r>
    </w:p>
    <w:p w14:paraId="6E1F48E7" w14:textId="77777777" w:rsidR="007478F2" w:rsidRDefault="007478F2" w:rsidP="002C6F91">
      <w:pPr>
        <w:jc w:val="center"/>
        <w:rPr>
          <w:b/>
          <w:lang w:eastAsia="zh-CN"/>
        </w:rPr>
      </w:pPr>
    </w:p>
    <w:p w14:paraId="413CC406" w14:textId="77777777" w:rsidR="007478F2" w:rsidRDefault="007478F2" w:rsidP="002C6F91">
      <w:pPr>
        <w:jc w:val="center"/>
        <w:rPr>
          <w:b/>
          <w:lang w:eastAsia="zh-CN"/>
        </w:rPr>
      </w:pPr>
    </w:p>
    <w:p w14:paraId="5338E8A1" w14:textId="77777777" w:rsidR="007478F2" w:rsidRDefault="007478F2" w:rsidP="002C6F91">
      <w:pPr>
        <w:jc w:val="center"/>
        <w:rPr>
          <w:b/>
          <w:lang w:eastAsia="zh-CN"/>
        </w:rPr>
      </w:pPr>
    </w:p>
    <w:p w14:paraId="49414925" w14:textId="77777777" w:rsidR="007478F2" w:rsidRDefault="007478F2" w:rsidP="002C6F91">
      <w:pPr>
        <w:jc w:val="center"/>
        <w:rPr>
          <w:b/>
          <w:lang w:eastAsia="zh-CN"/>
        </w:rPr>
      </w:pPr>
    </w:p>
    <w:p w14:paraId="689FF66B" w14:textId="77777777" w:rsidR="007478F2" w:rsidRDefault="007478F2" w:rsidP="002C6F91">
      <w:pPr>
        <w:jc w:val="center"/>
        <w:rPr>
          <w:b/>
          <w:lang w:eastAsia="zh-CN"/>
        </w:rPr>
      </w:pPr>
    </w:p>
    <w:p w14:paraId="5BBD48E0" w14:textId="77777777" w:rsidR="007478F2" w:rsidRDefault="007478F2" w:rsidP="002C6F91">
      <w:pPr>
        <w:jc w:val="center"/>
        <w:rPr>
          <w:b/>
          <w:lang w:eastAsia="zh-CN"/>
        </w:rPr>
      </w:pPr>
    </w:p>
    <w:p w14:paraId="07A1A9B2" w14:textId="77777777" w:rsidR="007478F2" w:rsidRDefault="007478F2" w:rsidP="002C6F91">
      <w:pPr>
        <w:jc w:val="center"/>
        <w:rPr>
          <w:b/>
          <w:lang w:eastAsia="zh-CN"/>
        </w:rPr>
      </w:pPr>
    </w:p>
    <w:p w14:paraId="5FF7CFDA" w14:textId="77777777" w:rsidR="007478F2" w:rsidRDefault="007478F2" w:rsidP="002C6F91">
      <w:pPr>
        <w:jc w:val="center"/>
        <w:rPr>
          <w:b/>
          <w:lang w:eastAsia="zh-CN"/>
        </w:rPr>
      </w:pPr>
    </w:p>
    <w:p w14:paraId="40EDD542" w14:textId="77777777" w:rsidR="007478F2" w:rsidRDefault="007478F2" w:rsidP="002C6F91">
      <w:pPr>
        <w:jc w:val="center"/>
        <w:rPr>
          <w:b/>
          <w:lang w:eastAsia="zh-CN"/>
        </w:rPr>
      </w:pPr>
    </w:p>
    <w:p w14:paraId="7F1B1080" w14:textId="77777777" w:rsidR="007478F2" w:rsidRDefault="007478F2" w:rsidP="002C6F91">
      <w:pPr>
        <w:jc w:val="center"/>
        <w:rPr>
          <w:b/>
          <w:lang w:eastAsia="zh-CN"/>
        </w:rPr>
      </w:pPr>
    </w:p>
    <w:p w14:paraId="4C55024C" w14:textId="77777777" w:rsidR="007478F2" w:rsidRDefault="007478F2" w:rsidP="002C6F91">
      <w:pPr>
        <w:jc w:val="center"/>
        <w:rPr>
          <w:b/>
          <w:lang w:eastAsia="zh-CN"/>
        </w:rPr>
      </w:pPr>
    </w:p>
    <w:p w14:paraId="74460AED" w14:textId="77777777" w:rsidR="007478F2" w:rsidRDefault="007478F2" w:rsidP="002C6F91">
      <w:pPr>
        <w:jc w:val="center"/>
        <w:rPr>
          <w:b/>
          <w:lang w:eastAsia="zh-CN"/>
        </w:rPr>
      </w:pPr>
    </w:p>
    <w:p w14:paraId="4A0B91BC" w14:textId="08D463FA" w:rsidR="002C6F91" w:rsidRPr="006510AF" w:rsidRDefault="002C6F91" w:rsidP="002C6F91">
      <w:pPr>
        <w:jc w:val="center"/>
        <w:rPr>
          <w:rFonts w:eastAsia="DengXian" w:cstheme="minorHAnsi"/>
          <w:b/>
          <w:bCs/>
          <w:sz w:val="24"/>
          <w:szCs w:val="24"/>
          <w:lang w:eastAsia="zh-CN"/>
        </w:rPr>
      </w:pPr>
      <w:r w:rsidRPr="006510AF">
        <w:rPr>
          <w:rFonts w:hint="eastAsia"/>
          <w:b/>
          <w:sz w:val="24"/>
          <w:szCs w:val="24"/>
          <w:lang w:eastAsia="zh-CN"/>
        </w:rPr>
        <w:lastRenderedPageBreak/>
        <w:t>图</w:t>
      </w:r>
      <w:r w:rsidRPr="006510AF">
        <w:rPr>
          <w:rFonts w:hint="eastAsia"/>
          <w:b/>
          <w:sz w:val="24"/>
          <w:szCs w:val="24"/>
          <w:lang w:eastAsia="zh-CN"/>
        </w:rPr>
        <w:t xml:space="preserve">2.  </w:t>
      </w:r>
      <w:r w:rsidRPr="006510AF">
        <w:rPr>
          <w:rFonts w:hint="eastAsia"/>
          <w:b/>
          <w:sz w:val="24"/>
          <w:szCs w:val="24"/>
          <w:lang w:eastAsia="zh-CN"/>
        </w:rPr>
        <w:t>按重点领域分列的被评为满意的正在执行的项目份额</w:t>
      </w:r>
      <w:r w:rsidRPr="006510AF">
        <w:rPr>
          <w:b/>
          <w:sz w:val="24"/>
          <w:szCs w:val="24"/>
          <w:lang w:eastAsia="zh-CN"/>
        </w:rPr>
        <w:br/>
      </w:r>
      <w:r w:rsidRPr="006510AF">
        <w:rPr>
          <w:rFonts w:hint="eastAsia"/>
          <w:b/>
          <w:sz w:val="24"/>
          <w:szCs w:val="24"/>
          <w:lang w:eastAsia="zh-CN"/>
        </w:rPr>
        <w:t>（</w:t>
      </w:r>
      <w:r w:rsidRPr="006510AF">
        <w:rPr>
          <w:rFonts w:hint="eastAsia"/>
          <w:b/>
          <w:sz w:val="24"/>
          <w:szCs w:val="24"/>
          <w:lang w:eastAsia="zh-CN"/>
        </w:rPr>
        <w:t>2019</w:t>
      </w:r>
      <w:r w:rsidRPr="006510AF">
        <w:rPr>
          <w:rFonts w:hint="eastAsia"/>
          <w:b/>
          <w:sz w:val="24"/>
          <w:szCs w:val="24"/>
          <w:lang w:eastAsia="zh-CN"/>
        </w:rPr>
        <w:t>财政年度）</w:t>
      </w:r>
    </w:p>
    <w:p w14:paraId="3AF0DEAA" w14:textId="20B8BCFC" w:rsidR="00095C73" w:rsidRPr="00274354" w:rsidRDefault="00FC53B3" w:rsidP="00274354">
      <w:pPr>
        <w:jc w:val="center"/>
        <w:rPr>
          <w:rFonts w:cstheme="minorHAnsi"/>
        </w:rPr>
      </w:pPr>
      <w:bookmarkStart w:id="17" w:name="_Toc23525337"/>
      <w:bookmarkStart w:id="18" w:name="_Toc18940489"/>
      <w:bookmarkStart w:id="19" w:name="_Toc24011742"/>
      <w:bookmarkStart w:id="20" w:name="_Toc25257585"/>
      <w:r>
        <w:rPr>
          <w:rFonts w:cstheme="minorHAnsi"/>
          <w:noProof/>
        </w:rPr>
        <w:drawing>
          <wp:inline distT="0" distB="0" distL="0" distR="0" wp14:anchorId="6A36E018" wp14:editId="2F322FC3">
            <wp:extent cx="5943600" cy="3656965"/>
            <wp:effectExtent l="0" t="0" r="0" b="63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sbi-03-06-add1-zh.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656965"/>
                    </a:xfrm>
                    <a:prstGeom prst="rect">
                      <a:avLst/>
                    </a:prstGeom>
                  </pic:spPr>
                </pic:pic>
              </a:graphicData>
            </a:graphic>
          </wp:inline>
        </w:drawing>
      </w:r>
    </w:p>
    <w:p w14:paraId="3ECA3552" w14:textId="43C82253" w:rsidR="00202ED5" w:rsidRPr="006510AF" w:rsidRDefault="00202ED5" w:rsidP="00202ED5">
      <w:pPr>
        <w:pStyle w:val="ListParagraph"/>
        <w:numPr>
          <w:ilvl w:val="0"/>
          <w:numId w:val="25"/>
        </w:numPr>
        <w:spacing w:before="240" w:after="240" w:line="240" w:lineRule="auto"/>
        <w:ind w:left="0" w:firstLine="0"/>
        <w:contextualSpacing w:val="0"/>
        <w:rPr>
          <w:rFonts w:ascii="Times New Roman" w:hAnsi="Times New Roman" w:cs="Times New Roman"/>
          <w:sz w:val="24"/>
          <w:szCs w:val="24"/>
          <w:lang w:eastAsia="zh-CN"/>
        </w:rPr>
      </w:pPr>
      <w:r w:rsidRPr="006510AF">
        <w:rPr>
          <w:rFonts w:ascii="Times New Roman" w:hAnsi="Times New Roman" w:cs="Times New Roman"/>
          <w:sz w:val="24"/>
          <w:szCs w:val="24"/>
          <w:lang w:eastAsia="zh-CN"/>
        </w:rPr>
        <w:t>下面的图</w:t>
      </w:r>
      <w:r w:rsidRPr="006510AF">
        <w:rPr>
          <w:rFonts w:ascii="Times New Roman" w:hAnsi="Times New Roman" w:cs="Times New Roman"/>
          <w:sz w:val="24"/>
          <w:szCs w:val="24"/>
          <w:lang w:eastAsia="zh-CN"/>
        </w:rPr>
        <w:t>3</w:t>
      </w:r>
      <w:r w:rsidRPr="006510AF">
        <w:rPr>
          <w:rFonts w:ascii="Times New Roman" w:hAnsi="Times New Roman" w:cs="Times New Roman"/>
          <w:sz w:val="24"/>
          <w:szCs w:val="24"/>
          <w:lang w:eastAsia="zh-CN"/>
        </w:rPr>
        <w:t>列出生物多样性重点领域项目以及利用生物多样性资源的多重点领域项目的绩效数据。这些项目中有</w:t>
      </w:r>
      <w:r w:rsidRPr="006510AF">
        <w:rPr>
          <w:rFonts w:ascii="Times New Roman" w:hAnsi="Times New Roman" w:cs="Times New Roman"/>
          <w:sz w:val="24"/>
          <w:szCs w:val="24"/>
          <w:lang w:eastAsia="zh-CN"/>
        </w:rPr>
        <w:t>82</w:t>
      </w:r>
      <w:r w:rsidRPr="006510AF">
        <w:rPr>
          <w:rFonts w:ascii="Times New Roman" w:hAnsi="Times New Roman" w:cs="Times New Roman"/>
          <w:sz w:val="24"/>
          <w:szCs w:val="24"/>
          <w:lang w:eastAsia="zh-CN"/>
        </w:rPr>
        <w:t>％的项目被评为中等满意或更好。</w:t>
      </w:r>
    </w:p>
    <w:p w14:paraId="1DDAF622" w14:textId="77777777" w:rsidR="0091752D" w:rsidRDefault="0091752D" w:rsidP="0091752D">
      <w:pPr>
        <w:spacing w:before="240" w:after="240" w:line="240" w:lineRule="auto"/>
        <w:jc w:val="center"/>
        <w:rPr>
          <w:b/>
          <w:sz w:val="24"/>
          <w:lang w:eastAsia="zh-CN"/>
        </w:rPr>
      </w:pPr>
      <w:r>
        <w:rPr>
          <w:b/>
          <w:sz w:val="24"/>
          <w:lang w:eastAsia="zh-CN"/>
        </w:rPr>
        <w:br w:type="page"/>
      </w:r>
      <w:bookmarkStart w:id="21" w:name="_GoBack"/>
      <w:bookmarkEnd w:id="21"/>
    </w:p>
    <w:p w14:paraId="4FCA824B" w14:textId="05B99F25" w:rsidR="0032554A" w:rsidRPr="00F63211" w:rsidRDefault="0032554A" w:rsidP="00195EFE">
      <w:pPr>
        <w:spacing w:before="240" w:after="240" w:line="240" w:lineRule="auto"/>
        <w:jc w:val="center"/>
        <w:rPr>
          <w:b/>
          <w:sz w:val="24"/>
          <w:szCs w:val="24"/>
          <w:lang w:eastAsia="zh-CN"/>
        </w:rPr>
      </w:pPr>
      <w:r w:rsidRPr="00F63211">
        <w:rPr>
          <w:rFonts w:hint="eastAsia"/>
          <w:b/>
          <w:sz w:val="24"/>
          <w:szCs w:val="24"/>
          <w:lang w:eastAsia="zh-CN"/>
        </w:rPr>
        <w:lastRenderedPageBreak/>
        <w:t>图</w:t>
      </w:r>
      <w:r w:rsidRPr="00F63211">
        <w:rPr>
          <w:rFonts w:hint="eastAsia"/>
          <w:b/>
          <w:sz w:val="24"/>
          <w:szCs w:val="24"/>
          <w:lang w:eastAsia="zh-CN"/>
        </w:rPr>
        <w:t xml:space="preserve">3. </w:t>
      </w:r>
      <w:r w:rsidRPr="00F63211">
        <w:rPr>
          <w:rFonts w:hint="eastAsia"/>
          <w:b/>
          <w:sz w:val="24"/>
          <w:szCs w:val="24"/>
          <w:lang w:eastAsia="zh-CN"/>
        </w:rPr>
        <w:t>生物多样性项目和使用生物多样性资源的</w:t>
      </w:r>
      <w:r w:rsidR="005C6EC1" w:rsidRPr="00F63211">
        <w:rPr>
          <w:rFonts w:hint="eastAsia"/>
          <w:b/>
          <w:sz w:val="24"/>
          <w:szCs w:val="24"/>
          <w:lang w:eastAsia="zh-CN"/>
        </w:rPr>
        <w:t>多重点项目的评级</w:t>
      </w:r>
      <w:r w:rsidR="005C6EC1" w:rsidRPr="00F63211">
        <w:rPr>
          <w:b/>
          <w:sz w:val="24"/>
          <w:szCs w:val="24"/>
          <w:lang w:eastAsia="zh-CN"/>
        </w:rPr>
        <w:br/>
      </w:r>
      <w:r w:rsidR="005C6EC1" w:rsidRPr="00F63211">
        <w:rPr>
          <w:rFonts w:hint="eastAsia"/>
          <w:b/>
          <w:sz w:val="24"/>
          <w:szCs w:val="24"/>
          <w:lang w:eastAsia="zh-CN"/>
        </w:rPr>
        <w:t>（</w:t>
      </w:r>
      <w:r w:rsidR="005C6EC1" w:rsidRPr="00F63211">
        <w:rPr>
          <w:rFonts w:hint="eastAsia"/>
          <w:b/>
          <w:sz w:val="24"/>
          <w:szCs w:val="24"/>
          <w:lang w:eastAsia="zh-CN"/>
        </w:rPr>
        <w:t>2019</w:t>
      </w:r>
      <w:r w:rsidR="005C6EC1" w:rsidRPr="00F63211">
        <w:rPr>
          <w:rFonts w:hint="eastAsia"/>
          <w:b/>
          <w:sz w:val="24"/>
          <w:szCs w:val="24"/>
          <w:lang w:eastAsia="zh-CN"/>
        </w:rPr>
        <w:t>财政年度）</w:t>
      </w:r>
    </w:p>
    <w:p w14:paraId="6286AF77" w14:textId="2E4E6A16" w:rsidR="00903F9F" w:rsidRPr="0091752D" w:rsidRDefault="00895174" w:rsidP="00B312AC">
      <w:pPr>
        <w:jc w:val="center"/>
      </w:pPr>
      <w:r w:rsidRPr="0091752D">
        <w:rPr>
          <w:noProof/>
          <w:lang w:eastAsia="zh-CN"/>
        </w:rPr>
        <w:drawing>
          <wp:inline distT="0" distB="0" distL="0" distR="0" wp14:anchorId="3EB06D87" wp14:editId="0A295FD5">
            <wp:extent cx="5105400" cy="3095625"/>
            <wp:effectExtent l="0" t="0" r="0" b="0"/>
            <wp:docPr id="3" name="Chart 3">
              <a:extLst xmlns:a="http://schemas.openxmlformats.org/drawingml/2006/main">
                <a:ext uri="{FF2B5EF4-FFF2-40B4-BE49-F238E27FC236}">
                  <a16:creationId xmlns:a16="http://schemas.microsoft.com/office/drawing/2014/main" id="{EB922163-15B6-4429-A512-6067526CC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48964D" w14:textId="7F47F4C2" w:rsidR="004A1029" w:rsidRPr="0091752D" w:rsidRDefault="004A1029" w:rsidP="00B312AC">
      <w:pPr>
        <w:jc w:val="center"/>
      </w:pPr>
      <w:r w:rsidRPr="0091752D">
        <w:rPr>
          <w:noProof/>
          <w:lang w:eastAsia="zh-CN"/>
        </w:rPr>
        <w:drawing>
          <wp:inline distT="0" distB="0" distL="0" distR="0" wp14:anchorId="0685BFF9" wp14:editId="6ED99C1D">
            <wp:extent cx="5133975" cy="3214688"/>
            <wp:effectExtent l="0" t="0" r="0" b="5080"/>
            <wp:docPr id="4" name="Chart 4">
              <a:extLst xmlns:a="http://schemas.openxmlformats.org/drawingml/2006/main">
                <a:ext uri="{FF2B5EF4-FFF2-40B4-BE49-F238E27FC236}">
                  <a16:creationId xmlns:a16="http://schemas.microsoft.com/office/drawing/2014/main" id="{7ABCF79D-3421-4D28-91FB-2164F0264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50189B" w14:textId="77777777" w:rsidR="0081475B" w:rsidRPr="0091752D" w:rsidRDefault="0081475B" w:rsidP="0091752D">
      <w:r w:rsidRPr="0091752D">
        <w:br w:type="page"/>
      </w:r>
    </w:p>
    <w:bookmarkEnd w:id="17"/>
    <w:bookmarkEnd w:id="18"/>
    <w:bookmarkEnd w:id="19"/>
    <w:bookmarkEnd w:id="20"/>
    <w:p w14:paraId="3E2B82A6" w14:textId="3914D1ED" w:rsidR="006257F6" w:rsidRPr="00F63211" w:rsidRDefault="005C6EC1" w:rsidP="00CF090D">
      <w:pPr>
        <w:pStyle w:val="Heading2"/>
        <w:rPr>
          <w:sz w:val="24"/>
          <w:szCs w:val="24"/>
        </w:rPr>
      </w:pPr>
      <w:r w:rsidRPr="00F63211">
        <w:rPr>
          <w:rFonts w:hint="eastAsia"/>
          <w:sz w:val="24"/>
          <w:szCs w:val="24"/>
        </w:rPr>
        <w:lastRenderedPageBreak/>
        <w:t>增加整个项目组合共同筹措资金</w:t>
      </w:r>
      <w:r w:rsidR="00101AA1" w:rsidRPr="00F63211">
        <w:rPr>
          <w:sz w:val="24"/>
          <w:szCs w:val="24"/>
        </w:rPr>
        <w:t xml:space="preserve"> </w:t>
      </w:r>
    </w:p>
    <w:p w14:paraId="6E97CDC2" w14:textId="77777777" w:rsidR="005C6EC1" w:rsidRPr="00F63211" w:rsidRDefault="005C6EC1" w:rsidP="005C6EC1">
      <w:pPr>
        <w:rPr>
          <w:sz w:val="24"/>
          <w:szCs w:val="24"/>
          <w:lang w:val="en-GB" w:eastAsia="zh-CN"/>
        </w:rPr>
      </w:pPr>
    </w:p>
    <w:p w14:paraId="44661EFE" w14:textId="47544FC6" w:rsidR="005C6EC1" w:rsidRPr="00F63211" w:rsidRDefault="005C6EC1" w:rsidP="005C6EC1">
      <w:pPr>
        <w:pStyle w:val="ListParagraph"/>
        <w:numPr>
          <w:ilvl w:val="0"/>
          <w:numId w:val="25"/>
        </w:numPr>
        <w:spacing w:before="240" w:after="240" w:line="240" w:lineRule="auto"/>
        <w:ind w:left="0" w:firstLine="0"/>
        <w:contextualSpacing w:val="0"/>
        <w:rPr>
          <w:rFonts w:ascii="Times New Roman" w:hAnsi="Times New Roman" w:cs="Times New Roman"/>
          <w:noProof/>
          <w:color w:val="000000"/>
          <w:sz w:val="24"/>
          <w:szCs w:val="24"/>
          <w:lang w:eastAsia="zh-CN"/>
        </w:rPr>
      </w:pPr>
      <w:r w:rsidRPr="00F63211">
        <w:rPr>
          <w:rFonts w:ascii="Times New Roman" w:hAnsi="Times New Roman" w:cs="Times New Roman"/>
          <w:noProof/>
          <w:color w:val="000000"/>
          <w:sz w:val="24"/>
          <w:szCs w:val="24"/>
          <w:lang w:eastAsia="zh-CN"/>
        </w:rPr>
        <w:t>在第六次</w:t>
      </w:r>
      <w:r w:rsidR="009A4935" w:rsidRPr="00F63211">
        <w:rPr>
          <w:rFonts w:ascii="Times New Roman" w:hAnsi="Times New Roman" w:cs="Times New Roman"/>
          <w:noProof/>
          <w:color w:val="000000"/>
          <w:sz w:val="24"/>
          <w:szCs w:val="24"/>
          <w:lang w:eastAsia="zh-CN"/>
        </w:rPr>
        <w:t>增资</w:t>
      </w:r>
      <w:r w:rsidRPr="00F63211">
        <w:rPr>
          <w:rFonts w:ascii="Times New Roman" w:hAnsi="Times New Roman" w:cs="Times New Roman"/>
          <w:noProof/>
          <w:color w:val="000000"/>
          <w:sz w:val="24"/>
          <w:szCs w:val="24"/>
          <w:lang w:eastAsia="zh-CN"/>
        </w:rPr>
        <w:t>提供的资源</w:t>
      </w:r>
      <w:r w:rsidR="00B13D4A" w:rsidRPr="00F63211">
        <w:rPr>
          <w:rFonts w:ascii="Times New Roman" w:hAnsi="Times New Roman" w:cs="Times New Roman"/>
          <w:noProof/>
          <w:color w:val="000000"/>
          <w:sz w:val="24"/>
          <w:szCs w:val="24"/>
          <w:lang w:eastAsia="zh-CN"/>
        </w:rPr>
        <w:t>中</w:t>
      </w:r>
      <w:r w:rsidRPr="00F63211">
        <w:rPr>
          <w:rFonts w:ascii="Times New Roman" w:hAnsi="Times New Roman" w:cs="Times New Roman"/>
          <w:noProof/>
          <w:color w:val="000000"/>
          <w:sz w:val="24"/>
          <w:szCs w:val="24"/>
          <w:lang w:eastAsia="zh-CN"/>
        </w:rPr>
        <w:t>，全环基金达到了最高的共同</w:t>
      </w:r>
      <w:r w:rsidR="009A4935" w:rsidRPr="00F63211">
        <w:rPr>
          <w:rFonts w:ascii="Times New Roman" w:hAnsi="Times New Roman" w:cs="Times New Roman"/>
          <w:noProof/>
          <w:color w:val="000000"/>
          <w:sz w:val="24"/>
          <w:szCs w:val="24"/>
          <w:lang w:eastAsia="zh-CN"/>
        </w:rPr>
        <w:t>筹资</w:t>
      </w:r>
      <w:r w:rsidRPr="00F63211">
        <w:rPr>
          <w:rFonts w:ascii="Times New Roman" w:hAnsi="Times New Roman" w:cs="Times New Roman"/>
          <w:noProof/>
          <w:color w:val="000000"/>
          <w:sz w:val="24"/>
          <w:szCs w:val="24"/>
          <w:lang w:eastAsia="zh-CN"/>
        </w:rPr>
        <w:t>比率，为</w:t>
      </w:r>
      <w:r w:rsidR="009A4935" w:rsidRPr="00F63211">
        <w:rPr>
          <w:rFonts w:ascii="Times New Roman" w:hAnsi="Times New Roman" w:cs="Times New Roman"/>
          <w:noProof/>
          <w:color w:val="000000"/>
          <w:sz w:val="24"/>
          <w:szCs w:val="24"/>
          <w:lang w:eastAsia="zh-CN"/>
        </w:rPr>
        <w:t>到</w:t>
      </w:r>
      <w:r w:rsidRPr="00F63211">
        <w:rPr>
          <w:rFonts w:ascii="Times New Roman" w:hAnsi="Times New Roman" w:cs="Times New Roman"/>
          <w:noProof/>
          <w:color w:val="000000"/>
          <w:sz w:val="24"/>
          <w:szCs w:val="24"/>
          <w:lang w:eastAsia="zh-CN"/>
        </w:rPr>
        <w:t>2019</w:t>
      </w:r>
      <w:r w:rsidRPr="00F63211">
        <w:rPr>
          <w:rFonts w:ascii="Times New Roman" w:hAnsi="Times New Roman" w:cs="Times New Roman"/>
          <w:noProof/>
          <w:color w:val="000000"/>
          <w:sz w:val="24"/>
          <w:szCs w:val="24"/>
          <w:lang w:eastAsia="zh-CN"/>
        </w:rPr>
        <w:t>年</w:t>
      </w:r>
      <w:r w:rsidRPr="00F63211">
        <w:rPr>
          <w:rFonts w:ascii="Times New Roman" w:hAnsi="Times New Roman" w:cs="Times New Roman"/>
          <w:noProof/>
          <w:color w:val="000000"/>
          <w:sz w:val="24"/>
          <w:szCs w:val="24"/>
          <w:lang w:eastAsia="zh-CN"/>
        </w:rPr>
        <w:t>12</w:t>
      </w:r>
      <w:r w:rsidRPr="00F63211">
        <w:rPr>
          <w:rFonts w:ascii="Times New Roman" w:hAnsi="Times New Roman" w:cs="Times New Roman"/>
          <w:noProof/>
          <w:color w:val="000000"/>
          <w:sz w:val="24"/>
          <w:szCs w:val="24"/>
          <w:lang w:eastAsia="zh-CN"/>
        </w:rPr>
        <w:t>月</w:t>
      </w:r>
      <w:r w:rsidRPr="00F63211">
        <w:rPr>
          <w:rFonts w:ascii="Times New Roman" w:hAnsi="Times New Roman" w:cs="Times New Roman"/>
          <w:noProof/>
          <w:color w:val="000000"/>
          <w:sz w:val="24"/>
          <w:szCs w:val="24"/>
          <w:lang w:eastAsia="zh-CN"/>
        </w:rPr>
        <w:t>31</w:t>
      </w:r>
      <w:r w:rsidRPr="00F63211">
        <w:rPr>
          <w:rFonts w:ascii="Times New Roman" w:hAnsi="Times New Roman" w:cs="Times New Roman"/>
          <w:noProof/>
          <w:color w:val="000000"/>
          <w:sz w:val="24"/>
          <w:szCs w:val="24"/>
          <w:lang w:eastAsia="zh-CN"/>
        </w:rPr>
        <w:t>日核准的全环基金第六次</w:t>
      </w:r>
      <w:r w:rsidR="009A4935" w:rsidRPr="00F63211">
        <w:rPr>
          <w:rFonts w:ascii="Times New Roman" w:hAnsi="Times New Roman" w:cs="Times New Roman"/>
          <w:noProof/>
          <w:color w:val="000000"/>
          <w:sz w:val="24"/>
          <w:szCs w:val="24"/>
          <w:lang w:eastAsia="zh-CN"/>
        </w:rPr>
        <w:t>增资</w:t>
      </w:r>
      <w:r w:rsidRPr="00F63211">
        <w:rPr>
          <w:rFonts w:ascii="Times New Roman" w:hAnsi="Times New Roman" w:cs="Times New Roman"/>
          <w:noProof/>
          <w:color w:val="000000"/>
          <w:sz w:val="24"/>
          <w:szCs w:val="24"/>
          <w:lang w:eastAsia="zh-CN"/>
        </w:rPr>
        <w:t>项目提供的每一美元</w:t>
      </w:r>
      <w:r w:rsidR="009A4935" w:rsidRPr="00F63211">
        <w:rPr>
          <w:rFonts w:ascii="Times New Roman" w:hAnsi="Times New Roman" w:cs="Times New Roman"/>
          <w:noProof/>
          <w:color w:val="000000"/>
          <w:sz w:val="24"/>
          <w:szCs w:val="24"/>
          <w:lang w:eastAsia="zh-CN"/>
        </w:rPr>
        <w:t>以</w:t>
      </w:r>
      <w:r w:rsidRPr="00F63211">
        <w:rPr>
          <w:rFonts w:ascii="Times New Roman" w:hAnsi="Times New Roman" w:cs="Times New Roman"/>
          <w:noProof/>
          <w:color w:val="000000"/>
          <w:sz w:val="24"/>
          <w:szCs w:val="24"/>
          <w:lang w:eastAsia="zh-CN"/>
        </w:rPr>
        <w:t>共同</w:t>
      </w:r>
      <w:r w:rsidR="009A4935" w:rsidRPr="00F63211">
        <w:rPr>
          <w:rFonts w:ascii="Times New Roman" w:hAnsi="Times New Roman" w:cs="Times New Roman"/>
          <w:noProof/>
          <w:color w:val="000000"/>
          <w:sz w:val="24"/>
          <w:szCs w:val="24"/>
          <w:lang w:eastAsia="zh-CN"/>
        </w:rPr>
        <w:t>筹资的方式筹集到</w:t>
      </w:r>
      <w:r w:rsidRPr="00F63211">
        <w:rPr>
          <w:rFonts w:ascii="Times New Roman" w:hAnsi="Times New Roman" w:cs="Times New Roman"/>
          <w:noProof/>
          <w:color w:val="000000"/>
          <w:sz w:val="24"/>
          <w:szCs w:val="24"/>
          <w:lang w:eastAsia="zh-CN"/>
        </w:rPr>
        <w:t>9.3</w:t>
      </w:r>
      <w:r w:rsidRPr="00F63211">
        <w:rPr>
          <w:rFonts w:ascii="Times New Roman" w:hAnsi="Times New Roman" w:cs="Times New Roman"/>
          <w:noProof/>
          <w:color w:val="000000"/>
          <w:sz w:val="24"/>
          <w:szCs w:val="24"/>
          <w:lang w:eastAsia="zh-CN"/>
        </w:rPr>
        <w:t>美元。</w:t>
      </w:r>
      <w:r w:rsidRPr="00F63211">
        <w:rPr>
          <w:rFonts w:ascii="Times New Roman" w:hAnsi="Times New Roman" w:cs="Times New Roman"/>
          <w:noProof/>
          <w:color w:val="000000"/>
          <w:sz w:val="24"/>
          <w:szCs w:val="24"/>
          <w:lang w:eastAsia="zh-CN"/>
        </w:rPr>
        <w:t xml:space="preserve"> </w:t>
      </w:r>
      <w:r w:rsidR="00B13D4A" w:rsidRPr="00F63211">
        <w:rPr>
          <w:rFonts w:ascii="Times New Roman" w:hAnsi="Times New Roman" w:cs="Times New Roman"/>
          <w:noProof/>
          <w:color w:val="000000"/>
          <w:sz w:val="24"/>
          <w:szCs w:val="24"/>
          <w:lang w:eastAsia="zh-CN"/>
        </w:rPr>
        <w:t>这项数值的计算方式是</w:t>
      </w:r>
      <w:r w:rsidRPr="00F63211">
        <w:rPr>
          <w:rFonts w:ascii="Times New Roman" w:hAnsi="Times New Roman" w:cs="Times New Roman"/>
          <w:noProof/>
          <w:color w:val="000000"/>
          <w:sz w:val="24"/>
          <w:szCs w:val="24"/>
          <w:lang w:eastAsia="zh-CN"/>
        </w:rPr>
        <w:t>在给定的</w:t>
      </w:r>
      <w:r w:rsidR="00B13D4A" w:rsidRPr="00F63211">
        <w:rPr>
          <w:rFonts w:ascii="Times New Roman" w:hAnsi="Times New Roman" w:cs="Times New Roman"/>
          <w:noProof/>
          <w:color w:val="000000"/>
          <w:sz w:val="24"/>
          <w:szCs w:val="24"/>
          <w:lang w:eastAsia="zh-CN"/>
        </w:rPr>
        <w:t>全环基金</w:t>
      </w:r>
      <w:r w:rsidRPr="00F63211">
        <w:rPr>
          <w:rFonts w:ascii="Times New Roman" w:hAnsi="Times New Roman" w:cs="Times New Roman"/>
          <w:noProof/>
          <w:color w:val="000000"/>
          <w:sz w:val="24"/>
          <w:szCs w:val="24"/>
          <w:lang w:eastAsia="zh-CN"/>
        </w:rPr>
        <w:t>期限将每个</w:t>
      </w:r>
      <w:r w:rsidR="000668C9" w:rsidRPr="00F63211">
        <w:rPr>
          <w:rFonts w:ascii="Times New Roman" w:hAnsi="Times New Roman" w:cs="Times New Roman"/>
          <w:noProof/>
          <w:color w:val="000000"/>
          <w:sz w:val="24"/>
          <w:szCs w:val="24"/>
          <w:lang w:eastAsia="zh-CN"/>
        </w:rPr>
        <w:t>中型项目</w:t>
      </w:r>
      <w:r w:rsidR="000668C9" w:rsidRPr="00F63211">
        <w:rPr>
          <w:rFonts w:ascii="Times New Roman" w:hAnsi="Times New Roman" w:cs="Times New Roman" w:hint="eastAsia"/>
          <w:noProof/>
          <w:color w:val="000000"/>
          <w:sz w:val="24"/>
          <w:szCs w:val="24"/>
          <w:lang w:eastAsia="zh-CN"/>
        </w:rPr>
        <w:t>（</w:t>
      </w:r>
      <w:r w:rsidRPr="00F63211">
        <w:rPr>
          <w:rFonts w:ascii="Times New Roman" w:hAnsi="Times New Roman" w:cs="Times New Roman"/>
          <w:noProof/>
          <w:color w:val="000000"/>
          <w:sz w:val="24"/>
          <w:szCs w:val="24"/>
          <w:lang w:eastAsia="zh-CN"/>
        </w:rPr>
        <w:t>MSP</w:t>
      </w:r>
      <w:r w:rsidR="000668C9" w:rsidRPr="00F63211">
        <w:rPr>
          <w:rFonts w:ascii="Times New Roman" w:hAnsi="Times New Roman" w:cs="Times New Roman" w:hint="eastAsia"/>
          <w:noProof/>
          <w:color w:val="000000"/>
          <w:sz w:val="24"/>
          <w:szCs w:val="24"/>
          <w:lang w:eastAsia="zh-CN"/>
        </w:rPr>
        <w:t>）</w:t>
      </w:r>
      <w:r w:rsidRPr="00F63211">
        <w:rPr>
          <w:rFonts w:ascii="Times New Roman" w:hAnsi="Times New Roman" w:cs="Times New Roman"/>
          <w:noProof/>
          <w:color w:val="000000"/>
          <w:sz w:val="24"/>
          <w:szCs w:val="24"/>
          <w:lang w:eastAsia="zh-CN"/>
        </w:rPr>
        <w:t>和</w:t>
      </w:r>
      <w:r w:rsidR="000668C9" w:rsidRPr="00F63211">
        <w:rPr>
          <w:rFonts w:ascii="Times New Roman" w:hAnsi="Times New Roman" w:cs="Times New Roman"/>
          <w:noProof/>
          <w:color w:val="000000"/>
          <w:sz w:val="24"/>
          <w:szCs w:val="24"/>
          <w:lang w:eastAsia="zh-CN"/>
        </w:rPr>
        <w:t>大型项目</w:t>
      </w:r>
      <w:r w:rsidR="000668C9" w:rsidRPr="00F63211">
        <w:rPr>
          <w:rFonts w:ascii="Times New Roman" w:hAnsi="Times New Roman" w:cs="Times New Roman" w:hint="eastAsia"/>
          <w:noProof/>
          <w:color w:val="000000"/>
          <w:sz w:val="24"/>
          <w:szCs w:val="24"/>
          <w:lang w:eastAsia="zh-CN"/>
        </w:rPr>
        <w:t>（</w:t>
      </w:r>
      <w:r w:rsidRPr="00F63211">
        <w:rPr>
          <w:rFonts w:ascii="Times New Roman" w:hAnsi="Times New Roman" w:cs="Times New Roman"/>
          <w:noProof/>
          <w:color w:val="000000"/>
          <w:sz w:val="24"/>
          <w:szCs w:val="24"/>
          <w:lang w:eastAsia="zh-CN"/>
        </w:rPr>
        <w:t>FSP</w:t>
      </w:r>
      <w:r w:rsidR="000668C9" w:rsidRPr="00F63211">
        <w:rPr>
          <w:rFonts w:ascii="Times New Roman" w:hAnsi="Times New Roman" w:cs="Times New Roman" w:hint="eastAsia"/>
          <w:noProof/>
          <w:color w:val="000000"/>
          <w:sz w:val="24"/>
          <w:szCs w:val="24"/>
          <w:lang w:eastAsia="zh-CN"/>
        </w:rPr>
        <w:t>）</w:t>
      </w:r>
      <w:r w:rsidRPr="00F63211">
        <w:rPr>
          <w:rFonts w:ascii="Times New Roman" w:hAnsi="Times New Roman" w:cs="Times New Roman"/>
          <w:noProof/>
          <w:color w:val="000000"/>
          <w:sz w:val="24"/>
          <w:szCs w:val="24"/>
          <w:lang w:eastAsia="zh-CN"/>
        </w:rPr>
        <w:t>的共同</w:t>
      </w:r>
      <w:r w:rsidR="00B13D4A" w:rsidRPr="00F63211">
        <w:rPr>
          <w:rFonts w:ascii="Times New Roman" w:hAnsi="Times New Roman" w:cs="Times New Roman"/>
          <w:noProof/>
          <w:color w:val="000000"/>
          <w:sz w:val="24"/>
          <w:szCs w:val="24"/>
          <w:lang w:eastAsia="zh-CN"/>
        </w:rPr>
        <w:t>筹资</w:t>
      </w:r>
      <w:r w:rsidRPr="00F63211">
        <w:rPr>
          <w:rFonts w:ascii="Times New Roman" w:hAnsi="Times New Roman" w:cs="Times New Roman"/>
          <w:noProof/>
          <w:color w:val="000000"/>
          <w:sz w:val="24"/>
          <w:szCs w:val="24"/>
          <w:lang w:eastAsia="zh-CN"/>
        </w:rPr>
        <w:t>总额除以</w:t>
      </w:r>
      <w:r w:rsidR="00B13D4A" w:rsidRPr="00F63211">
        <w:rPr>
          <w:rFonts w:ascii="Times New Roman" w:hAnsi="Times New Roman" w:cs="Times New Roman"/>
          <w:noProof/>
          <w:color w:val="000000"/>
          <w:sz w:val="24"/>
          <w:szCs w:val="24"/>
          <w:lang w:eastAsia="zh-CN"/>
        </w:rPr>
        <w:t>全环基金的供资</w:t>
      </w:r>
      <w:r w:rsidRPr="00F63211">
        <w:rPr>
          <w:rFonts w:ascii="Times New Roman" w:hAnsi="Times New Roman" w:cs="Times New Roman"/>
          <w:noProof/>
          <w:color w:val="000000"/>
          <w:sz w:val="24"/>
          <w:szCs w:val="24"/>
          <w:lang w:eastAsia="zh-CN"/>
        </w:rPr>
        <w:t>，并以比率表示。</w:t>
      </w:r>
    </w:p>
    <w:p w14:paraId="00491B87" w14:textId="1DC85B5A" w:rsidR="00B13D4A" w:rsidRPr="00F63211" w:rsidRDefault="00B13D4A" w:rsidP="00195EFE">
      <w:pPr>
        <w:spacing w:before="240" w:after="240" w:line="240" w:lineRule="auto"/>
        <w:jc w:val="center"/>
        <w:rPr>
          <w:rFonts w:ascii="Times New Roman" w:hAnsi="Times New Roman" w:cs="Times New Roman"/>
          <w:b/>
          <w:bCs/>
          <w:sz w:val="24"/>
          <w:szCs w:val="24"/>
          <w:lang w:eastAsia="zh-CN"/>
        </w:rPr>
      </w:pPr>
      <w:r w:rsidRPr="00F63211">
        <w:rPr>
          <w:rFonts w:ascii="Times New Roman" w:hAnsi="Times New Roman" w:cs="Times New Roman"/>
          <w:b/>
          <w:bCs/>
          <w:sz w:val="24"/>
          <w:szCs w:val="24"/>
          <w:lang w:eastAsia="zh-CN"/>
        </w:rPr>
        <w:t>图</w:t>
      </w:r>
      <w:r w:rsidRPr="00F63211">
        <w:rPr>
          <w:rFonts w:ascii="Times New Roman" w:hAnsi="Times New Roman" w:cs="Times New Roman"/>
          <w:b/>
          <w:bCs/>
          <w:sz w:val="24"/>
          <w:szCs w:val="24"/>
          <w:lang w:eastAsia="zh-CN"/>
        </w:rPr>
        <w:t xml:space="preserve">4.  </w:t>
      </w:r>
      <w:r w:rsidRPr="00F63211">
        <w:rPr>
          <w:rFonts w:ascii="Times New Roman" w:hAnsi="Times New Roman" w:cs="Times New Roman"/>
          <w:b/>
          <w:bCs/>
          <w:sz w:val="24"/>
          <w:szCs w:val="24"/>
          <w:lang w:eastAsia="zh-CN"/>
        </w:rPr>
        <w:t>全环基金增资期间的共同筹资数额</w:t>
      </w:r>
      <w:r w:rsidRPr="00F63211">
        <w:rPr>
          <w:rStyle w:val="FootnoteReference"/>
          <w:rFonts w:eastAsiaTheme="minorEastAsia" w:cstheme="minorHAnsi"/>
          <w:bCs/>
          <w:sz w:val="24"/>
          <w:szCs w:val="24"/>
        </w:rPr>
        <w:footnoteReference w:id="22"/>
      </w:r>
    </w:p>
    <w:p w14:paraId="49825DB9" w14:textId="77777777" w:rsidR="006257F6" w:rsidRPr="006257F6" w:rsidRDefault="006257F6" w:rsidP="006257F6">
      <w:pPr>
        <w:jc w:val="center"/>
        <w:rPr>
          <w:rFonts w:cstheme="minorHAnsi"/>
        </w:rPr>
      </w:pPr>
      <w:r w:rsidRPr="006257F6">
        <w:rPr>
          <w:rFonts w:cstheme="minorHAnsi"/>
          <w:noProof/>
          <w:lang w:eastAsia="zh-CN"/>
        </w:rPr>
        <w:drawing>
          <wp:inline distT="0" distB="0" distL="0" distR="0" wp14:anchorId="170218E6" wp14:editId="2982F01A">
            <wp:extent cx="2139951" cy="1809756"/>
            <wp:effectExtent l="0" t="0" r="0" b="0"/>
            <wp:docPr id="27" name="Chart 27">
              <a:extLst xmlns:a="http://schemas.openxmlformats.org/drawingml/2006/main">
                <a:ext uri="{FF2B5EF4-FFF2-40B4-BE49-F238E27FC236}">
                  <a16:creationId xmlns:a16="http://schemas.microsoft.com/office/drawing/2014/main" id="{7B1DC022-F629-4A9E-B722-CEEB7151E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C40004" w14:textId="21BB037C" w:rsidR="00B13D4A" w:rsidRPr="00F63211" w:rsidRDefault="00B13D4A"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lang w:eastAsia="zh-CN"/>
        </w:rPr>
      </w:pPr>
      <w:r w:rsidRPr="00F63211">
        <w:rPr>
          <w:rFonts w:hint="eastAsia"/>
          <w:sz w:val="24"/>
          <w:szCs w:val="24"/>
          <w:lang w:eastAsia="zh-CN"/>
        </w:rPr>
        <w:t>共同筹资特别是通过使全环基金能够获得持久和更大范围的全球环境效益，以及通过加强伙伴关系，有助于全环基金项目和方案的效力、影响和可持续性。</w:t>
      </w:r>
    </w:p>
    <w:p w14:paraId="0014F53C" w14:textId="19F4EDFF" w:rsidR="008C12E8" w:rsidRPr="00F63211" w:rsidRDefault="008C12E8"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lang w:eastAsia="zh-CN"/>
        </w:rPr>
      </w:pPr>
      <w:bookmarkStart w:id="22" w:name="_Toc25257629"/>
      <w:r w:rsidRPr="00F63211">
        <w:rPr>
          <w:rFonts w:hint="eastAsia"/>
          <w:sz w:val="24"/>
          <w:szCs w:val="24"/>
          <w:lang w:eastAsia="zh-CN"/>
        </w:rPr>
        <w:t>如下图</w:t>
      </w:r>
      <w:r w:rsidRPr="00F63211">
        <w:rPr>
          <w:rFonts w:hint="eastAsia"/>
          <w:sz w:val="24"/>
          <w:szCs w:val="24"/>
          <w:lang w:eastAsia="zh-CN"/>
        </w:rPr>
        <w:t>5</w:t>
      </w:r>
      <w:r w:rsidRPr="00F63211">
        <w:rPr>
          <w:rFonts w:hint="eastAsia"/>
          <w:sz w:val="24"/>
          <w:szCs w:val="24"/>
          <w:lang w:eastAsia="zh-CN"/>
        </w:rPr>
        <w:t>所示，特定重点领域比其他重点领域吸引了更多的共同筹资资金。在气候变化和国际水域方面的比率分别为</w:t>
      </w:r>
      <w:r w:rsidRPr="00F63211">
        <w:rPr>
          <w:rFonts w:hint="eastAsia"/>
          <w:sz w:val="24"/>
          <w:szCs w:val="24"/>
          <w:lang w:eastAsia="zh-CN"/>
        </w:rPr>
        <w:t>1</w:t>
      </w:r>
      <w:r w:rsidRPr="00F63211">
        <w:rPr>
          <w:rFonts w:hint="eastAsia"/>
          <w:sz w:val="24"/>
          <w:szCs w:val="24"/>
          <w:lang w:eastAsia="zh-CN"/>
        </w:rPr>
        <w:t>美元比</w:t>
      </w:r>
      <w:r w:rsidRPr="00F63211">
        <w:rPr>
          <w:rFonts w:hint="eastAsia"/>
          <w:sz w:val="24"/>
          <w:szCs w:val="24"/>
          <w:lang w:eastAsia="zh-CN"/>
        </w:rPr>
        <w:t>12.8</w:t>
      </w:r>
      <w:r w:rsidRPr="00F63211">
        <w:rPr>
          <w:rFonts w:hint="eastAsia"/>
          <w:sz w:val="24"/>
          <w:szCs w:val="24"/>
          <w:lang w:eastAsia="zh-CN"/>
        </w:rPr>
        <w:t>美元和</w:t>
      </w:r>
      <w:r w:rsidRPr="00F63211">
        <w:rPr>
          <w:rFonts w:hint="eastAsia"/>
          <w:sz w:val="24"/>
          <w:szCs w:val="24"/>
          <w:lang w:eastAsia="zh-CN"/>
        </w:rPr>
        <w:t>1</w:t>
      </w:r>
      <w:r w:rsidRPr="00F63211">
        <w:rPr>
          <w:rFonts w:hint="eastAsia"/>
          <w:sz w:val="24"/>
          <w:szCs w:val="24"/>
          <w:lang w:eastAsia="zh-CN"/>
        </w:rPr>
        <w:t>美元比</w:t>
      </w:r>
      <w:r w:rsidRPr="00F63211">
        <w:rPr>
          <w:rFonts w:hint="eastAsia"/>
          <w:sz w:val="24"/>
          <w:szCs w:val="24"/>
          <w:lang w:eastAsia="zh-CN"/>
        </w:rPr>
        <w:t>11.6</w:t>
      </w:r>
      <w:r w:rsidRPr="00F63211">
        <w:rPr>
          <w:rFonts w:hint="eastAsia"/>
          <w:sz w:val="24"/>
          <w:szCs w:val="24"/>
          <w:lang w:eastAsia="zh-CN"/>
        </w:rPr>
        <w:t>美元。</w:t>
      </w:r>
    </w:p>
    <w:bookmarkEnd w:id="22"/>
    <w:p w14:paraId="1AC98547" w14:textId="77777777" w:rsidR="00644D29" w:rsidRPr="00F63211" w:rsidRDefault="00644D29" w:rsidP="00195EFE">
      <w:pPr>
        <w:spacing w:before="240" w:after="240" w:line="240" w:lineRule="auto"/>
        <w:jc w:val="center"/>
        <w:rPr>
          <w:rFonts w:ascii="Times New Roman" w:hAnsi="Times New Roman" w:cs="Times New Roman"/>
          <w:b/>
          <w:sz w:val="24"/>
          <w:szCs w:val="24"/>
          <w:lang w:eastAsia="zh-CN"/>
        </w:rPr>
      </w:pPr>
    </w:p>
    <w:p w14:paraId="645B1A7D" w14:textId="51573CEF" w:rsidR="008C12E8" w:rsidRPr="00F63211" w:rsidRDefault="008C12E8" w:rsidP="00195EFE">
      <w:pPr>
        <w:spacing w:before="240" w:after="240" w:line="240" w:lineRule="auto"/>
        <w:jc w:val="center"/>
        <w:rPr>
          <w:rFonts w:ascii="Times New Roman" w:hAnsi="Times New Roman" w:cs="Times New Roman"/>
          <w:b/>
          <w:i/>
          <w:sz w:val="24"/>
          <w:szCs w:val="24"/>
          <w:lang w:eastAsia="zh-CN"/>
        </w:rPr>
      </w:pPr>
      <w:r w:rsidRPr="00F63211">
        <w:rPr>
          <w:rFonts w:ascii="Times New Roman" w:hAnsi="Times New Roman" w:cs="Times New Roman"/>
          <w:b/>
          <w:sz w:val="24"/>
          <w:szCs w:val="24"/>
          <w:lang w:eastAsia="zh-CN"/>
        </w:rPr>
        <w:t>图</w:t>
      </w:r>
      <w:r w:rsidRPr="00F63211">
        <w:rPr>
          <w:rFonts w:ascii="Times New Roman" w:hAnsi="Times New Roman" w:cs="Times New Roman"/>
          <w:b/>
          <w:sz w:val="24"/>
          <w:szCs w:val="24"/>
          <w:lang w:eastAsia="zh-CN"/>
        </w:rPr>
        <w:t xml:space="preserve">5. </w:t>
      </w:r>
      <w:r w:rsidRPr="00F63211">
        <w:rPr>
          <w:rFonts w:ascii="Times New Roman" w:hAnsi="Times New Roman" w:cs="Times New Roman"/>
          <w:b/>
          <w:sz w:val="24"/>
          <w:szCs w:val="24"/>
          <w:lang w:eastAsia="zh-CN"/>
        </w:rPr>
        <w:t>按重点领域分列正在进行的项目组合共同筹资比率</w:t>
      </w:r>
      <w:r w:rsidR="00644D29" w:rsidRPr="00F63211">
        <w:rPr>
          <w:rFonts w:ascii="Times New Roman" w:hAnsi="Times New Roman" w:cs="Times New Roman" w:hint="eastAsia"/>
          <w:b/>
          <w:sz w:val="24"/>
          <w:szCs w:val="24"/>
          <w:lang w:eastAsia="zh-CN"/>
        </w:rPr>
        <w:br/>
      </w:r>
      <w:r w:rsidR="00644D29" w:rsidRPr="00F63211">
        <w:rPr>
          <w:rFonts w:ascii="Times New Roman" w:hAnsi="Times New Roman" w:cs="Times New Roman"/>
          <w:b/>
          <w:sz w:val="24"/>
          <w:szCs w:val="24"/>
          <w:lang w:eastAsia="zh-CN"/>
        </w:rPr>
        <w:t>（</w:t>
      </w:r>
      <w:r w:rsidR="00644D29" w:rsidRPr="00F63211">
        <w:rPr>
          <w:rFonts w:ascii="Times New Roman" w:hAnsi="Times New Roman" w:cs="Times New Roman"/>
          <w:b/>
          <w:sz w:val="24"/>
          <w:szCs w:val="24"/>
          <w:lang w:eastAsia="zh-CN"/>
        </w:rPr>
        <w:t>2019</w:t>
      </w:r>
      <w:r w:rsidR="00644D29" w:rsidRPr="00F63211">
        <w:rPr>
          <w:rFonts w:ascii="Times New Roman" w:hAnsi="Times New Roman" w:cs="Times New Roman"/>
          <w:b/>
          <w:sz w:val="24"/>
          <w:szCs w:val="24"/>
          <w:lang w:eastAsia="zh-CN"/>
        </w:rPr>
        <w:t>年会计年度）</w:t>
      </w:r>
    </w:p>
    <w:p w14:paraId="64B5B243" w14:textId="77777777" w:rsidR="006257F6" w:rsidRPr="006257F6" w:rsidRDefault="006257F6" w:rsidP="006257F6">
      <w:pPr>
        <w:jc w:val="center"/>
        <w:rPr>
          <w:rFonts w:cstheme="minorHAnsi"/>
        </w:rPr>
      </w:pPr>
      <w:r w:rsidRPr="006257F6">
        <w:rPr>
          <w:rFonts w:cstheme="minorHAnsi"/>
          <w:noProof/>
          <w:lang w:eastAsia="zh-CN"/>
        </w:rPr>
        <w:drawing>
          <wp:inline distT="0" distB="0" distL="0" distR="0" wp14:anchorId="172B10DD" wp14:editId="6A329EF3">
            <wp:extent cx="4114800" cy="1714500"/>
            <wp:effectExtent l="0" t="0" r="0" b="0"/>
            <wp:docPr id="11" name="Chart 11">
              <a:extLst xmlns:a="http://schemas.openxmlformats.org/drawingml/2006/main">
                <a:ext uri="{FF2B5EF4-FFF2-40B4-BE49-F238E27FC236}">
                  <a16:creationId xmlns:a16="http://schemas.microsoft.com/office/drawing/2014/main" id="{86C3CEF0-37CD-4947-B54E-C4E17A9E2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21BF59" w14:textId="2376F586" w:rsidR="00644D29" w:rsidRPr="00F63211" w:rsidRDefault="00EC612E"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lang w:eastAsia="zh-CN"/>
        </w:rPr>
      </w:pPr>
      <w:r w:rsidRPr="00F63211">
        <w:rPr>
          <w:rFonts w:hint="eastAsia"/>
          <w:sz w:val="24"/>
          <w:szCs w:val="24"/>
          <w:lang w:eastAsia="zh-CN"/>
        </w:rPr>
        <w:lastRenderedPageBreak/>
        <w:t>为</w:t>
      </w:r>
      <w:r w:rsidR="000C4FD3" w:rsidRPr="00F63211">
        <w:rPr>
          <w:rFonts w:hint="eastAsia"/>
          <w:sz w:val="24"/>
          <w:szCs w:val="24"/>
          <w:lang w:eastAsia="zh-CN"/>
        </w:rPr>
        <w:t>作为</w:t>
      </w:r>
      <w:r w:rsidRPr="00F63211">
        <w:rPr>
          <w:rFonts w:hint="eastAsia"/>
          <w:sz w:val="24"/>
          <w:szCs w:val="24"/>
          <w:lang w:eastAsia="zh-CN"/>
        </w:rPr>
        <w:t>正在进行的项目组合</w:t>
      </w:r>
      <w:r w:rsidR="000C4FD3" w:rsidRPr="00F63211">
        <w:rPr>
          <w:rFonts w:hint="eastAsia"/>
          <w:sz w:val="24"/>
          <w:szCs w:val="24"/>
          <w:lang w:eastAsia="zh-CN"/>
        </w:rPr>
        <w:t>的一部分</w:t>
      </w:r>
      <w:r w:rsidRPr="00F63211">
        <w:rPr>
          <w:rFonts w:hint="eastAsia"/>
          <w:sz w:val="24"/>
          <w:szCs w:val="24"/>
          <w:lang w:eastAsia="zh-CN"/>
        </w:rPr>
        <w:t>的子项目</w:t>
      </w:r>
      <w:r w:rsidR="000C4FD3" w:rsidRPr="00F63211">
        <w:rPr>
          <w:rFonts w:hint="eastAsia"/>
          <w:sz w:val="24"/>
          <w:szCs w:val="24"/>
          <w:lang w:eastAsia="zh-CN"/>
        </w:rPr>
        <w:t>进行</w:t>
      </w:r>
      <w:r w:rsidRPr="00F63211">
        <w:rPr>
          <w:rFonts w:hint="eastAsia"/>
          <w:sz w:val="24"/>
          <w:szCs w:val="24"/>
          <w:lang w:eastAsia="zh-CN"/>
        </w:rPr>
        <w:t>共同</w:t>
      </w:r>
      <w:r w:rsidR="000C4FD3" w:rsidRPr="00F63211">
        <w:rPr>
          <w:rFonts w:hint="eastAsia"/>
          <w:sz w:val="24"/>
          <w:szCs w:val="24"/>
          <w:lang w:eastAsia="zh-CN"/>
        </w:rPr>
        <w:t>筹资筹集的资金高于为</w:t>
      </w:r>
      <w:r w:rsidRPr="00F63211">
        <w:rPr>
          <w:rFonts w:hint="eastAsia"/>
          <w:sz w:val="24"/>
          <w:szCs w:val="24"/>
          <w:lang w:eastAsia="zh-CN"/>
        </w:rPr>
        <w:t>独立的</w:t>
      </w:r>
      <w:r w:rsidR="000C4FD3" w:rsidRPr="00F63211">
        <w:rPr>
          <w:rFonts w:hint="eastAsia"/>
          <w:sz w:val="24"/>
          <w:szCs w:val="24"/>
          <w:lang w:eastAsia="zh-CN"/>
        </w:rPr>
        <w:t>大型项目（</w:t>
      </w:r>
      <w:r w:rsidRPr="00F63211">
        <w:rPr>
          <w:rFonts w:hint="eastAsia"/>
          <w:sz w:val="24"/>
          <w:szCs w:val="24"/>
          <w:lang w:eastAsia="zh-CN"/>
        </w:rPr>
        <w:t>FSP</w:t>
      </w:r>
      <w:r w:rsidR="000C4FD3" w:rsidRPr="00F63211">
        <w:rPr>
          <w:rFonts w:hint="eastAsia"/>
          <w:sz w:val="24"/>
          <w:szCs w:val="24"/>
          <w:lang w:eastAsia="zh-CN"/>
        </w:rPr>
        <w:t>）共同筹集的资金</w:t>
      </w:r>
      <w:r w:rsidRPr="00F63211">
        <w:rPr>
          <w:rFonts w:hint="eastAsia"/>
          <w:sz w:val="24"/>
          <w:szCs w:val="24"/>
          <w:lang w:eastAsia="zh-CN"/>
        </w:rPr>
        <w:t>。</w:t>
      </w:r>
      <w:r w:rsidR="00E22CAF" w:rsidRPr="00F63211">
        <w:rPr>
          <w:rFonts w:hint="eastAsia"/>
          <w:sz w:val="24"/>
          <w:szCs w:val="24"/>
          <w:lang w:eastAsia="zh-CN"/>
        </w:rPr>
        <w:t>在</w:t>
      </w:r>
      <w:r w:rsidRPr="00F63211">
        <w:rPr>
          <w:rFonts w:hint="eastAsia"/>
          <w:sz w:val="24"/>
          <w:szCs w:val="24"/>
          <w:lang w:eastAsia="zh-CN"/>
        </w:rPr>
        <w:t>某个</w:t>
      </w:r>
      <w:r w:rsidR="00E22CAF" w:rsidRPr="00F63211">
        <w:rPr>
          <w:rFonts w:hint="eastAsia"/>
          <w:sz w:val="24"/>
          <w:szCs w:val="24"/>
          <w:lang w:eastAsia="zh-CN"/>
        </w:rPr>
        <w:t>方案</w:t>
      </w:r>
      <w:r w:rsidRPr="00F63211">
        <w:rPr>
          <w:rFonts w:hint="eastAsia"/>
          <w:sz w:val="24"/>
          <w:szCs w:val="24"/>
          <w:lang w:eastAsia="zh-CN"/>
        </w:rPr>
        <w:t>下的项目，该比率为</w:t>
      </w:r>
      <w:r w:rsidRPr="00F63211">
        <w:rPr>
          <w:rFonts w:hint="eastAsia"/>
          <w:sz w:val="24"/>
          <w:szCs w:val="24"/>
          <w:lang w:eastAsia="zh-CN"/>
        </w:rPr>
        <w:t>1</w:t>
      </w:r>
      <w:r w:rsidR="00E22CAF" w:rsidRPr="00F63211">
        <w:rPr>
          <w:sz w:val="24"/>
          <w:szCs w:val="24"/>
          <w:lang w:eastAsia="zh-CN"/>
        </w:rPr>
        <w:t>:</w:t>
      </w:r>
      <w:r w:rsidRPr="00F63211">
        <w:rPr>
          <w:rFonts w:hint="eastAsia"/>
          <w:sz w:val="24"/>
          <w:szCs w:val="24"/>
          <w:lang w:eastAsia="zh-CN"/>
        </w:rPr>
        <w:t>10.1</w:t>
      </w:r>
      <w:r w:rsidRPr="00F63211">
        <w:rPr>
          <w:rFonts w:hint="eastAsia"/>
          <w:sz w:val="24"/>
          <w:szCs w:val="24"/>
          <w:lang w:eastAsia="zh-CN"/>
        </w:rPr>
        <w:t>，对于独立</w:t>
      </w:r>
      <w:r w:rsidR="00E22CAF" w:rsidRPr="00F63211">
        <w:rPr>
          <w:rFonts w:hint="eastAsia"/>
          <w:sz w:val="24"/>
          <w:szCs w:val="24"/>
          <w:lang w:eastAsia="zh-CN"/>
        </w:rPr>
        <w:t>的大型项目（</w:t>
      </w:r>
      <w:r w:rsidRPr="00F63211">
        <w:rPr>
          <w:rFonts w:hint="eastAsia"/>
          <w:sz w:val="24"/>
          <w:szCs w:val="24"/>
          <w:lang w:eastAsia="zh-CN"/>
        </w:rPr>
        <w:t>FSP</w:t>
      </w:r>
      <w:r w:rsidR="00E22CAF" w:rsidRPr="00F63211">
        <w:rPr>
          <w:rFonts w:hint="eastAsia"/>
          <w:sz w:val="24"/>
          <w:szCs w:val="24"/>
          <w:lang w:eastAsia="zh-CN"/>
        </w:rPr>
        <w:t>）</w:t>
      </w:r>
      <w:r w:rsidRPr="00F63211">
        <w:rPr>
          <w:rFonts w:hint="eastAsia"/>
          <w:sz w:val="24"/>
          <w:szCs w:val="24"/>
          <w:lang w:eastAsia="zh-CN"/>
        </w:rPr>
        <w:t>的比率为</w:t>
      </w:r>
      <w:r w:rsidRPr="00F63211">
        <w:rPr>
          <w:rFonts w:hint="eastAsia"/>
          <w:sz w:val="24"/>
          <w:szCs w:val="24"/>
          <w:lang w:eastAsia="zh-CN"/>
        </w:rPr>
        <w:t>1</w:t>
      </w:r>
      <w:r w:rsidR="00E22CAF" w:rsidRPr="00F63211">
        <w:rPr>
          <w:sz w:val="24"/>
          <w:szCs w:val="24"/>
          <w:lang w:eastAsia="zh-CN"/>
        </w:rPr>
        <w:t>:</w:t>
      </w:r>
      <w:r w:rsidRPr="00F63211">
        <w:rPr>
          <w:rFonts w:hint="eastAsia"/>
          <w:sz w:val="24"/>
          <w:szCs w:val="24"/>
          <w:lang w:eastAsia="zh-CN"/>
        </w:rPr>
        <w:t>7.8</w:t>
      </w:r>
      <w:r w:rsidRPr="00F63211">
        <w:rPr>
          <w:rFonts w:hint="eastAsia"/>
          <w:sz w:val="24"/>
          <w:szCs w:val="24"/>
          <w:lang w:eastAsia="zh-CN"/>
        </w:rPr>
        <w:t>。</w:t>
      </w:r>
    </w:p>
    <w:p w14:paraId="25B5D885" w14:textId="0E68B047" w:rsidR="00E22CAF" w:rsidRPr="00F63211" w:rsidRDefault="00E22CAF"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lang w:eastAsia="zh-CN"/>
        </w:rPr>
      </w:pPr>
      <w:r w:rsidRPr="00F63211">
        <w:rPr>
          <w:rFonts w:hint="eastAsia"/>
          <w:sz w:val="24"/>
          <w:szCs w:val="24"/>
          <w:lang w:eastAsia="zh-CN"/>
        </w:rPr>
        <w:t>2019</w:t>
      </w:r>
      <w:r w:rsidRPr="00F63211">
        <w:rPr>
          <w:rFonts w:hint="eastAsia"/>
          <w:sz w:val="24"/>
          <w:szCs w:val="24"/>
          <w:lang w:eastAsia="zh-CN"/>
        </w:rPr>
        <w:t>财政年度核准的所有全环基金项目</w:t>
      </w:r>
      <w:r w:rsidR="00032672" w:rsidRPr="00F63211">
        <w:rPr>
          <w:rFonts w:hint="eastAsia"/>
          <w:sz w:val="24"/>
          <w:szCs w:val="24"/>
          <w:lang w:eastAsia="zh-CN"/>
        </w:rPr>
        <w:t>达到</w:t>
      </w:r>
      <w:r w:rsidRPr="00F63211">
        <w:rPr>
          <w:rFonts w:hint="eastAsia"/>
          <w:sz w:val="24"/>
          <w:szCs w:val="24"/>
          <w:lang w:eastAsia="zh-CN"/>
        </w:rPr>
        <w:t>的共同</w:t>
      </w:r>
      <w:r w:rsidR="00032672" w:rsidRPr="00F63211">
        <w:rPr>
          <w:rFonts w:hint="eastAsia"/>
          <w:sz w:val="24"/>
          <w:szCs w:val="24"/>
          <w:lang w:eastAsia="zh-CN"/>
        </w:rPr>
        <w:t>筹资</w:t>
      </w:r>
      <w:r w:rsidRPr="00F63211">
        <w:rPr>
          <w:rFonts w:hint="eastAsia"/>
          <w:sz w:val="24"/>
          <w:szCs w:val="24"/>
          <w:lang w:eastAsia="zh-CN"/>
        </w:rPr>
        <w:t>比率</w:t>
      </w:r>
      <w:r w:rsidR="00032672" w:rsidRPr="00F63211">
        <w:rPr>
          <w:rFonts w:hint="eastAsia"/>
          <w:sz w:val="24"/>
          <w:szCs w:val="24"/>
          <w:lang w:eastAsia="zh-CN"/>
        </w:rPr>
        <w:t>为</w:t>
      </w:r>
      <w:r w:rsidRPr="00F63211">
        <w:rPr>
          <w:rFonts w:hint="eastAsia"/>
          <w:sz w:val="24"/>
          <w:szCs w:val="24"/>
          <w:lang w:eastAsia="zh-CN"/>
        </w:rPr>
        <w:t>1</w:t>
      </w:r>
      <w:r w:rsidR="00032672" w:rsidRPr="00F63211">
        <w:rPr>
          <w:rFonts w:hint="eastAsia"/>
          <w:sz w:val="24"/>
          <w:szCs w:val="24"/>
          <w:lang w:eastAsia="zh-CN"/>
        </w:rPr>
        <w:t>:</w:t>
      </w:r>
      <w:r w:rsidRPr="00F63211">
        <w:rPr>
          <w:rFonts w:hint="eastAsia"/>
          <w:sz w:val="24"/>
          <w:szCs w:val="24"/>
          <w:lang w:eastAsia="zh-CN"/>
        </w:rPr>
        <w:t>6.7</w:t>
      </w:r>
      <w:r w:rsidRPr="00F63211">
        <w:rPr>
          <w:rFonts w:hint="eastAsia"/>
          <w:sz w:val="24"/>
          <w:szCs w:val="24"/>
          <w:lang w:eastAsia="zh-CN"/>
        </w:rPr>
        <w:t>。</w:t>
      </w:r>
      <w:r w:rsidR="00032672" w:rsidRPr="00F63211">
        <w:rPr>
          <w:rFonts w:hint="eastAsia"/>
          <w:sz w:val="24"/>
          <w:szCs w:val="24"/>
          <w:lang w:eastAsia="zh-CN"/>
        </w:rPr>
        <w:t>这个共同筹资</w:t>
      </w:r>
      <w:r w:rsidRPr="00F63211">
        <w:rPr>
          <w:rFonts w:hint="eastAsia"/>
          <w:sz w:val="24"/>
          <w:szCs w:val="24"/>
          <w:lang w:eastAsia="zh-CN"/>
        </w:rPr>
        <w:t>水平接近全环基金第七次</w:t>
      </w:r>
      <w:r w:rsidR="00032672" w:rsidRPr="00F63211">
        <w:rPr>
          <w:rFonts w:hint="eastAsia"/>
          <w:sz w:val="24"/>
          <w:szCs w:val="24"/>
          <w:lang w:eastAsia="zh-CN"/>
        </w:rPr>
        <w:t>增资</w:t>
      </w:r>
      <w:r w:rsidRPr="00F63211">
        <w:rPr>
          <w:rFonts w:hint="eastAsia"/>
          <w:sz w:val="24"/>
          <w:szCs w:val="24"/>
          <w:lang w:eastAsia="zh-CN"/>
        </w:rPr>
        <w:t>期间</w:t>
      </w:r>
      <w:r w:rsidR="00032672" w:rsidRPr="00F63211">
        <w:rPr>
          <w:rFonts w:hint="eastAsia"/>
          <w:sz w:val="24"/>
          <w:szCs w:val="24"/>
          <w:lang w:eastAsia="zh-CN"/>
        </w:rPr>
        <w:t>为</w:t>
      </w:r>
      <w:r w:rsidRPr="00F63211">
        <w:rPr>
          <w:rFonts w:hint="eastAsia"/>
          <w:sz w:val="24"/>
          <w:szCs w:val="24"/>
          <w:lang w:eastAsia="zh-CN"/>
        </w:rPr>
        <w:t>整个全环基金</w:t>
      </w:r>
      <w:r w:rsidR="00032672" w:rsidRPr="00F63211">
        <w:rPr>
          <w:rFonts w:hint="eastAsia"/>
          <w:sz w:val="24"/>
          <w:szCs w:val="24"/>
          <w:lang w:eastAsia="zh-CN"/>
        </w:rPr>
        <w:t>项目</w:t>
      </w:r>
      <w:r w:rsidRPr="00F63211">
        <w:rPr>
          <w:rFonts w:hint="eastAsia"/>
          <w:sz w:val="24"/>
          <w:szCs w:val="24"/>
          <w:lang w:eastAsia="zh-CN"/>
        </w:rPr>
        <w:t>组合设定的</w:t>
      </w:r>
      <w:r w:rsidR="00032672" w:rsidRPr="00F63211">
        <w:rPr>
          <w:rFonts w:hint="eastAsia"/>
          <w:sz w:val="24"/>
          <w:szCs w:val="24"/>
          <w:lang w:eastAsia="zh-CN"/>
        </w:rPr>
        <w:t>1:7</w:t>
      </w:r>
      <w:r w:rsidR="00032672" w:rsidRPr="00F63211">
        <w:rPr>
          <w:rFonts w:hint="eastAsia"/>
          <w:sz w:val="24"/>
          <w:szCs w:val="24"/>
          <w:lang w:eastAsia="zh-CN"/>
        </w:rPr>
        <w:t>的</w:t>
      </w:r>
      <w:r w:rsidRPr="00F63211">
        <w:rPr>
          <w:rFonts w:hint="eastAsia"/>
          <w:sz w:val="24"/>
          <w:szCs w:val="24"/>
          <w:lang w:eastAsia="zh-CN"/>
        </w:rPr>
        <w:t>目标。在</w:t>
      </w:r>
      <w:r w:rsidRPr="00F63211">
        <w:rPr>
          <w:rFonts w:hint="eastAsia"/>
          <w:sz w:val="24"/>
          <w:szCs w:val="24"/>
          <w:lang w:eastAsia="zh-CN"/>
        </w:rPr>
        <w:t>22</w:t>
      </w:r>
      <w:r w:rsidRPr="00F63211">
        <w:rPr>
          <w:rFonts w:hint="eastAsia"/>
          <w:sz w:val="24"/>
          <w:szCs w:val="24"/>
          <w:lang w:eastAsia="zh-CN"/>
        </w:rPr>
        <w:t>亿美元的共同</w:t>
      </w:r>
      <w:r w:rsidR="00032672" w:rsidRPr="00F63211">
        <w:rPr>
          <w:rFonts w:hint="eastAsia"/>
          <w:sz w:val="24"/>
          <w:szCs w:val="24"/>
          <w:lang w:eastAsia="zh-CN"/>
        </w:rPr>
        <w:t>筹资</w:t>
      </w:r>
      <w:r w:rsidRPr="00F63211">
        <w:rPr>
          <w:rFonts w:hint="eastAsia"/>
          <w:sz w:val="24"/>
          <w:szCs w:val="24"/>
          <w:lang w:eastAsia="zh-CN"/>
        </w:rPr>
        <w:t>中，</w:t>
      </w:r>
      <w:r w:rsidRPr="00F63211">
        <w:rPr>
          <w:rFonts w:hint="eastAsia"/>
          <w:sz w:val="24"/>
          <w:szCs w:val="24"/>
          <w:lang w:eastAsia="zh-CN"/>
        </w:rPr>
        <w:t>3.8</w:t>
      </w:r>
      <w:r w:rsidRPr="00F63211">
        <w:rPr>
          <w:rFonts w:hint="eastAsia"/>
          <w:sz w:val="24"/>
          <w:szCs w:val="24"/>
          <w:lang w:eastAsia="zh-CN"/>
        </w:rPr>
        <w:t>亿美元来自私营部门实体。</w:t>
      </w:r>
      <w:r w:rsidRPr="00F63211">
        <w:rPr>
          <w:rFonts w:hint="eastAsia"/>
          <w:sz w:val="24"/>
          <w:szCs w:val="24"/>
          <w:lang w:eastAsia="zh-CN"/>
        </w:rPr>
        <w:t>2019</w:t>
      </w:r>
      <w:r w:rsidR="00032672" w:rsidRPr="00F63211">
        <w:rPr>
          <w:rFonts w:hint="eastAsia"/>
          <w:sz w:val="24"/>
          <w:szCs w:val="24"/>
          <w:lang w:eastAsia="zh-CN"/>
        </w:rPr>
        <w:t>财政年度</w:t>
      </w:r>
      <w:r w:rsidRPr="00F63211">
        <w:rPr>
          <w:rFonts w:hint="eastAsia"/>
          <w:sz w:val="24"/>
          <w:szCs w:val="24"/>
          <w:lang w:eastAsia="zh-CN"/>
        </w:rPr>
        <w:t>批准的所有全环基金生物多样性项目的共同</w:t>
      </w:r>
      <w:r w:rsidR="00032672" w:rsidRPr="00F63211">
        <w:rPr>
          <w:rFonts w:hint="eastAsia"/>
          <w:sz w:val="24"/>
          <w:szCs w:val="24"/>
          <w:lang w:eastAsia="zh-CN"/>
        </w:rPr>
        <w:t>筹资</w:t>
      </w:r>
      <w:r w:rsidRPr="00F63211">
        <w:rPr>
          <w:rFonts w:hint="eastAsia"/>
          <w:sz w:val="24"/>
          <w:szCs w:val="24"/>
          <w:lang w:eastAsia="zh-CN"/>
        </w:rPr>
        <w:t>比率达到</w:t>
      </w:r>
      <w:r w:rsidRPr="00F63211">
        <w:rPr>
          <w:rFonts w:hint="eastAsia"/>
          <w:sz w:val="24"/>
          <w:szCs w:val="24"/>
          <w:lang w:eastAsia="zh-CN"/>
        </w:rPr>
        <w:t>1</w:t>
      </w:r>
      <w:r w:rsidR="00032672" w:rsidRPr="00F63211">
        <w:rPr>
          <w:sz w:val="24"/>
          <w:szCs w:val="24"/>
          <w:lang w:eastAsia="zh-CN"/>
        </w:rPr>
        <w:t>:</w:t>
      </w:r>
      <w:r w:rsidRPr="00F63211">
        <w:rPr>
          <w:rFonts w:hint="eastAsia"/>
          <w:sz w:val="24"/>
          <w:szCs w:val="24"/>
          <w:lang w:eastAsia="zh-CN"/>
        </w:rPr>
        <w:t>5.2</w:t>
      </w:r>
      <w:r w:rsidRPr="00F63211">
        <w:rPr>
          <w:rFonts w:hint="eastAsia"/>
          <w:sz w:val="24"/>
          <w:szCs w:val="24"/>
          <w:lang w:eastAsia="zh-CN"/>
        </w:rPr>
        <w:t>，比</w:t>
      </w:r>
      <w:r w:rsidR="00032672" w:rsidRPr="00F63211">
        <w:rPr>
          <w:rFonts w:hint="eastAsia"/>
          <w:sz w:val="24"/>
          <w:szCs w:val="24"/>
          <w:lang w:eastAsia="zh-CN"/>
        </w:rPr>
        <w:t>正在进行的项目</w:t>
      </w:r>
      <w:r w:rsidRPr="00F63211">
        <w:rPr>
          <w:rFonts w:hint="eastAsia"/>
          <w:sz w:val="24"/>
          <w:szCs w:val="24"/>
          <w:lang w:eastAsia="zh-CN"/>
        </w:rPr>
        <w:t>组合略有增加。</w:t>
      </w:r>
    </w:p>
    <w:p w14:paraId="7E66B2E1" w14:textId="09518E2E" w:rsidR="004829ED" w:rsidRPr="00F63211" w:rsidRDefault="000012C6" w:rsidP="004D5062">
      <w:pPr>
        <w:pStyle w:val="Heading1"/>
      </w:pPr>
      <w:r>
        <w:rPr>
          <w:rFonts w:hint="eastAsia"/>
        </w:rPr>
        <w:t>四．</w:t>
      </w:r>
      <w:r w:rsidR="00EC405F" w:rsidRPr="00F63211">
        <w:rPr>
          <w:rFonts w:hint="eastAsia"/>
        </w:rPr>
        <w:t>全环基金第七次增资总体成果和目标的进展报告</w:t>
      </w:r>
    </w:p>
    <w:p w14:paraId="37552425" w14:textId="4416D74F" w:rsidR="00EC405F" w:rsidRPr="00F63211" w:rsidRDefault="00EC405F" w:rsidP="00A02BDB">
      <w:pPr>
        <w:pStyle w:val="ListParagraph"/>
        <w:numPr>
          <w:ilvl w:val="0"/>
          <w:numId w:val="25"/>
        </w:numPr>
        <w:spacing w:before="240" w:after="240" w:line="240" w:lineRule="auto"/>
        <w:ind w:left="0" w:firstLine="0"/>
        <w:contextualSpacing w:val="0"/>
        <w:rPr>
          <w:rFonts w:eastAsia="Times New Roman" w:cstheme="minorHAnsi"/>
          <w:color w:val="000000"/>
          <w:sz w:val="24"/>
          <w:szCs w:val="24"/>
          <w:lang w:eastAsia="zh-CN"/>
        </w:rPr>
      </w:pPr>
      <w:r w:rsidRPr="00F63211">
        <w:rPr>
          <w:rFonts w:hint="eastAsia"/>
          <w:sz w:val="24"/>
          <w:szCs w:val="24"/>
          <w:lang w:eastAsia="zh-CN"/>
        </w:rPr>
        <w:t>作为全环基金第七次增资协议的一部分，商定了一系列</w:t>
      </w:r>
      <w:r w:rsidR="001C361E" w:rsidRPr="00F63211">
        <w:rPr>
          <w:rFonts w:hint="eastAsia"/>
          <w:sz w:val="24"/>
          <w:szCs w:val="24"/>
          <w:lang w:eastAsia="zh-CN"/>
        </w:rPr>
        <w:t>总体</w:t>
      </w:r>
      <w:r w:rsidRPr="00F63211">
        <w:rPr>
          <w:rFonts w:hint="eastAsia"/>
          <w:sz w:val="24"/>
          <w:szCs w:val="24"/>
          <w:lang w:eastAsia="zh-CN"/>
        </w:rPr>
        <w:t>目标。</w:t>
      </w:r>
      <w:r w:rsidR="00F63211">
        <w:rPr>
          <w:rStyle w:val="FootnoteReference"/>
          <w:sz w:val="24"/>
          <w:szCs w:val="24"/>
          <w:lang w:eastAsia="zh-CN"/>
        </w:rPr>
        <w:footnoteReference w:id="23"/>
      </w:r>
      <w:r w:rsidR="001C361E" w:rsidRPr="00F63211">
        <w:rPr>
          <w:rFonts w:hint="eastAsia"/>
          <w:sz w:val="24"/>
          <w:szCs w:val="24"/>
          <w:lang w:eastAsia="zh-CN"/>
        </w:rPr>
        <w:t>全环基金第七次增资</w:t>
      </w:r>
      <w:r w:rsidRPr="00F63211">
        <w:rPr>
          <w:rFonts w:hint="eastAsia"/>
          <w:sz w:val="24"/>
          <w:szCs w:val="24"/>
          <w:lang w:eastAsia="zh-CN"/>
        </w:rPr>
        <w:t>引</w:t>
      </w:r>
      <w:r w:rsidR="001C361E" w:rsidRPr="00F63211">
        <w:rPr>
          <w:rFonts w:hint="eastAsia"/>
          <w:sz w:val="24"/>
          <w:szCs w:val="24"/>
          <w:lang w:eastAsia="zh-CN"/>
        </w:rPr>
        <w:t>进</w:t>
      </w:r>
      <w:r w:rsidRPr="00F63211">
        <w:rPr>
          <w:rFonts w:hint="eastAsia"/>
          <w:sz w:val="24"/>
          <w:szCs w:val="24"/>
          <w:lang w:eastAsia="zh-CN"/>
        </w:rPr>
        <w:t>了一个升级的成果框架，其中包含涵盖所有五个重点领域的十一个核心指标，鉴于爱知目标的广泛性和全面性，所有这些指标均与爱知生物多样性目标相关。预期</w:t>
      </w:r>
      <w:r w:rsidR="001C361E" w:rsidRPr="00F63211">
        <w:rPr>
          <w:rFonts w:hint="eastAsia"/>
          <w:sz w:val="24"/>
          <w:szCs w:val="24"/>
          <w:lang w:eastAsia="zh-CN"/>
        </w:rPr>
        <w:t>这些</w:t>
      </w:r>
      <w:r w:rsidRPr="00F63211">
        <w:rPr>
          <w:rFonts w:hint="eastAsia"/>
          <w:sz w:val="24"/>
          <w:szCs w:val="24"/>
          <w:lang w:eastAsia="zh-CN"/>
        </w:rPr>
        <w:t>核心指标以及相关的分项指标和方法将显着增强</w:t>
      </w:r>
      <w:r w:rsidR="001C361E" w:rsidRPr="00F63211">
        <w:rPr>
          <w:rFonts w:hint="eastAsia"/>
          <w:sz w:val="24"/>
          <w:szCs w:val="24"/>
          <w:lang w:eastAsia="zh-CN"/>
        </w:rPr>
        <w:t>全环基金取得、</w:t>
      </w:r>
      <w:r w:rsidRPr="00F63211">
        <w:rPr>
          <w:rFonts w:hint="eastAsia"/>
          <w:sz w:val="24"/>
          <w:szCs w:val="24"/>
          <w:lang w:eastAsia="zh-CN"/>
        </w:rPr>
        <w:t>监控</w:t>
      </w:r>
      <w:r w:rsidR="001C361E" w:rsidRPr="00F63211">
        <w:rPr>
          <w:rFonts w:hint="eastAsia"/>
          <w:sz w:val="24"/>
          <w:szCs w:val="24"/>
          <w:lang w:eastAsia="zh-CN"/>
        </w:rPr>
        <w:t>、</w:t>
      </w:r>
      <w:r w:rsidRPr="00F63211">
        <w:rPr>
          <w:rFonts w:hint="eastAsia"/>
          <w:sz w:val="24"/>
          <w:szCs w:val="24"/>
          <w:lang w:eastAsia="zh-CN"/>
        </w:rPr>
        <w:t>分析和报告结果的能力。同时，通过替换特定</w:t>
      </w:r>
      <w:r w:rsidR="008B6298" w:rsidRPr="00F63211">
        <w:rPr>
          <w:rFonts w:hint="eastAsia"/>
          <w:sz w:val="24"/>
          <w:szCs w:val="24"/>
          <w:lang w:eastAsia="zh-CN"/>
        </w:rPr>
        <w:t>于</w:t>
      </w:r>
      <w:r w:rsidRPr="00F63211">
        <w:rPr>
          <w:rFonts w:hint="eastAsia"/>
          <w:sz w:val="24"/>
          <w:szCs w:val="24"/>
          <w:lang w:eastAsia="zh-CN"/>
        </w:rPr>
        <w:t>重点领域的跟踪工具和结果框架，核心指标将能大大简化</w:t>
      </w:r>
      <w:r w:rsidR="008B6298" w:rsidRPr="00F63211">
        <w:rPr>
          <w:rFonts w:hint="eastAsia"/>
          <w:sz w:val="24"/>
          <w:szCs w:val="24"/>
          <w:lang w:eastAsia="zh-CN"/>
        </w:rPr>
        <w:t>全环基金</w:t>
      </w:r>
      <w:r w:rsidRPr="00F63211">
        <w:rPr>
          <w:rFonts w:hint="eastAsia"/>
          <w:sz w:val="24"/>
          <w:szCs w:val="24"/>
          <w:lang w:eastAsia="zh-CN"/>
        </w:rPr>
        <w:t>的结果架构，并显着</w:t>
      </w:r>
      <w:r w:rsidR="008B6298" w:rsidRPr="00F63211">
        <w:rPr>
          <w:rFonts w:hint="eastAsia"/>
          <w:sz w:val="24"/>
          <w:szCs w:val="24"/>
          <w:lang w:eastAsia="zh-CN"/>
        </w:rPr>
        <w:t>地</w:t>
      </w:r>
      <w:r w:rsidRPr="00F63211">
        <w:rPr>
          <w:rFonts w:hint="eastAsia"/>
          <w:sz w:val="24"/>
          <w:szCs w:val="24"/>
          <w:lang w:eastAsia="zh-CN"/>
        </w:rPr>
        <w:t>减轻项目和</w:t>
      </w:r>
      <w:r w:rsidR="008B6298" w:rsidRPr="00F63211">
        <w:rPr>
          <w:rFonts w:hint="eastAsia"/>
          <w:sz w:val="24"/>
          <w:szCs w:val="24"/>
          <w:lang w:eastAsia="zh-CN"/>
        </w:rPr>
        <w:t>方案</w:t>
      </w:r>
      <w:r w:rsidRPr="00F63211">
        <w:rPr>
          <w:rFonts w:hint="eastAsia"/>
          <w:sz w:val="24"/>
          <w:szCs w:val="24"/>
          <w:lang w:eastAsia="zh-CN"/>
        </w:rPr>
        <w:t>级别的</w:t>
      </w:r>
      <w:r w:rsidR="008B6298" w:rsidRPr="00F63211">
        <w:rPr>
          <w:rFonts w:hint="eastAsia"/>
          <w:sz w:val="24"/>
          <w:szCs w:val="24"/>
          <w:lang w:eastAsia="zh-CN"/>
        </w:rPr>
        <w:t>监测</w:t>
      </w:r>
      <w:r w:rsidRPr="00F63211">
        <w:rPr>
          <w:rFonts w:hint="eastAsia"/>
          <w:sz w:val="24"/>
          <w:szCs w:val="24"/>
          <w:lang w:eastAsia="zh-CN"/>
        </w:rPr>
        <w:t>和报告负担。</w:t>
      </w:r>
    </w:p>
    <w:p w14:paraId="08337030" w14:textId="03ABB5C5" w:rsidR="008B6298" w:rsidRPr="00F63211" w:rsidRDefault="008B6298" w:rsidP="00FF3B4A">
      <w:pPr>
        <w:pStyle w:val="ListParagraph"/>
        <w:numPr>
          <w:ilvl w:val="0"/>
          <w:numId w:val="25"/>
        </w:numPr>
        <w:spacing w:before="240" w:after="240" w:line="240" w:lineRule="auto"/>
        <w:ind w:left="0" w:firstLine="0"/>
        <w:contextualSpacing w:val="0"/>
        <w:rPr>
          <w:rFonts w:eastAsia="Times New Roman" w:cstheme="minorHAnsi"/>
          <w:noProof/>
          <w:color w:val="000000"/>
          <w:sz w:val="24"/>
          <w:szCs w:val="24"/>
          <w:lang w:eastAsia="zh-CN"/>
        </w:rPr>
      </w:pPr>
      <w:r w:rsidRPr="00F63211">
        <w:rPr>
          <w:rFonts w:hint="eastAsia"/>
          <w:sz w:val="24"/>
          <w:szCs w:val="24"/>
          <w:lang w:eastAsia="zh-CN"/>
        </w:rPr>
        <w:t>下</w:t>
      </w:r>
      <w:r w:rsidR="003E09D7" w:rsidRPr="00F63211">
        <w:rPr>
          <w:rFonts w:hint="eastAsia"/>
          <w:sz w:val="24"/>
          <w:szCs w:val="24"/>
          <w:lang w:eastAsia="zh-CN"/>
        </w:rPr>
        <w:t>文</w:t>
      </w:r>
      <w:r w:rsidRPr="00F63211">
        <w:rPr>
          <w:rFonts w:hint="eastAsia"/>
          <w:sz w:val="24"/>
          <w:szCs w:val="24"/>
          <w:lang w:eastAsia="zh-CN"/>
        </w:rPr>
        <w:t>图</w:t>
      </w:r>
      <w:r w:rsidRPr="00F63211">
        <w:rPr>
          <w:rFonts w:hint="eastAsia"/>
          <w:sz w:val="24"/>
          <w:szCs w:val="24"/>
          <w:lang w:eastAsia="zh-CN"/>
        </w:rPr>
        <w:t>6</w:t>
      </w:r>
      <w:r w:rsidRPr="00F63211">
        <w:rPr>
          <w:rFonts w:hint="eastAsia"/>
          <w:sz w:val="24"/>
          <w:szCs w:val="24"/>
          <w:lang w:eastAsia="zh-CN"/>
        </w:rPr>
        <w:t>提供了</w:t>
      </w:r>
      <w:r w:rsidRPr="00F63211">
        <w:rPr>
          <w:rFonts w:hint="eastAsia"/>
          <w:sz w:val="24"/>
          <w:szCs w:val="24"/>
          <w:lang w:eastAsia="zh-CN"/>
        </w:rPr>
        <w:t>2018</w:t>
      </w:r>
      <w:r w:rsidRPr="00F63211">
        <w:rPr>
          <w:rFonts w:hint="eastAsia"/>
          <w:sz w:val="24"/>
          <w:szCs w:val="24"/>
          <w:lang w:eastAsia="zh-CN"/>
        </w:rPr>
        <w:t>年</w:t>
      </w:r>
      <w:r w:rsidRPr="00F63211">
        <w:rPr>
          <w:rFonts w:hint="eastAsia"/>
          <w:sz w:val="24"/>
          <w:szCs w:val="24"/>
          <w:lang w:eastAsia="zh-CN"/>
        </w:rPr>
        <w:t>7</w:t>
      </w:r>
      <w:r w:rsidRPr="00F63211">
        <w:rPr>
          <w:rFonts w:hint="eastAsia"/>
          <w:sz w:val="24"/>
          <w:szCs w:val="24"/>
          <w:lang w:eastAsia="zh-CN"/>
        </w:rPr>
        <w:t>月</w:t>
      </w:r>
      <w:r w:rsidRPr="00F63211">
        <w:rPr>
          <w:rFonts w:hint="eastAsia"/>
          <w:sz w:val="24"/>
          <w:szCs w:val="24"/>
          <w:lang w:eastAsia="zh-CN"/>
        </w:rPr>
        <w:t>1</w:t>
      </w:r>
      <w:r w:rsidRPr="00F63211">
        <w:rPr>
          <w:rFonts w:hint="eastAsia"/>
          <w:sz w:val="24"/>
          <w:szCs w:val="24"/>
          <w:lang w:eastAsia="zh-CN"/>
        </w:rPr>
        <w:t>日至</w:t>
      </w:r>
      <w:r w:rsidRPr="00F63211">
        <w:rPr>
          <w:rFonts w:hint="eastAsia"/>
          <w:sz w:val="24"/>
          <w:szCs w:val="24"/>
          <w:lang w:eastAsia="zh-CN"/>
        </w:rPr>
        <w:t>2019</w:t>
      </w:r>
      <w:r w:rsidRPr="00F63211">
        <w:rPr>
          <w:rFonts w:hint="eastAsia"/>
          <w:sz w:val="24"/>
          <w:szCs w:val="24"/>
          <w:lang w:eastAsia="zh-CN"/>
        </w:rPr>
        <w:t>年</w:t>
      </w:r>
      <w:r w:rsidRPr="00F63211">
        <w:rPr>
          <w:rFonts w:hint="eastAsia"/>
          <w:sz w:val="24"/>
          <w:szCs w:val="24"/>
          <w:lang w:eastAsia="zh-CN"/>
        </w:rPr>
        <w:t>12</w:t>
      </w:r>
      <w:r w:rsidRPr="00F63211">
        <w:rPr>
          <w:rFonts w:hint="eastAsia"/>
          <w:sz w:val="24"/>
          <w:szCs w:val="24"/>
          <w:lang w:eastAsia="zh-CN"/>
        </w:rPr>
        <w:t>月</w:t>
      </w:r>
      <w:r w:rsidRPr="00F63211">
        <w:rPr>
          <w:rFonts w:hint="eastAsia"/>
          <w:sz w:val="24"/>
          <w:szCs w:val="24"/>
          <w:lang w:eastAsia="zh-CN"/>
        </w:rPr>
        <w:t>31</w:t>
      </w:r>
      <w:r w:rsidRPr="00F63211">
        <w:rPr>
          <w:rFonts w:hint="eastAsia"/>
          <w:sz w:val="24"/>
          <w:szCs w:val="24"/>
          <w:lang w:eastAsia="zh-CN"/>
        </w:rPr>
        <w:t>日全球环境基金理事会批准的概念（项目信息表</w:t>
      </w:r>
      <w:r w:rsidR="003E24B3" w:rsidRPr="00F63211">
        <w:rPr>
          <w:rFonts w:hint="eastAsia"/>
          <w:sz w:val="24"/>
          <w:szCs w:val="24"/>
          <w:lang w:eastAsia="zh-CN"/>
        </w:rPr>
        <w:t>（</w:t>
      </w:r>
      <w:r w:rsidRPr="00F63211">
        <w:rPr>
          <w:rFonts w:hint="eastAsia"/>
          <w:sz w:val="24"/>
          <w:szCs w:val="24"/>
          <w:lang w:eastAsia="zh-CN"/>
        </w:rPr>
        <w:t>PIF</w:t>
      </w:r>
      <w:r w:rsidR="003E24B3" w:rsidRPr="00F63211">
        <w:rPr>
          <w:rFonts w:hint="eastAsia"/>
          <w:sz w:val="24"/>
          <w:szCs w:val="24"/>
          <w:lang w:eastAsia="zh-CN"/>
        </w:rPr>
        <w:t>）</w:t>
      </w:r>
      <w:r w:rsidRPr="00F63211">
        <w:rPr>
          <w:rFonts w:hint="eastAsia"/>
          <w:sz w:val="24"/>
          <w:szCs w:val="24"/>
          <w:lang w:eastAsia="zh-CN"/>
        </w:rPr>
        <w:t>）中提出的与《生物多样性公约》和《</w:t>
      </w:r>
      <w:r w:rsidRPr="00F63211">
        <w:rPr>
          <w:rFonts w:hint="eastAsia"/>
          <w:sz w:val="24"/>
          <w:szCs w:val="24"/>
          <w:lang w:eastAsia="zh-CN"/>
        </w:rPr>
        <w:t xml:space="preserve"> 2010-2020</w:t>
      </w:r>
      <w:r w:rsidRPr="00F63211">
        <w:rPr>
          <w:rFonts w:hint="eastAsia"/>
          <w:sz w:val="24"/>
          <w:szCs w:val="24"/>
          <w:lang w:eastAsia="zh-CN"/>
        </w:rPr>
        <w:t>年生物多样性战略计划》有关的累计目标。累计目标代表了这些项目的关键预期成果。</w:t>
      </w:r>
    </w:p>
    <w:p w14:paraId="55D18C82" w14:textId="77777777" w:rsidR="001B2F27" w:rsidRDefault="001B2F27" w:rsidP="003F1966">
      <w:pPr>
        <w:spacing w:before="240" w:after="240" w:line="252" w:lineRule="auto"/>
        <w:rPr>
          <w:rFonts w:eastAsia="Times New Roman" w:cstheme="minorHAnsi"/>
          <w:b/>
          <w:noProof/>
          <w:color w:val="000000"/>
          <w:sz w:val="24"/>
          <w:szCs w:val="24"/>
          <w:lang w:eastAsia="zh-CN"/>
        </w:rPr>
      </w:pPr>
      <w:r>
        <w:rPr>
          <w:rFonts w:eastAsia="Times New Roman" w:cstheme="minorHAnsi"/>
          <w:b/>
          <w:noProof/>
          <w:color w:val="000000"/>
          <w:sz w:val="24"/>
          <w:szCs w:val="24"/>
          <w:lang w:eastAsia="zh-CN"/>
        </w:rPr>
        <w:br w:type="page"/>
      </w:r>
    </w:p>
    <w:p w14:paraId="1F48953B" w14:textId="0F05EA65" w:rsidR="003F1966" w:rsidRPr="00F63211" w:rsidRDefault="003E24B3" w:rsidP="00195EFE">
      <w:pPr>
        <w:spacing w:before="240" w:after="240" w:line="240" w:lineRule="auto"/>
        <w:jc w:val="center"/>
        <w:rPr>
          <w:rFonts w:ascii="Times New Roman" w:hAnsi="Times New Roman" w:cs="Times New Roman"/>
          <w:b/>
          <w:noProof/>
          <w:color w:val="000000"/>
          <w:sz w:val="24"/>
          <w:szCs w:val="24"/>
        </w:rPr>
      </w:pPr>
      <w:r w:rsidRPr="00F63211">
        <w:rPr>
          <w:rFonts w:ascii="Times New Roman" w:hAnsi="Times New Roman" w:cs="Times New Roman"/>
          <w:b/>
          <w:noProof/>
          <w:color w:val="000000"/>
          <w:sz w:val="24"/>
          <w:szCs w:val="24"/>
        </w:rPr>
        <w:lastRenderedPageBreak/>
        <w:t>图</w:t>
      </w:r>
      <w:r w:rsidRPr="00F63211">
        <w:rPr>
          <w:rFonts w:ascii="Times New Roman" w:hAnsi="Times New Roman" w:cs="Times New Roman"/>
          <w:b/>
          <w:noProof/>
          <w:color w:val="000000"/>
          <w:sz w:val="24"/>
          <w:szCs w:val="24"/>
          <w:lang w:eastAsia="zh-CN"/>
        </w:rPr>
        <w:t xml:space="preserve"> 6</w:t>
      </w:r>
      <w:r w:rsidR="007617FC" w:rsidRPr="00F63211">
        <w:rPr>
          <w:rFonts w:ascii="Times New Roman" w:hAnsi="Times New Roman" w:cs="Times New Roman"/>
          <w:b/>
          <w:noProof/>
          <w:color w:val="000000"/>
          <w:sz w:val="24"/>
          <w:szCs w:val="24"/>
        </w:rPr>
        <w:t>.</w:t>
      </w:r>
    </w:p>
    <w:p w14:paraId="726C87D3" w14:textId="03F15361" w:rsidR="003F1966" w:rsidRPr="003F1966" w:rsidRDefault="00076D61" w:rsidP="003F1966">
      <w:pPr>
        <w:spacing w:before="240" w:after="240" w:line="252" w:lineRule="auto"/>
        <w:rPr>
          <w:rFonts w:eastAsia="Times New Roman" w:cstheme="minorHAnsi"/>
          <w:noProof/>
          <w:color w:val="000000"/>
          <w:sz w:val="24"/>
          <w:szCs w:val="24"/>
        </w:rPr>
      </w:pPr>
      <w:r>
        <w:rPr>
          <w:noProof/>
          <w:lang w:eastAsia="zh-CN"/>
        </w:rPr>
        <w:drawing>
          <wp:inline distT="0" distB="0" distL="0" distR="0" wp14:anchorId="5C18533A" wp14:editId="00C34B48">
            <wp:extent cx="5943600" cy="5557522"/>
            <wp:effectExtent l="0" t="0" r="0" b="5080"/>
            <wp:docPr id="7900649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5943600" cy="5557522"/>
                    </a:xfrm>
                    <a:prstGeom prst="rect">
                      <a:avLst/>
                    </a:prstGeom>
                  </pic:spPr>
                </pic:pic>
              </a:graphicData>
            </a:graphic>
          </wp:inline>
        </w:drawing>
      </w:r>
    </w:p>
    <w:p w14:paraId="0D938883" w14:textId="77777777" w:rsidR="006A4323" w:rsidRDefault="006A4323" w:rsidP="00CB2F0E">
      <w:pPr>
        <w:rPr>
          <w:b/>
        </w:rPr>
      </w:pPr>
    </w:p>
    <w:p w14:paraId="4D7F144C" w14:textId="77777777" w:rsidR="006A4323" w:rsidRDefault="006A4323" w:rsidP="00CB2F0E">
      <w:pPr>
        <w:rPr>
          <w:b/>
        </w:rPr>
      </w:pPr>
    </w:p>
    <w:p w14:paraId="4BF40359" w14:textId="77777777" w:rsidR="002A6C7A" w:rsidRDefault="002A6C7A" w:rsidP="00E2480F">
      <w:pPr>
        <w:spacing w:after="0" w:line="240" w:lineRule="auto"/>
        <w:rPr>
          <w:sz w:val="24"/>
          <w:szCs w:val="24"/>
        </w:rPr>
      </w:pPr>
    </w:p>
    <w:p w14:paraId="5AACC9DD" w14:textId="77777777" w:rsidR="002A6C7A" w:rsidRDefault="002A6C7A" w:rsidP="00E2480F">
      <w:pPr>
        <w:spacing w:after="0" w:line="240" w:lineRule="auto"/>
        <w:rPr>
          <w:sz w:val="24"/>
          <w:szCs w:val="24"/>
        </w:rPr>
      </w:pPr>
    </w:p>
    <w:p w14:paraId="0A245DF3" w14:textId="77777777" w:rsidR="002A6C7A" w:rsidRDefault="002A6C7A" w:rsidP="00E2480F">
      <w:pPr>
        <w:spacing w:after="0" w:line="240" w:lineRule="auto"/>
        <w:rPr>
          <w:sz w:val="24"/>
          <w:szCs w:val="24"/>
        </w:rPr>
      </w:pPr>
    </w:p>
    <w:p w14:paraId="7B3CEC7C" w14:textId="77777777" w:rsidR="002A6C7A" w:rsidRDefault="002A6C7A" w:rsidP="00E2480F">
      <w:pPr>
        <w:spacing w:after="0" w:line="240" w:lineRule="auto"/>
        <w:rPr>
          <w:sz w:val="24"/>
          <w:szCs w:val="24"/>
        </w:rPr>
      </w:pPr>
    </w:p>
    <w:p w14:paraId="76B35683" w14:textId="77777777" w:rsidR="002A6C7A" w:rsidRDefault="002A6C7A" w:rsidP="00E2480F">
      <w:pPr>
        <w:spacing w:after="0" w:line="240" w:lineRule="auto"/>
        <w:rPr>
          <w:sz w:val="24"/>
          <w:szCs w:val="24"/>
        </w:rPr>
      </w:pPr>
    </w:p>
    <w:p w14:paraId="0EEDDAE1" w14:textId="77777777" w:rsidR="002A6C7A" w:rsidRDefault="002A6C7A" w:rsidP="00E2480F">
      <w:pPr>
        <w:spacing w:after="0" w:line="240" w:lineRule="auto"/>
        <w:rPr>
          <w:sz w:val="24"/>
          <w:szCs w:val="24"/>
        </w:rPr>
      </w:pPr>
    </w:p>
    <w:p w14:paraId="5801B317" w14:textId="77777777" w:rsidR="002A6C7A" w:rsidRDefault="002A6C7A" w:rsidP="00E2480F">
      <w:pPr>
        <w:spacing w:after="0" w:line="240" w:lineRule="auto"/>
        <w:rPr>
          <w:sz w:val="24"/>
          <w:szCs w:val="24"/>
        </w:rPr>
      </w:pPr>
    </w:p>
    <w:p w14:paraId="44E3BE65" w14:textId="77777777" w:rsidR="002A6C7A" w:rsidRDefault="002A6C7A" w:rsidP="00E2480F">
      <w:pPr>
        <w:spacing w:after="0" w:line="240" w:lineRule="auto"/>
        <w:rPr>
          <w:sz w:val="24"/>
          <w:szCs w:val="24"/>
        </w:rPr>
      </w:pPr>
    </w:p>
    <w:p w14:paraId="587D5F90" w14:textId="147F280C" w:rsidR="003E24B3" w:rsidRPr="00F63211" w:rsidRDefault="003E24B3" w:rsidP="00FF3B4A">
      <w:pPr>
        <w:pStyle w:val="ListParagraph"/>
        <w:numPr>
          <w:ilvl w:val="0"/>
          <w:numId w:val="25"/>
        </w:numPr>
        <w:spacing w:before="240" w:after="240" w:line="240" w:lineRule="auto"/>
        <w:ind w:left="0" w:firstLine="0"/>
        <w:contextualSpacing w:val="0"/>
        <w:rPr>
          <w:rFonts w:ascii="Times New Roman" w:hAnsi="Times New Roman" w:cs="Times New Roman"/>
          <w:sz w:val="24"/>
          <w:szCs w:val="24"/>
          <w:lang w:eastAsia="zh-CN"/>
        </w:rPr>
      </w:pPr>
      <w:r w:rsidRPr="00F63211">
        <w:rPr>
          <w:rFonts w:ascii="Times New Roman" w:hAnsi="Times New Roman" w:cs="Times New Roman"/>
          <w:sz w:val="24"/>
          <w:szCs w:val="24"/>
          <w:lang w:eastAsia="zh-CN"/>
        </w:rPr>
        <w:lastRenderedPageBreak/>
        <w:t>如全环基金第七次增资方案编制指导意见和成果框架所述，影响方案的成果涉及指标</w:t>
      </w:r>
      <w:r w:rsidRPr="00F63211">
        <w:rPr>
          <w:rFonts w:ascii="Times New Roman" w:hAnsi="Times New Roman" w:cs="Times New Roman"/>
          <w:sz w:val="24"/>
          <w:szCs w:val="24"/>
          <w:lang w:eastAsia="zh-CN"/>
        </w:rPr>
        <w:t>1</w:t>
      </w:r>
      <w:r w:rsidRPr="00F63211">
        <w:rPr>
          <w:rFonts w:ascii="Times New Roman" w:hAnsi="Times New Roman" w:cs="Times New Roman"/>
          <w:sz w:val="24"/>
          <w:szCs w:val="24"/>
          <w:lang w:eastAsia="zh-CN"/>
        </w:rPr>
        <w:t>（陆地保护区）、</w:t>
      </w:r>
      <w:r w:rsidRPr="00F63211">
        <w:rPr>
          <w:rFonts w:ascii="Times New Roman" w:hAnsi="Times New Roman" w:cs="Times New Roman"/>
          <w:sz w:val="24"/>
          <w:szCs w:val="24"/>
          <w:lang w:eastAsia="zh-CN"/>
        </w:rPr>
        <w:t>3</w:t>
      </w:r>
      <w:r w:rsidRPr="00F63211">
        <w:rPr>
          <w:rFonts w:ascii="Times New Roman" w:hAnsi="Times New Roman" w:cs="Times New Roman"/>
          <w:sz w:val="24"/>
          <w:szCs w:val="24"/>
          <w:lang w:eastAsia="zh-CN"/>
        </w:rPr>
        <w:t>（恢复的土地面积）、</w:t>
      </w:r>
      <w:r w:rsidRPr="00F63211">
        <w:rPr>
          <w:rFonts w:ascii="Times New Roman" w:hAnsi="Times New Roman" w:cs="Times New Roman"/>
          <w:sz w:val="24"/>
          <w:szCs w:val="24"/>
          <w:lang w:eastAsia="zh-CN"/>
        </w:rPr>
        <w:t>4</w:t>
      </w:r>
      <w:r w:rsidRPr="00F63211">
        <w:rPr>
          <w:rFonts w:ascii="Times New Roman" w:hAnsi="Times New Roman" w:cs="Times New Roman"/>
          <w:sz w:val="24"/>
          <w:szCs w:val="24"/>
          <w:lang w:eastAsia="zh-CN"/>
        </w:rPr>
        <w:t>（做法得到改善的陆地景观）和</w:t>
      </w:r>
      <w:r w:rsidRPr="00F63211">
        <w:rPr>
          <w:rFonts w:ascii="Times New Roman" w:hAnsi="Times New Roman" w:cs="Times New Roman"/>
          <w:sz w:val="24"/>
          <w:szCs w:val="24"/>
          <w:lang w:eastAsia="zh-CN"/>
        </w:rPr>
        <w:t>6</w:t>
      </w:r>
      <w:r w:rsidRPr="00F63211">
        <w:rPr>
          <w:rFonts w:ascii="Times New Roman" w:hAnsi="Times New Roman" w:cs="Times New Roman"/>
          <w:sz w:val="24"/>
          <w:szCs w:val="24"/>
          <w:lang w:eastAsia="zh-CN"/>
        </w:rPr>
        <w:t>（温室气体排放的</w:t>
      </w:r>
      <w:r w:rsidRPr="00F63211">
        <w:rPr>
          <w:rFonts w:ascii="Times New Roman" w:hAnsi="Times New Roman" w:cs="Times New Roman"/>
          <w:sz w:val="24"/>
          <w:szCs w:val="24"/>
          <w:lang w:eastAsia="zh-CN"/>
        </w:rPr>
        <w:t xml:space="preserve"> </w:t>
      </w:r>
      <w:r w:rsidRPr="00F63211">
        <w:rPr>
          <w:rFonts w:ascii="Times New Roman" w:hAnsi="Times New Roman" w:cs="Times New Roman"/>
          <w:sz w:val="24"/>
          <w:szCs w:val="24"/>
          <w:lang w:eastAsia="zh-CN"/>
        </w:rPr>
        <w:t>缓解）。</w:t>
      </w:r>
    </w:p>
    <w:p w14:paraId="6D300FA0" w14:textId="287D25A5" w:rsidR="003E24B3" w:rsidRPr="00F63211" w:rsidRDefault="003E24B3" w:rsidP="00FF3B4A">
      <w:pPr>
        <w:pStyle w:val="ListParagraph"/>
        <w:numPr>
          <w:ilvl w:val="0"/>
          <w:numId w:val="25"/>
        </w:numPr>
        <w:spacing w:before="240" w:after="240" w:line="240" w:lineRule="auto"/>
        <w:ind w:left="0" w:firstLine="0"/>
        <w:contextualSpacing w:val="0"/>
        <w:rPr>
          <w:rFonts w:ascii="Times New Roman" w:hAnsi="Times New Roman" w:cs="Times New Roman"/>
          <w:sz w:val="24"/>
          <w:szCs w:val="24"/>
          <w:lang w:eastAsia="zh-CN"/>
        </w:rPr>
      </w:pPr>
      <w:r w:rsidRPr="00F63211">
        <w:rPr>
          <w:rFonts w:ascii="Times New Roman" w:hAnsi="Times New Roman" w:cs="Times New Roman"/>
          <w:sz w:val="24"/>
          <w:szCs w:val="24"/>
          <w:lang w:eastAsia="zh-CN"/>
        </w:rPr>
        <w:t>迄今为止，所有影响方案对这</w:t>
      </w:r>
      <w:r w:rsidRPr="00F63211">
        <w:rPr>
          <w:rFonts w:ascii="Times New Roman" w:hAnsi="Times New Roman" w:cs="Times New Roman"/>
          <w:sz w:val="24"/>
          <w:szCs w:val="24"/>
          <w:lang w:eastAsia="zh-CN"/>
        </w:rPr>
        <w:t>4</w:t>
      </w:r>
      <w:r w:rsidRPr="00F63211">
        <w:rPr>
          <w:rFonts w:ascii="Times New Roman" w:hAnsi="Times New Roman" w:cs="Times New Roman"/>
          <w:sz w:val="24"/>
          <w:szCs w:val="24"/>
          <w:lang w:eastAsia="zh-CN"/>
        </w:rPr>
        <w:t>个核心指标的贡献在整个全环基金第七次增资目标所占比例从</w:t>
      </w:r>
      <w:r w:rsidRPr="00F63211">
        <w:rPr>
          <w:rFonts w:ascii="Times New Roman" w:hAnsi="Times New Roman" w:cs="Times New Roman"/>
          <w:sz w:val="24"/>
          <w:szCs w:val="24"/>
          <w:lang w:eastAsia="zh-CN"/>
        </w:rPr>
        <w:t>21</w:t>
      </w:r>
      <w:r w:rsidRPr="00F63211">
        <w:rPr>
          <w:rFonts w:ascii="Times New Roman" w:hAnsi="Times New Roman" w:cs="Times New Roman"/>
          <w:sz w:val="24"/>
          <w:szCs w:val="24"/>
          <w:lang w:eastAsia="zh-CN"/>
        </w:rPr>
        <w:t>％到接近</w:t>
      </w:r>
      <w:r w:rsidRPr="00F63211">
        <w:rPr>
          <w:rFonts w:ascii="Times New Roman" w:hAnsi="Times New Roman" w:cs="Times New Roman"/>
          <w:sz w:val="24"/>
          <w:szCs w:val="24"/>
          <w:lang w:eastAsia="zh-CN"/>
        </w:rPr>
        <w:t>70</w:t>
      </w:r>
      <w:r w:rsidRPr="00F63211">
        <w:rPr>
          <w:rFonts w:ascii="Times New Roman" w:hAnsi="Times New Roman" w:cs="Times New Roman"/>
          <w:sz w:val="24"/>
          <w:szCs w:val="24"/>
          <w:lang w:eastAsia="zh-CN"/>
        </w:rPr>
        <w:t>％不等（图</w:t>
      </w:r>
      <w:r w:rsidRPr="00F63211">
        <w:rPr>
          <w:rFonts w:ascii="Times New Roman" w:hAnsi="Times New Roman" w:cs="Times New Roman"/>
          <w:sz w:val="24"/>
          <w:szCs w:val="24"/>
          <w:lang w:eastAsia="zh-CN"/>
        </w:rPr>
        <w:t>7</w:t>
      </w:r>
      <w:r w:rsidRPr="00F63211">
        <w:rPr>
          <w:rFonts w:ascii="Times New Roman" w:hAnsi="Times New Roman" w:cs="Times New Roman"/>
          <w:sz w:val="24"/>
          <w:szCs w:val="24"/>
          <w:lang w:eastAsia="zh-CN"/>
        </w:rPr>
        <w:t>），而在影响方案中</w:t>
      </w:r>
      <w:r w:rsidR="00E157C1" w:rsidRPr="00F63211">
        <w:rPr>
          <w:rFonts w:ascii="Times New Roman" w:hAnsi="Times New Roman" w:cs="Times New Roman"/>
          <w:sz w:val="24"/>
          <w:szCs w:val="24"/>
          <w:lang w:eastAsia="zh-CN"/>
        </w:rPr>
        <w:t>，通过资金透明分配系统（</w:t>
      </w:r>
      <w:r w:rsidRPr="00F63211">
        <w:rPr>
          <w:rFonts w:ascii="Times New Roman" w:hAnsi="Times New Roman" w:cs="Times New Roman"/>
          <w:sz w:val="24"/>
          <w:szCs w:val="24"/>
          <w:lang w:eastAsia="zh-CN"/>
        </w:rPr>
        <w:t>STAR</w:t>
      </w:r>
      <w:r w:rsidR="00E157C1" w:rsidRPr="00F63211">
        <w:rPr>
          <w:rFonts w:ascii="Times New Roman" w:hAnsi="Times New Roman" w:cs="Times New Roman"/>
          <w:sz w:val="24"/>
          <w:szCs w:val="24"/>
          <w:lang w:eastAsia="zh-CN"/>
        </w:rPr>
        <w:t>）规划的</w:t>
      </w:r>
      <w:r w:rsidRPr="00F63211">
        <w:rPr>
          <w:rFonts w:ascii="Times New Roman" w:hAnsi="Times New Roman" w:cs="Times New Roman"/>
          <w:sz w:val="24"/>
          <w:szCs w:val="24"/>
          <w:lang w:eastAsia="zh-CN"/>
        </w:rPr>
        <w:t>资金总额仅占</w:t>
      </w:r>
      <w:r w:rsidR="00E157C1" w:rsidRPr="00F63211">
        <w:rPr>
          <w:rFonts w:ascii="Times New Roman" w:hAnsi="Times New Roman" w:cs="Times New Roman"/>
          <w:sz w:val="24"/>
          <w:szCs w:val="24"/>
          <w:lang w:eastAsia="zh-CN"/>
        </w:rPr>
        <w:t>全环基金第七次增资期间资金透明分配系统（</w:t>
      </w:r>
      <w:r w:rsidR="00E157C1" w:rsidRPr="00F63211">
        <w:rPr>
          <w:rFonts w:ascii="Times New Roman" w:hAnsi="Times New Roman" w:cs="Times New Roman"/>
          <w:sz w:val="24"/>
          <w:szCs w:val="24"/>
          <w:lang w:eastAsia="zh-CN"/>
        </w:rPr>
        <w:t>STAR</w:t>
      </w:r>
      <w:r w:rsidR="00E157C1" w:rsidRPr="00F63211">
        <w:rPr>
          <w:rFonts w:ascii="Times New Roman" w:hAnsi="Times New Roman" w:cs="Times New Roman"/>
          <w:sz w:val="24"/>
          <w:szCs w:val="24"/>
          <w:lang w:eastAsia="zh-CN"/>
        </w:rPr>
        <w:t>）</w:t>
      </w:r>
      <w:r w:rsidRPr="00F63211">
        <w:rPr>
          <w:rFonts w:ascii="Times New Roman" w:hAnsi="Times New Roman" w:cs="Times New Roman"/>
          <w:sz w:val="24"/>
          <w:szCs w:val="24"/>
          <w:lang w:eastAsia="zh-CN"/>
        </w:rPr>
        <w:t>目标分配</w:t>
      </w:r>
      <w:r w:rsidR="00E157C1" w:rsidRPr="00F63211">
        <w:rPr>
          <w:rFonts w:ascii="Times New Roman" w:hAnsi="Times New Roman" w:cs="Times New Roman"/>
          <w:sz w:val="24"/>
          <w:szCs w:val="24"/>
          <w:lang w:eastAsia="zh-CN"/>
        </w:rPr>
        <w:t>额的</w:t>
      </w:r>
      <w:r w:rsidR="00E157C1" w:rsidRPr="00F63211">
        <w:rPr>
          <w:rFonts w:ascii="Times New Roman" w:hAnsi="Times New Roman" w:cs="Times New Roman"/>
          <w:sz w:val="24"/>
          <w:szCs w:val="24"/>
          <w:lang w:eastAsia="zh-CN"/>
        </w:rPr>
        <w:t>23</w:t>
      </w:r>
      <w:r w:rsidR="00E157C1" w:rsidRPr="00F63211">
        <w:rPr>
          <w:rFonts w:ascii="Times New Roman" w:hAnsi="Times New Roman" w:cs="Times New Roman"/>
          <w:sz w:val="24"/>
          <w:szCs w:val="24"/>
          <w:lang w:eastAsia="zh-CN"/>
        </w:rPr>
        <w:t>％</w:t>
      </w:r>
      <w:r w:rsidRPr="00F63211">
        <w:rPr>
          <w:rFonts w:ascii="Times New Roman" w:hAnsi="Times New Roman" w:cs="Times New Roman"/>
          <w:sz w:val="24"/>
          <w:szCs w:val="24"/>
          <w:lang w:eastAsia="zh-CN"/>
        </w:rPr>
        <w:t>。</w:t>
      </w:r>
    </w:p>
    <w:p w14:paraId="641A0228" w14:textId="7418365D" w:rsidR="00E157C1" w:rsidRPr="00F63211" w:rsidRDefault="00E157C1" w:rsidP="00195EFE">
      <w:pPr>
        <w:spacing w:before="240" w:after="240" w:line="240" w:lineRule="auto"/>
        <w:jc w:val="center"/>
        <w:rPr>
          <w:rFonts w:ascii="Times New Roman" w:hAnsi="Times New Roman" w:cs="Times New Roman"/>
          <w:b/>
          <w:sz w:val="24"/>
          <w:szCs w:val="24"/>
          <w:lang w:val="en-GB" w:eastAsia="zh-CN"/>
        </w:rPr>
      </w:pPr>
      <w:r w:rsidRPr="00F63211">
        <w:rPr>
          <w:rFonts w:ascii="Times New Roman" w:hAnsi="Times New Roman" w:cs="Times New Roman"/>
          <w:b/>
          <w:sz w:val="24"/>
          <w:szCs w:val="24"/>
          <w:lang w:eastAsia="zh-CN"/>
        </w:rPr>
        <w:t>图</w:t>
      </w:r>
      <w:r w:rsidRPr="00F63211">
        <w:rPr>
          <w:rFonts w:ascii="Times New Roman" w:hAnsi="Times New Roman" w:cs="Times New Roman"/>
          <w:b/>
          <w:sz w:val="24"/>
          <w:szCs w:val="24"/>
          <w:lang w:eastAsia="zh-CN"/>
        </w:rPr>
        <w:t xml:space="preserve">7. </w:t>
      </w:r>
      <w:r w:rsidRPr="00F63211">
        <w:rPr>
          <w:rFonts w:ascii="Times New Roman" w:hAnsi="Times New Roman" w:cs="Times New Roman"/>
          <w:b/>
          <w:sz w:val="24"/>
          <w:szCs w:val="24"/>
          <w:lang w:eastAsia="zh-CN"/>
        </w:rPr>
        <w:t>迄今全环基金第七次增资取得的成果以及影响计划</w:t>
      </w:r>
      <w:r w:rsidRPr="00F63211">
        <w:rPr>
          <w:rFonts w:ascii="Times New Roman" w:hAnsi="Times New Roman" w:cs="Times New Roman"/>
          <w:b/>
          <w:sz w:val="24"/>
          <w:szCs w:val="24"/>
          <w:lang w:eastAsia="zh-CN"/>
        </w:rPr>
        <w:br/>
      </w:r>
      <w:r w:rsidRPr="00F63211">
        <w:rPr>
          <w:rFonts w:ascii="Times New Roman" w:hAnsi="Times New Roman" w:cs="Times New Roman"/>
          <w:b/>
          <w:sz w:val="24"/>
          <w:szCs w:val="24"/>
          <w:lang w:eastAsia="zh-CN"/>
        </w:rPr>
        <w:t>对每个核心指标的贡献，包括</w:t>
      </w:r>
      <w:r w:rsidRPr="00F63211">
        <w:rPr>
          <w:rFonts w:ascii="Times New Roman" w:hAnsi="Times New Roman" w:cs="Times New Roman"/>
          <w:b/>
          <w:sz w:val="24"/>
          <w:szCs w:val="24"/>
          <w:lang w:eastAsia="zh-CN"/>
        </w:rPr>
        <w:t>2019</w:t>
      </w:r>
      <w:r w:rsidRPr="00F63211">
        <w:rPr>
          <w:rFonts w:ascii="Times New Roman" w:hAnsi="Times New Roman" w:cs="Times New Roman"/>
          <w:b/>
          <w:sz w:val="24"/>
          <w:szCs w:val="24"/>
          <w:lang w:eastAsia="zh-CN"/>
        </w:rPr>
        <w:t>年</w:t>
      </w:r>
      <w:r w:rsidRPr="00F63211">
        <w:rPr>
          <w:rFonts w:ascii="Times New Roman" w:hAnsi="Times New Roman" w:cs="Times New Roman"/>
          <w:b/>
          <w:sz w:val="24"/>
          <w:szCs w:val="24"/>
          <w:lang w:eastAsia="zh-CN"/>
        </w:rPr>
        <w:t>12</w:t>
      </w:r>
      <w:r w:rsidRPr="00F63211">
        <w:rPr>
          <w:rFonts w:ascii="Times New Roman" w:hAnsi="Times New Roman" w:cs="Times New Roman"/>
          <w:b/>
          <w:sz w:val="24"/>
          <w:szCs w:val="24"/>
          <w:lang w:eastAsia="zh-CN"/>
        </w:rPr>
        <w:t>月的工作方案</w:t>
      </w:r>
    </w:p>
    <w:p w14:paraId="780D043D" w14:textId="77C7423D" w:rsidR="007617FC" w:rsidRPr="009E5BBD" w:rsidRDefault="00A92A17" w:rsidP="00CB2F0E">
      <w:r w:rsidRPr="009E5BBD">
        <w:rPr>
          <w:noProof/>
          <w:lang w:eastAsia="zh-CN"/>
        </w:rPr>
        <w:drawing>
          <wp:inline distT="0" distB="0" distL="0" distR="0" wp14:anchorId="640EF778" wp14:editId="7907BC1B">
            <wp:extent cx="5650032" cy="3214468"/>
            <wp:effectExtent l="0" t="0" r="8255" b="5080"/>
            <wp:docPr id="13987605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a:extLst>
                        <a:ext uri="{28A0092B-C50C-407E-A947-70E740481C1C}">
                          <a14:useLocalDpi xmlns:a14="http://schemas.microsoft.com/office/drawing/2010/main" val="0"/>
                        </a:ext>
                      </a:extLst>
                    </a:blip>
                    <a:stretch>
                      <a:fillRect/>
                    </a:stretch>
                  </pic:blipFill>
                  <pic:spPr>
                    <a:xfrm>
                      <a:off x="0" y="0"/>
                      <a:ext cx="5650032" cy="3214468"/>
                    </a:xfrm>
                    <a:prstGeom prst="rect">
                      <a:avLst/>
                    </a:prstGeom>
                  </pic:spPr>
                </pic:pic>
              </a:graphicData>
            </a:graphic>
          </wp:inline>
        </w:drawing>
      </w:r>
    </w:p>
    <w:p w14:paraId="43E3ECB9" w14:textId="745A102C" w:rsidR="000F1D0C" w:rsidRPr="009E5BBD" w:rsidRDefault="006223AC" w:rsidP="00797044">
      <w:pPr>
        <w:spacing w:after="0" w:line="240" w:lineRule="auto"/>
        <w:rPr>
          <w:b/>
          <w:sz w:val="20"/>
          <w:szCs w:val="20"/>
          <w:u w:val="single"/>
          <w:lang w:eastAsia="zh-CN"/>
        </w:rPr>
      </w:pPr>
      <w:r>
        <w:rPr>
          <w:b/>
          <w:sz w:val="20"/>
          <w:szCs w:val="20"/>
          <w:u w:val="single"/>
          <w:lang w:eastAsia="zh-CN"/>
        </w:rPr>
        <w:t>解读图</w:t>
      </w:r>
      <w:r w:rsidR="000F1D0C" w:rsidRPr="009E5BBD">
        <w:rPr>
          <w:b/>
          <w:sz w:val="20"/>
          <w:szCs w:val="20"/>
          <w:u w:val="single"/>
          <w:lang w:eastAsia="zh-CN"/>
        </w:rPr>
        <w:t>7</w:t>
      </w:r>
      <w:r w:rsidRPr="006223AC">
        <w:rPr>
          <w:rFonts w:hint="eastAsia"/>
          <w:b/>
          <w:sz w:val="20"/>
          <w:szCs w:val="20"/>
          <w:lang w:eastAsia="zh-CN"/>
        </w:rPr>
        <w:t>：</w:t>
      </w:r>
    </w:p>
    <w:p w14:paraId="3342E0E2" w14:textId="17C29D49" w:rsidR="000F1D0C" w:rsidRPr="004B5B57" w:rsidRDefault="006223AC"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1</w:t>
      </w:r>
      <w:r w:rsidRPr="004B5B57">
        <w:rPr>
          <w:rFonts w:hint="eastAsia"/>
          <w:sz w:val="20"/>
          <w:szCs w:val="20"/>
          <w:lang w:eastAsia="zh-CN"/>
        </w:rPr>
        <w:t>：为保护和可持续利用而建立或改善管理的陆地保护区（公顷）</w:t>
      </w:r>
    </w:p>
    <w:p w14:paraId="3E66F234" w14:textId="005F40CA" w:rsidR="00797044" w:rsidRPr="004B5B57" w:rsidRDefault="006C56BF"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2</w:t>
      </w:r>
      <w:r w:rsidRPr="004B5B57">
        <w:rPr>
          <w:rFonts w:hint="eastAsia"/>
          <w:sz w:val="20"/>
          <w:szCs w:val="20"/>
          <w:lang w:eastAsia="zh-CN"/>
        </w:rPr>
        <w:t>：为保护和可持续利用而建立或改善管理的海洋保护区（公顷）</w:t>
      </w:r>
    </w:p>
    <w:p w14:paraId="24CE5CCF" w14:textId="6D93CEFC" w:rsidR="00797044" w:rsidRPr="004B5B57" w:rsidRDefault="006C56BF"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3</w:t>
      </w:r>
      <w:r w:rsidRPr="004B5B57">
        <w:rPr>
          <w:rFonts w:hint="eastAsia"/>
          <w:sz w:val="20"/>
          <w:szCs w:val="20"/>
          <w:lang w:eastAsia="zh-CN"/>
        </w:rPr>
        <w:t>：复原的土地面积（公顷）</w:t>
      </w:r>
    </w:p>
    <w:p w14:paraId="43A8525F" w14:textId="05DC7894" w:rsidR="00797044" w:rsidRPr="004B5B57" w:rsidRDefault="006C56BF"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4</w:t>
      </w:r>
      <w:r w:rsidRPr="004B5B57">
        <w:rPr>
          <w:rFonts w:hint="eastAsia"/>
          <w:sz w:val="20"/>
          <w:szCs w:val="20"/>
          <w:lang w:eastAsia="zh-CN"/>
        </w:rPr>
        <w:t>：改良做法下的陆地景观区域（公顷；不包括保护区）</w:t>
      </w:r>
    </w:p>
    <w:p w14:paraId="024988C0" w14:textId="1D0772F0" w:rsidR="00797044" w:rsidRPr="004B5B57" w:rsidRDefault="006C56BF"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5</w:t>
      </w:r>
      <w:r w:rsidRPr="004B5B57">
        <w:rPr>
          <w:rFonts w:hint="eastAsia"/>
          <w:sz w:val="20"/>
          <w:szCs w:val="20"/>
          <w:lang w:eastAsia="zh-CN"/>
        </w:rPr>
        <w:t>：正在改进做法以惠及生物多样性的海洋栖息地面积（公顷；不包括保护区）</w:t>
      </w:r>
    </w:p>
    <w:p w14:paraId="7F33C7C3" w14:textId="35C4C0D9" w:rsidR="00797044" w:rsidRPr="004B5B57" w:rsidRDefault="006C56BF"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6</w:t>
      </w:r>
      <w:r w:rsidRPr="004B5B57">
        <w:rPr>
          <w:rFonts w:hint="eastAsia"/>
          <w:sz w:val="20"/>
          <w:szCs w:val="20"/>
          <w:lang w:eastAsia="zh-CN"/>
        </w:rPr>
        <w:t>：减少温室气体排放（二氧化碳当量吨）</w:t>
      </w:r>
    </w:p>
    <w:p w14:paraId="42017D7D" w14:textId="5238BB20" w:rsidR="00797044" w:rsidRPr="004B5B57" w:rsidRDefault="006C56BF"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7</w:t>
      </w:r>
      <w:r w:rsidRPr="004B5B57">
        <w:rPr>
          <w:rFonts w:hint="eastAsia"/>
          <w:sz w:val="20"/>
          <w:szCs w:val="20"/>
          <w:lang w:eastAsia="zh-CN"/>
        </w:rPr>
        <w:t>：在新的或改进的合作管理下共享的水生态系统（淡水或海洋）的数量</w:t>
      </w:r>
    </w:p>
    <w:p w14:paraId="7296B59F" w14:textId="2FC91991" w:rsidR="00797044" w:rsidRPr="004B5B57" w:rsidRDefault="00AB24AB"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8</w:t>
      </w:r>
      <w:r w:rsidRPr="004B5B57">
        <w:rPr>
          <w:rFonts w:hint="eastAsia"/>
          <w:sz w:val="20"/>
          <w:szCs w:val="20"/>
          <w:lang w:eastAsia="zh-CN"/>
        </w:rPr>
        <w:t>：将全球过度开发的渔业迈向更可持续的水平（公吨）</w:t>
      </w:r>
    </w:p>
    <w:p w14:paraId="38BBBF11" w14:textId="48700F1E" w:rsidR="00797044" w:rsidRPr="004B5B57" w:rsidRDefault="00AB24AB"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9</w:t>
      </w:r>
      <w:r w:rsidRPr="004B5B57">
        <w:rPr>
          <w:rFonts w:hint="eastAsia"/>
          <w:sz w:val="20"/>
          <w:szCs w:val="20"/>
          <w:lang w:eastAsia="zh-CN"/>
        </w:rPr>
        <w:t>：减少、处置</w:t>
      </w:r>
      <w:r w:rsidRPr="004B5B57">
        <w:rPr>
          <w:rFonts w:hint="eastAsia"/>
          <w:sz w:val="20"/>
          <w:szCs w:val="20"/>
          <w:lang w:eastAsia="zh-CN"/>
        </w:rPr>
        <w:t>/</w:t>
      </w:r>
      <w:r w:rsidRPr="004B5B57">
        <w:rPr>
          <w:rFonts w:hint="eastAsia"/>
          <w:sz w:val="20"/>
          <w:szCs w:val="20"/>
          <w:lang w:eastAsia="zh-CN"/>
        </w:rPr>
        <w:t>销毁、淘汰、消除和避免全球关注的化学品</w:t>
      </w:r>
      <w:r w:rsidR="004B5B57" w:rsidRPr="004B5B57">
        <w:rPr>
          <w:rFonts w:hint="eastAsia"/>
          <w:sz w:val="20"/>
          <w:szCs w:val="20"/>
          <w:lang w:eastAsia="zh-CN"/>
        </w:rPr>
        <w:t>以</w:t>
      </w:r>
      <w:r w:rsidRPr="004B5B57">
        <w:rPr>
          <w:rFonts w:hint="eastAsia"/>
          <w:sz w:val="20"/>
          <w:szCs w:val="20"/>
          <w:lang w:eastAsia="zh-CN"/>
        </w:rPr>
        <w:t>及其在环境</w:t>
      </w:r>
      <w:r w:rsidR="004B5B57" w:rsidRPr="004B5B57">
        <w:rPr>
          <w:rFonts w:hint="eastAsia"/>
          <w:sz w:val="20"/>
          <w:szCs w:val="20"/>
          <w:lang w:eastAsia="zh-CN"/>
        </w:rPr>
        <w:t>和在程序</w:t>
      </w:r>
      <w:r w:rsidRPr="004B5B57">
        <w:rPr>
          <w:rFonts w:hint="eastAsia"/>
          <w:sz w:val="20"/>
          <w:szCs w:val="20"/>
          <w:lang w:eastAsia="zh-CN"/>
        </w:rPr>
        <w:t>、材料和产品中的</w:t>
      </w:r>
      <w:r w:rsidR="004B5B57" w:rsidRPr="004B5B57">
        <w:rPr>
          <w:rFonts w:hint="eastAsia"/>
          <w:sz w:val="20"/>
          <w:szCs w:val="20"/>
          <w:lang w:eastAsia="zh-CN"/>
        </w:rPr>
        <w:t>废物</w:t>
      </w:r>
      <w:r w:rsidRPr="004B5B57">
        <w:rPr>
          <w:rFonts w:hint="eastAsia"/>
          <w:sz w:val="20"/>
          <w:szCs w:val="20"/>
          <w:lang w:eastAsia="zh-CN"/>
        </w:rPr>
        <w:t>（减少有毒化学品的公吨数）</w:t>
      </w:r>
    </w:p>
    <w:p w14:paraId="6D110D57" w14:textId="5CDB3BD2" w:rsidR="00797044" w:rsidRPr="004B5B57" w:rsidRDefault="004B5B57" w:rsidP="00797044">
      <w:pPr>
        <w:spacing w:after="0" w:line="240" w:lineRule="auto"/>
        <w:rPr>
          <w:sz w:val="20"/>
          <w:szCs w:val="20"/>
          <w:lang w:eastAsia="zh-CN"/>
        </w:rPr>
      </w:pPr>
      <w:r w:rsidRPr="004B5B57">
        <w:rPr>
          <w:rFonts w:hint="eastAsia"/>
          <w:sz w:val="20"/>
          <w:szCs w:val="20"/>
          <w:lang w:eastAsia="zh-CN"/>
        </w:rPr>
        <w:t>核心指标</w:t>
      </w:r>
      <w:r w:rsidRPr="004B5B57">
        <w:rPr>
          <w:rFonts w:hint="eastAsia"/>
          <w:sz w:val="20"/>
          <w:szCs w:val="20"/>
          <w:lang w:eastAsia="zh-CN"/>
        </w:rPr>
        <w:t>10</w:t>
      </w:r>
      <w:r w:rsidRPr="004B5B57">
        <w:rPr>
          <w:rFonts w:hint="eastAsia"/>
          <w:sz w:val="20"/>
          <w:szCs w:val="20"/>
          <w:lang w:eastAsia="zh-CN"/>
        </w:rPr>
        <w:t>：减少和避免从点和非点源向空气排放持久性有机污染物（有毒当量</w:t>
      </w:r>
      <w:proofErr w:type="spellStart"/>
      <w:r w:rsidRPr="004B5B57">
        <w:rPr>
          <w:rFonts w:hint="eastAsia"/>
          <w:sz w:val="20"/>
          <w:szCs w:val="20"/>
          <w:lang w:eastAsia="zh-CN"/>
        </w:rPr>
        <w:t>gTEQ</w:t>
      </w:r>
      <w:proofErr w:type="spellEnd"/>
      <w:r w:rsidRPr="004B5B57">
        <w:rPr>
          <w:rFonts w:hint="eastAsia"/>
          <w:sz w:val="20"/>
          <w:szCs w:val="20"/>
          <w:lang w:eastAsia="zh-CN"/>
        </w:rPr>
        <w:t>克）</w:t>
      </w:r>
    </w:p>
    <w:p w14:paraId="34D0B2BB" w14:textId="77777777" w:rsidR="00D17AEF" w:rsidRPr="004B5B57" w:rsidRDefault="00D17AEF" w:rsidP="00797044">
      <w:pPr>
        <w:spacing w:after="0" w:line="240" w:lineRule="auto"/>
        <w:rPr>
          <w:sz w:val="20"/>
          <w:szCs w:val="20"/>
          <w:lang w:eastAsia="zh-CN"/>
        </w:rPr>
      </w:pPr>
    </w:p>
    <w:p w14:paraId="21715966" w14:textId="74072349" w:rsidR="00DF0187" w:rsidRPr="00F354D2" w:rsidRDefault="00F63211" w:rsidP="004D5062">
      <w:pPr>
        <w:pStyle w:val="Heading1"/>
      </w:pPr>
      <w:r>
        <w:lastRenderedPageBreak/>
        <w:t>五</w:t>
      </w:r>
      <w:r>
        <w:rPr>
          <w:rFonts w:hint="eastAsia"/>
        </w:rPr>
        <w:t>．</w:t>
      </w:r>
      <w:r w:rsidR="00191FC5">
        <w:t>全环基金</w:t>
      </w:r>
      <w:r w:rsidR="00191FC5">
        <w:rPr>
          <w:rFonts w:hint="eastAsia"/>
        </w:rPr>
        <w:t>独立评估办公室的结果</w:t>
      </w:r>
    </w:p>
    <w:p w14:paraId="2898BB98" w14:textId="3D178302" w:rsidR="00191FC5" w:rsidRPr="00F63211" w:rsidRDefault="00191FC5" w:rsidP="001B2F27">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bookmarkStart w:id="23" w:name="_Hlk32089239"/>
      <w:r w:rsidRPr="00F63211">
        <w:rPr>
          <w:rFonts w:hint="eastAsia"/>
          <w:sz w:val="24"/>
          <w:szCs w:val="24"/>
          <w:lang w:eastAsia="zh-CN"/>
        </w:rPr>
        <w:t>在本报告所述期间，全环基金独立评估办公室（</w:t>
      </w:r>
      <w:r w:rsidRPr="00F63211">
        <w:rPr>
          <w:rFonts w:hint="eastAsia"/>
          <w:sz w:val="24"/>
          <w:szCs w:val="24"/>
          <w:lang w:eastAsia="zh-CN"/>
        </w:rPr>
        <w:t>IEO</w:t>
      </w:r>
      <w:r w:rsidRPr="00F63211">
        <w:rPr>
          <w:rFonts w:hint="eastAsia"/>
          <w:sz w:val="24"/>
          <w:szCs w:val="24"/>
          <w:lang w:eastAsia="zh-CN"/>
        </w:rPr>
        <w:t>）进行了与生物多样性重点领域有关的四项评估和审查。这些评估的关键信息载列如下。</w:t>
      </w:r>
    </w:p>
    <w:bookmarkEnd w:id="23"/>
    <w:p w14:paraId="4A09A8A9" w14:textId="453F5692" w:rsidR="00191FC5" w:rsidRPr="005A09AD" w:rsidRDefault="00191FC5" w:rsidP="00191FC5">
      <w:pPr>
        <w:rPr>
          <w:rFonts w:eastAsia="KaiTi"/>
          <w:sz w:val="24"/>
          <w:szCs w:val="24"/>
          <w:lang w:val="en" w:eastAsia="zh-CN"/>
        </w:rPr>
      </w:pPr>
      <w:r w:rsidRPr="005A09AD">
        <w:rPr>
          <w:rFonts w:ascii="楷体" w:eastAsia="KaiTi" w:hAnsi="楷体" w:hint="eastAsia"/>
          <w:sz w:val="24"/>
          <w:szCs w:val="24"/>
          <w:lang w:eastAsia="zh-CN"/>
        </w:rPr>
        <w:t>评估全环基金对</w:t>
      </w:r>
      <w:r w:rsidRPr="005A09AD">
        <w:rPr>
          <w:rFonts w:ascii="楷体" w:eastAsia="KaiTi" w:hAnsi="楷体" w:hint="eastAsia"/>
          <w:sz w:val="24"/>
          <w:szCs w:val="24"/>
          <w:lang w:eastAsia="zh-CN"/>
        </w:rPr>
        <w:t>2018</w:t>
      </w:r>
      <w:r w:rsidRPr="005A09AD">
        <w:rPr>
          <w:rFonts w:ascii="楷体" w:eastAsia="KaiTi" w:hAnsi="楷体" w:hint="eastAsia"/>
          <w:sz w:val="24"/>
          <w:szCs w:val="24"/>
          <w:lang w:eastAsia="zh-CN"/>
        </w:rPr>
        <w:t>年将生物多样性主流化的支持</w:t>
      </w:r>
      <w:r w:rsidRPr="005A09AD">
        <w:rPr>
          <w:rFonts w:ascii="Times New Roman" w:eastAsia="KaiTi" w:hAnsi="Times New Roman" w:cs="Times New Roman"/>
          <w:sz w:val="24"/>
          <w:szCs w:val="24"/>
          <w:vertAlign w:val="superscript"/>
          <w:lang w:val="en"/>
        </w:rPr>
        <w:footnoteReference w:id="24"/>
      </w:r>
    </w:p>
    <w:p w14:paraId="21A73350" w14:textId="74D4AA25" w:rsidR="00191FC5" w:rsidRPr="00F63211" w:rsidRDefault="003B440C" w:rsidP="00FF3B4A">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利用</w:t>
      </w:r>
      <w:r w:rsidRPr="00F63211">
        <w:rPr>
          <w:rFonts w:hint="eastAsia"/>
          <w:sz w:val="24"/>
          <w:szCs w:val="24"/>
          <w:lang w:eastAsia="zh-CN"/>
        </w:rPr>
        <w:t>471</w:t>
      </w:r>
      <w:r w:rsidRPr="00F63211">
        <w:rPr>
          <w:rFonts w:hint="eastAsia"/>
          <w:sz w:val="24"/>
          <w:szCs w:val="24"/>
          <w:lang w:eastAsia="zh-CN"/>
        </w:rPr>
        <w:t>个项目的项目组合和在哥伦比亚、印度和南非进行的三个国家案例研究，根据从全环基金第三次增资至第六次增资取得的经验</w:t>
      </w:r>
      <w:r w:rsidR="00191FC5" w:rsidRPr="00F63211">
        <w:rPr>
          <w:rFonts w:hint="eastAsia"/>
          <w:sz w:val="24"/>
          <w:szCs w:val="24"/>
          <w:lang w:eastAsia="zh-CN"/>
        </w:rPr>
        <w:t>进行了评估</w:t>
      </w:r>
      <w:r w:rsidRPr="00F63211">
        <w:rPr>
          <w:rFonts w:hint="eastAsia"/>
          <w:sz w:val="24"/>
          <w:szCs w:val="24"/>
          <w:lang w:eastAsia="zh-CN"/>
        </w:rPr>
        <w:t>，以便</w:t>
      </w:r>
      <w:r w:rsidR="001C6234" w:rsidRPr="00F63211">
        <w:rPr>
          <w:rFonts w:hint="eastAsia"/>
          <w:sz w:val="24"/>
          <w:szCs w:val="24"/>
          <w:lang w:eastAsia="zh-CN"/>
        </w:rPr>
        <w:t>估计</w:t>
      </w:r>
      <w:r w:rsidR="00191FC5" w:rsidRPr="00F63211">
        <w:rPr>
          <w:rFonts w:hint="eastAsia"/>
          <w:sz w:val="24"/>
          <w:szCs w:val="24"/>
          <w:lang w:eastAsia="zh-CN"/>
        </w:rPr>
        <w:t>全球环境基金与生物多样性主流化</w:t>
      </w:r>
      <w:r w:rsidRPr="00F63211">
        <w:rPr>
          <w:rFonts w:hint="eastAsia"/>
          <w:sz w:val="24"/>
          <w:szCs w:val="24"/>
          <w:lang w:eastAsia="zh-CN"/>
        </w:rPr>
        <w:t>的</w:t>
      </w:r>
      <w:r w:rsidR="00191FC5" w:rsidRPr="00F63211">
        <w:rPr>
          <w:rFonts w:hint="eastAsia"/>
          <w:sz w:val="24"/>
          <w:szCs w:val="24"/>
          <w:lang w:eastAsia="zh-CN"/>
        </w:rPr>
        <w:t>相关项目的总体绩效和效</w:t>
      </w:r>
      <w:r w:rsidR="001C6234" w:rsidRPr="00F63211">
        <w:rPr>
          <w:rFonts w:hint="eastAsia"/>
          <w:sz w:val="24"/>
          <w:szCs w:val="24"/>
          <w:lang w:eastAsia="zh-CN"/>
        </w:rPr>
        <w:t>用</w:t>
      </w:r>
      <w:r w:rsidRPr="00F63211">
        <w:rPr>
          <w:rFonts w:hint="eastAsia"/>
          <w:sz w:val="24"/>
          <w:szCs w:val="24"/>
          <w:lang w:eastAsia="zh-CN"/>
        </w:rPr>
        <w:t>。</w:t>
      </w:r>
    </w:p>
    <w:p w14:paraId="1D9048DA" w14:textId="2AD7FF2B" w:rsidR="003B440C" w:rsidRPr="00F63211" w:rsidRDefault="003B440C" w:rsidP="00FF3B4A">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在进行评估之时，生物多样性主流化项目组合</w:t>
      </w:r>
      <w:r w:rsidR="009F1F23" w:rsidRPr="00F63211">
        <w:rPr>
          <w:rFonts w:hint="eastAsia"/>
          <w:sz w:val="24"/>
          <w:szCs w:val="24"/>
          <w:lang w:eastAsia="zh-CN"/>
        </w:rPr>
        <w:t>共有</w:t>
      </w:r>
      <w:r w:rsidRPr="00F63211">
        <w:rPr>
          <w:rFonts w:hint="eastAsia"/>
          <w:sz w:val="24"/>
          <w:szCs w:val="24"/>
          <w:lang w:eastAsia="zh-CN"/>
        </w:rPr>
        <w:t>471</w:t>
      </w:r>
      <w:r w:rsidRPr="00F63211">
        <w:rPr>
          <w:rFonts w:hint="eastAsia"/>
          <w:sz w:val="24"/>
          <w:szCs w:val="24"/>
          <w:lang w:eastAsia="zh-CN"/>
        </w:rPr>
        <w:t>个项目，供资总额为</w:t>
      </w:r>
      <w:r w:rsidRPr="00F63211">
        <w:rPr>
          <w:rFonts w:hint="eastAsia"/>
          <w:sz w:val="24"/>
          <w:szCs w:val="24"/>
          <w:lang w:eastAsia="zh-CN"/>
        </w:rPr>
        <w:t>23.4</w:t>
      </w:r>
      <w:r w:rsidRPr="00F63211">
        <w:rPr>
          <w:rFonts w:hint="eastAsia"/>
          <w:sz w:val="24"/>
          <w:szCs w:val="24"/>
          <w:lang w:eastAsia="zh-CN"/>
        </w:rPr>
        <w:t>亿美元，共同筹资金额</w:t>
      </w:r>
      <w:r w:rsidR="009B64E2" w:rsidRPr="00F63211">
        <w:rPr>
          <w:rFonts w:hint="eastAsia"/>
          <w:sz w:val="24"/>
          <w:szCs w:val="24"/>
          <w:lang w:eastAsia="zh-CN"/>
        </w:rPr>
        <w:t>为</w:t>
      </w:r>
      <w:r w:rsidRPr="00F63211">
        <w:rPr>
          <w:rFonts w:hint="eastAsia"/>
          <w:sz w:val="24"/>
          <w:szCs w:val="24"/>
          <w:lang w:eastAsia="zh-CN"/>
        </w:rPr>
        <w:t>127.3</w:t>
      </w:r>
      <w:r w:rsidRPr="00F63211">
        <w:rPr>
          <w:rFonts w:hint="eastAsia"/>
          <w:sz w:val="24"/>
          <w:szCs w:val="24"/>
          <w:lang w:eastAsia="zh-CN"/>
        </w:rPr>
        <w:t>亿美元。评估报告指出，在全环基金第六次</w:t>
      </w:r>
      <w:r w:rsidR="009F1F23" w:rsidRPr="00F63211">
        <w:rPr>
          <w:rFonts w:hint="eastAsia"/>
          <w:sz w:val="24"/>
          <w:szCs w:val="24"/>
          <w:lang w:eastAsia="zh-CN"/>
        </w:rPr>
        <w:t>增资</w:t>
      </w:r>
      <w:r w:rsidRPr="00F63211">
        <w:rPr>
          <w:rFonts w:hint="eastAsia"/>
          <w:sz w:val="24"/>
          <w:szCs w:val="24"/>
          <w:lang w:eastAsia="zh-CN"/>
        </w:rPr>
        <w:t>期间，主流化</w:t>
      </w:r>
      <w:r w:rsidR="009F1F23" w:rsidRPr="00F63211">
        <w:rPr>
          <w:rFonts w:hint="eastAsia"/>
          <w:sz w:val="24"/>
          <w:szCs w:val="24"/>
          <w:lang w:eastAsia="zh-CN"/>
        </w:rPr>
        <w:t>项目</w:t>
      </w:r>
      <w:r w:rsidRPr="00F63211">
        <w:rPr>
          <w:rFonts w:hint="eastAsia"/>
          <w:sz w:val="24"/>
          <w:szCs w:val="24"/>
          <w:lang w:eastAsia="zh-CN"/>
        </w:rPr>
        <w:t>组合较之前的</w:t>
      </w:r>
      <w:r w:rsidR="009F1F23" w:rsidRPr="00F63211">
        <w:rPr>
          <w:rFonts w:hint="eastAsia"/>
          <w:sz w:val="24"/>
          <w:szCs w:val="24"/>
          <w:lang w:eastAsia="zh-CN"/>
        </w:rPr>
        <w:t>增资期间</w:t>
      </w:r>
      <w:r w:rsidRPr="00F63211">
        <w:rPr>
          <w:rFonts w:hint="eastAsia"/>
          <w:sz w:val="24"/>
          <w:szCs w:val="24"/>
          <w:lang w:eastAsia="zh-CN"/>
        </w:rPr>
        <w:t>有大幅增加，占项目的</w:t>
      </w:r>
      <w:r w:rsidRPr="00F63211">
        <w:rPr>
          <w:rFonts w:hint="eastAsia"/>
          <w:sz w:val="24"/>
          <w:szCs w:val="24"/>
          <w:lang w:eastAsia="zh-CN"/>
        </w:rPr>
        <w:t>51</w:t>
      </w:r>
      <w:r w:rsidRPr="00F63211">
        <w:rPr>
          <w:rFonts w:hint="eastAsia"/>
          <w:sz w:val="24"/>
          <w:szCs w:val="24"/>
          <w:lang w:eastAsia="zh-CN"/>
        </w:rPr>
        <w:t>％和资金的</w:t>
      </w:r>
      <w:r w:rsidRPr="00F63211">
        <w:rPr>
          <w:rFonts w:hint="eastAsia"/>
          <w:sz w:val="24"/>
          <w:szCs w:val="24"/>
          <w:lang w:eastAsia="zh-CN"/>
        </w:rPr>
        <w:t>55</w:t>
      </w:r>
      <w:r w:rsidRPr="00F63211">
        <w:rPr>
          <w:rFonts w:hint="eastAsia"/>
          <w:sz w:val="24"/>
          <w:szCs w:val="24"/>
          <w:lang w:eastAsia="zh-CN"/>
        </w:rPr>
        <w:t>％。报告还指出，生物多样性主流</w:t>
      </w:r>
      <w:r w:rsidR="009B64E2" w:rsidRPr="00F63211">
        <w:rPr>
          <w:rFonts w:hint="eastAsia"/>
          <w:sz w:val="24"/>
          <w:szCs w:val="24"/>
          <w:lang w:eastAsia="zh-CN"/>
        </w:rPr>
        <w:t>化是</w:t>
      </w:r>
      <w:r w:rsidRPr="00F63211">
        <w:rPr>
          <w:rFonts w:hint="eastAsia"/>
          <w:sz w:val="24"/>
          <w:szCs w:val="24"/>
          <w:lang w:eastAsia="zh-CN"/>
        </w:rPr>
        <w:t>全环基金最大的</w:t>
      </w:r>
      <w:r w:rsidR="009B64E2" w:rsidRPr="00F63211">
        <w:rPr>
          <w:rFonts w:hint="eastAsia"/>
          <w:sz w:val="24"/>
          <w:szCs w:val="24"/>
          <w:lang w:eastAsia="zh-CN"/>
        </w:rPr>
        <w:t>项目</w:t>
      </w:r>
      <w:r w:rsidRPr="00F63211">
        <w:rPr>
          <w:rFonts w:hint="eastAsia"/>
          <w:sz w:val="24"/>
          <w:szCs w:val="24"/>
          <w:lang w:eastAsia="zh-CN"/>
        </w:rPr>
        <w:t>组合，超过全环基金第六次</w:t>
      </w:r>
      <w:r w:rsidR="009B64E2" w:rsidRPr="00F63211">
        <w:rPr>
          <w:rFonts w:hint="eastAsia"/>
          <w:sz w:val="24"/>
          <w:szCs w:val="24"/>
          <w:lang w:eastAsia="zh-CN"/>
        </w:rPr>
        <w:t>增资</w:t>
      </w:r>
      <w:r w:rsidRPr="00F63211">
        <w:rPr>
          <w:rFonts w:hint="eastAsia"/>
          <w:sz w:val="24"/>
          <w:szCs w:val="24"/>
          <w:lang w:eastAsia="zh-CN"/>
        </w:rPr>
        <w:t>的保护区和保护区系统</w:t>
      </w:r>
      <w:r w:rsidR="009B64E2" w:rsidRPr="00F63211">
        <w:rPr>
          <w:rFonts w:hint="eastAsia"/>
          <w:sz w:val="24"/>
          <w:szCs w:val="24"/>
          <w:lang w:eastAsia="zh-CN"/>
        </w:rPr>
        <w:t>的项目</w:t>
      </w:r>
      <w:r w:rsidRPr="00F63211">
        <w:rPr>
          <w:rFonts w:hint="eastAsia"/>
          <w:sz w:val="24"/>
          <w:szCs w:val="24"/>
          <w:lang w:eastAsia="zh-CN"/>
        </w:rPr>
        <w:t>组合的规模。</w:t>
      </w:r>
    </w:p>
    <w:p w14:paraId="3B64E4DF" w14:textId="6286EBA5" w:rsidR="009B64E2" w:rsidRPr="00F63211" w:rsidRDefault="009B64E2" w:rsidP="00707CDE">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这项评估指出，生物多样性主流化支持的区域分布</w:t>
      </w:r>
      <w:r w:rsidR="00332012" w:rsidRPr="00F63211">
        <w:rPr>
          <w:rFonts w:hint="eastAsia"/>
          <w:sz w:val="24"/>
          <w:szCs w:val="24"/>
          <w:lang w:eastAsia="zh-CN"/>
        </w:rPr>
        <w:t>状况</w:t>
      </w:r>
      <w:r w:rsidRPr="00F63211">
        <w:rPr>
          <w:rFonts w:hint="eastAsia"/>
          <w:sz w:val="24"/>
          <w:szCs w:val="24"/>
          <w:lang w:eastAsia="zh-CN"/>
        </w:rPr>
        <w:t>总体上与具有全球重要性的生物多样性模式相一致。通过</w:t>
      </w:r>
      <w:r w:rsidR="00332012" w:rsidRPr="00F63211">
        <w:rPr>
          <w:rFonts w:hint="eastAsia"/>
          <w:sz w:val="24"/>
          <w:szCs w:val="24"/>
          <w:lang w:eastAsia="zh-CN"/>
        </w:rPr>
        <w:t>各个增资期间，</w:t>
      </w:r>
      <w:r w:rsidRPr="00F63211">
        <w:rPr>
          <w:rFonts w:hint="eastAsia"/>
          <w:sz w:val="24"/>
          <w:szCs w:val="24"/>
          <w:lang w:eastAsia="zh-CN"/>
        </w:rPr>
        <w:t>全环基金生物多样性主流</w:t>
      </w:r>
      <w:r w:rsidR="00332012" w:rsidRPr="00F63211">
        <w:rPr>
          <w:rFonts w:hint="eastAsia"/>
          <w:sz w:val="24"/>
          <w:szCs w:val="24"/>
          <w:lang w:eastAsia="zh-CN"/>
        </w:rPr>
        <w:t>化支持</w:t>
      </w:r>
      <w:r w:rsidRPr="00F63211">
        <w:rPr>
          <w:rFonts w:hint="eastAsia"/>
          <w:sz w:val="24"/>
          <w:szCs w:val="24"/>
          <w:lang w:eastAsia="zh-CN"/>
        </w:rPr>
        <w:t>适当地集中在亚洲及太平洋</w:t>
      </w:r>
      <w:r w:rsidR="00332012" w:rsidRPr="00F63211">
        <w:rPr>
          <w:rFonts w:hint="eastAsia"/>
          <w:sz w:val="24"/>
          <w:szCs w:val="24"/>
          <w:lang w:eastAsia="zh-CN"/>
        </w:rPr>
        <w:t>、</w:t>
      </w:r>
      <w:r w:rsidRPr="00F63211">
        <w:rPr>
          <w:rFonts w:hint="eastAsia"/>
          <w:sz w:val="24"/>
          <w:szCs w:val="24"/>
          <w:lang w:eastAsia="zh-CN"/>
        </w:rPr>
        <w:t>拉丁美洲和加勒比区域，其次是非洲。该报告指出，将近四分之三的主流化</w:t>
      </w:r>
      <w:r w:rsidR="00332012" w:rsidRPr="00F63211">
        <w:rPr>
          <w:rFonts w:hint="eastAsia"/>
          <w:sz w:val="24"/>
          <w:szCs w:val="24"/>
          <w:lang w:eastAsia="zh-CN"/>
        </w:rPr>
        <w:t>项目侧重于</w:t>
      </w:r>
      <w:r w:rsidRPr="00F63211">
        <w:rPr>
          <w:rFonts w:hint="eastAsia"/>
          <w:sz w:val="24"/>
          <w:szCs w:val="24"/>
          <w:lang w:eastAsia="zh-CN"/>
        </w:rPr>
        <w:t>鼓励将对生物多样性有利的活动纳入生产</w:t>
      </w:r>
      <w:r w:rsidR="00391E07" w:rsidRPr="00F63211">
        <w:rPr>
          <w:rFonts w:hint="eastAsia"/>
          <w:sz w:val="24"/>
          <w:szCs w:val="24"/>
          <w:lang w:eastAsia="zh-CN"/>
        </w:rPr>
        <w:t>实践</w:t>
      </w:r>
      <w:r w:rsidRPr="00F63211">
        <w:rPr>
          <w:rFonts w:hint="eastAsia"/>
          <w:sz w:val="24"/>
          <w:szCs w:val="24"/>
          <w:lang w:eastAsia="zh-CN"/>
        </w:rPr>
        <w:t>，并且一半以上</w:t>
      </w:r>
      <w:r w:rsidR="00332012" w:rsidRPr="00F63211">
        <w:rPr>
          <w:rFonts w:hint="eastAsia"/>
          <w:sz w:val="24"/>
          <w:szCs w:val="24"/>
          <w:lang w:eastAsia="zh-CN"/>
        </w:rPr>
        <w:t>有</w:t>
      </w:r>
      <w:r w:rsidRPr="00F63211">
        <w:rPr>
          <w:rFonts w:hint="eastAsia"/>
          <w:sz w:val="24"/>
          <w:szCs w:val="24"/>
          <w:lang w:eastAsia="zh-CN"/>
        </w:rPr>
        <w:t>生物多样性</w:t>
      </w:r>
      <w:r w:rsidR="00332012" w:rsidRPr="00F63211">
        <w:rPr>
          <w:rFonts w:hint="eastAsia"/>
          <w:sz w:val="24"/>
          <w:szCs w:val="24"/>
          <w:lang w:eastAsia="zh-CN"/>
        </w:rPr>
        <w:t>主流化</w:t>
      </w:r>
      <w:r w:rsidRPr="00F63211">
        <w:rPr>
          <w:rFonts w:hint="eastAsia"/>
          <w:sz w:val="24"/>
          <w:szCs w:val="24"/>
          <w:lang w:eastAsia="zh-CN"/>
        </w:rPr>
        <w:t>目标的项目</w:t>
      </w:r>
      <w:r w:rsidR="00391E07" w:rsidRPr="00F63211">
        <w:rPr>
          <w:rFonts w:hint="eastAsia"/>
          <w:sz w:val="24"/>
          <w:szCs w:val="24"/>
          <w:lang w:eastAsia="zh-CN"/>
        </w:rPr>
        <w:t>都在</w:t>
      </w:r>
      <w:r w:rsidR="00332012" w:rsidRPr="00F63211">
        <w:rPr>
          <w:rFonts w:hint="eastAsia"/>
          <w:sz w:val="24"/>
          <w:szCs w:val="24"/>
          <w:lang w:eastAsia="zh-CN"/>
        </w:rPr>
        <w:t>森林</w:t>
      </w:r>
      <w:r w:rsidRPr="00F63211">
        <w:rPr>
          <w:rFonts w:hint="eastAsia"/>
          <w:sz w:val="24"/>
          <w:szCs w:val="24"/>
          <w:lang w:eastAsia="zh-CN"/>
        </w:rPr>
        <w:t>和农业部门实施。</w:t>
      </w:r>
    </w:p>
    <w:p w14:paraId="6D0AFB2C" w14:textId="22BA39D2" w:rsidR="00391E07" w:rsidRPr="00F63211" w:rsidRDefault="00391E07" w:rsidP="00FF3B4A">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全球环境基金主流化项目的明确目的是</w:t>
      </w:r>
      <w:r w:rsidR="004567BE" w:rsidRPr="00F63211">
        <w:rPr>
          <w:rFonts w:hint="eastAsia"/>
          <w:sz w:val="24"/>
          <w:szCs w:val="24"/>
          <w:lang w:eastAsia="zh-CN"/>
        </w:rPr>
        <w:t>要</w:t>
      </w:r>
      <w:r w:rsidRPr="00F63211">
        <w:rPr>
          <w:rFonts w:hint="eastAsia"/>
          <w:sz w:val="24"/>
          <w:szCs w:val="24"/>
          <w:lang w:eastAsia="zh-CN"/>
        </w:rPr>
        <w:t>解决对生物多样性的公认威胁，以减轻其对具有全球重要性的生物多样性的影响。各种项目通过多种方法实现这一目标，其中包括扩大陆地景观管理</w:t>
      </w:r>
      <w:r w:rsidR="00F32530" w:rsidRPr="00F63211">
        <w:rPr>
          <w:rFonts w:hint="eastAsia"/>
          <w:sz w:val="24"/>
          <w:szCs w:val="24"/>
          <w:lang w:eastAsia="zh-CN"/>
        </w:rPr>
        <w:t>的</w:t>
      </w:r>
      <w:r w:rsidRPr="00F63211">
        <w:rPr>
          <w:rFonts w:hint="eastAsia"/>
          <w:sz w:val="24"/>
          <w:szCs w:val="24"/>
          <w:lang w:eastAsia="zh-CN"/>
        </w:rPr>
        <w:t>做法、农林业和可持续生产系统以及将脆弱的森林与保护区联系起来的生物连通性。实施战略是</w:t>
      </w:r>
      <w:r w:rsidR="00F32530" w:rsidRPr="00F63211">
        <w:rPr>
          <w:rFonts w:hint="eastAsia"/>
          <w:sz w:val="24"/>
          <w:szCs w:val="24"/>
          <w:lang w:eastAsia="zh-CN"/>
        </w:rPr>
        <w:t>采用综合</w:t>
      </w:r>
      <w:r w:rsidRPr="00F63211">
        <w:rPr>
          <w:rFonts w:hint="eastAsia"/>
          <w:sz w:val="24"/>
          <w:szCs w:val="24"/>
          <w:lang w:eastAsia="zh-CN"/>
        </w:rPr>
        <w:t>和多层面的</w:t>
      </w:r>
      <w:r w:rsidR="00F32530" w:rsidRPr="00F63211">
        <w:rPr>
          <w:rFonts w:hint="eastAsia"/>
          <w:sz w:val="24"/>
          <w:szCs w:val="24"/>
          <w:lang w:eastAsia="zh-CN"/>
        </w:rPr>
        <w:t>办法</w:t>
      </w:r>
      <w:r w:rsidRPr="00F63211">
        <w:rPr>
          <w:rFonts w:hint="eastAsia"/>
          <w:sz w:val="24"/>
          <w:szCs w:val="24"/>
          <w:lang w:eastAsia="zh-CN"/>
        </w:rPr>
        <w:t>。</w:t>
      </w:r>
    </w:p>
    <w:p w14:paraId="27182F85" w14:textId="5E62D9A4" w:rsidR="007E12F3" w:rsidRPr="00F63211" w:rsidRDefault="007E12F3"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这项评估指出，项目经验证实了全环基金在各种情况下将生物多样性纳入主流的变革模型理论，</w:t>
      </w:r>
      <w:r w:rsidR="008D69CA" w:rsidRPr="00F63211">
        <w:rPr>
          <w:rFonts w:hint="eastAsia"/>
          <w:sz w:val="24"/>
          <w:szCs w:val="24"/>
          <w:lang w:eastAsia="zh-CN"/>
        </w:rPr>
        <w:t>这</w:t>
      </w:r>
      <w:r w:rsidRPr="00F63211">
        <w:rPr>
          <w:rFonts w:hint="eastAsia"/>
          <w:sz w:val="24"/>
          <w:szCs w:val="24"/>
          <w:lang w:eastAsia="zh-CN"/>
        </w:rPr>
        <w:t>反映在</w:t>
      </w:r>
      <w:r w:rsidR="008D69CA" w:rsidRPr="00F63211">
        <w:rPr>
          <w:rFonts w:hint="eastAsia"/>
          <w:sz w:val="24"/>
          <w:szCs w:val="24"/>
          <w:lang w:eastAsia="zh-CN"/>
        </w:rPr>
        <w:t>各个</w:t>
      </w:r>
      <w:r w:rsidRPr="00F63211">
        <w:rPr>
          <w:rFonts w:hint="eastAsia"/>
          <w:sz w:val="24"/>
          <w:szCs w:val="24"/>
          <w:lang w:eastAsia="zh-CN"/>
        </w:rPr>
        <w:t>连续周期的</w:t>
      </w:r>
      <w:r w:rsidR="008D69CA" w:rsidRPr="00F63211">
        <w:rPr>
          <w:rFonts w:hint="eastAsia"/>
          <w:sz w:val="24"/>
          <w:szCs w:val="24"/>
          <w:lang w:eastAsia="zh-CN"/>
        </w:rPr>
        <w:t>项目</w:t>
      </w:r>
      <w:r w:rsidRPr="00F63211">
        <w:rPr>
          <w:rFonts w:hint="eastAsia"/>
          <w:sz w:val="24"/>
          <w:szCs w:val="24"/>
          <w:lang w:eastAsia="zh-CN"/>
        </w:rPr>
        <w:t>规划趋势中，该模型认识到主流化的动态和非线性</w:t>
      </w:r>
      <w:r w:rsidR="008D69CA" w:rsidRPr="00F63211">
        <w:rPr>
          <w:rFonts w:hint="eastAsia"/>
          <w:sz w:val="24"/>
          <w:szCs w:val="24"/>
          <w:lang w:eastAsia="zh-CN"/>
        </w:rPr>
        <w:t>进程</w:t>
      </w:r>
      <w:r w:rsidRPr="00F63211">
        <w:rPr>
          <w:rFonts w:hint="eastAsia"/>
          <w:sz w:val="24"/>
          <w:szCs w:val="24"/>
          <w:lang w:eastAsia="zh-CN"/>
        </w:rPr>
        <w:t>。</w:t>
      </w:r>
      <w:r w:rsidR="008D69CA" w:rsidRPr="00F63211">
        <w:rPr>
          <w:rFonts w:hint="eastAsia"/>
          <w:sz w:val="24"/>
          <w:szCs w:val="24"/>
          <w:lang w:eastAsia="zh-CN"/>
        </w:rPr>
        <w:t>不过</w:t>
      </w:r>
      <w:r w:rsidRPr="00F63211">
        <w:rPr>
          <w:rFonts w:hint="eastAsia"/>
          <w:sz w:val="24"/>
          <w:szCs w:val="24"/>
          <w:lang w:eastAsia="zh-CN"/>
        </w:rPr>
        <w:t>，</w:t>
      </w:r>
      <w:r w:rsidR="008D69CA" w:rsidRPr="00F63211">
        <w:rPr>
          <w:rFonts w:hint="eastAsia"/>
          <w:sz w:val="24"/>
          <w:szCs w:val="24"/>
          <w:lang w:eastAsia="zh-CN"/>
        </w:rPr>
        <w:t>该评估</w:t>
      </w:r>
      <w:r w:rsidRPr="00F63211">
        <w:rPr>
          <w:rFonts w:hint="eastAsia"/>
          <w:sz w:val="24"/>
          <w:szCs w:val="24"/>
          <w:lang w:eastAsia="zh-CN"/>
        </w:rPr>
        <w:t>指出，在项目执行中</w:t>
      </w:r>
      <w:r w:rsidR="00E95160" w:rsidRPr="00F63211">
        <w:rPr>
          <w:rFonts w:hint="eastAsia"/>
          <w:sz w:val="24"/>
          <w:szCs w:val="24"/>
          <w:lang w:eastAsia="zh-CN"/>
        </w:rPr>
        <w:t>，</w:t>
      </w:r>
      <w:r w:rsidR="008D69CA" w:rsidRPr="00F63211">
        <w:rPr>
          <w:rFonts w:hint="eastAsia"/>
          <w:sz w:val="24"/>
          <w:szCs w:val="24"/>
          <w:lang w:eastAsia="zh-CN"/>
        </w:rPr>
        <w:t>需要</w:t>
      </w:r>
      <w:r w:rsidRPr="00F63211">
        <w:rPr>
          <w:rFonts w:hint="eastAsia"/>
          <w:sz w:val="24"/>
          <w:szCs w:val="24"/>
          <w:lang w:eastAsia="zh-CN"/>
        </w:rPr>
        <w:t>更</w:t>
      </w:r>
      <w:r w:rsidR="008D69CA" w:rsidRPr="00F63211">
        <w:rPr>
          <w:rFonts w:hint="eastAsia"/>
          <w:sz w:val="24"/>
          <w:szCs w:val="24"/>
          <w:lang w:eastAsia="zh-CN"/>
        </w:rPr>
        <w:t>有</w:t>
      </w:r>
      <w:r w:rsidRPr="00F63211">
        <w:rPr>
          <w:rFonts w:hint="eastAsia"/>
          <w:sz w:val="24"/>
          <w:szCs w:val="24"/>
          <w:lang w:eastAsia="zh-CN"/>
        </w:rPr>
        <w:t>系统</w:t>
      </w:r>
      <w:r w:rsidR="008D69CA" w:rsidRPr="00F63211">
        <w:rPr>
          <w:rFonts w:hint="eastAsia"/>
          <w:sz w:val="24"/>
          <w:szCs w:val="24"/>
          <w:lang w:eastAsia="zh-CN"/>
        </w:rPr>
        <w:t>地运用</w:t>
      </w:r>
      <w:r w:rsidR="00E95160" w:rsidRPr="00F63211">
        <w:rPr>
          <w:rFonts w:hint="eastAsia"/>
          <w:sz w:val="24"/>
          <w:szCs w:val="24"/>
          <w:lang w:eastAsia="zh-CN"/>
        </w:rPr>
        <w:t>变革</w:t>
      </w:r>
      <w:r w:rsidRPr="00F63211">
        <w:rPr>
          <w:rFonts w:hint="eastAsia"/>
          <w:sz w:val="24"/>
          <w:szCs w:val="24"/>
          <w:lang w:eastAsia="zh-CN"/>
        </w:rPr>
        <w:t>理论。</w:t>
      </w:r>
    </w:p>
    <w:p w14:paraId="0041D52E" w14:textId="638A57CA" w:rsidR="00246779" w:rsidRPr="00F63211" w:rsidRDefault="00246779"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该评估报告指出，全球环境基金的生物多样性主流化项目组合非常重要，在执行全球的《生物多样性公约》及其成员国的任务</w:t>
      </w:r>
      <w:r w:rsidR="00887693" w:rsidRPr="00F63211">
        <w:rPr>
          <w:rFonts w:hint="eastAsia"/>
          <w:sz w:val="24"/>
          <w:szCs w:val="24"/>
          <w:lang w:eastAsia="zh-CN"/>
        </w:rPr>
        <w:t>方面</w:t>
      </w:r>
      <w:r w:rsidRPr="00F63211">
        <w:rPr>
          <w:rFonts w:hint="eastAsia"/>
          <w:sz w:val="24"/>
          <w:szCs w:val="24"/>
          <w:lang w:eastAsia="zh-CN"/>
        </w:rPr>
        <w:t>发挥了重要作用。全球环境基金在支持国家政策改革和规划框架方面发挥了作用，该框架促进了跨部门和领土的生物多样性考虑。在绩效方面，全环基金项目</w:t>
      </w:r>
      <w:r w:rsidR="00887693" w:rsidRPr="00F63211">
        <w:rPr>
          <w:rFonts w:hint="eastAsia"/>
          <w:sz w:val="24"/>
          <w:szCs w:val="24"/>
          <w:lang w:eastAsia="zh-CN"/>
        </w:rPr>
        <w:t>成功地将生物多样性保护提升到</w:t>
      </w:r>
      <w:r w:rsidR="00887693" w:rsidRPr="00F63211">
        <w:rPr>
          <w:rFonts w:ascii="Calibri" w:eastAsia="Times New Roman" w:hAnsi="Calibri" w:cs="Calibri"/>
          <w:sz w:val="24"/>
          <w:szCs w:val="24"/>
          <w:vertAlign w:val="superscript"/>
          <w:lang w:val="en"/>
        </w:rPr>
        <w:footnoteReference w:id="25"/>
      </w:r>
      <w:r w:rsidRPr="00F63211">
        <w:rPr>
          <w:rFonts w:hint="eastAsia"/>
          <w:sz w:val="24"/>
          <w:szCs w:val="24"/>
          <w:lang w:eastAsia="zh-CN"/>
        </w:rPr>
        <w:t>全球重要的生物多样性目标部门、机构</w:t>
      </w:r>
      <w:r w:rsidR="00887693" w:rsidRPr="00F63211">
        <w:rPr>
          <w:rFonts w:hint="eastAsia"/>
          <w:sz w:val="24"/>
          <w:szCs w:val="24"/>
          <w:lang w:eastAsia="zh-CN"/>
        </w:rPr>
        <w:t>、</w:t>
      </w:r>
      <w:r w:rsidRPr="00F63211">
        <w:rPr>
          <w:rFonts w:hint="eastAsia"/>
          <w:sz w:val="24"/>
          <w:szCs w:val="24"/>
          <w:lang w:eastAsia="zh-CN"/>
        </w:rPr>
        <w:t>政策和地区。该报告还强调</w:t>
      </w:r>
      <w:r w:rsidR="00887693" w:rsidRPr="00F63211">
        <w:rPr>
          <w:rFonts w:hint="eastAsia"/>
          <w:sz w:val="24"/>
          <w:szCs w:val="24"/>
          <w:lang w:eastAsia="zh-CN"/>
        </w:rPr>
        <w:t>，</w:t>
      </w:r>
      <w:r w:rsidRPr="00F63211">
        <w:rPr>
          <w:rFonts w:hint="eastAsia"/>
          <w:sz w:val="24"/>
          <w:szCs w:val="24"/>
          <w:lang w:eastAsia="zh-CN"/>
        </w:rPr>
        <w:t>较小规模的项目和国家合作伙伴如何成功地</w:t>
      </w:r>
      <w:r w:rsidR="00887693" w:rsidRPr="00F63211">
        <w:rPr>
          <w:rFonts w:hint="eastAsia"/>
          <w:sz w:val="24"/>
          <w:szCs w:val="24"/>
          <w:lang w:eastAsia="zh-CN"/>
        </w:rPr>
        <w:t>加</w:t>
      </w:r>
      <w:r w:rsidR="00887693" w:rsidRPr="00F63211">
        <w:rPr>
          <w:rFonts w:hint="eastAsia"/>
          <w:sz w:val="24"/>
          <w:szCs w:val="24"/>
          <w:lang w:eastAsia="zh-CN"/>
        </w:rPr>
        <w:lastRenderedPageBreak/>
        <w:t>快了</w:t>
      </w:r>
      <w:r w:rsidRPr="00F63211">
        <w:rPr>
          <w:rFonts w:hint="eastAsia"/>
          <w:sz w:val="24"/>
          <w:szCs w:val="24"/>
          <w:lang w:eastAsia="zh-CN"/>
        </w:rPr>
        <w:t>跨部门</w:t>
      </w:r>
      <w:r w:rsidR="00887693" w:rsidRPr="00F63211">
        <w:rPr>
          <w:rFonts w:hint="eastAsia"/>
          <w:sz w:val="24"/>
          <w:szCs w:val="24"/>
          <w:lang w:eastAsia="zh-CN"/>
        </w:rPr>
        <w:t>、</w:t>
      </w:r>
      <w:r w:rsidRPr="00F63211">
        <w:rPr>
          <w:rFonts w:hint="eastAsia"/>
          <w:sz w:val="24"/>
          <w:szCs w:val="24"/>
          <w:lang w:eastAsia="zh-CN"/>
        </w:rPr>
        <w:t>机构和地区的生物多样性主流化</w:t>
      </w:r>
      <w:r w:rsidR="00887693" w:rsidRPr="00F63211">
        <w:rPr>
          <w:rFonts w:ascii="Calibri" w:eastAsia="Times New Roman" w:hAnsi="Calibri" w:cs="Calibri"/>
          <w:sz w:val="24"/>
          <w:szCs w:val="24"/>
          <w:vertAlign w:val="superscript"/>
          <w:lang w:val="en"/>
        </w:rPr>
        <w:footnoteReference w:id="26"/>
      </w:r>
      <w:r w:rsidRPr="00F63211">
        <w:rPr>
          <w:rFonts w:hint="eastAsia"/>
          <w:sz w:val="24"/>
          <w:szCs w:val="24"/>
          <w:lang w:eastAsia="zh-CN"/>
        </w:rPr>
        <w:t>。主流化进程正在扩大规模和势头，并已开始影响</w:t>
      </w:r>
      <w:r w:rsidR="00887693" w:rsidRPr="00F63211">
        <w:rPr>
          <w:rFonts w:hint="eastAsia"/>
          <w:sz w:val="24"/>
          <w:szCs w:val="24"/>
          <w:lang w:eastAsia="zh-CN"/>
        </w:rPr>
        <w:t>到整个系统</w:t>
      </w:r>
      <w:r w:rsidRPr="00F63211">
        <w:rPr>
          <w:rFonts w:hint="eastAsia"/>
          <w:sz w:val="24"/>
          <w:szCs w:val="24"/>
          <w:lang w:eastAsia="zh-CN"/>
        </w:rPr>
        <w:t>。</w:t>
      </w:r>
    </w:p>
    <w:p w14:paraId="4D56D02D" w14:textId="2797F868" w:rsidR="00887693" w:rsidRPr="00F63211" w:rsidRDefault="00887693"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促进主流化的积极特征包括</w:t>
      </w:r>
      <w:r w:rsidR="00C13830" w:rsidRPr="00F63211">
        <w:rPr>
          <w:rFonts w:hint="eastAsia"/>
          <w:sz w:val="24"/>
          <w:szCs w:val="24"/>
          <w:lang w:eastAsia="zh-CN"/>
        </w:rPr>
        <w:t>存在各种</w:t>
      </w:r>
      <w:r w:rsidRPr="00F63211">
        <w:rPr>
          <w:rFonts w:hint="eastAsia"/>
          <w:sz w:val="24"/>
          <w:szCs w:val="24"/>
          <w:lang w:eastAsia="zh-CN"/>
        </w:rPr>
        <w:t>先决条件，</w:t>
      </w:r>
      <w:r w:rsidR="00C13830" w:rsidRPr="00F63211">
        <w:rPr>
          <w:rFonts w:hint="eastAsia"/>
          <w:sz w:val="24"/>
          <w:szCs w:val="24"/>
          <w:lang w:eastAsia="zh-CN"/>
        </w:rPr>
        <w:t>其中</w:t>
      </w:r>
      <w:r w:rsidRPr="00F63211">
        <w:rPr>
          <w:rFonts w:hint="eastAsia"/>
          <w:sz w:val="24"/>
          <w:szCs w:val="24"/>
          <w:lang w:eastAsia="zh-CN"/>
        </w:rPr>
        <w:t>包括</w:t>
      </w:r>
      <w:r w:rsidR="00C13830" w:rsidRPr="00F63211">
        <w:rPr>
          <w:rFonts w:hint="eastAsia"/>
          <w:sz w:val="24"/>
          <w:szCs w:val="24"/>
          <w:lang w:eastAsia="zh-CN"/>
        </w:rPr>
        <w:t>妥善制定</w:t>
      </w:r>
      <w:r w:rsidRPr="00F63211">
        <w:rPr>
          <w:rFonts w:hint="eastAsia"/>
          <w:sz w:val="24"/>
          <w:szCs w:val="24"/>
          <w:lang w:eastAsia="zh-CN"/>
        </w:rPr>
        <w:t>的生物多样性保护政策和监管框架</w:t>
      </w:r>
      <w:r w:rsidR="00C13830" w:rsidRPr="00F63211">
        <w:rPr>
          <w:rFonts w:hint="eastAsia"/>
          <w:sz w:val="24"/>
          <w:szCs w:val="24"/>
          <w:lang w:eastAsia="zh-CN"/>
        </w:rPr>
        <w:t>、</w:t>
      </w:r>
      <w:r w:rsidRPr="00F63211">
        <w:rPr>
          <w:rFonts w:hint="eastAsia"/>
          <w:sz w:val="24"/>
          <w:szCs w:val="24"/>
          <w:lang w:eastAsia="zh-CN"/>
        </w:rPr>
        <w:t>公认的</w:t>
      </w:r>
      <w:r w:rsidR="00C13830" w:rsidRPr="00F63211">
        <w:rPr>
          <w:rFonts w:hint="eastAsia"/>
          <w:sz w:val="24"/>
          <w:szCs w:val="24"/>
          <w:lang w:eastAsia="zh-CN"/>
        </w:rPr>
        <w:t>和</w:t>
      </w:r>
      <w:r w:rsidRPr="00F63211">
        <w:rPr>
          <w:rFonts w:hint="eastAsia"/>
          <w:sz w:val="24"/>
          <w:szCs w:val="24"/>
          <w:lang w:eastAsia="zh-CN"/>
        </w:rPr>
        <w:t>有能力的科学研究机构和专门知识以及有利的政治环境。在将生物多样性纳入主流方面取得的进展直接受到干预因素的影响，这些因素既与项目的执行绩效直接相关</w:t>
      </w:r>
      <w:r w:rsidR="00C13830" w:rsidRPr="00F63211">
        <w:rPr>
          <w:rFonts w:hint="eastAsia"/>
          <w:sz w:val="24"/>
          <w:szCs w:val="24"/>
          <w:lang w:eastAsia="zh-CN"/>
        </w:rPr>
        <w:t xml:space="preserve"> </w:t>
      </w:r>
      <w:r w:rsidRPr="00F63211">
        <w:rPr>
          <w:rFonts w:hint="eastAsia"/>
          <w:sz w:val="24"/>
          <w:szCs w:val="24"/>
          <w:lang w:eastAsia="zh-CN"/>
        </w:rPr>
        <w:t>-</w:t>
      </w:r>
      <w:r w:rsidR="00C13830" w:rsidRPr="00F63211">
        <w:rPr>
          <w:rFonts w:hint="eastAsia"/>
          <w:sz w:val="24"/>
          <w:szCs w:val="24"/>
          <w:lang w:eastAsia="zh-CN"/>
        </w:rPr>
        <w:t xml:space="preserve"> </w:t>
      </w:r>
      <w:r w:rsidRPr="00F63211">
        <w:rPr>
          <w:rFonts w:hint="eastAsia"/>
          <w:sz w:val="24"/>
          <w:szCs w:val="24"/>
          <w:lang w:eastAsia="zh-CN"/>
        </w:rPr>
        <w:t>效率</w:t>
      </w:r>
      <w:r w:rsidR="00C13830" w:rsidRPr="00F63211">
        <w:rPr>
          <w:rFonts w:hint="eastAsia"/>
          <w:sz w:val="24"/>
          <w:szCs w:val="24"/>
          <w:lang w:eastAsia="zh-CN"/>
        </w:rPr>
        <w:t>、</w:t>
      </w:r>
      <w:r w:rsidRPr="00F63211">
        <w:rPr>
          <w:rFonts w:hint="eastAsia"/>
          <w:sz w:val="24"/>
          <w:szCs w:val="24"/>
          <w:lang w:eastAsia="zh-CN"/>
        </w:rPr>
        <w:t>及时的产出交付</w:t>
      </w:r>
      <w:r w:rsidR="00C13830" w:rsidRPr="00F63211">
        <w:rPr>
          <w:rFonts w:hint="eastAsia"/>
          <w:sz w:val="24"/>
          <w:szCs w:val="24"/>
          <w:lang w:eastAsia="zh-CN"/>
        </w:rPr>
        <w:t>、</w:t>
      </w:r>
      <w:r w:rsidRPr="00F63211">
        <w:rPr>
          <w:rFonts w:hint="eastAsia"/>
          <w:sz w:val="24"/>
          <w:szCs w:val="24"/>
          <w:lang w:eastAsia="zh-CN"/>
        </w:rPr>
        <w:t>监测和适应性管理，也与项目的近期状况无关</w:t>
      </w:r>
      <w:r w:rsidR="00C13830" w:rsidRPr="00F63211">
        <w:rPr>
          <w:rFonts w:hint="eastAsia"/>
          <w:sz w:val="24"/>
          <w:szCs w:val="24"/>
          <w:lang w:eastAsia="zh-CN"/>
        </w:rPr>
        <w:t xml:space="preserve"> </w:t>
      </w:r>
      <w:r w:rsidRPr="00F63211">
        <w:rPr>
          <w:rFonts w:hint="eastAsia"/>
          <w:sz w:val="24"/>
          <w:szCs w:val="24"/>
          <w:lang w:eastAsia="zh-CN"/>
        </w:rPr>
        <w:t>-</w:t>
      </w:r>
      <w:r w:rsidR="00C13830" w:rsidRPr="00F63211">
        <w:rPr>
          <w:rFonts w:hint="eastAsia"/>
          <w:sz w:val="24"/>
          <w:szCs w:val="24"/>
          <w:lang w:eastAsia="zh-CN"/>
        </w:rPr>
        <w:t xml:space="preserve"> </w:t>
      </w:r>
      <w:r w:rsidRPr="00F63211">
        <w:rPr>
          <w:rFonts w:hint="eastAsia"/>
          <w:sz w:val="24"/>
          <w:szCs w:val="24"/>
          <w:lang w:eastAsia="zh-CN"/>
        </w:rPr>
        <w:t>国家能力和机构承诺</w:t>
      </w:r>
      <w:r w:rsidR="00C13830" w:rsidRPr="00F63211">
        <w:rPr>
          <w:rFonts w:hint="eastAsia"/>
          <w:sz w:val="24"/>
          <w:szCs w:val="24"/>
          <w:lang w:eastAsia="zh-CN"/>
        </w:rPr>
        <w:t>、</w:t>
      </w:r>
      <w:r w:rsidRPr="00F63211">
        <w:rPr>
          <w:rFonts w:hint="eastAsia"/>
          <w:sz w:val="24"/>
          <w:szCs w:val="24"/>
          <w:lang w:eastAsia="zh-CN"/>
        </w:rPr>
        <w:t>治理周期以及政治和政策条件。</w:t>
      </w:r>
    </w:p>
    <w:p w14:paraId="0C2185AD" w14:textId="320ECFE6" w:rsidR="00C13830" w:rsidRPr="00F63211" w:rsidRDefault="00C13830"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全环基金生物多样性主流化的项目组合已为法律环境、监管、治理和社会经济方面的额外条件做出了贡献，这些贡献超出了逐步增加的成本效益。这些措施包括基于多利益攸关方伙伴关系的创新方法，这些伙伴关系将基层组织与区域研究机构</w:t>
      </w:r>
      <w:r w:rsidR="007B7B89" w:rsidRPr="00F63211">
        <w:rPr>
          <w:rFonts w:hint="eastAsia"/>
          <w:sz w:val="24"/>
          <w:szCs w:val="24"/>
          <w:lang w:eastAsia="zh-CN"/>
        </w:rPr>
        <w:t>、</w:t>
      </w:r>
      <w:r w:rsidRPr="00F63211">
        <w:rPr>
          <w:rFonts w:hint="eastAsia"/>
          <w:sz w:val="24"/>
          <w:szCs w:val="24"/>
          <w:lang w:eastAsia="zh-CN"/>
        </w:rPr>
        <w:t>宣传平台和国家环境主管部门联系起来。</w:t>
      </w:r>
      <w:r w:rsidR="007B7B89" w:rsidRPr="00F63211">
        <w:rPr>
          <w:rFonts w:hint="eastAsia"/>
          <w:sz w:val="24"/>
          <w:szCs w:val="24"/>
          <w:lang w:eastAsia="zh-CN"/>
        </w:rPr>
        <w:t>不过</w:t>
      </w:r>
      <w:r w:rsidRPr="00F63211">
        <w:rPr>
          <w:rFonts w:hint="eastAsia"/>
          <w:sz w:val="24"/>
          <w:szCs w:val="24"/>
          <w:lang w:eastAsia="zh-CN"/>
        </w:rPr>
        <w:t>，</w:t>
      </w:r>
      <w:r w:rsidR="007B7B89" w:rsidRPr="00F63211">
        <w:rPr>
          <w:rFonts w:hint="eastAsia"/>
          <w:sz w:val="24"/>
          <w:szCs w:val="24"/>
          <w:lang w:eastAsia="zh-CN"/>
        </w:rPr>
        <w:t>这项</w:t>
      </w:r>
      <w:r w:rsidRPr="00F63211">
        <w:rPr>
          <w:rFonts w:hint="eastAsia"/>
          <w:sz w:val="24"/>
          <w:szCs w:val="24"/>
          <w:lang w:eastAsia="zh-CN"/>
        </w:rPr>
        <w:t>评估还提到获取</w:t>
      </w:r>
      <w:r w:rsidR="007B7B89" w:rsidRPr="00F63211">
        <w:rPr>
          <w:rFonts w:hint="eastAsia"/>
          <w:sz w:val="24"/>
          <w:szCs w:val="24"/>
          <w:lang w:eastAsia="zh-CN"/>
        </w:rPr>
        <w:t>额外条件</w:t>
      </w:r>
      <w:r w:rsidRPr="00F63211">
        <w:rPr>
          <w:rFonts w:hint="eastAsia"/>
          <w:sz w:val="24"/>
          <w:szCs w:val="24"/>
          <w:lang w:eastAsia="zh-CN"/>
        </w:rPr>
        <w:t>所面临的挑战，例如来自</w:t>
      </w:r>
      <w:r w:rsidR="007B7B89" w:rsidRPr="00F63211">
        <w:rPr>
          <w:rFonts w:hint="eastAsia"/>
          <w:sz w:val="24"/>
          <w:szCs w:val="24"/>
          <w:lang w:eastAsia="zh-CN"/>
        </w:rPr>
        <w:t>全环基金</w:t>
      </w:r>
      <w:r w:rsidRPr="00F63211">
        <w:rPr>
          <w:rFonts w:hint="eastAsia"/>
          <w:sz w:val="24"/>
          <w:szCs w:val="24"/>
          <w:lang w:eastAsia="zh-CN"/>
        </w:rPr>
        <w:t>支持的社会经济和环境影响。</w:t>
      </w:r>
    </w:p>
    <w:p w14:paraId="1A5E648B" w14:textId="6A2B0E95" w:rsidR="0050693C" w:rsidRPr="00F63211" w:rsidRDefault="00F768B0"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这份评估</w:t>
      </w:r>
      <w:r w:rsidR="0050693C" w:rsidRPr="00F63211">
        <w:rPr>
          <w:rFonts w:hint="eastAsia"/>
          <w:sz w:val="24"/>
          <w:szCs w:val="24"/>
          <w:lang w:eastAsia="zh-CN"/>
        </w:rPr>
        <w:t>指出，需要更加重视量化措施，特别是针对成果和影响的措施。</w:t>
      </w:r>
      <w:r w:rsidRPr="00F63211">
        <w:rPr>
          <w:rFonts w:hint="eastAsia"/>
          <w:sz w:val="24"/>
          <w:szCs w:val="24"/>
          <w:lang w:eastAsia="zh-CN"/>
        </w:rPr>
        <w:t>该</w:t>
      </w:r>
      <w:r w:rsidR="0050693C" w:rsidRPr="00F63211">
        <w:rPr>
          <w:rFonts w:hint="eastAsia"/>
          <w:sz w:val="24"/>
          <w:szCs w:val="24"/>
          <w:lang w:eastAsia="zh-CN"/>
        </w:rPr>
        <w:t>评估发现，</w:t>
      </w:r>
      <w:r w:rsidRPr="00F63211">
        <w:rPr>
          <w:rFonts w:hint="eastAsia"/>
          <w:sz w:val="24"/>
          <w:szCs w:val="24"/>
          <w:lang w:eastAsia="zh-CN"/>
        </w:rPr>
        <w:t>全环基金第七次增资</w:t>
      </w:r>
      <w:r w:rsidR="0050693C" w:rsidRPr="00F63211">
        <w:rPr>
          <w:rFonts w:hint="eastAsia"/>
          <w:sz w:val="24"/>
          <w:szCs w:val="24"/>
          <w:lang w:eastAsia="zh-CN"/>
        </w:rPr>
        <w:t>核心指标和次级指标是朝</w:t>
      </w:r>
      <w:r w:rsidRPr="00F63211">
        <w:rPr>
          <w:rFonts w:hint="eastAsia"/>
          <w:sz w:val="24"/>
          <w:szCs w:val="24"/>
          <w:lang w:eastAsia="zh-CN"/>
        </w:rPr>
        <w:t>向</w:t>
      </w:r>
      <w:r w:rsidR="0050693C" w:rsidRPr="00F63211">
        <w:rPr>
          <w:rFonts w:hint="eastAsia"/>
          <w:sz w:val="24"/>
          <w:szCs w:val="24"/>
          <w:lang w:eastAsia="zh-CN"/>
        </w:rPr>
        <w:t>正确方向迈出的一步，但不足以</w:t>
      </w:r>
      <w:r w:rsidRPr="00F63211">
        <w:rPr>
          <w:rFonts w:hint="eastAsia"/>
          <w:sz w:val="24"/>
          <w:szCs w:val="24"/>
          <w:lang w:eastAsia="zh-CN"/>
        </w:rPr>
        <w:t>取得</w:t>
      </w:r>
      <w:r w:rsidR="0050693C" w:rsidRPr="00F63211">
        <w:rPr>
          <w:rFonts w:hint="eastAsia"/>
          <w:sz w:val="24"/>
          <w:szCs w:val="24"/>
          <w:lang w:eastAsia="zh-CN"/>
        </w:rPr>
        <w:t>受</w:t>
      </w:r>
      <w:r w:rsidRPr="00F63211">
        <w:rPr>
          <w:rFonts w:hint="eastAsia"/>
          <w:sz w:val="24"/>
          <w:szCs w:val="24"/>
          <w:lang w:eastAsia="zh-CN"/>
        </w:rPr>
        <w:t>全环基金</w:t>
      </w:r>
      <w:r w:rsidR="0050693C" w:rsidRPr="00F63211">
        <w:rPr>
          <w:rFonts w:hint="eastAsia"/>
          <w:sz w:val="24"/>
          <w:szCs w:val="24"/>
          <w:lang w:eastAsia="zh-CN"/>
        </w:rPr>
        <w:t>干预</w:t>
      </w:r>
      <w:r w:rsidRPr="00F63211">
        <w:rPr>
          <w:rFonts w:hint="eastAsia"/>
          <w:sz w:val="24"/>
          <w:szCs w:val="24"/>
          <w:lang w:eastAsia="zh-CN"/>
        </w:rPr>
        <w:t>措施</w:t>
      </w:r>
      <w:r w:rsidR="0050693C" w:rsidRPr="00F63211">
        <w:rPr>
          <w:rFonts w:hint="eastAsia"/>
          <w:sz w:val="24"/>
          <w:szCs w:val="24"/>
          <w:lang w:eastAsia="zh-CN"/>
        </w:rPr>
        <w:t>影响的社会经济效益</w:t>
      </w:r>
      <w:r w:rsidRPr="00F63211">
        <w:rPr>
          <w:rFonts w:hint="eastAsia"/>
          <w:sz w:val="24"/>
          <w:szCs w:val="24"/>
          <w:lang w:eastAsia="zh-CN"/>
        </w:rPr>
        <w:t>、</w:t>
      </w:r>
      <w:r w:rsidR="0050693C" w:rsidRPr="00F63211">
        <w:rPr>
          <w:rFonts w:hint="eastAsia"/>
          <w:sz w:val="24"/>
          <w:szCs w:val="24"/>
          <w:lang w:eastAsia="zh-CN"/>
        </w:rPr>
        <w:t>资金流动以及政策和监管改革。</w:t>
      </w:r>
    </w:p>
    <w:p w14:paraId="10DB6204" w14:textId="3A9CF42F" w:rsidR="00F768B0" w:rsidRPr="00F63211" w:rsidRDefault="00F768B0"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这项评估提出三</w:t>
      </w:r>
      <w:r w:rsidR="00E63B78" w:rsidRPr="00F63211">
        <w:rPr>
          <w:rFonts w:hint="eastAsia"/>
          <w:sz w:val="24"/>
          <w:szCs w:val="24"/>
          <w:lang w:eastAsia="zh-CN"/>
        </w:rPr>
        <w:t>个</w:t>
      </w:r>
      <w:r w:rsidRPr="00F63211">
        <w:rPr>
          <w:rFonts w:hint="eastAsia"/>
          <w:sz w:val="24"/>
          <w:szCs w:val="24"/>
          <w:lang w:eastAsia="zh-CN"/>
        </w:rPr>
        <w:t>主要建议：（</w:t>
      </w:r>
      <w:r w:rsidRPr="00F63211">
        <w:rPr>
          <w:rFonts w:hint="eastAsia"/>
          <w:sz w:val="24"/>
          <w:szCs w:val="24"/>
          <w:lang w:eastAsia="zh-CN"/>
        </w:rPr>
        <w:t>1</w:t>
      </w:r>
      <w:r w:rsidRPr="00F63211">
        <w:rPr>
          <w:rFonts w:hint="eastAsia"/>
          <w:sz w:val="24"/>
          <w:szCs w:val="24"/>
          <w:lang w:eastAsia="zh-CN"/>
        </w:rPr>
        <w:t>）设计具有长远眼光和确保可持续性资源的主流化干预措施；（</w:t>
      </w:r>
      <w:r w:rsidRPr="00F63211">
        <w:rPr>
          <w:rFonts w:hint="eastAsia"/>
          <w:sz w:val="24"/>
          <w:szCs w:val="24"/>
          <w:lang w:eastAsia="zh-CN"/>
        </w:rPr>
        <w:t>2</w:t>
      </w:r>
      <w:r w:rsidRPr="00F63211">
        <w:rPr>
          <w:rFonts w:hint="eastAsia"/>
          <w:sz w:val="24"/>
          <w:szCs w:val="24"/>
          <w:lang w:eastAsia="zh-CN"/>
        </w:rPr>
        <w:t>）改善和加强监测与评估的设计和实施，以获取环境、社会经济、财务以及政策和监管成果，</w:t>
      </w:r>
      <w:r w:rsidR="00E63B78" w:rsidRPr="00F63211">
        <w:rPr>
          <w:rFonts w:hint="eastAsia"/>
          <w:sz w:val="24"/>
          <w:szCs w:val="24"/>
          <w:lang w:eastAsia="zh-CN"/>
        </w:rPr>
        <w:t>来</w:t>
      </w:r>
      <w:r w:rsidRPr="00F63211">
        <w:rPr>
          <w:rFonts w:hint="eastAsia"/>
          <w:sz w:val="24"/>
          <w:szCs w:val="24"/>
          <w:lang w:eastAsia="zh-CN"/>
        </w:rPr>
        <w:t>评估绩效、惠益和</w:t>
      </w:r>
      <w:r w:rsidR="00E63B78" w:rsidRPr="00F63211">
        <w:rPr>
          <w:rFonts w:hint="eastAsia"/>
          <w:sz w:val="24"/>
          <w:szCs w:val="24"/>
          <w:lang w:eastAsia="zh-CN"/>
        </w:rPr>
        <w:t>取舍</w:t>
      </w:r>
      <w:r w:rsidRPr="00F63211">
        <w:rPr>
          <w:rFonts w:hint="eastAsia"/>
          <w:sz w:val="24"/>
          <w:szCs w:val="24"/>
          <w:lang w:eastAsia="zh-CN"/>
        </w:rPr>
        <w:t>；</w:t>
      </w:r>
      <w:r w:rsidR="00E63B78" w:rsidRPr="00F63211">
        <w:rPr>
          <w:rFonts w:hint="eastAsia"/>
          <w:sz w:val="24"/>
          <w:szCs w:val="24"/>
          <w:lang w:eastAsia="zh-CN"/>
        </w:rPr>
        <w:t>进行</w:t>
      </w:r>
      <w:r w:rsidRPr="00F63211">
        <w:rPr>
          <w:rFonts w:hint="eastAsia"/>
          <w:sz w:val="24"/>
          <w:szCs w:val="24"/>
          <w:lang w:eastAsia="zh-CN"/>
        </w:rPr>
        <w:t>适应性管理</w:t>
      </w:r>
      <w:r w:rsidR="00E63B78" w:rsidRPr="00F63211">
        <w:rPr>
          <w:rFonts w:hint="eastAsia"/>
          <w:sz w:val="24"/>
          <w:szCs w:val="24"/>
          <w:lang w:eastAsia="zh-CN"/>
        </w:rPr>
        <w:t>；</w:t>
      </w:r>
      <w:r w:rsidRPr="00F63211">
        <w:rPr>
          <w:rFonts w:hint="eastAsia"/>
          <w:sz w:val="24"/>
          <w:szCs w:val="24"/>
          <w:lang w:eastAsia="zh-CN"/>
        </w:rPr>
        <w:t>（</w:t>
      </w:r>
      <w:r w:rsidRPr="00F63211">
        <w:rPr>
          <w:rFonts w:hint="eastAsia"/>
          <w:sz w:val="24"/>
          <w:szCs w:val="24"/>
          <w:lang w:eastAsia="zh-CN"/>
        </w:rPr>
        <w:t>3</w:t>
      </w:r>
      <w:r w:rsidRPr="00F63211">
        <w:rPr>
          <w:rFonts w:hint="eastAsia"/>
          <w:sz w:val="24"/>
          <w:szCs w:val="24"/>
          <w:lang w:eastAsia="zh-CN"/>
        </w:rPr>
        <w:t>）全球环境基金应继续利用其召集力来改进政策设计和</w:t>
      </w:r>
      <w:r w:rsidR="00E63B78" w:rsidRPr="00F63211">
        <w:rPr>
          <w:rFonts w:hint="eastAsia"/>
          <w:sz w:val="24"/>
          <w:szCs w:val="24"/>
          <w:lang w:eastAsia="zh-CN"/>
        </w:rPr>
        <w:t>进程</w:t>
      </w:r>
      <w:r w:rsidRPr="00F63211">
        <w:rPr>
          <w:rFonts w:hint="eastAsia"/>
          <w:sz w:val="24"/>
          <w:szCs w:val="24"/>
          <w:lang w:eastAsia="zh-CN"/>
        </w:rPr>
        <w:t>，并加强部际和部门间的合作，以</w:t>
      </w:r>
      <w:r w:rsidR="00E63B78" w:rsidRPr="00F63211">
        <w:rPr>
          <w:rFonts w:hint="eastAsia"/>
          <w:sz w:val="24"/>
          <w:szCs w:val="24"/>
          <w:lang w:eastAsia="zh-CN"/>
        </w:rPr>
        <w:t>便</w:t>
      </w:r>
      <w:r w:rsidRPr="00F63211">
        <w:rPr>
          <w:rFonts w:hint="eastAsia"/>
          <w:sz w:val="24"/>
          <w:szCs w:val="24"/>
          <w:lang w:eastAsia="zh-CN"/>
        </w:rPr>
        <w:t>将生物多样性纳入主流。</w:t>
      </w:r>
    </w:p>
    <w:p w14:paraId="3250925B" w14:textId="5079DE84" w:rsidR="00E63B78" w:rsidRPr="00F63211" w:rsidRDefault="00E63B78" w:rsidP="00DF0187">
      <w:pPr>
        <w:shd w:val="clear" w:color="auto" w:fill="FFFFFF"/>
        <w:spacing w:before="120" w:after="0" w:line="240" w:lineRule="auto"/>
        <w:rPr>
          <w:rFonts w:ascii="Calibri" w:eastAsia="DengXian" w:hAnsi="Calibri" w:cs="Calibri"/>
          <w:b/>
          <w:color w:val="222222"/>
          <w:sz w:val="24"/>
          <w:szCs w:val="24"/>
          <w:lang w:val="en" w:eastAsia="zh-CN"/>
        </w:rPr>
      </w:pPr>
      <w:r w:rsidRPr="00F63211">
        <w:rPr>
          <w:rFonts w:ascii="Times New Roman" w:hAnsi="Times New Roman" w:cs="Times New Roman"/>
          <w:b/>
          <w:sz w:val="24"/>
          <w:szCs w:val="24"/>
          <w:lang w:eastAsia="zh-CN"/>
        </w:rPr>
        <w:t>对综合办法试点（</w:t>
      </w:r>
      <w:r w:rsidRPr="00F63211">
        <w:rPr>
          <w:rFonts w:ascii="Times New Roman" w:hAnsi="Times New Roman" w:cs="Times New Roman"/>
          <w:b/>
          <w:sz w:val="24"/>
          <w:szCs w:val="24"/>
          <w:lang w:eastAsia="zh-CN"/>
        </w:rPr>
        <w:t>IAP</w:t>
      </w:r>
      <w:r w:rsidRPr="00F63211">
        <w:rPr>
          <w:rFonts w:ascii="Times New Roman" w:hAnsi="Times New Roman" w:cs="Times New Roman"/>
          <w:b/>
          <w:sz w:val="24"/>
          <w:szCs w:val="24"/>
          <w:lang w:eastAsia="zh-CN"/>
        </w:rPr>
        <w:t>）的形成性审查，</w:t>
      </w:r>
      <w:r w:rsidRPr="00F63211">
        <w:rPr>
          <w:rFonts w:ascii="Times New Roman" w:hAnsi="Times New Roman" w:cs="Times New Roman"/>
          <w:b/>
          <w:sz w:val="24"/>
          <w:szCs w:val="24"/>
          <w:lang w:eastAsia="zh-CN"/>
        </w:rPr>
        <w:t>2018</w:t>
      </w:r>
      <w:r w:rsidRPr="00F63211">
        <w:rPr>
          <w:rFonts w:ascii="Times New Roman" w:hAnsi="Times New Roman" w:cs="Times New Roman"/>
          <w:b/>
          <w:sz w:val="24"/>
          <w:szCs w:val="24"/>
          <w:lang w:eastAsia="zh-CN"/>
        </w:rPr>
        <w:t>年</w:t>
      </w:r>
      <w:r w:rsidRPr="00F63211">
        <w:rPr>
          <w:rFonts w:ascii="Times New Roman" w:hAnsi="Times New Roman" w:cs="Times New Roman"/>
          <w:b/>
          <w:sz w:val="24"/>
          <w:szCs w:val="24"/>
          <w:lang w:eastAsia="zh-CN"/>
        </w:rPr>
        <w:t>7</w:t>
      </w:r>
      <w:r w:rsidRPr="00F63211">
        <w:rPr>
          <w:rFonts w:ascii="Times New Roman" w:hAnsi="Times New Roman" w:cs="Times New Roman"/>
          <w:b/>
          <w:sz w:val="24"/>
          <w:szCs w:val="24"/>
          <w:lang w:eastAsia="zh-CN"/>
        </w:rPr>
        <w:t>月</w:t>
      </w:r>
      <w:r w:rsidRPr="00F63211">
        <w:rPr>
          <w:rFonts w:ascii="Times New Roman" w:eastAsia="Times New Roman" w:hAnsi="Times New Roman" w:cs="Times New Roman"/>
          <w:color w:val="222222"/>
          <w:sz w:val="24"/>
          <w:szCs w:val="24"/>
          <w:vertAlign w:val="superscript"/>
          <w:lang w:val="en"/>
        </w:rPr>
        <w:footnoteReference w:id="27"/>
      </w:r>
    </w:p>
    <w:p w14:paraId="138D43A4" w14:textId="701E704B" w:rsidR="00342877" w:rsidRPr="00F63211" w:rsidRDefault="00342877" w:rsidP="00FA726F">
      <w:pPr>
        <w:pStyle w:val="ListParagraph"/>
        <w:numPr>
          <w:ilvl w:val="0"/>
          <w:numId w:val="25"/>
        </w:numPr>
        <w:spacing w:before="240" w:after="240" w:line="240" w:lineRule="auto"/>
        <w:ind w:left="0" w:firstLine="0"/>
        <w:contextualSpacing w:val="0"/>
        <w:rPr>
          <w:rFonts w:ascii="Calibri" w:eastAsia="Times New Roman" w:hAnsi="Calibri" w:cs="Calibri"/>
          <w:color w:val="222222"/>
          <w:sz w:val="24"/>
          <w:szCs w:val="24"/>
          <w:lang w:val="en" w:eastAsia="zh-CN"/>
        </w:rPr>
      </w:pPr>
      <w:r w:rsidRPr="00F63211">
        <w:rPr>
          <w:rFonts w:hint="eastAsia"/>
          <w:sz w:val="24"/>
          <w:szCs w:val="24"/>
          <w:lang w:eastAsia="zh-CN"/>
        </w:rPr>
        <w:t>全环基金第六次增资期间对三个综合办法试点（</w:t>
      </w:r>
      <w:r w:rsidRPr="00F63211">
        <w:rPr>
          <w:rFonts w:hint="eastAsia"/>
          <w:sz w:val="24"/>
          <w:szCs w:val="24"/>
          <w:lang w:eastAsia="zh-CN"/>
        </w:rPr>
        <w:t>IAP</w:t>
      </w:r>
      <w:r w:rsidRPr="00F63211">
        <w:rPr>
          <w:rFonts w:hint="eastAsia"/>
          <w:sz w:val="24"/>
          <w:szCs w:val="24"/>
          <w:lang w:eastAsia="zh-CN"/>
        </w:rPr>
        <w:t>）进行</w:t>
      </w:r>
      <w:r w:rsidR="00D42E8E" w:rsidRPr="00F63211">
        <w:rPr>
          <w:rFonts w:hint="eastAsia"/>
          <w:sz w:val="24"/>
          <w:szCs w:val="24"/>
          <w:lang w:eastAsia="zh-CN"/>
        </w:rPr>
        <w:t>了</w:t>
      </w:r>
      <w:r w:rsidRPr="00F63211">
        <w:rPr>
          <w:rFonts w:hint="eastAsia"/>
          <w:sz w:val="24"/>
          <w:szCs w:val="24"/>
          <w:lang w:eastAsia="zh-CN"/>
        </w:rPr>
        <w:t>形成性审查</w:t>
      </w:r>
      <w:r w:rsidRPr="00F63211">
        <w:rPr>
          <w:rFonts w:hint="eastAsia"/>
          <w:sz w:val="24"/>
          <w:szCs w:val="24"/>
          <w:lang w:eastAsia="zh-CN"/>
        </w:rPr>
        <w:t xml:space="preserve"> - </w:t>
      </w:r>
      <w:r w:rsidRPr="00F63211">
        <w:rPr>
          <w:rFonts w:hint="eastAsia"/>
          <w:sz w:val="24"/>
          <w:szCs w:val="24"/>
          <w:lang w:eastAsia="zh-CN"/>
        </w:rPr>
        <w:t>可持续城市综合办法试点、在撒哈拉以南非洲地区促进粮食安全的可持续性和复原力</w:t>
      </w:r>
      <w:r w:rsidRPr="00F63211">
        <w:rPr>
          <w:rFonts w:hint="eastAsia"/>
          <w:sz w:val="24"/>
          <w:szCs w:val="24"/>
          <w:lang w:eastAsia="zh-CN"/>
        </w:rPr>
        <w:t xml:space="preserve"> </w:t>
      </w:r>
      <w:r w:rsidRPr="00F63211">
        <w:rPr>
          <w:sz w:val="24"/>
          <w:szCs w:val="24"/>
          <w:lang w:eastAsia="zh-CN"/>
        </w:rPr>
        <w:t>–</w:t>
      </w:r>
      <w:r w:rsidRPr="00F63211">
        <w:rPr>
          <w:rFonts w:hint="eastAsia"/>
          <w:sz w:val="24"/>
          <w:szCs w:val="24"/>
          <w:lang w:eastAsia="zh-CN"/>
        </w:rPr>
        <w:t xml:space="preserve"> </w:t>
      </w:r>
      <w:r w:rsidRPr="00F63211">
        <w:rPr>
          <w:rFonts w:hint="eastAsia"/>
          <w:sz w:val="24"/>
          <w:szCs w:val="24"/>
          <w:lang w:eastAsia="zh-CN"/>
        </w:rPr>
        <w:t>一项综合办法以及从商品供应链中消除森林砍伐，提供了经验教训，并强调了关键</w:t>
      </w:r>
      <w:r w:rsidR="00D42E8E" w:rsidRPr="00F63211">
        <w:rPr>
          <w:rFonts w:hint="eastAsia"/>
          <w:sz w:val="24"/>
          <w:szCs w:val="24"/>
          <w:lang w:eastAsia="zh-CN"/>
        </w:rPr>
        <w:t>性的</w:t>
      </w:r>
      <w:r w:rsidRPr="00F63211">
        <w:rPr>
          <w:rFonts w:hint="eastAsia"/>
          <w:sz w:val="24"/>
          <w:szCs w:val="24"/>
          <w:lang w:eastAsia="zh-CN"/>
        </w:rPr>
        <w:t>良好做法和需要改进的领域，为全球环境基金的未来方案提供信息。</w:t>
      </w:r>
    </w:p>
    <w:p w14:paraId="42AE86B4" w14:textId="7B5578C1" w:rsidR="00C11C3F" w:rsidRPr="00F63211" w:rsidRDefault="00C11C3F" w:rsidP="00FA726F">
      <w:pPr>
        <w:pStyle w:val="ListParagraph"/>
        <w:numPr>
          <w:ilvl w:val="0"/>
          <w:numId w:val="25"/>
        </w:numPr>
        <w:spacing w:before="240" w:after="240" w:line="240" w:lineRule="auto"/>
        <w:ind w:left="0" w:firstLine="0"/>
        <w:contextualSpacing w:val="0"/>
        <w:rPr>
          <w:rFonts w:ascii="Calibri" w:eastAsia="Times New Roman" w:hAnsi="Calibri" w:cs="Calibri"/>
          <w:color w:val="222222"/>
          <w:sz w:val="24"/>
          <w:szCs w:val="24"/>
          <w:lang w:val="en" w:eastAsia="zh-CN"/>
        </w:rPr>
      </w:pPr>
      <w:r w:rsidRPr="00F63211">
        <w:rPr>
          <w:rFonts w:hint="eastAsia"/>
          <w:sz w:val="24"/>
          <w:szCs w:val="24"/>
          <w:lang w:eastAsia="zh-CN"/>
        </w:rPr>
        <w:t>审查报告观察到通过适当的切入点与国家优先事项保持一致的积极事例，同时注意到该战略有可能使某些重点领域处于次要地位。审查发现，综合办法试点（</w:t>
      </w:r>
      <w:r w:rsidRPr="00F63211">
        <w:rPr>
          <w:rFonts w:hint="eastAsia"/>
          <w:sz w:val="24"/>
          <w:szCs w:val="24"/>
          <w:lang w:eastAsia="zh-CN"/>
        </w:rPr>
        <w:t>IAP</w:t>
      </w:r>
      <w:r w:rsidRPr="00F63211">
        <w:rPr>
          <w:rFonts w:hint="eastAsia"/>
          <w:sz w:val="24"/>
          <w:szCs w:val="24"/>
          <w:lang w:eastAsia="zh-CN"/>
        </w:rPr>
        <w:t>）子项目与政府的特定优先事项保持一致，而粮食安全综合办法试点显示了生物多样性、气候变化和土地退化之间的协同</w:t>
      </w:r>
      <w:r w:rsidR="0098541D" w:rsidRPr="00F63211">
        <w:rPr>
          <w:rFonts w:hint="eastAsia"/>
          <w:sz w:val="24"/>
          <w:szCs w:val="24"/>
          <w:lang w:eastAsia="zh-CN"/>
        </w:rPr>
        <w:t>增效作用</w:t>
      </w:r>
      <w:r w:rsidRPr="00F63211">
        <w:rPr>
          <w:rFonts w:hint="eastAsia"/>
          <w:sz w:val="24"/>
          <w:szCs w:val="24"/>
          <w:lang w:eastAsia="zh-CN"/>
        </w:rPr>
        <w:t>，</w:t>
      </w:r>
      <w:r w:rsidR="0098541D" w:rsidRPr="00F63211">
        <w:rPr>
          <w:rFonts w:hint="eastAsia"/>
          <w:sz w:val="24"/>
          <w:szCs w:val="24"/>
          <w:lang w:eastAsia="zh-CN"/>
        </w:rPr>
        <w:t>而</w:t>
      </w:r>
      <w:r w:rsidRPr="00F63211">
        <w:rPr>
          <w:rFonts w:hint="eastAsia"/>
          <w:sz w:val="24"/>
          <w:szCs w:val="24"/>
          <w:lang w:eastAsia="zh-CN"/>
        </w:rPr>
        <w:t>财政拨款显然有利于</w:t>
      </w:r>
      <w:r w:rsidR="0098541D" w:rsidRPr="00F63211">
        <w:rPr>
          <w:rFonts w:hint="eastAsia"/>
          <w:sz w:val="24"/>
          <w:szCs w:val="24"/>
          <w:lang w:eastAsia="zh-CN"/>
        </w:rPr>
        <w:t>作为</w:t>
      </w:r>
      <w:r w:rsidRPr="00F63211">
        <w:rPr>
          <w:rFonts w:hint="eastAsia"/>
          <w:sz w:val="24"/>
          <w:szCs w:val="24"/>
          <w:lang w:eastAsia="zh-CN"/>
        </w:rPr>
        <w:t>后者</w:t>
      </w:r>
      <w:r w:rsidR="0098541D" w:rsidRPr="00F63211">
        <w:rPr>
          <w:rFonts w:hint="eastAsia"/>
          <w:sz w:val="24"/>
          <w:szCs w:val="24"/>
          <w:lang w:eastAsia="zh-CN"/>
        </w:rPr>
        <w:t>的</w:t>
      </w:r>
      <w:r w:rsidRPr="00F63211">
        <w:rPr>
          <w:rFonts w:hint="eastAsia"/>
          <w:sz w:val="24"/>
          <w:szCs w:val="24"/>
          <w:lang w:eastAsia="zh-CN"/>
        </w:rPr>
        <w:t>切入点。该报告指出，在项目设计中</w:t>
      </w:r>
      <w:r w:rsidR="0098541D" w:rsidRPr="00F63211">
        <w:rPr>
          <w:rFonts w:hint="eastAsia"/>
          <w:sz w:val="24"/>
          <w:szCs w:val="24"/>
          <w:lang w:eastAsia="zh-CN"/>
        </w:rPr>
        <w:t>，</w:t>
      </w:r>
      <w:r w:rsidRPr="00F63211">
        <w:rPr>
          <w:rFonts w:hint="eastAsia"/>
          <w:sz w:val="24"/>
          <w:szCs w:val="24"/>
          <w:lang w:eastAsia="zh-CN"/>
        </w:rPr>
        <w:t>生物多样性和气候变化重点领域</w:t>
      </w:r>
      <w:r w:rsidR="0098541D" w:rsidRPr="00F63211">
        <w:rPr>
          <w:rFonts w:hint="eastAsia"/>
          <w:sz w:val="24"/>
          <w:szCs w:val="24"/>
          <w:lang w:eastAsia="zh-CN"/>
        </w:rPr>
        <w:t>更多地被作为事后思考的项目来考虑</w:t>
      </w:r>
      <w:r w:rsidRPr="00F63211">
        <w:rPr>
          <w:rFonts w:hint="eastAsia"/>
          <w:sz w:val="24"/>
          <w:szCs w:val="24"/>
          <w:lang w:eastAsia="zh-CN"/>
        </w:rPr>
        <w:t>。审查发现，城市</w:t>
      </w:r>
      <w:r w:rsidR="0098541D" w:rsidRPr="00F63211">
        <w:rPr>
          <w:rFonts w:hint="eastAsia"/>
          <w:sz w:val="24"/>
          <w:szCs w:val="24"/>
          <w:lang w:eastAsia="zh-CN"/>
        </w:rPr>
        <w:t>综合办法试点</w:t>
      </w:r>
      <w:r w:rsidRPr="00F63211">
        <w:rPr>
          <w:rFonts w:hint="eastAsia"/>
          <w:sz w:val="24"/>
          <w:szCs w:val="24"/>
          <w:lang w:eastAsia="zh-CN"/>
        </w:rPr>
        <w:t>的驱动因素将地方城市可持续发展的优先重点与缓解气候变化</w:t>
      </w:r>
      <w:r w:rsidR="0098541D" w:rsidRPr="00F63211">
        <w:rPr>
          <w:rFonts w:hint="eastAsia"/>
          <w:sz w:val="24"/>
          <w:szCs w:val="24"/>
          <w:lang w:eastAsia="zh-CN"/>
        </w:rPr>
        <w:t>、</w:t>
      </w:r>
      <w:r w:rsidRPr="00F63211">
        <w:rPr>
          <w:rFonts w:hint="eastAsia"/>
          <w:sz w:val="24"/>
          <w:szCs w:val="24"/>
          <w:lang w:eastAsia="zh-CN"/>
        </w:rPr>
        <w:t>生物多样性和化学</w:t>
      </w:r>
      <w:r w:rsidR="0098541D" w:rsidRPr="00F63211">
        <w:rPr>
          <w:rFonts w:hint="eastAsia"/>
          <w:sz w:val="24"/>
          <w:szCs w:val="24"/>
          <w:lang w:eastAsia="zh-CN"/>
        </w:rPr>
        <w:t>品</w:t>
      </w:r>
      <w:r w:rsidRPr="00F63211">
        <w:rPr>
          <w:rFonts w:hint="eastAsia"/>
          <w:sz w:val="24"/>
          <w:szCs w:val="24"/>
          <w:lang w:eastAsia="zh-CN"/>
        </w:rPr>
        <w:t>联系在一起。它提到，城市</w:t>
      </w:r>
      <w:r w:rsidR="0098541D" w:rsidRPr="00F63211">
        <w:rPr>
          <w:rFonts w:hint="eastAsia"/>
          <w:sz w:val="24"/>
          <w:szCs w:val="24"/>
          <w:lang w:eastAsia="zh-CN"/>
        </w:rPr>
        <w:t>综合办法试点</w:t>
      </w:r>
      <w:r w:rsidRPr="00F63211">
        <w:rPr>
          <w:rFonts w:hint="eastAsia"/>
          <w:sz w:val="24"/>
          <w:szCs w:val="24"/>
          <w:lang w:eastAsia="zh-CN"/>
        </w:rPr>
        <w:t>的最初目标是实现</w:t>
      </w:r>
      <w:r w:rsidRPr="00F63211">
        <w:rPr>
          <w:rFonts w:hint="eastAsia"/>
          <w:sz w:val="24"/>
          <w:szCs w:val="24"/>
          <w:lang w:eastAsia="zh-CN"/>
        </w:rPr>
        <w:lastRenderedPageBreak/>
        <w:t>更大的协同作用，但后来在设计中并未追求</w:t>
      </w:r>
      <w:r w:rsidR="0098541D" w:rsidRPr="00F63211">
        <w:rPr>
          <w:rFonts w:hint="eastAsia"/>
          <w:sz w:val="24"/>
          <w:szCs w:val="24"/>
          <w:lang w:eastAsia="zh-CN"/>
        </w:rPr>
        <w:t>这一目标</w:t>
      </w:r>
      <w:r w:rsidRPr="00F63211">
        <w:rPr>
          <w:rFonts w:hint="eastAsia"/>
          <w:sz w:val="24"/>
          <w:szCs w:val="24"/>
          <w:lang w:eastAsia="zh-CN"/>
        </w:rPr>
        <w:t>。根据审查</w:t>
      </w:r>
      <w:r w:rsidR="0098541D" w:rsidRPr="00F63211">
        <w:rPr>
          <w:rFonts w:hint="eastAsia"/>
          <w:sz w:val="24"/>
          <w:szCs w:val="24"/>
          <w:lang w:eastAsia="zh-CN"/>
        </w:rPr>
        <w:t>结果</w:t>
      </w:r>
      <w:r w:rsidRPr="00F63211">
        <w:rPr>
          <w:rFonts w:hint="eastAsia"/>
          <w:sz w:val="24"/>
          <w:szCs w:val="24"/>
          <w:lang w:eastAsia="zh-CN"/>
        </w:rPr>
        <w:t>，通过对生物多样性和气候变化重点领域的干预以及对可持续森林管理的支持，解决了商品供应链中砍伐森林的问题。</w:t>
      </w:r>
    </w:p>
    <w:p w14:paraId="190681B2" w14:textId="48511D37" w:rsidR="00015E5A" w:rsidRPr="00F63211" w:rsidRDefault="0016643F" w:rsidP="00FA726F">
      <w:pPr>
        <w:pStyle w:val="ListParagraph"/>
        <w:numPr>
          <w:ilvl w:val="0"/>
          <w:numId w:val="25"/>
        </w:numPr>
        <w:spacing w:before="240" w:after="240" w:line="240" w:lineRule="auto"/>
        <w:ind w:left="0" w:firstLine="0"/>
        <w:contextualSpacing w:val="0"/>
        <w:rPr>
          <w:rFonts w:ascii="Calibri" w:eastAsia="Times New Roman" w:hAnsi="Calibri" w:cs="Calibri"/>
          <w:color w:val="222222"/>
          <w:sz w:val="24"/>
          <w:szCs w:val="24"/>
          <w:lang w:val="en" w:eastAsia="zh-CN"/>
        </w:rPr>
      </w:pPr>
      <w:r w:rsidRPr="00F63211">
        <w:rPr>
          <w:rFonts w:hint="eastAsia"/>
          <w:sz w:val="24"/>
          <w:szCs w:val="24"/>
          <w:lang w:eastAsia="zh-CN"/>
        </w:rPr>
        <w:t>该</w:t>
      </w:r>
      <w:r w:rsidR="00015E5A" w:rsidRPr="00F63211">
        <w:rPr>
          <w:rFonts w:hint="eastAsia"/>
          <w:sz w:val="24"/>
          <w:szCs w:val="24"/>
          <w:lang w:eastAsia="zh-CN"/>
        </w:rPr>
        <w:t>审查强调指出，通过综合办法试点（</w:t>
      </w:r>
      <w:r w:rsidR="00015E5A" w:rsidRPr="00F63211">
        <w:rPr>
          <w:rFonts w:ascii="Calibri" w:eastAsia="Times New Roman" w:hAnsi="Calibri" w:cs="Calibri"/>
          <w:color w:val="222222"/>
          <w:sz w:val="24"/>
          <w:szCs w:val="24"/>
          <w:lang w:val="en" w:eastAsia="zh-CN"/>
        </w:rPr>
        <w:t>IAP</w:t>
      </w:r>
      <w:r w:rsidR="00015E5A" w:rsidRPr="00F63211">
        <w:rPr>
          <w:rFonts w:hint="eastAsia"/>
          <w:sz w:val="24"/>
          <w:szCs w:val="24"/>
          <w:lang w:eastAsia="zh-CN"/>
        </w:rPr>
        <w:t>）解决环境退化主要驱动因素的综合方案规划能够实现多项公约目标，并能使参与国解决本国环境优先事项。该报告指出，</w:t>
      </w:r>
      <w:r w:rsidRPr="00F63211">
        <w:rPr>
          <w:rFonts w:hint="eastAsia"/>
          <w:sz w:val="24"/>
          <w:szCs w:val="24"/>
          <w:lang w:eastAsia="zh-CN"/>
        </w:rPr>
        <w:t>综合办法试点</w:t>
      </w:r>
      <w:r w:rsidR="00015E5A" w:rsidRPr="00F63211">
        <w:rPr>
          <w:rFonts w:hint="eastAsia"/>
          <w:sz w:val="24"/>
          <w:szCs w:val="24"/>
          <w:lang w:eastAsia="zh-CN"/>
        </w:rPr>
        <w:t>的所有子项目都对</w:t>
      </w:r>
      <w:r w:rsidRPr="00F63211">
        <w:rPr>
          <w:rFonts w:hint="eastAsia"/>
          <w:sz w:val="24"/>
          <w:szCs w:val="24"/>
          <w:lang w:eastAsia="zh-CN"/>
        </w:rPr>
        <w:t>全环基金第六次增资指导意见</w:t>
      </w:r>
      <w:r w:rsidR="00015E5A" w:rsidRPr="00F63211">
        <w:rPr>
          <w:rFonts w:hint="eastAsia"/>
          <w:sz w:val="24"/>
          <w:szCs w:val="24"/>
          <w:lang w:eastAsia="zh-CN"/>
        </w:rPr>
        <w:t>提到的多边环境协议和公约决定</w:t>
      </w:r>
      <w:r w:rsidRPr="00F63211">
        <w:rPr>
          <w:rFonts w:hint="eastAsia"/>
          <w:sz w:val="24"/>
          <w:szCs w:val="24"/>
          <w:lang w:eastAsia="zh-CN"/>
        </w:rPr>
        <w:t>作出</w:t>
      </w:r>
      <w:r w:rsidR="00015E5A" w:rsidRPr="00F63211">
        <w:rPr>
          <w:rFonts w:hint="eastAsia"/>
          <w:sz w:val="24"/>
          <w:szCs w:val="24"/>
          <w:lang w:eastAsia="zh-CN"/>
        </w:rPr>
        <w:t>回应。这些举措主要是为了支持生物多样性</w:t>
      </w:r>
      <w:r w:rsidRPr="00F63211">
        <w:rPr>
          <w:rFonts w:hint="eastAsia"/>
          <w:sz w:val="24"/>
          <w:szCs w:val="24"/>
          <w:lang w:eastAsia="zh-CN"/>
        </w:rPr>
        <w:t>、</w:t>
      </w:r>
      <w:r w:rsidR="00015E5A" w:rsidRPr="00F63211">
        <w:rPr>
          <w:rFonts w:hint="eastAsia"/>
          <w:sz w:val="24"/>
          <w:szCs w:val="24"/>
          <w:lang w:eastAsia="zh-CN"/>
        </w:rPr>
        <w:t>土地退化</w:t>
      </w:r>
      <w:r w:rsidRPr="00F63211">
        <w:rPr>
          <w:rFonts w:hint="eastAsia"/>
          <w:sz w:val="24"/>
          <w:szCs w:val="24"/>
          <w:lang w:eastAsia="zh-CN"/>
        </w:rPr>
        <w:t>、</w:t>
      </w:r>
      <w:r w:rsidR="00015E5A" w:rsidRPr="00F63211">
        <w:rPr>
          <w:rFonts w:hint="eastAsia"/>
          <w:sz w:val="24"/>
          <w:szCs w:val="24"/>
          <w:lang w:eastAsia="zh-CN"/>
        </w:rPr>
        <w:t>可持续森林管理和适应气候变化。审查强调指出，尽管</w:t>
      </w:r>
      <w:r w:rsidRPr="00F63211">
        <w:rPr>
          <w:rFonts w:hint="eastAsia"/>
          <w:sz w:val="24"/>
          <w:szCs w:val="24"/>
          <w:lang w:eastAsia="zh-CN"/>
        </w:rPr>
        <w:t>综合办法试点</w:t>
      </w:r>
      <w:r w:rsidR="00015E5A" w:rsidRPr="00F63211">
        <w:rPr>
          <w:rFonts w:hint="eastAsia"/>
          <w:sz w:val="24"/>
          <w:szCs w:val="24"/>
          <w:lang w:eastAsia="zh-CN"/>
        </w:rPr>
        <w:t>可以在</w:t>
      </w:r>
      <w:r w:rsidRPr="00F63211">
        <w:rPr>
          <w:rFonts w:hint="eastAsia"/>
          <w:sz w:val="24"/>
          <w:szCs w:val="24"/>
          <w:lang w:eastAsia="zh-CN"/>
        </w:rPr>
        <w:t>各</w:t>
      </w:r>
      <w:r w:rsidR="00015E5A" w:rsidRPr="00F63211">
        <w:rPr>
          <w:rFonts w:hint="eastAsia"/>
          <w:sz w:val="24"/>
          <w:szCs w:val="24"/>
          <w:lang w:eastAsia="zh-CN"/>
        </w:rPr>
        <w:t>重点领域</w:t>
      </w:r>
      <w:r w:rsidRPr="00F63211">
        <w:rPr>
          <w:rFonts w:hint="eastAsia"/>
          <w:sz w:val="24"/>
          <w:szCs w:val="24"/>
          <w:lang w:eastAsia="zh-CN"/>
        </w:rPr>
        <w:t>作出</w:t>
      </w:r>
      <w:r w:rsidR="00015E5A" w:rsidRPr="00F63211">
        <w:rPr>
          <w:rFonts w:hint="eastAsia"/>
          <w:sz w:val="24"/>
          <w:szCs w:val="24"/>
          <w:lang w:eastAsia="zh-CN"/>
        </w:rPr>
        <w:t>回应，但每项公约都有不同的要求和任务，因此发生了某些目标</w:t>
      </w:r>
      <w:r w:rsidR="004B34F9" w:rsidRPr="00F63211">
        <w:rPr>
          <w:rFonts w:hint="eastAsia"/>
          <w:sz w:val="24"/>
          <w:szCs w:val="24"/>
          <w:lang w:eastAsia="zh-CN"/>
        </w:rPr>
        <w:t>遭到低估和排除的情况</w:t>
      </w:r>
      <w:r w:rsidR="00015E5A" w:rsidRPr="00F63211">
        <w:rPr>
          <w:rFonts w:hint="eastAsia"/>
          <w:sz w:val="24"/>
          <w:szCs w:val="24"/>
          <w:lang w:eastAsia="zh-CN"/>
        </w:rPr>
        <w:t>，错过了重点领域更强整合的机会。此外，根据审查，国家环境优先事项</w:t>
      </w:r>
      <w:r w:rsidR="004B34F9" w:rsidRPr="00F63211">
        <w:rPr>
          <w:rFonts w:hint="eastAsia"/>
          <w:sz w:val="24"/>
          <w:szCs w:val="24"/>
          <w:lang w:eastAsia="zh-CN"/>
        </w:rPr>
        <w:t>与各项方案</w:t>
      </w:r>
      <w:r w:rsidR="00015E5A" w:rsidRPr="00F63211">
        <w:rPr>
          <w:rFonts w:hint="eastAsia"/>
          <w:sz w:val="24"/>
          <w:szCs w:val="24"/>
          <w:lang w:eastAsia="zh-CN"/>
        </w:rPr>
        <w:t>相一致的程度有助于通过适当切入点增加国家一级计划</w:t>
      </w:r>
      <w:r w:rsidR="004B34F9" w:rsidRPr="00F63211">
        <w:rPr>
          <w:rFonts w:hint="eastAsia"/>
          <w:sz w:val="24"/>
          <w:szCs w:val="24"/>
          <w:lang w:eastAsia="zh-CN"/>
        </w:rPr>
        <w:t>的实施</w:t>
      </w:r>
      <w:r w:rsidR="00015E5A" w:rsidRPr="00F63211">
        <w:rPr>
          <w:rFonts w:hint="eastAsia"/>
          <w:sz w:val="24"/>
          <w:szCs w:val="24"/>
          <w:lang w:eastAsia="zh-CN"/>
        </w:rPr>
        <w:t>。报告指出，全球环境基金在满足公约要求的同时，确保</w:t>
      </w:r>
      <w:r w:rsidR="004B34F9" w:rsidRPr="00F63211">
        <w:rPr>
          <w:rFonts w:hint="eastAsia"/>
          <w:sz w:val="24"/>
          <w:szCs w:val="24"/>
          <w:lang w:eastAsia="zh-CN"/>
        </w:rPr>
        <w:t>综合办法试点与</w:t>
      </w:r>
      <w:r w:rsidR="00015E5A" w:rsidRPr="00F63211">
        <w:rPr>
          <w:rFonts w:hint="eastAsia"/>
          <w:sz w:val="24"/>
          <w:szCs w:val="24"/>
          <w:lang w:eastAsia="zh-CN"/>
        </w:rPr>
        <w:t>参与国</w:t>
      </w:r>
      <w:r w:rsidR="00593929" w:rsidRPr="00F63211">
        <w:rPr>
          <w:rFonts w:hint="eastAsia"/>
          <w:sz w:val="24"/>
          <w:szCs w:val="24"/>
          <w:lang w:eastAsia="zh-CN"/>
        </w:rPr>
        <w:t>密切相关</w:t>
      </w:r>
      <w:r w:rsidR="00015E5A" w:rsidRPr="00F63211">
        <w:rPr>
          <w:rFonts w:hint="eastAsia"/>
          <w:sz w:val="24"/>
          <w:szCs w:val="24"/>
          <w:lang w:eastAsia="zh-CN"/>
        </w:rPr>
        <w:t>。</w:t>
      </w:r>
    </w:p>
    <w:p w14:paraId="18FAA076" w14:textId="4ABBC31E" w:rsidR="00593929" w:rsidRPr="00F63211" w:rsidRDefault="00593929" w:rsidP="00593929">
      <w:pPr>
        <w:jc w:val="center"/>
        <w:rPr>
          <w:b/>
          <w:sz w:val="24"/>
          <w:szCs w:val="24"/>
          <w:lang w:eastAsia="zh-CN"/>
        </w:rPr>
      </w:pPr>
      <w:r w:rsidRPr="00F63211">
        <w:rPr>
          <w:rFonts w:hint="eastAsia"/>
          <w:b/>
          <w:sz w:val="24"/>
          <w:szCs w:val="24"/>
          <w:lang w:eastAsia="zh-CN"/>
        </w:rPr>
        <w:t>评估全球环境基金对转型</w:t>
      </w:r>
      <w:r w:rsidR="00A7293F" w:rsidRPr="00F63211">
        <w:rPr>
          <w:rFonts w:hint="eastAsia"/>
          <w:b/>
          <w:sz w:val="24"/>
          <w:szCs w:val="24"/>
          <w:lang w:eastAsia="zh-CN"/>
        </w:rPr>
        <w:t>变革</w:t>
      </w:r>
      <w:r w:rsidRPr="00F63211">
        <w:rPr>
          <w:rFonts w:hint="eastAsia"/>
          <w:b/>
          <w:sz w:val="24"/>
          <w:szCs w:val="24"/>
          <w:lang w:eastAsia="zh-CN"/>
        </w:rPr>
        <w:t>的支持</w:t>
      </w:r>
      <w:r w:rsidRPr="00F63211">
        <w:rPr>
          <w:sz w:val="24"/>
          <w:szCs w:val="24"/>
          <w:vertAlign w:val="superscript"/>
        </w:rPr>
        <w:footnoteReference w:id="28"/>
      </w:r>
    </w:p>
    <w:p w14:paraId="7ACD8B88" w14:textId="2310A4EE" w:rsidR="00593929" w:rsidRPr="00F63211" w:rsidRDefault="00593929"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支持转型变革是全球环境基金的战略</w:t>
      </w:r>
      <w:r w:rsidR="00A7293F" w:rsidRPr="00F63211">
        <w:rPr>
          <w:rFonts w:hint="eastAsia"/>
          <w:sz w:val="24"/>
          <w:szCs w:val="24"/>
          <w:lang w:eastAsia="zh-CN"/>
        </w:rPr>
        <w:t>优先事项</w:t>
      </w:r>
      <w:r w:rsidRPr="00F63211">
        <w:rPr>
          <w:rFonts w:hint="eastAsia"/>
          <w:sz w:val="24"/>
          <w:szCs w:val="24"/>
          <w:lang w:eastAsia="zh-CN"/>
        </w:rPr>
        <w:t>之一，包括全球环境基金的生物多样性重点领域。该</w:t>
      </w:r>
      <w:r w:rsidR="00A7293F" w:rsidRPr="00F63211">
        <w:rPr>
          <w:rFonts w:hint="eastAsia"/>
          <w:sz w:val="24"/>
          <w:szCs w:val="24"/>
          <w:lang w:eastAsia="zh-CN"/>
        </w:rPr>
        <w:t>评估</w:t>
      </w:r>
      <w:r w:rsidRPr="00F63211">
        <w:rPr>
          <w:rFonts w:hint="eastAsia"/>
          <w:sz w:val="24"/>
          <w:szCs w:val="24"/>
          <w:lang w:eastAsia="zh-CN"/>
        </w:rPr>
        <w:t>审查了全球环境基金在促进</w:t>
      </w:r>
      <w:r w:rsidR="00A7293F" w:rsidRPr="00F63211">
        <w:rPr>
          <w:rFonts w:hint="eastAsia"/>
          <w:sz w:val="24"/>
          <w:szCs w:val="24"/>
          <w:lang w:eastAsia="zh-CN"/>
        </w:rPr>
        <w:t>转型</w:t>
      </w:r>
      <w:r w:rsidRPr="00F63211">
        <w:rPr>
          <w:rFonts w:hint="eastAsia"/>
          <w:sz w:val="24"/>
          <w:szCs w:val="24"/>
          <w:lang w:eastAsia="zh-CN"/>
        </w:rPr>
        <w:t>变革中的经验并确定了促成因素</w:t>
      </w:r>
      <w:r w:rsidR="00A7293F" w:rsidRPr="00F63211">
        <w:rPr>
          <w:rFonts w:hint="eastAsia"/>
          <w:sz w:val="24"/>
          <w:szCs w:val="24"/>
          <w:lang w:eastAsia="zh-CN"/>
        </w:rPr>
        <w:t>，</w:t>
      </w:r>
      <w:r w:rsidRPr="00F63211">
        <w:rPr>
          <w:rFonts w:hint="eastAsia"/>
          <w:sz w:val="24"/>
          <w:szCs w:val="24"/>
          <w:lang w:eastAsia="zh-CN"/>
        </w:rPr>
        <w:t>目的是传播调查结果，以供学习，并帮助全球环境基金和合作伙伴组织提前评估项目和</w:t>
      </w:r>
      <w:r w:rsidR="00A7293F" w:rsidRPr="00F63211">
        <w:rPr>
          <w:rFonts w:hint="eastAsia"/>
          <w:sz w:val="24"/>
          <w:szCs w:val="24"/>
          <w:lang w:eastAsia="zh-CN"/>
        </w:rPr>
        <w:t>方案</w:t>
      </w:r>
      <w:r w:rsidRPr="00F63211">
        <w:rPr>
          <w:rFonts w:hint="eastAsia"/>
          <w:sz w:val="24"/>
          <w:szCs w:val="24"/>
          <w:lang w:eastAsia="zh-CN"/>
        </w:rPr>
        <w:t>概念，以确定它们支持其转型变革的可能性</w:t>
      </w:r>
      <w:r w:rsidR="008D789D" w:rsidRPr="00F63211">
        <w:rPr>
          <w:rFonts w:hint="eastAsia"/>
          <w:sz w:val="24"/>
          <w:szCs w:val="24"/>
          <w:lang w:eastAsia="zh-CN"/>
        </w:rPr>
        <w:t>和</w:t>
      </w:r>
      <w:r w:rsidRPr="00F63211">
        <w:rPr>
          <w:rFonts w:hint="eastAsia"/>
          <w:sz w:val="24"/>
          <w:szCs w:val="24"/>
          <w:lang w:eastAsia="zh-CN"/>
        </w:rPr>
        <w:t>加强其设计</w:t>
      </w:r>
      <w:r w:rsidR="00A7293F" w:rsidRPr="00F63211">
        <w:rPr>
          <w:rFonts w:hint="eastAsia"/>
          <w:sz w:val="24"/>
          <w:szCs w:val="24"/>
          <w:lang w:eastAsia="zh-CN"/>
        </w:rPr>
        <w:t>的办法</w:t>
      </w:r>
      <w:r w:rsidRPr="00F63211">
        <w:rPr>
          <w:rFonts w:hint="eastAsia"/>
          <w:sz w:val="24"/>
          <w:szCs w:val="24"/>
          <w:lang w:eastAsia="zh-CN"/>
        </w:rPr>
        <w:t>。</w:t>
      </w:r>
    </w:p>
    <w:p w14:paraId="509404BE" w14:textId="00BF208D" w:rsidR="008D789D" w:rsidRPr="00F63211" w:rsidRDefault="008D789D"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评估是基于已完成项目的</w:t>
      </w:r>
      <w:r w:rsidR="00440052" w:rsidRPr="00F63211">
        <w:rPr>
          <w:rFonts w:hint="eastAsia"/>
          <w:sz w:val="24"/>
          <w:szCs w:val="24"/>
          <w:lang w:eastAsia="zh-CN"/>
        </w:rPr>
        <w:t>专用</w:t>
      </w:r>
      <w:r w:rsidRPr="00F63211">
        <w:rPr>
          <w:rFonts w:hint="eastAsia"/>
          <w:sz w:val="24"/>
          <w:szCs w:val="24"/>
          <w:lang w:eastAsia="zh-CN"/>
        </w:rPr>
        <w:t>样本进行的，这些样本经过筛选以符合</w:t>
      </w:r>
      <w:r w:rsidR="00440052" w:rsidRPr="00F63211">
        <w:rPr>
          <w:rFonts w:hint="eastAsia"/>
          <w:sz w:val="24"/>
          <w:szCs w:val="24"/>
          <w:lang w:eastAsia="zh-CN"/>
        </w:rPr>
        <w:t>转型</w:t>
      </w:r>
      <w:r w:rsidRPr="00F63211">
        <w:rPr>
          <w:rFonts w:hint="eastAsia"/>
          <w:sz w:val="24"/>
          <w:szCs w:val="24"/>
          <w:lang w:eastAsia="zh-CN"/>
        </w:rPr>
        <w:t>变革的标准</w:t>
      </w:r>
      <w:r w:rsidR="00440052" w:rsidRPr="00F63211">
        <w:rPr>
          <w:rFonts w:ascii="Calibri" w:eastAsia="Times New Roman" w:hAnsi="Calibri" w:cs="Calibri"/>
          <w:sz w:val="24"/>
          <w:szCs w:val="24"/>
          <w:vertAlign w:val="superscript"/>
          <w:lang w:val="en"/>
        </w:rPr>
        <w:footnoteReference w:id="29"/>
      </w:r>
      <w:r w:rsidRPr="00F63211">
        <w:rPr>
          <w:rFonts w:hint="eastAsia"/>
          <w:sz w:val="24"/>
          <w:szCs w:val="24"/>
          <w:lang w:eastAsia="zh-CN"/>
        </w:rPr>
        <w:t>，并通过独立的项目级别评估进行验证。在全球环境基金机构提名的最初</w:t>
      </w:r>
      <w:r w:rsidRPr="00F63211">
        <w:rPr>
          <w:rFonts w:hint="eastAsia"/>
          <w:sz w:val="24"/>
          <w:szCs w:val="24"/>
          <w:lang w:eastAsia="zh-CN"/>
        </w:rPr>
        <w:t>156</w:t>
      </w:r>
      <w:r w:rsidR="00440052" w:rsidRPr="00F63211">
        <w:rPr>
          <w:rFonts w:hint="eastAsia"/>
          <w:sz w:val="24"/>
          <w:szCs w:val="24"/>
          <w:lang w:eastAsia="zh-CN"/>
        </w:rPr>
        <w:t>个项目中，考虑到</w:t>
      </w:r>
      <w:r w:rsidRPr="00F63211">
        <w:rPr>
          <w:rFonts w:hint="eastAsia"/>
          <w:sz w:val="24"/>
          <w:szCs w:val="24"/>
          <w:lang w:eastAsia="zh-CN"/>
        </w:rPr>
        <w:t>重点</w:t>
      </w:r>
      <w:r w:rsidR="00440052" w:rsidRPr="00F63211">
        <w:rPr>
          <w:rFonts w:hint="eastAsia"/>
          <w:sz w:val="24"/>
          <w:szCs w:val="24"/>
          <w:lang w:eastAsia="zh-CN"/>
        </w:rPr>
        <w:t>、</w:t>
      </w:r>
      <w:r w:rsidRPr="00F63211">
        <w:rPr>
          <w:rFonts w:hint="eastAsia"/>
          <w:sz w:val="24"/>
          <w:szCs w:val="24"/>
          <w:lang w:eastAsia="zh-CN"/>
        </w:rPr>
        <w:t>区域分布和机构的多样性，选择了</w:t>
      </w:r>
      <w:r w:rsidRPr="00F63211">
        <w:rPr>
          <w:rFonts w:hint="eastAsia"/>
          <w:sz w:val="24"/>
          <w:szCs w:val="24"/>
          <w:lang w:eastAsia="zh-CN"/>
        </w:rPr>
        <w:t>8</w:t>
      </w:r>
      <w:r w:rsidRPr="00F63211">
        <w:rPr>
          <w:rFonts w:hint="eastAsia"/>
          <w:sz w:val="24"/>
          <w:szCs w:val="24"/>
          <w:lang w:eastAsia="zh-CN"/>
        </w:rPr>
        <w:t>个</w:t>
      </w:r>
      <w:r w:rsidR="00440052" w:rsidRPr="00F63211">
        <w:rPr>
          <w:rFonts w:hint="eastAsia"/>
          <w:sz w:val="24"/>
          <w:szCs w:val="24"/>
          <w:lang w:eastAsia="zh-CN"/>
        </w:rPr>
        <w:t>示范性</w:t>
      </w:r>
      <w:r w:rsidRPr="00F63211">
        <w:rPr>
          <w:rFonts w:hint="eastAsia"/>
          <w:sz w:val="24"/>
          <w:szCs w:val="24"/>
          <w:lang w:eastAsia="zh-CN"/>
        </w:rPr>
        <w:t>案例。最终样本包括四个由生物多样性重点领域</w:t>
      </w:r>
      <w:r w:rsidR="00440052" w:rsidRPr="00F63211">
        <w:rPr>
          <w:rFonts w:hint="eastAsia"/>
          <w:sz w:val="24"/>
          <w:szCs w:val="24"/>
          <w:lang w:eastAsia="zh-CN"/>
        </w:rPr>
        <w:t>供资</w:t>
      </w:r>
      <w:r w:rsidRPr="00F63211">
        <w:rPr>
          <w:rFonts w:hint="eastAsia"/>
          <w:sz w:val="24"/>
          <w:szCs w:val="24"/>
          <w:lang w:eastAsia="zh-CN"/>
        </w:rPr>
        <w:t>的案例：三江平原湿地保护项目（中国）</w:t>
      </w:r>
      <w:r w:rsidR="00440052" w:rsidRPr="00F63211">
        <w:rPr>
          <w:rFonts w:hint="eastAsia"/>
          <w:sz w:val="24"/>
          <w:szCs w:val="24"/>
          <w:lang w:eastAsia="zh-CN"/>
        </w:rPr>
        <w:t>、</w:t>
      </w:r>
      <w:r w:rsidRPr="00F63211">
        <w:rPr>
          <w:rFonts w:hint="eastAsia"/>
          <w:sz w:val="24"/>
          <w:szCs w:val="24"/>
          <w:lang w:eastAsia="zh-CN"/>
        </w:rPr>
        <w:t>加强纳米比亚保护区系统</w:t>
      </w:r>
      <w:r w:rsidR="00440052" w:rsidRPr="00F63211">
        <w:rPr>
          <w:rFonts w:hint="eastAsia"/>
          <w:sz w:val="24"/>
          <w:szCs w:val="24"/>
          <w:lang w:eastAsia="zh-CN"/>
        </w:rPr>
        <w:t>、</w:t>
      </w:r>
      <w:r w:rsidRPr="00F63211">
        <w:rPr>
          <w:rFonts w:hint="eastAsia"/>
          <w:sz w:val="24"/>
          <w:szCs w:val="24"/>
          <w:lang w:eastAsia="zh-CN"/>
        </w:rPr>
        <w:t>亚马逊地区保护区</w:t>
      </w:r>
      <w:r w:rsidR="00440052" w:rsidRPr="00F63211">
        <w:rPr>
          <w:rFonts w:hint="eastAsia"/>
          <w:sz w:val="24"/>
          <w:szCs w:val="24"/>
          <w:lang w:eastAsia="zh-CN"/>
        </w:rPr>
        <w:t>方案</w:t>
      </w:r>
      <w:r w:rsidRPr="00F63211">
        <w:rPr>
          <w:rFonts w:hint="eastAsia"/>
          <w:sz w:val="24"/>
          <w:szCs w:val="24"/>
          <w:lang w:eastAsia="zh-CN"/>
        </w:rPr>
        <w:t>第一阶段（</w:t>
      </w:r>
      <w:r w:rsidRPr="00F63211">
        <w:rPr>
          <w:rFonts w:hint="eastAsia"/>
          <w:sz w:val="24"/>
          <w:szCs w:val="24"/>
          <w:lang w:eastAsia="zh-CN"/>
        </w:rPr>
        <w:t>ARPA-I</w:t>
      </w:r>
      <w:r w:rsidRPr="00F63211">
        <w:rPr>
          <w:rFonts w:hint="eastAsia"/>
          <w:sz w:val="24"/>
          <w:szCs w:val="24"/>
          <w:lang w:eastAsia="zh-CN"/>
        </w:rPr>
        <w:t>）（巴西）和促进多瑙河</w:t>
      </w:r>
      <w:r w:rsidR="00536B3F" w:rsidRPr="00F63211">
        <w:rPr>
          <w:rFonts w:hint="eastAsia"/>
          <w:sz w:val="24"/>
          <w:szCs w:val="24"/>
          <w:lang w:eastAsia="zh-CN"/>
        </w:rPr>
        <w:t>流域</w:t>
      </w:r>
      <w:r w:rsidRPr="00F63211">
        <w:rPr>
          <w:rFonts w:hint="eastAsia"/>
          <w:sz w:val="24"/>
          <w:szCs w:val="24"/>
          <w:lang w:eastAsia="zh-CN"/>
        </w:rPr>
        <w:t>（</w:t>
      </w:r>
      <w:r w:rsidR="00536B3F" w:rsidRPr="00F63211">
        <w:rPr>
          <w:rFonts w:hint="eastAsia"/>
          <w:sz w:val="24"/>
          <w:szCs w:val="24"/>
          <w:lang w:eastAsia="zh-CN"/>
        </w:rPr>
        <w:t>保加利亚、</w:t>
      </w:r>
      <w:r w:rsidRPr="00F63211">
        <w:rPr>
          <w:rFonts w:hint="eastAsia"/>
          <w:sz w:val="24"/>
          <w:szCs w:val="24"/>
          <w:lang w:eastAsia="zh-CN"/>
        </w:rPr>
        <w:t>罗马尼亚）的环境服务和相关可持续</w:t>
      </w:r>
      <w:r w:rsidR="00536B3F" w:rsidRPr="00F63211">
        <w:rPr>
          <w:rFonts w:hint="eastAsia"/>
          <w:sz w:val="24"/>
          <w:szCs w:val="24"/>
          <w:lang w:eastAsia="zh-CN"/>
        </w:rPr>
        <w:t>供资</w:t>
      </w:r>
      <w:r w:rsidR="00702365" w:rsidRPr="00F63211">
        <w:rPr>
          <w:rFonts w:hint="eastAsia"/>
          <w:sz w:val="24"/>
          <w:szCs w:val="24"/>
          <w:lang w:eastAsia="zh-CN"/>
        </w:rPr>
        <w:t>机制</w:t>
      </w:r>
      <w:r w:rsidRPr="00F63211">
        <w:rPr>
          <w:rFonts w:hint="eastAsia"/>
          <w:sz w:val="24"/>
          <w:szCs w:val="24"/>
          <w:lang w:eastAsia="zh-CN"/>
        </w:rPr>
        <w:t>的付款。</w:t>
      </w:r>
    </w:p>
    <w:p w14:paraId="3F506903" w14:textId="6AA2C11A" w:rsidR="00702365" w:rsidRPr="00F63211" w:rsidRDefault="00702365"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该评估确定了若干与生物多样性干预措施有关的促成转型变革的要素。首先，实现转型变革的干预措施</w:t>
      </w:r>
      <w:r w:rsidR="003345A3" w:rsidRPr="00F63211">
        <w:rPr>
          <w:rFonts w:hint="eastAsia"/>
          <w:sz w:val="24"/>
          <w:szCs w:val="24"/>
          <w:lang w:eastAsia="zh-CN"/>
        </w:rPr>
        <w:t>都</w:t>
      </w:r>
      <w:r w:rsidRPr="00F63211">
        <w:rPr>
          <w:rFonts w:hint="eastAsia"/>
          <w:sz w:val="24"/>
          <w:szCs w:val="24"/>
          <w:lang w:eastAsia="zh-CN"/>
        </w:rPr>
        <w:t>雄心勃勃，其目标是</w:t>
      </w:r>
      <w:r w:rsidR="000B1B4A" w:rsidRPr="00F63211">
        <w:rPr>
          <w:rFonts w:hint="eastAsia"/>
          <w:sz w:val="24"/>
          <w:szCs w:val="24"/>
          <w:lang w:eastAsia="zh-CN"/>
        </w:rPr>
        <w:t>作出</w:t>
      </w:r>
      <w:r w:rsidRPr="00F63211">
        <w:rPr>
          <w:rFonts w:hint="eastAsia"/>
          <w:sz w:val="24"/>
          <w:szCs w:val="24"/>
          <w:lang w:eastAsia="zh-CN"/>
        </w:rPr>
        <w:t>根本性</w:t>
      </w:r>
      <w:r w:rsidR="000B1B4A" w:rsidRPr="00F63211">
        <w:rPr>
          <w:rFonts w:hint="eastAsia"/>
          <w:sz w:val="24"/>
          <w:szCs w:val="24"/>
          <w:lang w:eastAsia="zh-CN"/>
        </w:rPr>
        <w:t>改变，</w:t>
      </w:r>
      <w:r w:rsidRPr="00F63211">
        <w:rPr>
          <w:rFonts w:hint="eastAsia"/>
          <w:sz w:val="24"/>
          <w:szCs w:val="24"/>
          <w:lang w:eastAsia="zh-CN"/>
        </w:rPr>
        <w:t>以应对市场扭曲或系统瓶颈，这</w:t>
      </w:r>
      <w:r w:rsidR="000B1B4A" w:rsidRPr="00F63211">
        <w:rPr>
          <w:rFonts w:hint="eastAsia"/>
          <w:sz w:val="24"/>
          <w:szCs w:val="24"/>
          <w:lang w:eastAsia="zh-CN"/>
        </w:rPr>
        <w:t>些都</w:t>
      </w:r>
      <w:r w:rsidRPr="00F63211">
        <w:rPr>
          <w:rFonts w:hint="eastAsia"/>
          <w:sz w:val="24"/>
          <w:szCs w:val="24"/>
          <w:lang w:eastAsia="zh-CN"/>
        </w:rPr>
        <w:t>是引起全球环境关注的环境问题的根本原因。第二，政策环境</w:t>
      </w:r>
      <w:r w:rsidR="003345A3" w:rsidRPr="00F63211">
        <w:rPr>
          <w:rFonts w:hint="eastAsia"/>
          <w:sz w:val="24"/>
          <w:szCs w:val="24"/>
          <w:lang w:eastAsia="zh-CN"/>
        </w:rPr>
        <w:t>是否适当</w:t>
      </w:r>
      <w:r w:rsidRPr="00F63211">
        <w:rPr>
          <w:rFonts w:hint="eastAsia"/>
          <w:sz w:val="24"/>
          <w:szCs w:val="24"/>
          <w:lang w:eastAsia="zh-CN"/>
        </w:rPr>
        <w:t>对所有转型干预措施所推动的改革的深度和规模</w:t>
      </w:r>
      <w:r w:rsidR="003345A3" w:rsidRPr="00F63211">
        <w:rPr>
          <w:rFonts w:hint="eastAsia"/>
          <w:sz w:val="24"/>
          <w:szCs w:val="24"/>
          <w:lang w:eastAsia="zh-CN"/>
        </w:rPr>
        <w:t>都</w:t>
      </w:r>
      <w:r w:rsidRPr="00F63211">
        <w:rPr>
          <w:rFonts w:hint="eastAsia"/>
          <w:sz w:val="24"/>
          <w:szCs w:val="24"/>
          <w:lang w:eastAsia="zh-CN"/>
        </w:rPr>
        <w:t>有重要影响。第三，实现转型的干预措施通过整合政府预算系统或利用市场力量和主要</w:t>
      </w:r>
      <w:r w:rsidR="003345A3" w:rsidRPr="00F63211">
        <w:rPr>
          <w:rFonts w:hint="eastAsia"/>
          <w:sz w:val="24"/>
          <w:szCs w:val="24"/>
          <w:lang w:eastAsia="zh-CN"/>
        </w:rPr>
        <w:t>利益攸关方</w:t>
      </w:r>
      <w:r w:rsidRPr="00F63211">
        <w:rPr>
          <w:rFonts w:hint="eastAsia"/>
          <w:sz w:val="24"/>
          <w:szCs w:val="24"/>
          <w:lang w:eastAsia="zh-CN"/>
        </w:rPr>
        <w:t>的经济利益，建立财务可持续性的机制。第四，实现</w:t>
      </w:r>
      <w:r w:rsidR="003345A3" w:rsidRPr="00F63211">
        <w:rPr>
          <w:rFonts w:hint="eastAsia"/>
          <w:sz w:val="24"/>
          <w:szCs w:val="24"/>
          <w:lang w:eastAsia="zh-CN"/>
        </w:rPr>
        <w:t>转型</w:t>
      </w:r>
      <w:r w:rsidRPr="00F63211">
        <w:rPr>
          <w:rFonts w:hint="eastAsia"/>
          <w:sz w:val="24"/>
          <w:szCs w:val="24"/>
          <w:lang w:eastAsia="zh-CN"/>
        </w:rPr>
        <w:t>变革的干预措施的另一个共同特征是，它们都有良好的项目设计质量</w:t>
      </w:r>
      <w:r w:rsidR="003345A3" w:rsidRPr="00F63211">
        <w:rPr>
          <w:rFonts w:hint="eastAsia"/>
          <w:sz w:val="24"/>
          <w:szCs w:val="24"/>
          <w:lang w:eastAsia="zh-CN"/>
        </w:rPr>
        <w:t>、全环基金</w:t>
      </w:r>
      <w:r w:rsidRPr="00F63211">
        <w:rPr>
          <w:rFonts w:hint="eastAsia"/>
          <w:sz w:val="24"/>
          <w:szCs w:val="24"/>
          <w:lang w:eastAsia="zh-CN"/>
        </w:rPr>
        <w:t>的监督以及</w:t>
      </w:r>
      <w:r w:rsidR="003345A3" w:rsidRPr="00F63211">
        <w:rPr>
          <w:rFonts w:hint="eastAsia"/>
          <w:sz w:val="24"/>
          <w:szCs w:val="24"/>
          <w:lang w:eastAsia="zh-CN"/>
        </w:rPr>
        <w:t>有效的</w:t>
      </w:r>
      <w:r w:rsidRPr="00F63211">
        <w:rPr>
          <w:rFonts w:hint="eastAsia"/>
          <w:sz w:val="24"/>
          <w:szCs w:val="24"/>
          <w:lang w:eastAsia="zh-CN"/>
        </w:rPr>
        <w:t>实施和执行。一些影响质量的显着特征包括</w:t>
      </w:r>
      <w:r w:rsidR="003345A3" w:rsidRPr="00F63211">
        <w:rPr>
          <w:rFonts w:hint="eastAsia"/>
          <w:sz w:val="24"/>
          <w:szCs w:val="24"/>
          <w:lang w:eastAsia="zh-CN"/>
        </w:rPr>
        <w:t>进行</w:t>
      </w:r>
      <w:r w:rsidRPr="00F63211">
        <w:rPr>
          <w:rFonts w:hint="eastAsia"/>
          <w:sz w:val="24"/>
          <w:szCs w:val="24"/>
          <w:lang w:eastAsia="zh-CN"/>
        </w:rPr>
        <w:t>全面的</w:t>
      </w:r>
      <w:r w:rsidR="003345A3" w:rsidRPr="00F63211">
        <w:rPr>
          <w:rFonts w:hint="eastAsia"/>
          <w:sz w:val="24"/>
          <w:szCs w:val="24"/>
          <w:lang w:eastAsia="zh-CN"/>
        </w:rPr>
        <w:t>评判性评估</w:t>
      </w:r>
      <w:r w:rsidRPr="00F63211">
        <w:rPr>
          <w:rFonts w:hint="eastAsia"/>
          <w:sz w:val="24"/>
          <w:szCs w:val="24"/>
          <w:lang w:eastAsia="zh-CN"/>
        </w:rPr>
        <w:t>，找出要解决的障碍；针对所有已确定障碍</w:t>
      </w:r>
      <w:r w:rsidR="003345A3" w:rsidRPr="00F63211">
        <w:rPr>
          <w:rFonts w:hint="eastAsia"/>
          <w:sz w:val="24"/>
          <w:szCs w:val="24"/>
          <w:lang w:eastAsia="zh-CN"/>
        </w:rPr>
        <w:t>进行全面</w:t>
      </w:r>
      <w:r w:rsidRPr="00F63211">
        <w:rPr>
          <w:rFonts w:hint="eastAsia"/>
          <w:sz w:val="24"/>
          <w:szCs w:val="24"/>
          <w:lang w:eastAsia="zh-CN"/>
        </w:rPr>
        <w:t>设计</w:t>
      </w:r>
      <w:r w:rsidR="003345A3" w:rsidRPr="00F63211">
        <w:rPr>
          <w:rFonts w:hint="eastAsia"/>
          <w:sz w:val="24"/>
          <w:szCs w:val="24"/>
          <w:lang w:eastAsia="zh-CN"/>
        </w:rPr>
        <w:t>修改</w:t>
      </w:r>
      <w:r w:rsidRPr="00F63211">
        <w:rPr>
          <w:rFonts w:hint="eastAsia"/>
          <w:sz w:val="24"/>
          <w:szCs w:val="24"/>
          <w:lang w:eastAsia="zh-CN"/>
        </w:rPr>
        <w:t>；拥有项目目标并</w:t>
      </w:r>
      <w:r w:rsidRPr="00F63211">
        <w:rPr>
          <w:rFonts w:hint="eastAsia"/>
          <w:sz w:val="24"/>
          <w:szCs w:val="24"/>
          <w:lang w:eastAsia="zh-CN"/>
        </w:rPr>
        <w:lastRenderedPageBreak/>
        <w:t>愿意学习</w:t>
      </w:r>
      <w:r w:rsidR="003345A3" w:rsidRPr="00F63211">
        <w:rPr>
          <w:rFonts w:hint="eastAsia"/>
          <w:sz w:val="24"/>
          <w:szCs w:val="24"/>
          <w:lang w:eastAsia="zh-CN"/>
        </w:rPr>
        <w:t>、</w:t>
      </w:r>
      <w:r w:rsidRPr="00F63211">
        <w:rPr>
          <w:rFonts w:hint="eastAsia"/>
          <w:sz w:val="24"/>
          <w:szCs w:val="24"/>
          <w:lang w:eastAsia="zh-CN"/>
        </w:rPr>
        <w:t>调整和调整设计</w:t>
      </w:r>
      <w:r w:rsidR="003345A3" w:rsidRPr="00F63211">
        <w:rPr>
          <w:rFonts w:hint="eastAsia"/>
          <w:sz w:val="24"/>
          <w:szCs w:val="24"/>
          <w:lang w:eastAsia="zh-CN"/>
        </w:rPr>
        <w:t>、</w:t>
      </w:r>
      <w:r w:rsidRPr="00F63211">
        <w:rPr>
          <w:rFonts w:hint="eastAsia"/>
          <w:sz w:val="24"/>
          <w:szCs w:val="24"/>
          <w:lang w:eastAsia="zh-CN"/>
        </w:rPr>
        <w:t>范围和管理以确保成功所需的强大执行机构的早期参与。最后，可以通过不同规模的项目来实现转型。</w:t>
      </w:r>
    </w:p>
    <w:p w14:paraId="4FFDCB70" w14:textId="5F88E6A7" w:rsidR="009145F6" w:rsidRPr="00F63211" w:rsidRDefault="009145F6" w:rsidP="009145F6">
      <w:pPr>
        <w:jc w:val="center"/>
        <w:rPr>
          <w:b/>
          <w:sz w:val="24"/>
          <w:szCs w:val="24"/>
          <w:lang w:eastAsia="zh-CN"/>
        </w:rPr>
      </w:pPr>
      <w:r w:rsidRPr="00F63211">
        <w:rPr>
          <w:rFonts w:hint="eastAsia"/>
          <w:b/>
          <w:sz w:val="24"/>
          <w:szCs w:val="24"/>
          <w:lang w:eastAsia="zh-CN"/>
        </w:rPr>
        <w:t>评估全环基金</w:t>
      </w:r>
      <w:r w:rsidRPr="00F63211">
        <w:rPr>
          <w:rFonts w:hint="eastAsia"/>
          <w:b/>
          <w:sz w:val="24"/>
          <w:szCs w:val="24"/>
          <w:lang w:eastAsia="zh-CN"/>
        </w:rPr>
        <w:t>2019</w:t>
      </w:r>
      <w:r w:rsidRPr="00F63211">
        <w:rPr>
          <w:rFonts w:hint="eastAsia"/>
          <w:b/>
          <w:sz w:val="24"/>
          <w:szCs w:val="24"/>
          <w:lang w:eastAsia="zh-CN"/>
        </w:rPr>
        <w:t>年对扩大影响力的支持</w:t>
      </w:r>
      <w:r w:rsidRPr="00F63211">
        <w:rPr>
          <w:sz w:val="24"/>
          <w:szCs w:val="24"/>
          <w:vertAlign w:val="superscript"/>
        </w:rPr>
        <w:footnoteReference w:id="30"/>
      </w:r>
    </w:p>
    <w:p w14:paraId="25208E6B" w14:textId="05825F15" w:rsidR="009145F6" w:rsidRPr="00F63211" w:rsidRDefault="009145F6" w:rsidP="00FA726F">
      <w:pPr>
        <w:pStyle w:val="ListParagraph"/>
        <w:numPr>
          <w:ilvl w:val="0"/>
          <w:numId w:val="25"/>
        </w:numPr>
        <w:spacing w:before="240" w:after="240" w:line="240" w:lineRule="auto"/>
        <w:ind w:left="0" w:firstLine="0"/>
        <w:contextualSpacing w:val="0"/>
        <w:rPr>
          <w:rFonts w:ascii="Calibri" w:eastAsia="Times New Roman" w:hAnsi="Calibri" w:cs="Calibri"/>
          <w:sz w:val="24"/>
          <w:szCs w:val="24"/>
          <w:lang w:val="en" w:eastAsia="zh-CN"/>
        </w:rPr>
      </w:pPr>
      <w:r w:rsidRPr="00F63211">
        <w:rPr>
          <w:rFonts w:hint="eastAsia"/>
          <w:sz w:val="24"/>
          <w:szCs w:val="24"/>
          <w:lang w:eastAsia="zh-CN"/>
        </w:rPr>
        <w:t>这项评估旨在更</w:t>
      </w:r>
      <w:r w:rsidRPr="00F63211">
        <w:rPr>
          <w:rFonts w:ascii="MS Gothic" w:eastAsia="MS Gothic" w:hAnsi="MS Gothic" w:cs="MS Gothic" w:hint="eastAsia"/>
          <w:sz w:val="24"/>
          <w:szCs w:val="24"/>
          <w:lang w:eastAsia="zh-CN"/>
        </w:rPr>
        <w:t>​​</w:t>
      </w:r>
      <w:r w:rsidRPr="00F63211">
        <w:rPr>
          <w:rFonts w:ascii="SimSun" w:hAnsi="SimSun" w:cs="SimSun" w:hint="eastAsia"/>
          <w:sz w:val="24"/>
          <w:szCs w:val="24"/>
          <w:lang w:eastAsia="zh-CN"/>
        </w:rPr>
        <w:t>好地理解各项进程并从中汲取教训，通过这些进程扩大了影响力并有效实现了各种条件。该评估从全环基金以往扩大影响力的经验中汲取证据。该评估评估了总共</w:t>
      </w:r>
      <w:r w:rsidRPr="00F63211">
        <w:rPr>
          <w:sz w:val="24"/>
          <w:szCs w:val="24"/>
          <w:lang w:eastAsia="zh-CN"/>
        </w:rPr>
        <w:t>20</w:t>
      </w:r>
      <w:r w:rsidRPr="00F63211">
        <w:rPr>
          <w:rFonts w:hint="eastAsia"/>
          <w:sz w:val="24"/>
          <w:szCs w:val="24"/>
          <w:lang w:eastAsia="zh-CN"/>
        </w:rPr>
        <w:t>例案例，其中报告了</w:t>
      </w:r>
      <w:r w:rsidR="00C803C5" w:rsidRPr="00F63211">
        <w:rPr>
          <w:rFonts w:hint="eastAsia"/>
          <w:sz w:val="24"/>
          <w:szCs w:val="24"/>
          <w:lang w:eastAsia="zh-CN"/>
        </w:rPr>
        <w:t>扩大影响力的</w:t>
      </w:r>
      <w:r w:rsidRPr="00F63211">
        <w:rPr>
          <w:rFonts w:hint="eastAsia"/>
          <w:sz w:val="24"/>
          <w:szCs w:val="24"/>
          <w:lang w:eastAsia="zh-CN"/>
        </w:rPr>
        <w:t>积极</w:t>
      </w:r>
      <w:r w:rsidR="00C803C5" w:rsidRPr="00F63211">
        <w:rPr>
          <w:rFonts w:hint="eastAsia"/>
          <w:sz w:val="24"/>
          <w:szCs w:val="24"/>
          <w:lang w:eastAsia="zh-CN"/>
        </w:rPr>
        <w:t>量化</w:t>
      </w:r>
      <w:r w:rsidRPr="00F63211">
        <w:rPr>
          <w:rFonts w:hint="eastAsia"/>
          <w:sz w:val="24"/>
          <w:szCs w:val="24"/>
          <w:lang w:eastAsia="zh-CN"/>
        </w:rPr>
        <w:t>结果，并确定</w:t>
      </w:r>
      <w:r w:rsidR="00C803C5" w:rsidRPr="00F63211">
        <w:rPr>
          <w:rFonts w:hint="eastAsia"/>
          <w:sz w:val="24"/>
          <w:szCs w:val="24"/>
          <w:lang w:eastAsia="zh-CN"/>
        </w:rPr>
        <w:t>了产生影响的要素</w:t>
      </w:r>
      <w:r w:rsidRPr="00F63211">
        <w:rPr>
          <w:rFonts w:hint="eastAsia"/>
          <w:sz w:val="24"/>
          <w:szCs w:val="24"/>
          <w:lang w:eastAsia="zh-CN"/>
        </w:rPr>
        <w:t>。此外，评估还包括</w:t>
      </w:r>
      <w:r w:rsidRPr="00F63211">
        <w:rPr>
          <w:sz w:val="24"/>
          <w:szCs w:val="24"/>
          <w:lang w:eastAsia="zh-CN"/>
        </w:rPr>
        <w:t>40</w:t>
      </w:r>
      <w:r w:rsidRPr="00F63211">
        <w:rPr>
          <w:rFonts w:hint="eastAsia"/>
          <w:sz w:val="24"/>
          <w:szCs w:val="24"/>
          <w:lang w:eastAsia="zh-CN"/>
        </w:rPr>
        <w:t>个其他案例，这些案例具有不同程度的定量和定性信息。</w:t>
      </w:r>
      <w:r w:rsidR="00F26A38" w:rsidRPr="00F63211">
        <w:rPr>
          <w:rFonts w:hint="eastAsia"/>
          <w:sz w:val="24"/>
          <w:szCs w:val="24"/>
          <w:lang w:eastAsia="zh-CN"/>
        </w:rPr>
        <w:t>访问了</w:t>
      </w:r>
      <w:r w:rsidRPr="00F63211">
        <w:rPr>
          <w:rFonts w:hint="eastAsia"/>
          <w:sz w:val="24"/>
          <w:szCs w:val="24"/>
          <w:lang w:eastAsia="zh-CN"/>
        </w:rPr>
        <w:t>三个国家由全球环境基金支持的已完成</w:t>
      </w:r>
      <w:r w:rsidR="00F26A38" w:rsidRPr="00F63211">
        <w:rPr>
          <w:rFonts w:hint="eastAsia"/>
          <w:sz w:val="24"/>
          <w:szCs w:val="24"/>
          <w:lang w:eastAsia="zh-CN"/>
        </w:rPr>
        <w:t>的</w:t>
      </w:r>
      <w:r w:rsidRPr="00F63211">
        <w:rPr>
          <w:rFonts w:hint="eastAsia"/>
          <w:sz w:val="24"/>
          <w:szCs w:val="24"/>
          <w:lang w:eastAsia="zh-CN"/>
        </w:rPr>
        <w:t>项目</w:t>
      </w:r>
      <w:r w:rsidR="00F26A38" w:rsidRPr="00F63211">
        <w:rPr>
          <w:rFonts w:hint="eastAsia"/>
          <w:sz w:val="24"/>
          <w:szCs w:val="24"/>
          <w:lang w:eastAsia="zh-CN"/>
        </w:rPr>
        <w:t xml:space="preserve"> - </w:t>
      </w:r>
      <w:r w:rsidR="00C803C5" w:rsidRPr="00F63211">
        <w:rPr>
          <w:rFonts w:hint="eastAsia"/>
          <w:sz w:val="24"/>
          <w:szCs w:val="24"/>
          <w:lang w:eastAsia="zh-CN"/>
        </w:rPr>
        <w:t>哥斯达黎加</w:t>
      </w:r>
      <w:r w:rsidR="00F26A38" w:rsidRPr="00F63211">
        <w:rPr>
          <w:rFonts w:hint="eastAsia"/>
          <w:sz w:val="24"/>
          <w:szCs w:val="24"/>
          <w:lang w:eastAsia="zh-CN"/>
        </w:rPr>
        <w:t>、</w:t>
      </w:r>
      <w:r w:rsidR="00C803C5" w:rsidRPr="00F63211">
        <w:rPr>
          <w:rFonts w:hint="eastAsia"/>
          <w:sz w:val="24"/>
          <w:szCs w:val="24"/>
          <w:lang w:eastAsia="zh-CN"/>
        </w:rPr>
        <w:t>马其顿和毛里求斯</w:t>
      </w:r>
      <w:r w:rsidR="00F26A38" w:rsidRPr="00F63211">
        <w:rPr>
          <w:rFonts w:hint="eastAsia"/>
          <w:sz w:val="24"/>
          <w:szCs w:val="24"/>
          <w:lang w:eastAsia="zh-CN"/>
        </w:rPr>
        <w:t>。</w:t>
      </w:r>
    </w:p>
    <w:p w14:paraId="72C20A55" w14:textId="3561B5B1" w:rsidR="00F243D1" w:rsidRPr="00F63211" w:rsidRDefault="00F243D1" w:rsidP="00105FB1">
      <w:pPr>
        <w:numPr>
          <w:ilvl w:val="0"/>
          <w:numId w:val="17"/>
        </w:numPr>
        <w:tabs>
          <w:tab w:val="left" w:pos="1350"/>
        </w:tabs>
        <w:spacing w:before="120" w:after="120" w:line="240" w:lineRule="auto"/>
        <w:ind w:left="1080"/>
        <w:rPr>
          <w:rFonts w:ascii="Calibri" w:eastAsia="Times New Roman" w:hAnsi="Calibri" w:cs="Calibri"/>
          <w:sz w:val="24"/>
          <w:szCs w:val="24"/>
          <w:lang w:val="en" w:eastAsia="zh-CN"/>
        </w:rPr>
      </w:pPr>
      <w:r w:rsidRPr="00F63211">
        <w:rPr>
          <w:rFonts w:hint="eastAsia"/>
          <w:sz w:val="24"/>
          <w:szCs w:val="24"/>
          <w:lang w:eastAsia="zh-CN"/>
        </w:rPr>
        <w:t>在生物多样性重点领域，报告</w:t>
      </w:r>
      <w:r w:rsidR="00B82F1E" w:rsidRPr="00F63211">
        <w:rPr>
          <w:rFonts w:hint="eastAsia"/>
          <w:sz w:val="24"/>
          <w:szCs w:val="24"/>
          <w:lang w:eastAsia="zh-CN"/>
        </w:rPr>
        <w:t>指出，在</w:t>
      </w:r>
      <w:r w:rsidRPr="00F63211">
        <w:rPr>
          <w:rFonts w:hint="eastAsia"/>
          <w:sz w:val="24"/>
          <w:szCs w:val="24"/>
          <w:lang w:eastAsia="zh-CN"/>
        </w:rPr>
        <w:t>同一案例，扩大</w:t>
      </w:r>
      <w:r w:rsidR="00B82F1E" w:rsidRPr="00F63211">
        <w:rPr>
          <w:rFonts w:hint="eastAsia"/>
          <w:sz w:val="24"/>
          <w:szCs w:val="24"/>
          <w:lang w:eastAsia="zh-CN"/>
        </w:rPr>
        <w:t>影响力</w:t>
      </w:r>
      <w:r w:rsidRPr="00F63211">
        <w:rPr>
          <w:rFonts w:hint="eastAsia"/>
          <w:sz w:val="24"/>
          <w:szCs w:val="24"/>
          <w:lang w:eastAsia="zh-CN"/>
        </w:rPr>
        <w:t>阶段的标准化成果比试点阶段高出</w:t>
      </w:r>
      <w:r w:rsidRPr="00F63211">
        <w:rPr>
          <w:rFonts w:hint="eastAsia"/>
          <w:sz w:val="24"/>
          <w:szCs w:val="24"/>
          <w:lang w:eastAsia="zh-CN"/>
        </w:rPr>
        <w:t>74.5</w:t>
      </w:r>
      <w:r w:rsidRPr="00F63211">
        <w:rPr>
          <w:rFonts w:hint="eastAsia"/>
          <w:sz w:val="24"/>
          <w:szCs w:val="24"/>
          <w:lang w:eastAsia="zh-CN"/>
        </w:rPr>
        <w:t>倍。该报告指出，所有生物多样性案例旨在通过各种干预措施来加强生物多样性保护。</w:t>
      </w:r>
    </w:p>
    <w:p w14:paraId="634E950E" w14:textId="490B505B" w:rsidR="007E7DA1" w:rsidRPr="00F63211" w:rsidRDefault="007E7DA1" w:rsidP="00105FB1">
      <w:pPr>
        <w:numPr>
          <w:ilvl w:val="0"/>
          <w:numId w:val="17"/>
        </w:numPr>
        <w:tabs>
          <w:tab w:val="left" w:pos="1350"/>
        </w:tabs>
        <w:spacing w:before="120" w:after="120" w:line="240" w:lineRule="auto"/>
        <w:ind w:left="1080"/>
        <w:rPr>
          <w:rFonts w:ascii="Calibri" w:eastAsia="Times New Roman" w:hAnsi="Calibri" w:cs="Calibri"/>
          <w:sz w:val="24"/>
          <w:szCs w:val="24"/>
          <w:lang w:val="en" w:eastAsia="zh-CN"/>
        </w:rPr>
      </w:pPr>
      <w:r w:rsidRPr="00F63211">
        <w:rPr>
          <w:rFonts w:hint="eastAsia"/>
          <w:sz w:val="24"/>
          <w:szCs w:val="24"/>
          <w:lang w:eastAsia="zh-CN"/>
        </w:rPr>
        <w:t>该评估指出，全环基金提供支持的中位时间为</w:t>
      </w:r>
      <w:r w:rsidRPr="00F63211">
        <w:rPr>
          <w:rFonts w:hint="eastAsia"/>
          <w:sz w:val="24"/>
          <w:szCs w:val="24"/>
          <w:lang w:eastAsia="zh-CN"/>
        </w:rPr>
        <w:t>10</w:t>
      </w:r>
      <w:r w:rsidRPr="00F63211">
        <w:rPr>
          <w:rFonts w:hint="eastAsia"/>
          <w:sz w:val="24"/>
          <w:szCs w:val="24"/>
          <w:lang w:eastAsia="zh-CN"/>
        </w:rPr>
        <w:t>年，一些扩大影响力的成果在短</w:t>
      </w:r>
      <w:r w:rsidR="00441AF4" w:rsidRPr="00F63211">
        <w:rPr>
          <w:rFonts w:hint="eastAsia"/>
          <w:sz w:val="24"/>
          <w:szCs w:val="24"/>
          <w:lang w:eastAsia="zh-CN"/>
        </w:rPr>
        <w:t>至</w:t>
      </w:r>
      <w:r w:rsidRPr="00F63211">
        <w:rPr>
          <w:rFonts w:hint="eastAsia"/>
          <w:sz w:val="24"/>
          <w:szCs w:val="24"/>
          <w:lang w:eastAsia="zh-CN"/>
        </w:rPr>
        <w:t>3.5</w:t>
      </w:r>
      <w:r w:rsidRPr="00F63211">
        <w:rPr>
          <w:rFonts w:hint="eastAsia"/>
          <w:sz w:val="24"/>
          <w:szCs w:val="24"/>
          <w:lang w:eastAsia="zh-CN"/>
        </w:rPr>
        <w:t>年内实现，</w:t>
      </w:r>
      <w:r w:rsidR="00441AF4" w:rsidRPr="00F63211">
        <w:rPr>
          <w:rFonts w:hint="eastAsia"/>
          <w:sz w:val="24"/>
          <w:szCs w:val="24"/>
          <w:lang w:eastAsia="zh-CN"/>
        </w:rPr>
        <w:t>而</w:t>
      </w:r>
      <w:r w:rsidRPr="00F63211">
        <w:rPr>
          <w:rFonts w:hint="eastAsia"/>
          <w:sz w:val="24"/>
          <w:szCs w:val="24"/>
          <w:lang w:eastAsia="zh-CN"/>
        </w:rPr>
        <w:t>另一些则长至</w:t>
      </w:r>
      <w:r w:rsidRPr="00F63211">
        <w:rPr>
          <w:rFonts w:hint="eastAsia"/>
          <w:sz w:val="24"/>
          <w:szCs w:val="24"/>
          <w:lang w:eastAsia="zh-CN"/>
        </w:rPr>
        <w:t>18</w:t>
      </w:r>
      <w:r w:rsidRPr="00F63211">
        <w:rPr>
          <w:rFonts w:hint="eastAsia"/>
          <w:sz w:val="24"/>
          <w:szCs w:val="24"/>
          <w:lang w:eastAsia="zh-CN"/>
        </w:rPr>
        <w:t>年。评估审查的其他案例</w:t>
      </w:r>
      <w:r w:rsidR="00441AF4" w:rsidRPr="00F63211">
        <w:rPr>
          <w:rFonts w:hint="eastAsia"/>
          <w:sz w:val="24"/>
          <w:szCs w:val="24"/>
          <w:lang w:eastAsia="zh-CN"/>
        </w:rPr>
        <w:t>有得到</w:t>
      </w:r>
      <w:r w:rsidRPr="00F63211">
        <w:rPr>
          <w:rFonts w:hint="eastAsia"/>
          <w:sz w:val="24"/>
          <w:szCs w:val="24"/>
          <w:lang w:eastAsia="zh-CN"/>
        </w:rPr>
        <w:t>全球环境基金长达</w:t>
      </w:r>
      <w:r w:rsidRPr="00F63211">
        <w:rPr>
          <w:rFonts w:hint="eastAsia"/>
          <w:sz w:val="24"/>
          <w:szCs w:val="24"/>
          <w:lang w:eastAsia="zh-CN"/>
        </w:rPr>
        <w:t>25</w:t>
      </w:r>
      <w:r w:rsidRPr="00F63211">
        <w:rPr>
          <w:rFonts w:hint="eastAsia"/>
          <w:sz w:val="24"/>
          <w:szCs w:val="24"/>
          <w:lang w:eastAsia="zh-CN"/>
        </w:rPr>
        <w:t>年或更长时间的支持，其成果规模和地理区域的目标更高。评估强调</w:t>
      </w:r>
      <w:r w:rsidR="00441AF4" w:rsidRPr="00F63211">
        <w:rPr>
          <w:rFonts w:hint="eastAsia"/>
          <w:sz w:val="24"/>
          <w:szCs w:val="24"/>
          <w:lang w:eastAsia="zh-CN"/>
        </w:rPr>
        <w:t>指出</w:t>
      </w:r>
      <w:r w:rsidRPr="00F63211">
        <w:rPr>
          <w:rFonts w:hint="eastAsia"/>
          <w:sz w:val="24"/>
          <w:szCs w:val="24"/>
          <w:lang w:eastAsia="zh-CN"/>
        </w:rPr>
        <w:t>，成功的扩大</w:t>
      </w:r>
      <w:r w:rsidR="00441AF4" w:rsidRPr="00F63211">
        <w:rPr>
          <w:rFonts w:hint="eastAsia"/>
          <w:sz w:val="24"/>
          <w:szCs w:val="24"/>
          <w:lang w:eastAsia="zh-CN"/>
        </w:rPr>
        <w:t>影响力的案例</w:t>
      </w:r>
      <w:r w:rsidRPr="00F63211">
        <w:rPr>
          <w:rFonts w:hint="eastAsia"/>
          <w:sz w:val="24"/>
          <w:szCs w:val="24"/>
          <w:lang w:eastAsia="zh-CN"/>
        </w:rPr>
        <w:t>需要大约</w:t>
      </w:r>
      <w:r w:rsidR="00441AF4" w:rsidRPr="00F63211">
        <w:rPr>
          <w:rFonts w:hint="eastAsia"/>
          <w:sz w:val="24"/>
          <w:szCs w:val="24"/>
          <w:lang w:eastAsia="zh-CN"/>
        </w:rPr>
        <w:t>作出</w:t>
      </w:r>
      <w:r w:rsidRPr="00F63211">
        <w:rPr>
          <w:rFonts w:hint="eastAsia"/>
          <w:sz w:val="24"/>
          <w:szCs w:val="24"/>
          <w:lang w:eastAsia="zh-CN"/>
        </w:rPr>
        <w:t>10</w:t>
      </w:r>
      <w:r w:rsidR="00441AF4" w:rsidRPr="00F63211">
        <w:rPr>
          <w:rFonts w:hint="eastAsia"/>
          <w:sz w:val="24"/>
          <w:szCs w:val="24"/>
          <w:lang w:eastAsia="zh-CN"/>
        </w:rPr>
        <w:t>年</w:t>
      </w:r>
      <w:r w:rsidRPr="00F63211">
        <w:rPr>
          <w:rFonts w:hint="eastAsia"/>
          <w:sz w:val="24"/>
          <w:szCs w:val="24"/>
          <w:lang w:eastAsia="zh-CN"/>
        </w:rPr>
        <w:t>到</w:t>
      </w:r>
      <w:r w:rsidRPr="00F63211">
        <w:rPr>
          <w:rFonts w:hint="eastAsia"/>
          <w:sz w:val="24"/>
          <w:szCs w:val="24"/>
          <w:lang w:eastAsia="zh-CN"/>
        </w:rPr>
        <w:t>15</w:t>
      </w:r>
      <w:r w:rsidRPr="00F63211">
        <w:rPr>
          <w:rFonts w:hint="eastAsia"/>
          <w:sz w:val="24"/>
          <w:szCs w:val="24"/>
          <w:lang w:eastAsia="zh-CN"/>
        </w:rPr>
        <w:t>年的持续努力，这一点也得到文献</w:t>
      </w:r>
      <w:r w:rsidR="00441AF4" w:rsidRPr="00F63211">
        <w:rPr>
          <w:rFonts w:hint="eastAsia"/>
          <w:sz w:val="24"/>
          <w:szCs w:val="24"/>
          <w:lang w:eastAsia="zh-CN"/>
        </w:rPr>
        <w:t>提供的广泛经验</w:t>
      </w:r>
      <w:r w:rsidRPr="00F63211">
        <w:rPr>
          <w:rFonts w:hint="eastAsia"/>
          <w:sz w:val="24"/>
          <w:szCs w:val="24"/>
          <w:lang w:eastAsia="zh-CN"/>
        </w:rPr>
        <w:t>和</w:t>
      </w:r>
      <w:r w:rsidR="00441AF4" w:rsidRPr="00F63211">
        <w:rPr>
          <w:rFonts w:hint="eastAsia"/>
          <w:sz w:val="24"/>
          <w:szCs w:val="24"/>
          <w:lang w:eastAsia="zh-CN"/>
        </w:rPr>
        <w:t>利益攸关方</w:t>
      </w:r>
      <w:r w:rsidRPr="00F63211">
        <w:rPr>
          <w:rFonts w:hint="eastAsia"/>
          <w:sz w:val="24"/>
          <w:szCs w:val="24"/>
          <w:lang w:eastAsia="zh-CN"/>
        </w:rPr>
        <w:t>访谈的证实。</w:t>
      </w:r>
      <w:r w:rsidR="003F26AC">
        <w:rPr>
          <w:sz w:val="24"/>
          <w:szCs w:val="24"/>
          <w:lang w:eastAsia="zh-CN"/>
        </w:rPr>
        <w:t xml:space="preserve"> </w:t>
      </w:r>
    </w:p>
    <w:p w14:paraId="43DDC814" w14:textId="77777777" w:rsidR="00192AA9" w:rsidRDefault="00192AA9" w:rsidP="00192AA9">
      <w:pPr>
        <w:rPr>
          <w:lang w:eastAsia="zh-CN"/>
        </w:rPr>
      </w:pPr>
    </w:p>
    <w:p w14:paraId="07909D75" w14:textId="77777777" w:rsidR="00192AA9" w:rsidRDefault="00192AA9" w:rsidP="00192AA9">
      <w:pPr>
        <w:rPr>
          <w:lang w:eastAsia="zh-CN"/>
        </w:rPr>
      </w:pPr>
    </w:p>
    <w:p w14:paraId="122E3ABF" w14:textId="5F24F15B" w:rsidR="00192AA9" w:rsidRDefault="000F4FCC" w:rsidP="00192AA9">
      <w:pPr>
        <w:jc w:val="center"/>
        <w:rPr>
          <w:b/>
        </w:rPr>
      </w:pPr>
      <w:r>
        <w:rPr>
          <w:b/>
        </w:rPr>
        <w:t>__________</w:t>
      </w:r>
    </w:p>
    <w:p w14:paraId="46C277BE" w14:textId="77777777" w:rsidR="00192AA9" w:rsidRDefault="00192AA9" w:rsidP="00192AA9">
      <w:pPr>
        <w:jc w:val="center"/>
        <w:rPr>
          <w:b/>
        </w:rPr>
      </w:pPr>
    </w:p>
    <w:sectPr w:rsidR="00192AA9" w:rsidSect="007207A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C078" w14:textId="77777777" w:rsidR="00516714" w:rsidRDefault="00516714" w:rsidP="00CB2F0E">
      <w:pPr>
        <w:spacing w:after="0" w:line="240" w:lineRule="auto"/>
      </w:pPr>
      <w:r>
        <w:separator/>
      </w:r>
    </w:p>
  </w:endnote>
  <w:endnote w:type="continuationSeparator" w:id="0">
    <w:p w14:paraId="771A32A6" w14:textId="77777777" w:rsidR="00516714" w:rsidRDefault="00516714" w:rsidP="00CB2F0E">
      <w:pPr>
        <w:spacing w:after="0" w:line="240" w:lineRule="auto"/>
      </w:pPr>
      <w:r>
        <w:continuationSeparator/>
      </w:r>
    </w:p>
  </w:endnote>
  <w:endnote w:type="continuationNotice" w:id="1">
    <w:p w14:paraId="3EEE96F0" w14:textId="77777777" w:rsidR="00516714" w:rsidRDefault="00516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altName w:val="Microsoft YaHei"/>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018572"/>
      <w:docPartObj>
        <w:docPartGallery w:val="Page Numbers (Bottom of Page)"/>
        <w:docPartUnique/>
      </w:docPartObj>
    </w:sdtPr>
    <w:sdtEndPr>
      <w:rPr>
        <w:noProof/>
      </w:rPr>
    </w:sdtEndPr>
    <w:sdtContent>
      <w:p w14:paraId="5D812A3C" w14:textId="77777777" w:rsidR="006049C9" w:rsidRPr="00345956" w:rsidRDefault="006049C9" w:rsidP="00483FC9">
        <w:pPr>
          <w:pStyle w:val="Footer"/>
          <w:jc w:val="center"/>
        </w:pPr>
        <w:r w:rsidRPr="00345956">
          <w:fldChar w:fldCharType="begin"/>
        </w:r>
        <w:r w:rsidRPr="00345956">
          <w:instrText xml:space="preserve"> PAGE   \* MERGEFORMAT </w:instrText>
        </w:r>
        <w:r w:rsidRPr="00345956">
          <w:fldChar w:fldCharType="separate"/>
        </w:r>
        <w:r>
          <w:rPr>
            <w:noProof/>
          </w:rPr>
          <w:t>34</w:t>
        </w:r>
        <w:r w:rsidRPr="00345956">
          <w:rPr>
            <w:noProof/>
          </w:rPr>
          <w:fldChar w:fldCharType="end"/>
        </w:r>
      </w:p>
    </w:sdtContent>
  </w:sdt>
  <w:p w14:paraId="0D1BE81E" w14:textId="77777777" w:rsidR="006049C9" w:rsidRDefault="0060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1819" w14:textId="0081F76C" w:rsidR="006049C9" w:rsidRPr="009230D9" w:rsidRDefault="006049C9">
    <w:pPr>
      <w:pStyle w:val="Footer"/>
      <w:jc w:val="center"/>
      <w:rPr>
        <w:sz w:val="20"/>
        <w:szCs w:val="20"/>
      </w:rPr>
    </w:pPr>
  </w:p>
  <w:p w14:paraId="364CADA5" w14:textId="77777777" w:rsidR="006049C9" w:rsidRDefault="00604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762539"/>
      <w:docPartObj>
        <w:docPartGallery w:val="Page Numbers (Bottom of Page)"/>
        <w:docPartUnique/>
      </w:docPartObj>
    </w:sdtPr>
    <w:sdtEndPr>
      <w:rPr>
        <w:noProof/>
      </w:rPr>
    </w:sdtEndPr>
    <w:sdtContent>
      <w:p w14:paraId="461DE720" w14:textId="77777777" w:rsidR="006049C9" w:rsidRPr="00345956" w:rsidRDefault="006049C9">
        <w:pPr>
          <w:pStyle w:val="Footer"/>
          <w:jc w:val="center"/>
        </w:pPr>
        <w:r w:rsidRPr="00345956">
          <w:fldChar w:fldCharType="begin"/>
        </w:r>
        <w:r w:rsidRPr="00345956">
          <w:instrText xml:space="preserve"> PAGE   \* MERGEFORMAT </w:instrText>
        </w:r>
        <w:r w:rsidRPr="00345956">
          <w:fldChar w:fldCharType="separate"/>
        </w:r>
        <w:r>
          <w:rPr>
            <w:noProof/>
          </w:rPr>
          <w:t>3</w:t>
        </w:r>
        <w:r w:rsidRPr="00345956">
          <w:rPr>
            <w:noProof/>
          </w:rPr>
          <w:fldChar w:fldCharType="end"/>
        </w:r>
      </w:p>
    </w:sdtContent>
  </w:sdt>
  <w:p w14:paraId="0438817B" w14:textId="77777777" w:rsidR="006049C9" w:rsidRPr="00345956" w:rsidRDefault="006049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26062"/>
      <w:docPartObj>
        <w:docPartGallery w:val="Page Numbers (Bottom of Page)"/>
        <w:docPartUnique/>
      </w:docPartObj>
    </w:sdtPr>
    <w:sdtEndPr>
      <w:rPr>
        <w:noProof/>
        <w:szCs w:val="20"/>
      </w:rPr>
    </w:sdtEndPr>
    <w:sdtContent>
      <w:p w14:paraId="68F61A9D" w14:textId="77777777" w:rsidR="006049C9" w:rsidRPr="00345956" w:rsidRDefault="006049C9">
        <w:pPr>
          <w:pStyle w:val="Footer"/>
          <w:jc w:val="center"/>
          <w:rPr>
            <w:szCs w:val="20"/>
          </w:rPr>
        </w:pPr>
        <w:r w:rsidRPr="00345956">
          <w:rPr>
            <w:szCs w:val="20"/>
          </w:rPr>
          <w:fldChar w:fldCharType="begin"/>
        </w:r>
        <w:r w:rsidRPr="00345956">
          <w:rPr>
            <w:szCs w:val="20"/>
          </w:rPr>
          <w:instrText xml:space="preserve"> PAGE   \* MERGEFORMAT </w:instrText>
        </w:r>
        <w:r w:rsidRPr="00345956">
          <w:rPr>
            <w:szCs w:val="20"/>
          </w:rPr>
          <w:fldChar w:fldCharType="separate"/>
        </w:r>
        <w:r>
          <w:rPr>
            <w:noProof/>
            <w:szCs w:val="20"/>
          </w:rPr>
          <w:t>35</w:t>
        </w:r>
        <w:r w:rsidRPr="00345956">
          <w:rPr>
            <w:noProof/>
            <w:szCs w:val="20"/>
          </w:rPr>
          <w:fldChar w:fldCharType="end"/>
        </w:r>
      </w:p>
    </w:sdtContent>
  </w:sdt>
  <w:p w14:paraId="4467E8E7" w14:textId="77777777" w:rsidR="006049C9" w:rsidRDefault="0060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5D00" w14:textId="77777777" w:rsidR="00516714" w:rsidRDefault="00516714" w:rsidP="00CB2F0E">
      <w:pPr>
        <w:spacing w:after="0" w:line="240" w:lineRule="auto"/>
      </w:pPr>
      <w:r>
        <w:separator/>
      </w:r>
    </w:p>
  </w:footnote>
  <w:footnote w:type="continuationSeparator" w:id="0">
    <w:p w14:paraId="5593A164" w14:textId="77777777" w:rsidR="00516714" w:rsidRDefault="00516714" w:rsidP="00CB2F0E">
      <w:pPr>
        <w:spacing w:after="0" w:line="240" w:lineRule="auto"/>
      </w:pPr>
      <w:r>
        <w:continuationSeparator/>
      </w:r>
    </w:p>
  </w:footnote>
  <w:footnote w:type="continuationNotice" w:id="1">
    <w:p w14:paraId="671BA35D" w14:textId="77777777" w:rsidR="00516714" w:rsidRDefault="00516714">
      <w:pPr>
        <w:spacing w:after="0" w:line="240" w:lineRule="auto"/>
      </w:pPr>
    </w:p>
  </w:footnote>
  <w:footnote w:id="2">
    <w:p w14:paraId="4136AF4E" w14:textId="77777777" w:rsidR="006049C9" w:rsidRPr="00945A0E" w:rsidRDefault="006049C9" w:rsidP="00856074">
      <w:pPr>
        <w:pStyle w:val="FootnoteText"/>
        <w:rPr>
          <w:rFonts w:eastAsia="DengXian"/>
          <w:kern w:val="18"/>
          <w:lang w:eastAsia="zh-CN"/>
        </w:rPr>
      </w:pPr>
      <w:r w:rsidRPr="00513C2B">
        <w:rPr>
          <w:rStyle w:val="FootnoteReference"/>
          <w:lang w:eastAsia="zh-CN"/>
        </w:rPr>
        <w:t>*</w:t>
      </w:r>
      <w:r>
        <w:rPr>
          <w:lang w:eastAsia="zh-CN"/>
        </w:rPr>
        <w:t xml:space="preserve"> CBD/SBI/3/1</w:t>
      </w:r>
      <w:r>
        <w:rPr>
          <w:rFonts w:ascii="DengXian" w:eastAsia="DengXian" w:hAnsi="DengXian" w:hint="eastAsia"/>
          <w:lang w:eastAsia="zh-CN"/>
        </w:rPr>
        <w:t>。</w:t>
      </w:r>
    </w:p>
  </w:footnote>
  <w:footnote w:id="3">
    <w:p w14:paraId="3A7E8830" w14:textId="4D119944" w:rsidR="006049C9" w:rsidRPr="00925734" w:rsidRDefault="006049C9" w:rsidP="002B16DF">
      <w:pPr>
        <w:pStyle w:val="FootnoteText"/>
        <w:rPr>
          <w:lang w:eastAsia="zh-CN"/>
        </w:rPr>
      </w:pPr>
      <w:r w:rsidRPr="00925734">
        <w:rPr>
          <w:rStyle w:val="FootnoteReference"/>
        </w:rPr>
        <w:footnoteRef/>
      </w:r>
      <w:r>
        <w:rPr>
          <w:lang w:eastAsia="zh-CN"/>
        </w:rPr>
        <w:t xml:space="preserve"> </w:t>
      </w:r>
      <w:r w:rsidRPr="00BB6E18">
        <w:rPr>
          <w:rFonts w:ascii="SimSun" w:eastAsia="SimSun" w:hAnsi="SimSun" w:cs="SimSun"/>
          <w:lang w:eastAsia="zh-CN"/>
        </w:rPr>
        <w:t>见</w:t>
      </w:r>
      <w:r w:rsidRPr="00BB6E18">
        <w:rPr>
          <w:rFonts w:ascii="SimSun" w:eastAsia="SimSun" w:hAnsi="SimSun"/>
          <w:lang w:eastAsia="zh-CN"/>
        </w:rPr>
        <w:t>XIV/23</w:t>
      </w:r>
      <w:r w:rsidRPr="00BB6E18">
        <w:rPr>
          <w:rFonts w:ascii="SimSun" w:eastAsia="SimSun" w:hAnsi="SimSun"/>
          <w:lang w:eastAsia="zh-CN"/>
        </w:rPr>
        <w:t>号决定</w:t>
      </w:r>
      <w:r>
        <w:rPr>
          <w:rFonts w:ascii="DengXian" w:eastAsia="DengXian" w:hAnsi="DengXian" w:hint="eastAsia"/>
          <w:lang w:eastAsia="zh-CN"/>
        </w:rPr>
        <w:t>。</w:t>
      </w:r>
    </w:p>
  </w:footnote>
  <w:footnote w:id="4">
    <w:p w14:paraId="4BB05D22" w14:textId="1325BEA8" w:rsidR="006049C9" w:rsidRPr="004C6CE0" w:rsidRDefault="006049C9" w:rsidP="004A4EC9">
      <w:pPr>
        <w:pStyle w:val="FootnoteText"/>
        <w:rPr>
          <w:rFonts w:eastAsia="DengXian"/>
          <w:lang w:eastAsia="zh-CN"/>
        </w:rPr>
      </w:pPr>
      <w:r>
        <w:rPr>
          <w:rStyle w:val="FootnoteReference"/>
        </w:rPr>
        <w:footnoteRef/>
      </w:r>
      <w:r>
        <w:rPr>
          <w:lang w:eastAsia="zh-CN"/>
        </w:rPr>
        <w:t xml:space="preserve"> </w:t>
      </w:r>
      <w:r w:rsidRPr="00BB6E18">
        <w:rPr>
          <w:rFonts w:ascii="SimSun" w:eastAsia="SimSun" w:hAnsi="SimSun"/>
          <w:lang w:eastAsia="zh-CN"/>
        </w:rPr>
        <w:t>全环基金</w:t>
      </w:r>
      <w:r w:rsidRPr="00BB6E18">
        <w:rPr>
          <w:rFonts w:ascii="SimSun" w:eastAsia="SimSun" w:hAnsi="SimSun"/>
          <w:lang w:val="en-US" w:eastAsia="zh-CN"/>
        </w:rPr>
        <w:t>,</w:t>
      </w:r>
      <w:r w:rsidRPr="00BB6E18">
        <w:rPr>
          <w:rFonts w:ascii="SimSun" w:eastAsia="SimSun" w:hAnsi="SimSun"/>
          <w:lang w:eastAsia="zh-CN"/>
        </w:rPr>
        <w:t xml:space="preserve"> 2018</w:t>
      </w:r>
      <w:r w:rsidRPr="00BB6E18">
        <w:rPr>
          <w:rFonts w:ascii="SimSun" w:eastAsia="SimSun" w:hAnsi="SimSun"/>
        </w:rPr>
        <w:t>年</w:t>
      </w:r>
      <w:r>
        <w:t>,</w:t>
      </w:r>
      <w:r w:rsidRPr="002C0C1F">
        <w:t xml:space="preserve"> </w:t>
      </w:r>
      <w:hyperlink r:id="rId1" w:history="1">
        <w:r>
          <w:rPr>
            <w:rStyle w:val="Hyperlink"/>
          </w:rPr>
          <w:t>Updated Results Architecture for GEF-7</w:t>
        </w:r>
      </w:hyperlink>
      <w:r>
        <w:t xml:space="preserve">, </w:t>
      </w:r>
      <w:r w:rsidRPr="001C2AC3">
        <w:t>GEF/C.54/11/Rev.02</w:t>
      </w:r>
      <w:r>
        <w:rPr>
          <w:rFonts w:eastAsia="DengXian" w:hint="eastAsia"/>
          <w:lang w:eastAsia="zh-CN"/>
        </w:rPr>
        <w:t>。</w:t>
      </w:r>
    </w:p>
  </w:footnote>
  <w:footnote w:id="5">
    <w:p w14:paraId="6147F683" w14:textId="77777777" w:rsidR="006049C9" w:rsidRPr="004C6CE0" w:rsidRDefault="006049C9" w:rsidP="000347FD">
      <w:pPr>
        <w:pStyle w:val="FootnoteText"/>
        <w:rPr>
          <w:rFonts w:eastAsia="DengXian"/>
          <w:lang w:eastAsia="zh-CN"/>
        </w:rPr>
      </w:pPr>
      <w:r>
        <w:rPr>
          <w:rStyle w:val="FootnoteReference"/>
        </w:rPr>
        <w:footnoteRef/>
      </w:r>
      <w:r>
        <w:rPr>
          <w:lang w:eastAsia="zh-CN"/>
        </w:rPr>
        <w:t xml:space="preserve"> </w:t>
      </w:r>
      <w:r w:rsidRPr="00BB6E18">
        <w:rPr>
          <w:rFonts w:ascii="SimSun" w:eastAsia="SimSun" w:hAnsi="SimSun"/>
          <w:lang w:eastAsia="zh-CN"/>
        </w:rPr>
        <w:t>全环基金, 2019</w:t>
      </w:r>
      <w:r w:rsidRPr="00BB6E18">
        <w:rPr>
          <w:rFonts w:ascii="SimSun" w:eastAsia="SimSun" w:hAnsi="SimSun"/>
          <w:lang w:eastAsia="zh-CN"/>
        </w:rPr>
        <w:t>年</w:t>
      </w:r>
      <w:r>
        <w:rPr>
          <w:lang w:eastAsia="zh-CN"/>
        </w:rPr>
        <w:t xml:space="preserve">, </w:t>
      </w:r>
      <w:hyperlink r:id="rId2" w:history="1">
        <w:r>
          <w:rPr>
            <w:rStyle w:val="Hyperlink"/>
            <w:lang w:eastAsia="zh-CN"/>
          </w:rPr>
          <w:t>Work Program for GEF Trust Fund</w:t>
        </w:r>
      </w:hyperlink>
      <w:r>
        <w:rPr>
          <w:lang w:eastAsia="zh-CN"/>
        </w:rPr>
        <w:t xml:space="preserve">, </w:t>
      </w:r>
      <w:r w:rsidRPr="00E4505D">
        <w:rPr>
          <w:lang w:eastAsia="zh-CN"/>
        </w:rPr>
        <w:t>GEF/C.57/07</w:t>
      </w:r>
      <w:r>
        <w:rPr>
          <w:rFonts w:ascii="DengXian" w:eastAsia="DengXian" w:hAnsi="DengXian" w:hint="eastAsia"/>
          <w:lang w:eastAsia="zh-CN"/>
        </w:rPr>
        <w:t>。</w:t>
      </w:r>
    </w:p>
  </w:footnote>
  <w:footnote w:id="6">
    <w:p w14:paraId="2364D2A7" w14:textId="51019C68" w:rsidR="006049C9" w:rsidRPr="00E64E3B" w:rsidRDefault="006049C9" w:rsidP="00416AF1">
      <w:pPr>
        <w:pStyle w:val="FootnoteText"/>
        <w:rPr>
          <w:lang w:eastAsia="zh-CN"/>
        </w:rPr>
      </w:pPr>
      <w:r w:rsidRPr="00E64E3B">
        <w:rPr>
          <w:rStyle w:val="FootnoteReference"/>
        </w:rPr>
        <w:footnoteRef/>
      </w:r>
      <w:r>
        <w:rPr>
          <w:rFonts w:ascii="SimSun" w:eastAsia="SimSun" w:hAnsi="SimSun" w:cs="SimSun" w:hint="eastAsia"/>
          <w:lang w:eastAsia="zh-CN"/>
        </w:rPr>
        <w:t xml:space="preserve"> </w:t>
      </w:r>
      <w:r>
        <w:rPr>
          <w:rFonts w:ascii="SimSun" w:eastAsia="SimSun" w:hAnsi="SimSun" w:cs="SimSun"/>
          <w:lang w:eastAsia="zh-CN"/>
        </w:rPr>
        <w:t>这些数字包括机构费用和项目编制补助金</w:t>
      </w:r>
      <w:r>
        <w:rPr>
          <w:rFonts w:ascii="SimSun" w:eastAsia="SimSun" w:hAnsi="SimSun" w:cs="SimSun" w:hint="eastAsia"/>
          <w:lang w:eastAsia="zh-CN"/>
        </w:rPr>
        <w:t>。</w:t>
      </w:r>
    </w:p>
  </w:footnote>
  <w:footnote w:id="7">
    <w:p w14:paraId="2923B7C3" w14:textId="75E1E265" w:rsidR="006049C9" w:rsidRPr="009636E5" w:rsidRDefault="006049C9">
      <w:pPr>
        <w:pStyle w:val="FootnoteText"/>
        <w:rPr>
          <w:lang w:eastAsia="zh-CN"/>
        </w:rPr>
      </w:pPr>
      <w:r w:rsidRPr="009C6183">
        <w:rPr>
          <w:rStyle w:val="FootnoteReference"/>
        </w:rPr>
        <w:footnoteRef/>
      </w:r>
      <w:r w:rsidRPr="00C20CCA">
        <w:rPr>
          <w:rFonts w:eastAsia="SimSun"/>
          <w:lang w:eastAsia="zh-CN"/>
        </w:rPr>
        <w:t xml:space="preserve"> </w:t>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lang w:eastAsia="zh-CN"/>
        </w:rPr>
        <w:t>PPG</w:t>
      </w:r>
      <w:r>
        <w:rPr>
          <w:rFonts w:ascii="SimSun" w:eastAsia="SimSun" w:hAnsi="SimSun" w:cs="SimSun" w:hint="eastAsia"/>
          <w:lang w:eastAsia="zh-CN"/>
        </w:rPr>
        <w:t>）。</w:t>
      </w:r>
    </w:p>
  </w:footnote>
  <w:footnote w:id="8">
    <w:p w14:paraId="5A1FAE53" w14:textId="1A2F9700" w:rsidR="006049C9" w:rsidRDefault="006049C9">
      <w:pPr>
        <w:pStyle w:val="FootnoteText"/>
        <w:rPr>
          <w:lang w:eastAsia="zh-CN"/>
        </w:rPr>
      </w:pPr>
      <w:r>
        <w:rPr>
          <w:rStyle w:val="FootnoteReference"/>
        </w:rPr>
        <w:footnoteRef/>
      </w:r>
      <w:r>
        <w:rPr>
          <w:rFonts w:eastAsia="DengXian" w:hint="eastAsia"/>
          <w:lang w:eastAsia="zh-CN"/>
        </w:rPr>
        <w:t xml:space="preserve"> </w:t>
      </w:r>
      <w:r>
        <w:rPr>
          <w:lang w:eastAsia="zh-CN"/>
        </w:rPr>
        <w:t>本行</w:t>
      </w:r>
      <w:r>
        <w:rPr>
          <w:rFonts w:ascii="SimSun" w:eastAsia="SimSun" w:hAnsi="SimSun" w:cs="SimSun"/>
          <w:lang w:eastAsia="zh-CN"/>
        </w:rPr>
        <w:t>报告的STAR</w:t>
      </w:r>
      <w:r>
        <w:rPr>
          <w:rFonts w:ascii="SimSun" w:eastAsia="SimSun" w:hAnsi="SimSun" w:cs="SimSun"/>
          <w:lang w:eastAsia="zh-CN"/>
        </w:rPr>
        <w:t>分配额开列不属于影响方案的一部分但使用生物多样性资源的生物多样性重点领域方案和多重点领域方案</w:t>
      </w:r>
      <w:r>
        <w:rPr>
          <w:rFonts w:ascii="SimSun" w:eastAsia="SimSun" w:hAnsi="SimSun" w:cs="SimSun" w:hint="eastAsia"/>
          <w:lang w:eastAsia="zh-CN"/>
        </w:rPr>
        <w:t>。</w:t>
      </w:r>
    </w:p>
  </w:footnote>
  <w:footnote w:id="9">
    <w:p w14:paraId="10DF310B" w14:textId="7B121ED0" w:rsidR="006049C9" w:rsidRDefault="006049C9" w:rsidP="00CF090D">
      <w:pPr>
        <w:pStyle w:val="FootnoteText"/>
        <w:rPr>
          <w:lang w:eastAsia="zh-CN"/>
        </w:rPr>
      </w:pPr>
      <w:r>
        <w:rPr>
          <w:rStyle w:val="FootnoteReference"/>
        </w:rPr>
        <w:footnoteRef/>
      </w:r>
      <w:r>
        <w:rPr>
          <w:rFonts w:ascii="SimSun" w:eastAsia="SimSun" w:hAnsi="SimSun" w:cs="SimSun" w:hint="eastAsia"/>
          <w:lang w:eastAsia="zh-CN"/>
        </w:rPr>
        <w:t xml:space="preserve"> </w:t>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lang w:eastAsia="zh-CN"/>
        </w:rPr>
        <w:t>PPG</w:t>
      </w:r>
      <w:r>
        <w:rPr>
          <w:rFonts w:ascii="SimSun" w:eastAsia="SimSun" w:hAnsi="SimSun" w:cs="SimSun" w:hint="eastAsia"/>
          <w:lang w:eastAsia="zh-CN"/>
        </w:rPr>
        <w:t>）。</w:t>
      </w:r>
    </w:p>
  </w:footnote>
  <w:footnote w:id="10">
    <w:p w14:paraId="308E831E" w14:textId="72928DC0" w:rsidR="006049C9" w:rsidRDefault="006049C9" w:rsidP="00194C82">
      <w:pPr>
        <w:pStyle w:val="FootnoteText"/>
        <w:rPr>
          <w:lang w:eastAsia="zh-CN"/>
        </w:rPr>
      </w:pPr>
      <w:r>
        <w:rPr>
          <w:rStyle w:val="FootnoteReference"/>
        </w:rPr>
        <w:footnoteRef/>
      </w:r>
      <w:r w:rsidRPr="00A55818">
        <w:rPr>
          <w:rFonts w:eastAsia="SimSun"/>
          <w:lang w:val="en-US" w:eastAsia="zh-CN"/>
        </w:rPr>
        <w:t xml:space="preserve"> </w:t>
      </w:r>
      <w:r>
        <w:rPr>
          <w:rFonts w:ascii="SimSun" w:eastAsia="SimSun" w:hAnsi="SimSun" w:cs="SimSun"/>
          <w:lang w:eastAsia="zh-CN"/>
        </w:rPr>
        <w:t>这些数字包括用于方案规划办法的项目编制补助金的全部数额</w:t>
      </w:r>
      <w:r>
        <w:rPr>
          <w:rFonts w:ascii="SimSun" w:eastAsia="SimSun" w:hAnsi="SimSun" w:cs="SimSun" w:hint="eastAsia"/>
          <w:lang w:eastAsia="zh-CN"/>
        </w:rPr>
        <w:t>，</w:t>
      </w:r>
      <w:r>
        <w:rPr>
          <w:rFonts w:ascii="SimSun" w:eastAsia="SimSun" w:hAnsi="SimSun" w:cs="SimSun"/>
          <w:lang w:eastAsia="zh-CN"/>
        </w:rPr>
        <w:t>其中包括生物多样性资源</w:t>
      </w:r>
      <w:r>
        <w:rPr>
          <w:rFonts w:ascii="SimSun" w:eastAsia="SimSun" w:hAnsi="SimSun" w:cs="SimSun" w:hint="eastAsia"/>
          <w:lang w:eastAsia="zh-CN"/>
        </w:rPr>
        <w:t>。</w:t>
      </w:r>
    </w:p>
  </w:footnote>
  <w:footnote w:id="11">
    <w:p w14:paraId="3145A60D" w14:textId="38DE588B" w:rsidR="006049C9" w:rsidRPr="009636E5" w:rsidRDefault="006049C9" w:rsidP="00BE3975">
      <w:pPr>
        <w:pStyle w:val="FootnoteText"/>
        <w:rPr>
          <w:lang w:eastAsia="zh-CN"/>
        </w:rPr>
      </w:pPr>
      <w:r w:rsidRPr="009C6183">
        <w:rPr>
          <w:rStyle w:val="FootnoteReference"/>
        </w:rPr>
        <w:footnoteRef/>
      </w:r>
      <w:r>
        <w:rPr>
          <w:rFonts w:ascii="SimSun" w:eastAsia="SimSun" w:hAnsi="SimSun" w:cs="SimSun"/>
          <w:lang w:val="en-US" w:eastAsia="zh-CN"/>
        </w:rPr>
        <w:t xml:space="preserve"> </w:t>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lang w:eastAsia="zh-CN"/>
        </w:rPr>
        <w:t>PPG</w:t>
      </w:r>
      <w:r>
        <w:rPr>
          <w:rFonts w:ascii="SimSun" w:eastAsia="SimSun" w:hAnsi="SimSun" w:cs="SimSun" w:hint="eastAsia"/>
          <w:lang w:eastAsia="zh-CN"/>
        </w:rPr>
        <w:t>）。</w:t>
      </w:r>
    </w:p>
  </w:footnote>
  <w:footnote w:id="12">
    <w:p w14:paraId="1936609D" w14:textId="30F4C2B5" w:rsidR="006049C9" w:rsidRPr="002C4A00" w:rsidRDefault="006049C9" w:rsidP="00656983">
      <w:pPr>
        <w:pStyle w:val="FootnoteText"/>
        <w:rPr>
          <w:lang w:eastAsia="zh-CN"/>
        </w:rPr>
      </w:pPr>
      <w:r w:rsidRPr="009C6183">
        <w:rPr>
          <w:rStyle w:val="FootnoteReference"/>
        </w:rPr>
        <w:footnoteRef/>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lang w:eastAsia="zh-CN"/>
        </w:rPr>
        <w:t>PPG</w:t>
      </w:r>
      <w:r>
        <w:rPr>
          <w:rFonts w:ascii="SimSun" w:eastAsia="SimSun" w:hAnsi="SimSun" w:cs="SimSun" w:hint="eastAsia"/>
          <w:lang w:eastAsia="zh-CN"/>
        </w:rPr>
        <w:t>）</w:t>
      </w:r>
      <w:r>
        <w:rPr>
          <w:rFonts w:ascii="SimSun" w:eastAsia="SimSun" w:hAnsi="SimSun" w:cs="SimSun" w:hint="eastAsia"/>
          <w:lang w:eastAsia="zh-CN"/>
        </w:rPr>
        <w:t>。</w:t>
      </w:r>
    </w:p>
  </w:footnote>
  <w:footnote w:id="13">
    <w:p w14:paraId="65F84377" w14:textId="229A5781" w:rsidR="006049C9" w:rsidRPr="009636E5" w:rsidRDefault="006049C9" w:rsidP="00906D50">
      <w:pPr>
        <w:pStyle w:val="FootnoteText"/>
        <w:rPr>
          <w:lang w:eastAsia="zh-CN"/>
        </w:rPr>
      </w:pPr>
      <w:r w:rsidRPr="009C6183">
        <w:rPr>
          <w:rStyle w:val="FootnoteReference"/>
        </w:rPr>
        <w:footnoteRef/>
      </w:r>
      <w:r w:rsidRPr="009C6183">
        <w:rPr>
          <w:vertAlign w:val="superscript"/>
          <w:lang w:eastAsia="zh-CN"/>
        </w:rPr>
        <w:t xml:space="preserve"> </w:t>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rFonts w:ascii="SimSun" w:eastAsia="SimSun" w:hAnsi="SimSun" w:cs="SimSun"/>
          <w:lang w:eastAsia="zh-CN"/>
        </w:rPr>
        <w:t>因为这些费用与具体爱知目标无关</w:t>
      </w:r>
      <w:r>
        <w:rPr>
          <w:rFonts w:ascii="SimSun" w:eastAsia="SimSun" w:hAnsi="SimSun" w:cs="SimSun" w:hint="eastAsia"/>
          <w:lang w:eastAsia="zh-CN"/>
        </w:rPr>
        <w:t>。</w:t>
      </w:r>
    </w:p>
  </w:footnote>
  <w:footnote w:id="14">
    <w:p w14:paraId="4B0C0333" w14:textId="329EAD6D" w:rsidR="006049C9" w:rsidRPr="00A01188" w:rsidRDefault="006049C9" w:rsidP="00906D50">
      <w:pPr>
        <w:pStyle w:val="FootnoteText"/>
        <w:rPr>
          <w:lang w:eastAsia="zh-CN"/>
        </w:rPr>
      </w:pPr>
      <w:r w:rsidRPr="009C6183">
        <w:rPr>
          <w:rStyle w:val="FootnoteReference"/>
        </w:rPr>
        <w:footnoteRef/>
      </w:r>
      <w:r w:rsidRPr="009C6183">
        <w:rPr>
          <w:vertAlign w:val="superscript"/>
          <w:lang w:eastAsia="zh-CN"/>
        </w:rPr>
        <w:t xml:space="preserve"> </w:t>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lang w:eastAsia="zh-CN"/>
        </w:rPr>
        <w:t>PPG</w:t>
      </w:r>
      <w:r>
        <w:rPr>
          <w:rFonts w:ascii="SimSun" w:eastAsia="SimSun" w:hAnsi="SimSun" w:cs="SimSun" w:hint="eastAsia"/>
          <w:lang w:eastAsia="zh-CN"/>
        </w:rPr>
        <w:t>）。</w:t>
      </w:r>
    </w:p>
  </w:footnote>
  <w:footnote w:id="15">
    <w:p w14:paraId="6FEBED4D" w14:textId="44647AF8" w:rsidR="006049C9" w:rsidRPr="00E50FC6" w:rsidRDefault="006049C9" w:rsidP="000F67FB">
      <w:pPr>
        <w:pStyle w:val="FootnoteText"/>
        <w:rPr>
          <w:lang w:eastAsia="zh-CN"/>
        </w:rPr>
      </w:pPr>
      <w:r w:rsidRPr="009C6183">
        <w:rPr>
          <w:rStyle w:val="FootnoteReference"/>
        </w:rPr>
        <w:footnoteRef/>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lang w:eastAsia="zh-CN"/>
        </w:rPr>
        <w:t>PPG</w:t>
      </w:r>
      <w:r>
        <w:rPr>
          <w:rFonts w:ascii="SimSun" w:eastAsia="SimSun" w:hAnsi="SimSun" w:cs="SimSun" w:hint="eastAsia"/>
          <w:lang w:eastAsia="zh-CN"/>
        </w:rPr>
        <w:t>）</w:t>
      </w:r>
      <w:r>
        <w:rPr>
          <w:rFonts w:ascii="SimSun" w:eastAsia="SimSun" w:hAnsi="SimSun" w:cs="SimSun" w:hint="eastAsia"/>
          <w:lang w:eastAsia="zh-CN"/>
        </w:rPr>
        <w:t>。</w:t>
      </w:r>
    </w:p>
  </w:footnote>
  <w:footnote w:id="16">
    <w:p w14:paraId="0AF21479" w14:textId="717A01B1" w:rsidR="006049C9" w:rsidRPr="009636E5" w:rsidRDefault="006049C9" w:rsidP="000F67FB">
      <w:pPr>
        <w:pStyle w:val="FootnoteText"/>
        <w:rPr>
          <w:lang w:eastAsia="zh-CN"/>
        </w:rPr>
      </w:pPr>
      <w:r w:rsidRPr="009C6183">
        <w:rPr>
          <w:rStyle w:val="FootnoteReference"/>
        </w:rPr>
        <w:footnoteRef/>
      </w:r>
      <w:r w:rsidRPr="009636E5">
        <w:rPr>
          <w:lang w:eastAsia="zh-CN"/>
        </w:rPr>
        <w:t xml:space="preserve"> </w:t>
      </w:r>
      <w:r>
        <w:rPr>
          <w:rFonts w:ascii="SimSun" w:eastAsia="SimSun" w:hAnsi="SimSun" w:cs="SimSun"/>
          <w:lang w:eastAsia="zh-CN"/>
        </w:rPr>
        <w:t>这些数字不包括机构费用或项目编制补助金</w:t>
      </w:r>
      <w:r>
        <w:rPr>
          <w:rFonts w:ascii="SimSun" w:eastAsia="SimSun" w:hAnsi="SimSun" w:cs="SimSun" w:hint="eastAsia"/>
          <w:lang w:eastAsia="zh-CN"/>
        </w:rPr>
        <w:t>，</w:t>
      </w:r>
      <w:r>
        <w:rPr>
          <w:rFonts w:ascii="SimSun" w:eastAsia="SimSun" w:hAnsi="SimSun" w:cs="SimSun"/>
          <w:lang w:eastAsia="zh-CN"/>
        </w:rPr>
        <w:t>因为这些费用与具体爱知目标无关</w:t>
      </w:r>
      <w:r>
        <w:rPr>
          <w:rFonts w:ascii="SimSun" w:eastAsia="SimSun" w:hAnsi="SimSun" w:cs="SimSun" w:hint="eastAsia"/>
          <w:lang w:eastAsia="zh-CN"/>
        </w:rPr>
        <w:t>。</w:t>
      </w:r>
    </w:p>
  </w:footnote>
  <w:footnote w:id="17">
    <w:p w14:paraId="2CF902C2" w14:textId="056A4924" w:rsidR="006049C9" w:rsidRPr="00B33C86" w:rsidRDefault="006049C9">
      <w:pPr>
        <w:pStyle w:val="FootnoteText"/>
        <w:rPr>
          <w:rFonts w:eastAsia="DengXian"/>
          <w:lang w:eastAsia="zh-CN"/>
        </w:rPr>
      </w:pPr>
      <w:r>
        <w:rPr>
          <w:rStyle w:val="FootnoteReference"/>
        </w:rPr>
        <w:footnoteRef/>
      </w:r>
      <w:r w:rsidRPr="00FC589E">
        <w:rPr>
          <w:rFonts w:eastAsia="SimSun"/>
          <w:lang w:eastAsia="zh-CN"/>
        </w:rPr>
        <w:t>见第</w:t>
      </w:r>
      <w:r w:rsidRPr="00FC589E">
        <w:rPr>
          <w:rFonts w:eastAsia="SimSun"/>
          <w:lang w:eastAsia="zh-CN"/>
        </w:rPr>
        <w:t xml:space="preserve"> X</w:t>
      </w:r>
      <w:r>
        <w:rPr>
          <w:rFonts w:eastAsia="SimSun"/>
          <w:lang w:val="en-US" w:eastAsia="zh-CN"/>
        </w:rPr>
        <w:t>IV</w:t>
      </w:r>
      <w:r w:rsidRPr="00FC589E">
        <w:rPr>
          <w:rFonts w:eastAsia="SimSun"/>
          <w:lang w:eastAsia="zh-CN"/>
        </w:rPr>
        <w:t>/2</w:t>
      </w:r>
      <w:r>
        <w:rPr>
          <w:rFonts w:eastAsia="SimSun"/>
          <w:lang w:eastAsia="zh-CN"/>
        </w:rPr>
        <w:t>3</w:t>
      </w:r>
      <w:r w:rsidRPr="00FC589E">
        <w:rPr>
          <w:rFonts w:eastAsia="SimSun"/>
          <w:lang w:eastAsia="zh-CN"/>
        </w:rPr>
        <w:t>号决定。</w:t>
      </w:r>
    </w:p>
  </w:footnote>
  <w:footnote w:id="18">
    <w:p w14:paraId="345C1CC4" w14:textId="0BBA7CEA" w:rsidR="006049C9" w:rsidRDefault="006049C9" w:rsidP="00A0073D">
      <w:pPr>
        <w:pStyle w:val="FootnoteText"/>
        <w:tabs>
          <w:tab w:val="left" w:pos="360"/>
        </w:tabs>
        <w:rPr>
          <w:rFonts w:eastAsia="DengXian"/>
          <w:sz w:val="20"/>
          <w:szCs w:val="20"/>
          <w:lang w:eastAsia="zh-CN"/>
        </w:rPr>
      </w:pPr>
      <w:r w:rsidRPr="002C17EE">
        <w:rPr>
          <w:rStyle w:val="FootnoteReference"/>
        </w:rPr>
        <w:footnoteRef/>
      </w:r>
      <w:r>
        <w:rPr>
          <w:rStyle w:val="FootnoteReference"/>
          <w:sz w:val="24"/>
          <w:szCs w:val="20"/>
          <w:lang w:eastAsia="zh-CN"/>
        </w:rPr>
        <w:t xml:space="preserve"> </w:t>
      </w:r>
      <w:r w:rsidRPr="00FC589E">
        <w:rPr>
          <w:rFonts w:eastAsia="SimSun"/>
          <w:lang w:eastAsia="zh-CN"/>
        </w:rPr>
        <w:t>见第</w:t>
      </w:r>
      <w:r w:rsidRPr="00FC589E">
        <w:rPr>
          <w:rFonts w:eastAsia="SimSun"/>
          <w:lang w:eastAsia="zh-CN"/>
        </w:rPr>
        <w:t xml:space="preserve"> XIII/21</w:t>
      </w:r>
      <w:r w:rsidRPr="00FC589E">
        <w:rPr>
          <w:rFonts w:eastAsia="SimSun"/>
          <w:lang w:eastAsia="zh-CN"/>
        </w:rPr>
        <w:t>号决定。</w:t>
      </w:r>
    </w:p>
  </w:footnote>
  <w:footnote w:id="19">
    <w:p w14:paraId="38FE7D6B" w14:textId="0BF9AAC6" w:rsidR="006049C9" w:rsidRDefault="006049C9" w:rsidP="00041B7A">
      <w:pPr>
        <w:pStyle w:val="FootnoteText"/>
        <w:rPr>
          <w:lang w:eastAsia="zh-CN"/>
        </w:rPr>
      </w:pPr>
      <w:r>
        <w:rPr>
          <w:rStyle w:val="FootnoteReference"/>
        </w:rPr>
        <w:footnoteRef/>
      </w:r>
      <w:r>
        <w:rPr>
          <w:lang w:eastAsia="zh-CN"/>
        </w:rPr>
        <w:t xml:space="preserve"> </w:t>
      </w:r>
      <w:r w:rsidRPr="00FC589E">
        <w:rPr>
          <w:rFonts w:eastAsia="SimSun"/>
          <w:lang w:eastAsia="zh-CN"/>
        </w:rPr>
        <w:t>全环基金</w:t>
      </w:r>
      <w:r>
        <w:rPr>
          <w:rFonts w:eastAsia="SimSun" w:hint="eastAsia"/>
          <w:lang w:eastAsia="zh-CN"/>
        </w:rPr>
        <w:t xml:space="preserve">, </w:t>
      </w:r>
      <w:r w:rsidRPr="00FC589E">
        <w:rPr>
          <w:rFonts w:eastAsia="SimSun"/>
          <w:lang w:eastAsia="zh-CN"/>
        </w:rPr>
        <w:t>2018</w:t>
      </w:r>
      <w:r w:rsidRPr="00FC589E">
        <w:rPr>
          <w:rFonts w:eastAsia="SimSun"/>
          <w:lang w:eastAsia="zh-CN"/>
        </w:rPr>
        <w:t>年</w:t>
      </w:r>
      <w:r>
        <w:rPr>
          <w:rFonts w:eastAsia="SimSun" w:hint="eastAsia"/>
          <w:lang w:eastAsia="zh-CN"/>
        </w:rPr>
        <w:t xml:space="preserve">, </w:t>
      </w:r>
      <w:hyperlink r:id="rId3" w:history="1">
        <w:r w:rsidRPr="00727744">
          <w:rPr>
            <w:rStyle w:val="Hyperlink"/>
            <w:rFonts w:ascii="SimSun" w:eastAsia="SimSun" w:hAnsi="SimSun" w:hint="eastAsia"/>
            <w:iCs/>
            <w:lang w:eastAsia="zh-CN"/>
          </w:rPr>
          <w:t>更新后的《</w:t>
        </w:r>
        <w:r w:rsidRPr="00727744">
          <w:rPr>
            <w:rStyle w:val="Hyperlink"/>
            <w:rFonts w:ascii="SimSun" w:eastAsia="SimSun" w:hAnsi="SimSun" w:cs="SimSun" w:hint="eastAsia"/>
            <w:iCs/>
            <w:lang w:eastAsia="zh-CN"/>
          </w:rPr>
          <w:t>环</w:t>
        </w:r>
        <w:r w:rsidRPr="00727744">
          <w:rPr>
            <w:rStyle w:val="Hyperlink"/>
            <w:rFonts w:ascii="SimSun" w:eastAsia="SimSun" w:hAnsi="SimSun" w:cs="MS Gothic" w:hint="eastAsia"/>
            <w:iCs/>
            <w:lang w:eastAsia="zh-CN"/>
          </w:rPr>
          <w:t>境和社会保障政策</w:t>
        </w:r>
        <w:r w:rsidRPr="00727744">
          <w:rPr>
            <w:rStyle w:val="Hyperlink"/>
            <w:rFonts w:ascii="SimSun" w:eastAsia="SimSun" w:hAnsi="SimSun" w:hint="eastAsia"/>
            <w:iCs/>
            <w:lang w:eastAsia="zh-CN"/>
          </w:rPr>
          <w:t>》</w:t>
        </w:r>
      </w:hyperlink>
      <w:r>
        <w:rPr>
          <w:rFonts w:ascii="SimSun" w:eastAsia="SimSun" w:hAnsi="SimSun" w:hint="eastAsia"/>
          <w:iCs/>
          <w:lang w:eastAsia="zh-CN"/>
        </w:rPr>
        <w:t>,</w:t>
      </w:r>
      <w:r w:rsidRPr="00FC589E">
        <w:rPr>
          <w:rFonts w:eastAsia="SimSun"/>
          <w:iCs/>
          <w:lang w:eastAsia="zh-CN"/>
        </w:rPr>
        <w:t>理事会</w:t>
      </w:r>
      <w:r w:rsidRPr="00FC589E">
        <w:rPr>
          <w:rFonts w:eastAsia="SimSun"/>
          <w:iCs/>
          <w:lang w:eastAsia="zh-CN"/>
        </w:rPr>
        <w:t>GEF/C.55/07/Rev.01</w:t>
      </w:r>
      <w:r w:rsidRPr="00FC589E">
        <w:rPr>
          <w:rFonts w:eastAsia="SimSun"/>
          <w:iCs/>
          <w:lang w:eastAsia="zh-CN"/>
        </w:rPr>
        <w:t>号文件</w:t>
      </w:r>
      <w:r>
        <w:rPr>
          <w:rFonts w:eastAsia="SimSun" w:hint="eastAsia"/>
          <w:iCs/>
          <w:lang w:eastAsia="zh-CN"/>
        </w:rPr>
        <w:t>。</w:t>
      </w:r>
    </w:p>
  </w:footnote>
  <w:footnote w:id="20">
    <w:p w14:paraId="1127160F" w14:textId="77777777" w:rsidR="006049C9" w:rsidRDefault="006049C9" w:rsidP="00F14C7E">
      <w:pPr>
        <w:pStyle w:val="FootnoteText"/>
        <w:rPr>
          <w:lang w:eastAsia="zh-CN"/>
        </w:rPr>
      </w:pPr>
      <w:r>
        <w:rPr>
          <w:rStyle w:val="FootnoteReference"/>
        </w:rPr>
        <w:footnoteRef/>
      </w:r>
      <w:r>
        <w:rPr>
          <w:lang w:eastAsia="zh-CN"/>
        </w:rPr>
        <w:t xml:space="preserve"> </w:t>
      </w:r>
      <w:r w:rsidRPr="00FC589E">
        <w:rPr>
          <w:rFonts w:eastAsia="SimSun"/>
          <w:lang w:eastAsia="zh-CN"/>
        </w:rPr>
        <w:t>同上。</w:t>
      </w:r>
    </w:p>
  </w:footnote>
  <w:footnote w:id="21">
    <w:p w14:paraId="629ADFFB" w14:textId="340B1154" w:rsidR="006049C9" w:rsidRDefault="006049C9" w:rsidP="006D5607">
      <w:pPr>
        <w:pStyle w:val="FootnoteText"/>
        <w:rPr>
          <w:lang w:eastAsia="zh-CN"/>
        </w:rPr>
      </w:pPr>
      <w:r>
        <w:rPr>
          <w:rStyle w:val="FootnoteReference"/>
        </w:rPr>
        <w:footnoteRef/>
      </w:r>
      <w:r>
        <w:rPr>
          <w:lang w:eastAsia="zh-CN"/>
        </w:rPr>
        <w:t xml:space="preserve"> </w:t>
      </w:r>
      <w:bookmarkStart w:id="16" w:name="_Hlk32079827"/>
      <w:r w:rsidRPr="006D5607">
        <w:rPr>
          <w:rFonts w:eastAsia="SimSun"/>
          <w:lang w:eastAsia="zh-CN"/>
        </w:rPr>
        <w:t>全环基金</w:t>
      </w:r>
      <w:r w:rsidRPr="006D5607">
        <w:rPr>
          <w:rFonts w:eastAsia="SimSun"/>
          <w:lang w:eastAsia="zh-CN"/>
        </w:rPr>
        <w:t>, 2019</w:t>
      </w:r>
      <w:r w:rsidRPr="006D5607">
        <w:rPr>
          <w:rFonts w:eastAsia="SimSun"/>
          <w:lang w:eastAsia="zh-CN"/>
        </w:rPr>
        <w:t>年</w:t>
      </w:r>
      <w:r w:rsidRPr="006D5607">
        <w:rPr>
          <w:rFonts w:eastAsia="SimSun"/>
          <w:lang w:eastAsia="zh-CN"/>
        </w:rPr>
        <w:t>,</w:t>
      </w:r>
      <w:hyperlink r:id="rId4" w:history="1">
        <w:r w:rsidRPr="006D5607">
          <w:rPr>
            <w:rStyle w:val="Hyperlink"/>
            <w:rFonts w:eastAsia="SimSun"/>
            <w:lang w:eastAsia="zh-CN"/>
          </w:rPr>
          <w:t>全环基金关于监测的政策</w:t>
        </w:r>
      </w:hyperlink>
      <w:r w:rsidRPr="006D5607">
        <w:rPr>
          <w:rFonts w:eastAsia="SimSun"/>
          <w:lang w:eastAsia="zh-CN"/>
        </w:rPr>
        <w:t>,</w:t>
      </w:r>
      <w:r w:rsidRPr="006D5607">
        <w:rPr>
          <w:rFonts w:eastAsia="SimSun"/>
          <w:lang w:eastAsia="zh-CN"/>
        </w:rPr>
        <w:t>理事会</w:t>
      </w:r>
      <w:r w:rsidRPr="006D5607">
        <w:rPr>
          <w:rFonts w:eastAsia="SimSun"/>
          <w:lang w:eastAsia="zh-CN"/>
        </w:rPr>
        <w:t>GEF/C.56/03/Rev.01</w:t>
      </w:r>
      <w:r w:rsidRPr="006D5607">
        <w:rPr>
          <w:rFonts w:eastAsia="SimSun"/>
          <w:lang w:eastAsia="zh-CN"/>
        </w:rPr>
        <w:t>号文件。</w:t>
      </w:r>
      <w:bookmarkEnd w:id="16"/>
    </w:p>
  </w:footnote>
  <w:footnote w:id="22">
    <w:p w14:paraId="2A6549F6" w14:textId="6CD03CA8" w:rsidR="006049C9" w:rsidRDefault="006049C9" w:rsidP="00B13D4A">
      <w:pPr>
        <w:pStyle w:val="FootnoteText"/>
        <w:rPr>
          <w:lang w:eastAsia="zh-CN"/>
        </w:rPr>
      </w:pPr>
      <w:r>
        <w:rPr>
          <w:rStyle w:val="FootnoteReference"/>
        </w:rPr>
        <w:footnoteRef/>
      </w:r>
      <w:r>
        <w:rPr>
          <w:lang w:eastAsia="zh-CN"/>
        </w:rPr>
        <w:t xml:space="preserve"> </w:t>
      </w:r>
      <w:r w:rsidRPr="00644D29">
        <w:rPr>
          <w:rFonts w:eastAsia="SimSun"/>
          <w:lang w:eastAsia="zh-CN"/>
        </w:rPr>
        <w:t>全环基金</w:t>
      </w:r>
      <w:r w:rsidRPr="00644D29">
        <w:rPr>
          <w:rFonts w:eastAsia="SimSun"/>
          <w:lang w:eastAsia="zh-CN"/>
        </w:rPr>
        <w:t>, 2019</w:t>
      </w:r>
      <w:r w:rsidRPr="00644D29">
        <w:rPr>
          <w:rFonts w:eastAsia="SimSun"/>
          <w:lang w:eastAsia="zh-CN"/>
        </w:rPr>
        <w:t>年</w:t>
      </w:r>
      <w:r w:rsidRPr="00644D29">
        <w:rPr>
          <w:rFonts w:eastAsia="SimSun"/>
          <w:lang w:eastAsia="zh-CN"/>
        </w:rPr>
        <w:t>,</w:t>
      </w:r>
      <w:hyperlink r:id="rId5" w:history="1">
        <w:r w:rsidRPr="00644D29">
          <w:rPr>
            <w:rStyle w:val="Hyperlink"/>
            <w:rFonts w:eastAsia="SimSun"/>
            <w:lang w:eastAsia="zh-CN"/>
          </w:rPr>
          <w:t>全环基金监测报告</w:t>
        </w:r>
      </w:hyperlink>
      <w:r w:rsidRPr="00644D29">
        <w:rPr>
          <w:rFonts w:eastAsia="SimSun"/>
          <w:lang w:eastAsia="zh-CN"/>
        </w:rPr>
        <w:t xml:space="preserve">, </w:t>
      </w:r>
      <w:r w:rsidRPr="00644D29">
        <w:rPr>
          <w:rFonts w:eastAsia="SimSun"/>
          <w:lang w:eastAsia="zh-CN"/>
        </w:rPr>
        <w:t>理事会</w:t>
      </w:r>
      <w:r w:rsidRPr="00644D29">
        <w:rPr>
          <w:rFonts w:eastAsia="SimSun"/>
          <w:lang w:eastAsia="zh-CN"/>
        </w:rPr>
        <w:t>GEF/C.57/03</w:t>
      </w:r>
      <w:r w:rsidRPr="00644D29">
        <w:rPr>
          <w:rFonts w:eastAsia="SimSun"/>
          <w:lang w:eastAsia="zh-CN"/>
        </w:rPr>
        <w:t>号文件。</w:t>
      </w:r>
    </w:p>
  </w:footnote>
  <w:footnote w:id="23">
    <w:p w14:paraId="3B4EDB20" w14:textId="242A7CA1" w:rsidR="006049C9" w:rsidRPr="00F63211" w:rsidRDefault="006049C9">
      <w:pPr>
        <w:pStyle w:val="FootnoteText"/>
        <w:rPr>
          <w:rFonts w:eastAsia="DengXian"/>
          <w:lang w:eastAsia="zh-CN"/>
        </w:rPr>
      </w:pPr>
      <w:r>
        <w:rPr>
          <w:rStyle w:val="FootnoteReference"/>
        </w:rPr>
        <w:footnoteRef/>
      </w:r>
      <w:r>
        <w:rPr>
          <w:lang w:eastAsia="zh-CN"/>
        </w:rPr>
        <w:t xml:space="preserve"> </w:t>
      </w:r>
      <w:r w:rsidRPr="00F63211">
        <w:rPr>
          <w:rFonts w:eastAsia="SimSun"/>
          <w:lang w:eastAsia="zh-CN"/>
        </w:rPr>
        <w:t>全环基金</w:t>
      </w:r>
      <w:r w:rsidRPr="00F63211">
        <w:rPr>
          <w:rFonts w:eastAsia="SimSun"/>
          <w:lang w:eastAsia="zh-CN"/>
        </w:rPr>
        <w:t>, 2018</w:t>
      </w:r>
      <w:r w:rsidRPr="00F63211">
        <w:rPr>
          <w:rFonts w:eastAsia="SimSun"/>
          <w:lang w:eastAsia="zh-CN"/>
        </w:rPr>
        <w:t>年</w:t>
      </w:r>
      <w:r w:rsidRPr="00F63211">
        <w:rPr>
          <w:rFonts w:eastAsia="SimSun"/>
          <w:lang w:eastAsia="zh-CN"/>
        </w:rPr>
        <w:t>,</w:t>
      </w:r>
      <w:hyperlink r:id="rId6" w:history="1">
        <w:r w:rsidRPr="00F63211">
          <w:rPr>
            <w:rStyle w:val="Hyperlink"/>
            <w:rFonts w:eastAsia="SimSun"/>
            <w:lang w:eastAsia="zh-CN"/>
          </w:rPr>
          <w:t>全环基金第七次增资的最新结果结构</w:t>
        </w:r>
      </w:hyperlink>
      <w:r w:rsidRPr="00F63211">
        <w:rPr>
          <w:rFonts w:eastAsia="SimSun"/>
          <w:lang w:eastAsia="zh-CN"/>
        </w:rPr>
        <w:t xml:space="preserve">, </w:t>
      </w:r>
      <w:r w:rsidRPr="00F63211">
        <w:rPr>
          <w:rFonts w:eastAsia="SimSun"/>
          <w:lang w:eastAsia="zh-CN"/>
        </w:rPr>
        <w:t>理事会</w:t>
      </w:r>
      <w:r w:rsidRPr="00F63211">
        <w:rPr>
          <w:rFonts w:eastAsia="SimSun"/>
          <w:lang w:eastAsia="zh-CN"/>
        </w:rPr>
        <w:t>GEF/C.54/11/Rev.02</w:t>
      </w:r>
      <w:r w:rsidRPr="00F63211">
        <w:rPr>
          <w:rFonts w:eastAsia="SimSun"/>
          <w:lang w:eastAsia="zh-CN"/>
        </w:rPr>
        <w:t>号文件。</w:t>
      </w:r>
    </w:p>
  </w:footnote>
  <w:footnote w:id="24">
    <w:p w14:paraId="6A24DB75" w14:textId="2BBC33E3" w:rsidR="006049C9" w:rsidRPr="0060691A" w:rsidRDefault="006049C9" w:rsidP="00191FC5">
      <w:pPr>
        <w:spacing w:line="240" w:lineRule="auto"/>
        <w:rPr>
          <w:rFonts w:ascii="Times New Roman" w:hAnsi="Times New Roman" w:cs="Times New Roman"/>
          <w:sz w:val="18"/>
          <w:szCs w:val="18"/>
          <w:lang w:eastAsia="zh-CN"/>
        </w:rPr>
      </w:pPr>
      <w:r w:rsidRPr="0011432F">
        <w:rPr>
          <w:rFonts w:cstheme="minorHAnsi"/>
          <w:sz w:val="18"/>
          <w:szCs w:val="18"/>
          <w:vertAlign w:val="superscript"/>
        </w:rPr>
        <w:footnoteRef/>
      </w:r>
      <w:r>
        <w:rPr>
          <w:rFonts w:cstheme="minorHAnsi"/>
          <w:sz w:val="18"/>
          <w:szCs w:val="18"/>
          <w:lang w:eastAsia="zh-CN"/>
        </w:rPr>
        <w:t>全环基金</w:t>
      </w:r>
      <w:r w:rsidRPr="0011432F">
        <w:rPr>
          <w:rFonts w:cstheme="minorHAnsi"/>
          <w:sz w:val="18"/>
          <w:szCs w:val="18"/>
          <w:lang w:eastAsia="zh-CN"/>
        </w:rPr>
        <w:t>, 2018</w:t>
      </w:r>
      <w:r>
        <w:rPr>
          <w:rFonts w:cstheme="minorHAnsi"/>
          <w:sz w:val="18"/>
          <w:szCs w:val="18"/>
          <w:lang w:eastAsia="zh-CN"/>
        </w:rPr>
        <w:t>年</w:t>
      </w:r>
      <w:r w:rsidRPr="0011432F">
        <w:rPr>
          <w:rFonts w:cstheme="minorHAnsi"/>
          <w:sz w:val="18"/>
          <w:szCs w:val="18"/>
          <w:lang w:eastAsia="zh-CN"/>
        </w:rPr>
        <w:t xml:space="preserve">, </w:t>
      </w:r>
      <w:r>
        <w:rPr>
          <w:rFonts w:cstheme="minorHAnsi"/>
          <w:sz w:val="18"/>
          <w:szCs w:val="18"/>
          <w:lang w:eastAsia="zh-CN"/>
        </w:rPr>
        <w:t>全环基金对生物多样性主流化的支持</w:t>
      </w:r>
      <w:r w:rsidRPr="0011432F">
        <w:rPr>
          <w:rFonts w:cstheme="minorHAnsi"/>
          <w:sz w:val="18"/>
          <w:szCs w:val="18"/>
          <w:lang w:eastAsia="zh-CN"/>
        </w:rPr>
        <w:t xml:space="preserve">, </w:t>
      </w:r>
      <w:hyperlink r:id="rId7">
        <w:r w:rsidRPr="0011432F">
          <w:rPr>
            <w:rFonts w:cstheme="minorHAnsi"/>
            <w:color w:val="1155CC"/>
            <w:sz w:val="18"/>
            <w:szCs w:val="18"/>
            <w:u w:val="single"/>
            <w:lang w:eastAsia="zh-CN"/>
          </w:rPr>
          <w:t>https://www.gefieo.org/evaluations/evaluation-gefs-support-mainstreaming-biodiversity-2018</w:t>
        </w:r>
      </w:hyperlink>
      <w:r w:rsidRPr="007478F2">
        <w:rPr>
          <w:rFonts w:cstheme="minorHAnsi" w:hint="eastAsia"/>
          <w:color w:val="1155CC"/>
          <w:sz w:val="18"/>
          <w:szCs w:val="18"/>
          <w:lang w:eastAsia="zh-CN"/>
        </w:rPr>
        <w:t>。</w:t>
      </w:r>
    </w:p>
  </w:footnote>
  <w:footnote w:id="25">
    <w:p w14:paraId="752A44D4" w14:textId="2E8CF832" w:rsidR="006049C9" w:rsidRPr="00DF0187" w:rsidRDefault="006049C9" w:rsidP="007D460D">
      <w:pPr>
        <w:spacing w:after="0" w:line="240" w:lineRule="auto"/>
        <w:rPr>
          <w:rFonts w:cstheme="minorHAnsi"/>
          <w:sz w:val="18"/>
          <w:szCs w:val="18"/>
          <w:lang w:eastAsia="zh-CN"/>
        </w:rPr>
      </w:pPr>
      <w:r w:rsidRPr="00DF0187">
        <w:rPr>
          <w:rFonts w:cstheme="minorHAnsi"/>
          <w:sz w:val="18"/>
          <w:szCs w:val="18"/>
          <w:vertAlign w:val="superscript"/>
        </w:rPr>
        <w:footnoteRef/>
      </w:r>
      <w:r>
        <w:rPr>
          <w:rFonts w:cstheme="minorHAnsi" w:hint="eastAsia"/>
          <w:sz w:val="18"/>
          <w:szCs w:val="18"/>
          <w:lang w:eastAsia="zh-CN"/>
        </w:rPr>
        <w:t xml:space="preserve"> </w:t>
      </w:r>
      <w:r>
        <w:rPr>
          <w:rFonts w:cstheme="minorHAnsi" w:hint="eastAsia"/>
          <w:sz w:val="18"/>
          <w:szCs w:val="18"/>
          <w:lang w:eastAsia="zh-CN"/>
        </w:rPr>
        <w:t>提升级别</w:t>
      </w:r>
      <w:r w:rsidRPr="000221EC">
        <w:rPr>
          <w:rFonts w:cstheme="minorHAnsi" w:hint="eastAsia"/>
          <w:sz w:val="18"/>
          <w:szCs w:val="18"/>
          <w:lang w:eastAsia="zh-CN"/>
        </w:rPr>
        <w:t>，使养护部门在与经济部门合作时更加有效；</w:t>
      </w:r>
      <w:r w:rsidRPr="000221EC">
        <w:rPr>
          <w:rFonts w:cstheme="minorHAnsi" w:hint="eastAsia"/>
          <w:sz w:val="18"/>
          <w:szCs w:val="18"/>
          <w:lang w:eastAsia="zh-CN"/>
        </w:rPr>
        <w:t xml:space="preserve"> </w:t>
      </w:r>
      <w:r w:rsidRPr="000221EC">
        <w:rPr>
          <w:rFonts w:cstheme="minorHAnsi" w:hint="eastAsia"/>
          <w:sz w:val="18"/>
          <w:szCs w:val="18"/>
          <w:lang w:eastAsia="zh-CN"/>
        </w:rPr>
        <w:t>生物多样性被更广泛的部门</w:t>
      </w:r>
      <w:r>
        <w:rPr>
          <w:rFonts w:cstheme="minorHAnsi" w:hint="eastAsia"/>
          <w:sz w:val="18"/>
          <w:szCs w:val="18"/>
          <w:lang w:eastAsia="zh-CN"/>
        </w:rPr>
        <w:t>、</w:t>
      </w:r>
      <w:r w:rsidRPr="000221EC">
        <w:rPr>
          <w:rFonts w:cstheme="minorHAnsi" w:hint="eastAsia"/>
          <w:sz w:val="18"/>
          <w:szCs w:val="18"/>
          <w:lang w:eastAsia="zh-CN"/>
        </w:rPr>
        <w:t>机构和参与者所采用。</w:t>
      </w:r>
      <w:r>
        <w:rPr>
          <w:rFonts w:cstheme="minorHAnsi" w:hint="eastAsia"/>
          <w:sz w:val="18"/>
          <w:szCs w:val="18"/>
          <w:lang w:eastAsia="zh-CN"/>
        </w:rPr>
        <w:t>细节见全环基金独立评估办公室的</w:t>
      </w:r>
      <w:hyperlink r:id="rId8" w:history="1">
        <w:r w:rsidRPr="000221EC">
          <w:rPr>
            <w:rStyle w:val="Hyperlink"/>
            <w:rFonts w:cstheme="minorHAnsi" w:hint="eastAsia"/>
            <w:sz w:val="18"/>
            <w:szCs w:val="18"/>
            <w:lang w:eastAsia="zh-CN"/>
          </w:rPr>
          <w:t>评估报告第</w:t>
        </w:r>
        <w:r w:rsidRPr="000221EC">
          <w:rPr>
            <w:rStyle w:val="Hyperlink"/>
            <w:rFonts w:cstheme="minorHAnsi" w:hint="eastAsia"/>
            <w:sz w:val="18"/>
            <w:szCs w:val="18"/>
            <w:lang w:eastAsia="zh-CN"/>
          </w:rPr>
          <w:t>134</w:t>
        </w:r>
        <w:r w:rsidRPr="000221EC">
          <w:rPr>
            <w:rStyle w:val="Hyperlink"/>
            <w:rFonts w:cstheme="minorHAnsi" w:hint="eastAsia"/>
            <w:sz w:val="18"/>
            <w:szCs w:val="18"/>
            <w:lang w:eastAsia="zh-CN"/>
          </w:rPr>
          <w:t>号</w:t>
        </w:r>
      </w:hyperlink>
      <w:r>
        <w:rPr>
          <w:rFonts w:cstheme="minorHAnsi" w:hint="eastAsia"/>
          <w:sz w:val="18"/>
          <w:szCs w:val="18"/>
          <w:lang w:eastAsia="zh-CN"/>
        </w:rPr>
        <w:t>。</w:t>
      </w:r>
    </w:p>
  </w:footnote>
  <w:footnote w:id="26">
    <w:p w14:paraId="518672DD" w14:textId="5D667E13" w:rsidR="006049C9" w:rsidRDefault="006049C9" w:rsidP="007D460D">
      <w:pPr>
        <w:spacing w:after="0" w:line="240" w:lineRule="auto"/>
        <w:rPr>
          <w:sz w:val="16"/>
          <w:szCs w:val="16"/>
          <w:lang w:eastAsia="zh-CN"/>
        </w:rPr>
      </w:pPr>
      <w:r w:rsidRPr="00DF0187">
        <w:rPr>
          <w:rFonts w:cstheme="minorHAnsi"/>
          <w:sz w:val="18"/>
          <w:szCs w:val="18"/>
          <w:vertAlign w:val="superscript"/>
        </w:rPr>
        <w:footnoteRef/>
      </w:r>
      <w:r w:rsidR="005A09AD">
        <w:rPr>
          <w:rFonts w:cstheme="minorHAnsi" w:hint="eastAsia"/>
          <w:sz w:val="18"/>
          <w:szCs w:val="18"/>
          <w:lang w:eastAsia="zh-CN"/>
        </w:rPr>
        <w:t xml:space="preserve"> </w:t>
      </w:r>
      <w:r>
        <w:rPr>
          <w:rFonts w:cstheme="minorHAnsi" w:hint="eastAsia"/>
          <w:sz w:val="18"/>
          <w:szCs w:val="18"/>
          <w:lang w:eastAsia="zh-CN"/>
        </w:rPr>
        <w:t>转型</w:t>
      </w:r>
      <w:r w:rsidRPr="007D460D">
        <w:rPr>
          <w:rFonts w:cstheme="minorHAnsi" w:hint="eastAsia"/>
          <w:sz w:val="18"/>
          <w:szCs w:val="18"/>
          <w:lang w:eastAsia="zh-CN"/>
        </w:rPr>
        <w:t>，即保护从保护区转移到更广阔的</w:t>
      </w:r>
      <w:r>
        <w:rPr>
          <w:rFonts w:cstheme="minorHAnsi" w:hint="eastAsia"/>
          <w:sz w:val="18"/>
          <w:szCs w:val="18"/>
          <w:lang w:eastAsia="zh-CN"/>
        </w:rPr>
        <w:t>陆地</w:t>
      </w:r>
      <w:r w:rsidRPr="007D460D">
        <w:rPr>
          <w:rFonts w:cstheme="minorHAnsi" w:hint="eastAsia"/>
          <w:sz w:val="18"/>
          <w:szCs w:val="18"/>
          <w:lang w:eastAsia="zh-CN"/>
        </w:rPr>
        <w:t>景观，反映了生物多样性保护在应用于社会时的观念变化。</w:t>
      </w:r>
      <w:r>
        <w:rPr>
          <w:rFonts w:cstheme="minorHAnsi" w:hint="eastAsia"/>
          <w:sz w:val="18"/>
          <w:szCs w:val="18"/>
          <w:lang w:eastAsia="zh-CN"/>
        </w:rPr>
        <w:t>细节见全环基金独立评估办公室的</w:t>
      </w:r>
      <w:hyperlink r:id="rId9" w:history="1">
        <w:r w:rsidRPr="000221EC">
          <w:rPr>
            <w:rStyle w:val="Hyperlink"/>
            <w:rFonts w:cstheme="minorHAnsi" w:hint="eastAsia"/>
            <w:sz w:val="18"/>
            <w:szCs w:val="18"/>
            <w:lang w:eastAsia="zh-CN"/>
          </w:rPr>
          <w:t>评估报告第</w:t>
        </w:r>
        <w:r w:rsidRPr="000221EC">
          <w:rPr>
            <w:rStyle w:val="Hyperlink"/>
            <w:rFonts w:cstheme="minorHAnsi" w:hint="eastAsia"/>
            <w:sz w:val="18"/>
            <w:szCs w:val="18"/>
            <w:lang w:eastAsia="zh-CN"/>
          </w:rPr>
          <w:t>134</w:t>
        </w:r>
        <w:r w:rsidRPr="000221EC">
          <w:rPr>
            <w:rStyle w:val="Hyperlink"/>
            <w:rFonts w:cstheme="minorHAnsi" w:hint="eastAsia"/>
            <w:sz w:val="18"/>
            <w:szCs w:val="18"/>
            <w:lang w:eastAsia="zh-CN"/>
          </w:rPr>
          <w:t>号</w:t>
        </w:r>
      </w:hyperlink>
      <w:r>
        <w:rPr>
          <w:rFonts w:cstheme="minorHAnsi" w:hint="eastAsia"/>
          <w:sz w:val="18"/>
          <w:szCs w:val="18"/>
          <w:lang w:eastAsia="zh-CN"/>
        </w:rPr>
        <w:t>。</w:t>
      </w:r>
    </w:p>
  </w:footnote>
  <w:footnote w:id="27">
    <w:p w14:paraId="6E5A4F95" w14:textId="135D8CA1" w:rsidR="006049C9" w:rsidRPr="00C10B42" w:rsidRDefault="006049C9" w:rsidP="000911E9">
      <w:pPr>
        <w:spacing w:after="0" w:line="240" w:lineRule="auto"/>
        <w:rPr>
          <w:rFonts w:cstheme="minorHAnsi"/>
          <w:sz w:val="18"/>
          <w:szCs w:val="18"/>
          <w:lang w:eastAsia="zh-CN"/>
        </w:rPr>
      </w:pPr>
      <w:r w:rsidRPr="00DF0187">
        <w:rPr>
          <w:rFonts w:cstheme="minorHAnsi"/>
          <w:sz w:val="18"/>
          <w:szCs w:val="18"/>
          <w:vertAlign w:val="superscript"/>
        </w:rPr>
        <w:footnoteRef/>
      </w:r>
      <w:r w:rsidRPr="00DF0187">
        <w:rPr>
          <w:rFonts w:cstheme="minorHAnsi"/>
          <w:sz w:val="18"/>
          <w:szCs w:val="18"/>
          <w:lang w:eastAsia="zh-CN"/>
        </w:rPr>
        <w:t xml:space="preserve"> </w:t>
      </w:r>
      <w:r>
        <w:rPr>
          <w:rFonts w:cstheme="minorHAnsi"/>
          <w:sz w:val="18"/>
          <w:szCs w:val="18"/>
          <w:lang w:eastAsia="zh-CN"/>
        </w:rPr>
        <w:t>全环基金</w:t>
      </w:r>
      <w:r>
        <w:rPr>
          <w:rFonts w:cstheme="minorHAnsi"/>
          <w:sz w:val="18"/>
          <w:szCs w:val="18"/>
          <w:lang w:eastAsia="zh-CN"/>
        </w:rPr>
        <w:t>, 2017</w:t>
      </w:r>
      <w:r>
        <w:rPr>
          <w:rFonts w:cstheme="minorHAnsi"/>
          <w:sz w:val="18"/>
          <w:szCs w:val="18"/>
          <w:lang w:eastAsia="zh-CN"/>
        </w:rPr>
        <w:t>年</w:t>
      </w:r>
      <w:r>
        <w:rPr>
          <w:rFonts w:cstheme="minorHAnsi"/>
          <w:sz w:val="18"/>
          <w:szCs w:val="18"/>
          <w:lang w:eastAsia="zh-CN"/>
        </w:rPr>
        <w:t>,</w:t>
      </w:r>
      <w:r w:rsidRPr="000911E9">
        <w:rPr>
          <w:rFonts w:cstheme="minorHAnsi" w:hint="eastAsia"/>
          <w:sz w:val="18"/>
          <w:szCs w:val="18"/>
          <w:lang w:eastAsia="zh-CN"/>
        </w:rPr>
        <w:t>全环基金综合办法试点</w:t>
      </w:r>
      <w:r>
        <w:rPr>
          <w:rFonts w:cstheme="minorHAnsi" w:hint="eastAsia"/>
          <w:sz w:val="18"/>
          <w:szCs w:val="18"/>
          <w:lang w:eastAsia="zh-CN"/>
        </w:rPr>
        <w:t>方案</w:t>
      </w:r>
      <w:r w:rsidRPr="000911E9">
        <w:rPr>
          <w:rFonts w:cstheme="minorHAnsi" w:hint="eastAsia"/>
          <w:sz w:val="18"/>
          <w:szCs w:val="18"/>
          <w:lang w:eastAsia="zh-CN"/>
        </w:rPr>
        <w:t>的形成性审查</w:t>
      </w:r>
      <w:hyperlink r:id="rId10" w:history="1">
        <w:r w:rsidRPr="008E545F">
          <w:rPr>
            <w:rStyle w:val="Hyperlink"/>
            <w:rFonts w:cstheme="minorHAnsi"/>
            <w:sz w:val="18"/>
            <w:szCs w:val="18"/>
            <w:lang w:eastAsia="zh-CN"/>
          </w:rPr>
          <w:t>http://www.gefieo.org/sites/default/files/ieo/evaluations/files/iaps-2017_0.pdf</w:t>
        </w:r>
      </w:hyperlink>
      <w:r w:rsidRPr="000911E9">
        <w:rPr>
          <w:rStyle w:val="Hyperlink"/>
          <w:rFonts w:cstheme="minorHAnsi" w:hint="eastAsia"/>
          <w:sz w:val="18"/>
          <w:szCs w:val="18"/>
          <w:u w:val="none"/>
          <w:lang w:eastAsia="zh-CN"/>
        </w:rPr>
        <w:t>。</w:t>
      </w:r>
    </w:p>
  </w:footnote>
  <w:footnote w:id="28">
    <w:p w14:paraId="18F253B0" w14:textId="3FFF98A9" w:rsidR="006049C9" w:rsidRPr="00DF0187" w:rsidRDefault="006049C9" w:rsidP="00593929">
      <w:pPr>
        <w:spacing w:line="240" w:lineRule="auto"/>
        <w:rPr>
          <w:rFonts w:eastAsia="Times New Roman" w:cstheme="minorHAnsi"/>
          <w:sz w:val="18"/>
          <w:szCs w:val="18"/>
          <w:lang w:eastAsia="zh-CN"/>
        </w:rPr>
      </w:pPr>
      <w:r w:rsidRPr="00DF0187">
        <w:rPr>
          <w:rFonts w:cstheme="minorHAnsi"/>
          <w:sz w:val="18"/>
          <w:szCs w:val="18"/>
          <w:vertAlign w:val="superscript"/>
        </w:rPr>
        <w:footnoteRef/>
      </w:r>
      <w:r w:rsidR="005A09AD">
        <w:rPr>
          <w:rFonts w:ascii="Times New Roman" w:hAnsi="Times New Roman" w:cs="Times New Roman" w:hint="eastAsia"/>
          <w:sz w:val="18"/>
          <w:szCs w:val="18"/>
          <w:lang w:eastAsia="zh-CN"/>
        </w:rPr>
        <w:t xml:space="preserve"> </w:t>
      </w:r>
      <w:r w:rsidRPr="009B40F3">
        <w:rPr>
          <w:rFonts w:ascii="Times New Roman" w:hAnsi="Times New Roman" w:cs="Times New Roman"/>
          <w:sz w:val="18"/>
          <w:szCs w:val="18"/>
          <w:lang w:eastAsia="zh-CN"/>
        </w:rPr>
        <w:t>全环基金</w:t>
      </w:r>
      <w:r w:rsidRPr="009B40F3">
        <w:rPr>
          <w:rFonts w:ascii="Times New Roman" w:hAnsi="Times New Roman" w:cs="Times New Roman"/>
          <w:sz w:val="18"/>
          <w:szCs w:val="18"/>
          <w:lang w:eastAsia="zh-CN"/>
        </w:rPr>
        <w:t>, 201</w:t>
      </w:r>
      <w:r>
        <w:rPr>
          <w:rFonts w:ascii="Times New Roman" w:hAnsi="Times New Roman" w:cs="Times New Roman" w:hint="eastAsia"/>
          <w:sz w:val="18"/>
          <w:szCs w:val="18"/>
          <w:lang w:eastAsia="zh-CN"/>
        </w:rPr>
        <w:t>7</w:t>
      </w:r>
      <w:r w:rsidRPr="009B40F3">
        <w:rPr>
          <w:rFonts w:ascii="Times New Roman" w:hAnsi="Times New Roman" w:cs="Times New Roman"/>
          <w:sz w:val="18"/>
          <w:szCs w:val="18"/>
          <w:lang w:eastAsia="zh-CN"/>
        </w:rPr>
        <w:t>年</w:t>
      </w:r>
      <w:r w:rsidRPr="009B40F3">
        <w:rPr>
          <w:rFonts w:ascii="Times New Roman" w:hAnsi="Times New Roman" w:cs="Times New Roman"/>
          <w:sz w:val="18"/>
          <w:szCs w:val="18"/>
          <w:lang w:eastAsia="zh-CN"/>
        </w:rPr>
        <w:t xml:space="preserve">, </w:t>
      </w:r>
      <w:r w:rsidRPr="009B40F3">
        <w:rPr>
          <w:rFonts w:ascii="Times New Roman" w:hAnsi="Times New Roman" w:cs="Times New Roman"/>
          <w:sz w:val="18"/>
          <w:szCs w:val="18"/>
          <w:lang w:eastAsia="zh-CN"/>
        </w:rPr>
        <w:t>全环基金支持</w:t>
      </w:r>
      <w:r>
        <w:rPr>
          <w:rFonts w:ascii="Times New Roman" w:hAnsi="Times New Roman" w:cs="Times New Roman"/>
          <w:sz w:val="18"/>
          <w:szCs w:val="18"/>
          <w:lang w:eastAsia="zh-CN"/>
        </w:rPr>
        <w:t>转型变革</w:t>
      </w:r>
      <w:r w:rsidRPr="009B40F3">
        <w:rPr>
          <w:rFonts w:ascii="Times New Roman" w:hAnsi="Times New Roman" w:cs="Times New Roman"/>
          <w:sz w:val="18"/>
          <w:szCs w:val="18"/>
          <w:lang w:eastAsia="zh-CN"/>
        </w:rPr>
        <w:t>的评估报告</w:t>
      </w:r>
      <w:r>
        <w:rPr>
          <w:rFonts w:eastAsia="Times New Roman" w:cstheme="minorHAnsi"/>
          <w:sz w:val="18"/>
          <w:szCs w:val="18"/>
          <w:lang w:eastAsia="zh-CN"/>
        </w:rPr>
        <w:t xml:space="preserve">, </w:t>
      </w:r>
      <w:hyperlink r:id="rId11" w:history="1">
        <w:r w:rsidRPr="008E545F">
          <w:rPr>
            <w:rStyle w:val="Hyperlink"/>
            <w:rFonts w:eastAsia="Times New Roman" w:cstheme="minorHAnsi"/>
            <w:sz w:val="18"/>
            <w:szCs w:val="18"/>
            <w:lang w:eastAsia="zh-CN"/>
          </w:rPr>
          <w:t>http://www.gefieo.org/sites/default/files/ieo/evaluations/files/transformational-change-2017.pdf</w:t>
        </w:r>
      </w:hyperlink>
    </w:p>
  </w:footnote>
  <w:footnote w:id="29">
    <w:p w14:paraId="5DA859B5" w14:textId="579DBAEB" w:rsidR="006049C9" w:rsidRPr="00903741" w:rsidRDefault="006049C9" w:rsidP="00440052">
      <w:pPr>
        <w:spacing w:line="240" w:lineRule="auto"/>
        <w:rPr>
          <w:rFonts w:eastAsia="Times New Roman" w:cstheme="minorHAnsi"/>
          <w:sz w:val="18"/>
          <w:szCs w:val="18"/>
          <w:lang w:eastAsia="zh-CN"/>
        </w:rPr>
      </w:pPr>
      <w:r w:rsidRPr="00DF0187">
        <w:rPr>
          <w:rFonts w:cstheme="minorHAnsi"/>
          <w:sz w:val="18"/>
          <w:szCs w:val="18"/>
          <w:vertAlign w:val="superscript"/>
        </w:rPr>
        <w:footnoteRef/>
      </w:r>
      <w:r w:rsidR="005A09AD">
        <w:rPr>
          <w:rFonts w:cstheme="minorHAnsi" w:hint="eastAsia"/>
          <w:sz w:val="18"/>
          <w:szCs w:val="18"/>
          <w:lang w:eastAsia="zh-CN"/>
        </w:rPr>
        <w:t xml:space="preserve"> </w:t>
      </w:r>
      <w:r w:rsidRPr="005A09AD">
        <w:rPr>
          <w:rFonts w:cstheme="minorHAnsi"/>
          <w:sz w:val="18"/>
          <w:szCs w:val="18"/>
          <w:lang w:eastAsia="zh-CN"/>
        </w:rPr>
        <w:t>这项评估使用四个标准划分转型变革</w:t>
      </w:r>
      <w:r w:rsidRPr="005A09AD">
        <w:rPr>
          <w:rFonts w:cstheme="minorHAnsi" w:hint="eastAsia"/>
          <w:sz w:val="18"/>
          <w:szCs w:val="18"/>
          <w:lang w:eastAsia="zh-CN"/>
        </w:rPr>
        <w:t>，使其有别于“仅为”高度成功、复杂或规模较大的标准：（一）相关性；（二）变革深度；（三）变革规模；（四）持续性。</w:t>
      </w:r>
    </w:p>
  </w:footnote>
  <w:footnote w:id="30">
    <w:p w14:paraId="464D78D0" w14:textId="7AB70C63" w:rsidR="006049C9" w:rsidRPr="00DF0187" w:rsidRDefault="006049C9" w:rsidP="009145F6">
      <w:pPr>
        <w:spacing w:line="240" w:lineRule="auto"/>
        <w:rPr>
          <w:rFonts w:cstheme="minorHAnsi"/>
          <w:sz w:val="20"/>
          <w:szCs w:val="20"/>
          <w:lang w:eastAsia="zh-CN"/>
        </w:rPr>
      </w:pPr>
      <w:r w:rsidRPr="00DF0187">
        <w:rPr>
          <w:rFonts w:cstheme="minorHAnsi"/>
          <w:sz w:val="18"/>
          <w:szCs w:val="18"/>
          <w:vertAlign w:val="superscript"/>
        </w:rPr>
        <w:footnoteRef/>
      </w:r>
      <w:r w:rsidRPr="00DF0187">
        <w:rPr>
          <w:rFonts w:cstheme="minorHAnsi"/>
          <w:sz w:val="18"/>
          <w:szCs w:val="18"/>
          <w:lang w:eastAsia="zh-CN"/>
        </w:rPr>
        <w:t xml:space="preserve"> </w:t>
      </w:r>
      <w:r w:rsidRPr="009B40F3">
        <w:rPr>
          <w:rFonts w:ascii="Times New Roman" w:hAnsi="Times New Roman" w:cs="Times New Roman"/>
          <w:sz w:val="18"/>
          <w:szCs w:val="18"/>
          <w:lang w:eastAsia="zh-CN"/>
        </w:rPr>
        <w:t>全环基金</w:t>
      </w:r>
      <w:r w:rsidRPr="009B40F3">
        <w:rPr>
          <w:rFonts w:ascii="Times New Roman" w:hAnsi="Times New Roman" w:cs="Times New Roman"/>
          <w:sz w:val="18"/>
          <w:szCs w:val="18"/>
          <w:lang w:eastAsia="zh-CN"/>
        </w:rPr>
        <w:t>, 2019</w:t>
      </w:r>
      <w:r w:rsidRPr="009B40F3">
        <w:rPr>
          <w:rFonts w:ascii="Times New Roman" w:hAnsi="Times New Roman" w:cs="Times New Roman"/>
          <w:sz w:val="18"/>
          <w:szCs w:val="18"/>
          <w:lang w:eastAsia="zh-CN"/>
        </w:rPr>
        <w:t>年</w:t>
      </w:r>
      <w:r w:rsidRPr="009B40F3">
        <w:rPr>
          <w:rFonts w:ascii="Times New Roman" w:hAnsi="Times New Roman" w:cs="Times New Roman"/>
          <w:sz w:val="18"/>
          <w:szCs w:val="18"/>
          <w:lang w:eastAsia="zh-CN"/>
        </w:rPr>
        <w:t xml:space="preserve">, </w:t>
      </w:r>
      <w:r w:rsidRPr="009B40F3">
        <w:rPr>
          <w:rFonts w:ascii="Times New Roman" w:hAnsi="Times New Roman" w:cs="Times New Roman"/>
          <w:sz w:val="18"/>
          <w:szCs w:val="18"/>
          <w:lang w:eastAsia="zh-CN"/>
        </w:rPr>
        <w:t>全环基金支持扩大影响力的评估报告</w:t>
      </w:r>
      <w:r w:rsidRPr="009B40F3">
        <w:rPr>
          <w:rFonts w:ascii="Times New Roman" w:hAnsi="Times New Roman" w:cs="Times New Roman"/>
          <w:sz w:val="18"/>
          <w:szCs w:val="18"/>
          <w:lang w:eastAsia="zh-CN"/>
        </w:rPr>
        <w:t xml:space="preserve">, </w:t>
      </w:r>
      <w:hyperlink r:id="rId12" w:history="1">
        <w:r w:rsidRPr="009B40F3">
          <w:rPr>
            <w:rStyle w:val="Hyperlink"/>
            <w:rFonts w:ascii="Times New Roman" w:hAnsi="Times New Roman" w:cs="Times New Roman"/>
            <w:sz w:val="18"/>
            <w:szCs w:val="18"/>
            <w:lang w:eastAsia="zh-CN"/>
          </w:rPr>
          <w:t>https://www.gefieo.org/evaluations/evaluation-gef-support-scaling-impact-2019</w:t>
        </w:r>
      </w:hyperlink>
      <w:r w:rsidRPr="009B40F3">
        <w:rPr>
          <w:rStyle w:val="Hyperlink"/>
          <w:rFonts w:ascii="Times New Roman" w:hAnsi="Times New Roman" w:cs="Times New Roman"/>
          <w:sz w:val="18"/>
          <w:szCs w:val="18"/>
          <w:u w:val="none"/>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21BF" w14:textId="1B340EAC" w:rsidR="006049C9" w:rsidRPr="00974F1B" w:rsidRDefault="006049C9" w:rsidP="00974F1B">
    <w:pPr>
      <w:pStyle w:val="Header"/>
      <w:jc w:val="right"/>
      <w:rPr>
        <w:rFonts w:ascii="Times New Roman" w:hAnsi="Times New Roman" w:cs="Times New Roman"/>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88E5128"/>
    <w:multiLevelType w:val="hybridMultilevel"/>
    <w:tmpl w:val="2E4456DC"/>
    <w:lvl w:ilvl="0" w:tplc="7E04E5B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E5C101D"/>
    <w:multiLevelType w:val="hybridMultilevel"/>
    <w:tmpl w:val="78166CDE"/>
    <w:lvl w:ilvl="0" w:tplc="8430A996">
      <w:start w:val="1"/>
      <w:numFmt w:val="chineseCountingThousand"/>
      <w:lvlText w:val="(%1)"/>
      <w:lvlJc w:val="left"/>
      <w:pPr>
        <w:ind w:left="1080" w:hanging="360"/>
      </w:pPr>
      <w:rPr>
        <w:rFonts w:hAnsi="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6A19"/>
    <w:multiLevelType w:val="hybridMultilevel"/>
    <w:tmpl w:val="4B52FA1E"/>
    <w:lvl w:ilvl="0" w:tplc="F160A856">
      <w:start w:val="1"/>
      <w:numFmt w:val="chineseCountingThousand"/>
      <w:lvlText w:val="%1."/>
      <w:lvlJc w:val="right"/>
      <w:pPr>
        <w:ind w:left="720" w:hanging="360"/>
      </w:pPr>
      <w:rPr>
        <w:rFonts w:ascii="SimSun" w:eastAsia="SimSun" w:hAnsi="SimSun" w:hint="eastAsia"/>
        <w:b/>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0442B4"/>
    <w:multiLevelType w:val="multilevel"/>
    <w:tmpl w:val="5928D0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3"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5"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0"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7"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9"/>
  </w:num>
  <w:num w:numId="3">
    <w:abstractNumId w:val="7"/>
  </w:num>
  <w:num w:numId="4">
    <w:abstractNumId w:val="8"/>
  </w:num>
  <w:num w:numId="5">
    <w:abstractNumId w:val="17"/>
  </w:num>
  <w:num w:numId="6">
    <w:abstractNumId w:val="23"/>
  </w:num>
  <w:num w:numId="7">
    <w:abstractNumId w:val="28"/>
  </w:num>
  <w:num w:numId="8">
    <w:abstractNumId w:val="13"/>
  </w:num>
  <w:num w:numId="9">
    <w:abstractNumId w:val="3"/>
  </w:num>
  <w:num w:numId="10">
    <w:abstractNumId w:val="16"/>
  </w:num>
  <w:num w:numId="11">
    <w:abstractNumId w:val="9"/>
  </w:num>
  <w:num w:numId="12">
    <w:abstractNumId w:val="10"/>
  </w:num>
  <w:num w:numId="13">
    <w:abstractNumId w:val="11"/>
  </w:num>
  <w:num w:numId="14">
    <w:abstractNumId w:val="0"/>
  </w:num>
  <w:num w:numId="15">
    <w:abstractNumId w:val="26"/>
  </w:num>
  <w:num w:numId="16">
    <w:abstractNumId w:val="12"/>
  </w:num>
  <w:num w:numId="17">
    <w:abstractNumId w:val="24"/>
  </w:num>
  <w:num w:numId="18">
    <w:abstractNumId w:val="15"/>
  </w:num>
  <w:num w:numId="19">
    <w:abstractNumId w:val="27"/>
  </w:num>
  <w:num w:numId="20">
    <w:abstractNumId w:val="18"/>
  </w:num>
  <w:num w:numId="21">
    <w:abstractNumId w:val="21"/>
  </w:num>
  <w:num w:numId="22">
    <w:abstractNumId w:val="25"/>
  </w:num>
  <w:num w:numId="23">
    <w:abstractNumId w:val="20"/>
  </w:num>
  <w:num w:numId="24">
    <w:abstractNumId w:val="5"/>
  </w:num>
  <w:num w:numId="25">
    <w:abstractNumId w:val="6"/>
  </w:num>
  <w:num w:numId="26">
    <w:abstractNumId w:val="4"/>
  </w:num>
  <w:num w:numId="27">
    <w:abstractNumId w:val="5"/>
  </w:num>
  <w:num w:numId="28">
    <w:abstractNumId w:val="14"/>
  </w:num>
  <w:num w:numId="29">
    <w:abstractNumId w:val="19"/>
  </w:num>
  <w:num w:numId="30">
    <w:abstractNumId w:val="22"/>
  </w:num>
  <w:num w:numId="31">
    <w:abstractNumId w:val="1"/>
  </w:num>
  <w:num w:numId="3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EC4"/>
    <w:rsid w:val="00000EE9"/>
    <w:rsid w:val="000012C6"/>
    <w:rsid w:val="00001439"/>
    <w:rsid w:val="00001658"/>
    <w:rsid w:val="00001B38"/>
    <w:rsid w:val="0000301F"/>
    <w:rsid w:val="00006E00"/>
    <w:rsid w:val="00007B82"/>
    <w:rsid w:val="00007D36"/>
    <w:rsid w:val="00010A23"/>
    <w:rsid w:val="00011998"/>
    <w:rsid w:val="00014557"/>
    <w:rsid w:val="000156E8"/>
    <w:rsid w:val="00015E5A"/>
    <w:rsid w:val="000165CC"/>
    <w:rsid w:val="0001680B"/>
    <w:rsid w:val="0001683E"/>
    <w:rsid w:val="00016B44"/>
    <w:rsid w:val="000202C7"/>
    <w:rsid w:val="00020E95"/>
    <w:rsid w:val="000218F1"/>
    <w:rsid w:val="000221EC"/>
    <w:rsid w:val="00022461"/>
    <w:rsid w:val="000228F0"/>
    <w:rsid w:val="00022A15"/>
    <w:rsid w:val="00023073"/>
    <w:rsid w:val="00023CA5"/>
    <w:rsid w:val="00024A06"/>
    <w:rsid w:val="000272DB"/>
    <w:rsid w:val="00030C9E"/>
    <w:rsid w:val="00032672"/>
    <w:rsid w:val="00032D3D"/>
    <w:rsid w:val="000343DF"/>
    <w:rsid w:val="000347FD"/>
    <w:rsid w:val="00035024"/>
    <w:rsid w:val="00035DB4"/>
    <w:rsid w:val="00041B7A"/>
    <w:rsid w:val="00042165"/>
    <w:rsid w:val="0004225C"/>
    <w:rsid w:val="00042A32"/>
    <w:rsid w:val="00043257"/>
    <w:rsid w:val="00043D73"/>
    <w:rsid w:val="00043E3F"/>
    <w:rsid w:val="00045526"/>
    <w:rsid w:val="0004564B"/>
    <w:rsid w:val="00046027"/>
    <w:rsid w:val="00051781"/>
    <w:rsid w:val="00052F52"/>
    <w:rsid w:val="0005361C"/>
    <w:rsid w:val="00053681"/>
    <w:rsid w:val="000536E8"/>
    <w:rsid w:val="000555C1"/>
    <w:rsid w:val="00055AB1"/>
    <w:rsid w:val="00055B4B"/>
    <w:rsid w:val="00055DCD"/>
    <w:rsid w:val="000561E6"/>
    <w:rsid w:val="00056693"/>
    <w:rsid w:val="00056AFA"/>
    <w:rsid w:val="00056DE1"/>
    <w:rsid w:val="00056F63"/>
    <w:rsid w:val="00057945"/>
    <w:rsid w:val="0005795A"/>
    <w:rsid w:val="00057DE2"/>
    <w:rsid w:val="00060DDA"/>
    <w:rsid w:val="00061F7D"/>
    <w:rsid w:val="000631ED"/>
    <w:rsid w:val="00064391"/>
    <w:rsid w:val="00064894"/>
    <w:rsid w:val="000667F9"/>
    <w:rsid w:val="000668C9"/>
    <w:rsid w:val="00066FFE"/>
    <w:rsid w:val="00067520"/>
    <w:rsid w:val="000675B4"/>
    <w:rsid w:val="00070882"/>
    <w:rsid w:val="000717E0"/>
    <w:rsid w:val="00072157"/>
    <w:rsid w:val="00072457"/>
    <w:rsid w:val="000726EC"/>
    <w:rsid w:val="00072CCB"/>
    <w:rsid w:val="00074EE9"/>
    <w:rsid w:val="0007603C"/>
    <w:rsid w:val="00076BA8"/>
    <w:rsid w:val="00076D61"/>
    <w:rsid w:val="0007757A"/>
    <w:rsid w:val="000775B6"/>
    <w:rsid w:val="000779F5"/>
    <w:rsid w:val="000807F9"/>
    <w:rsid w:val="000817DB"/>
    <w:rsid w:val="00082420"/>
    <w:rsid w:val="00084746"/>
    <w:rsid w:val="00085DDE"/>
    <w:rsid w:val="000908B4"/>
    <w:rsid w:val="000908DA"/>
    <w:rsid w:val="000911E9"/>
    <w:rsid w:val="00091CF2"/>
    <w:rsid w:val="00091E48"/>
    <w:rsid w:val="00092644"/>
    <w:rsid w:val="000939E9"/>
    <w:rsid w:val="000945ED"/>
    <w:rsid w:val="000956F1"/>
    <w:rsid w:val="00095C6D"/>
    <w:rsid w:val="00095C73"/>
    <w:rsid w:val="00095D2E"/>
    <w:rsid w:val="00097AFE"/>
    <w:rsid w:val="00097D19"/>
    <w:rsid w:val="000A0213"/>
    <w:rsid w:val="000A0697"/>
    <w:rsid w:val="000A15D5"/>
    <w:rsid w:val="000A28B1"/>
    <w:rsid w:val="000A3206"/>
    <w:rsid w:val="000A3363"/>
    <w:rsid w:val="000A3B34"/>
    <w:rsid w:val="000A426F"/>
    <w:rsid w:val="000A46B7"/>
    <w:rsid w:val="000A4CC8"/>
    <w:rsid w:val="000A4FFA"/>
    <w:rsid w:val="000A6F0C"/>
    <w:rsid w:val="000B0554"/>
    <w:rsid w:val="000B0D7C"/>
    <w:rsid w:val="000B1AB8"/>
    <w:rsid w:val="000B1B4A"/>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E78"/>
    <w:rsid w:val="000C3EA7"/>
    <w:rsid w:val="000C3ECF"/>
    <w:rsid w:val="000C4FD3"/>
    <w:rsid w:val="000C50C3"/>
    <w:rsid w:val="000C745F"/>
    <w:rsid w:val="000D0D8F"/>
    <w:rsid w:val="000D21F4"/>
    <w:rsid w:val="000D2822"/>
    <w:rsid w:val="000D321C"/>
    <w:rsid w:val="000D3AC1"/>
    <w:rsid w:val="000D48FE"/>
    <w:rsid w:val="000D5052"/>
    <w:rsid w:val="000D6145"/>
    <w:rsid w:val="000D6425"/>
    <w:rsid w:val="000D6E2A"/>
    <w:rsid w:val="000D765D"/>
    <w:rsid w:val="000D7C86"/>
    <w:rsid w:val="000E10E9"/>
    <w:rsid w:val="000E2F5B"/>
    <w:rsid w:val="000E4167"/>
    <w:rsid w:val="000E536D"/>
    <w:rsid w:val="000E571D"/>
    <w:rsid w:val="000E6BFC"/>
    <w:rsid w:val="000E75A8"/>
    <w:rsid w:val="000E7932"/>
    <w:rsid w:val="000F104D"/>
    <w:rsid w:val="000F1D0C"/>
    <w:rsid w:val="000F274C"/>
    <w:rsid w:val="000F35D1"/>
    <w:rsid w:val="000F4FCC"/>
    <w:rsid w:val="000F5056"/>
    <w:rsid w:val="000F5164"/>
    <w:rsid w:val="000F5257"/>
    <w:rsid w:val="000F5A47"/>
    <w:rsid w:val="000F6487"/>
    <w:rsid w:val="000F67FB"/>
    <w:rsid w:val="0010018C"/>
    <w:rsid w:val="00100A84"/>
    <w:rsid w:val="0010120A"/>
    <w:rsid w:val="00101AA1"/>
    <w:rsid w:val="00101C80"/>
    <w:rsid w:val="00101E75"/>
    <w:rsid w:val="00101FFE"/>
    <w:rsid w:val="001020F1"/>
    <w:rsid w:val="00102140"/>
    <w:rsid w:val="001021D9"/>
    <w:rsid w:val="00102791"/>
    <w:rsid w:val="00102E35"/>
    <w:rsid w:val="00105BE1"/>
    <w:rsid w:val="00105FB1"/>
    <w:rsid w:val="00107422"/>
    <w:rsid w:val="00110B03"/>
    <w:rsid w:val="001122D3"/>
    <w:rsid w:val="00112FA5"/>
    <w:rsid w:val="0011432F"/>
    <w:rsid w:val="0011476A"/>
    <w:rsid w:val="00115725"/>
    <w:rsid w:val="00115726"/>
    <w:rsid w:val="00115926"/>
    <w:rsid w:val="0011746B"/>
    <w:rsid w:val="00117B63"/>
    <w:rsid w:val="00121F26"/>
    <w:rsid w:val="001220CA"/>
    <w:rsid w:val="0012357D"/>
    <w:rsid w:val="001248A8"/>
    <w:rsid w:val="00124DCF"/>
    <w:rsid w:val="00124F7B"/>
    <w:rsid w:val="00126BE7"/>
    <w:rsid w:val="00127061"/>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338E"/>
    <w:rsid w:val="0016400B"/>
    <w:rsid w:val="001648B8"/>
    <w:rsid w:val="00164AC5"/>
    <w:rsid w:val="00164D0C"/>
    <w:rsid w:val="00164D58"/>
    <w:rsid w:val="00165950"/>
    <w:rsid w:val="001660BD"/>
    <w:rsid w:val="0016643F"/>
    <w:rsid w:val="00167453"/>
    <w:rsid w:val="00171DBB"/>
    <w:rsid w:val="00173A75"/>
    <w:rsid w:val="00173AD1"/>
    <w:rsid w:val="00176DBE"/>
    <w:rsid w:val="00177776"/>
    <w:rsid w:val="00180EC8"/>
    <w:rsid w:val="0018133E"/>
    <w:rsid w:val="001823DE"/>
    <w:rsid w:val="001834C1"/>
    <w:rsid w:val="00183C48"/>
    <w:rsid w:val="0018432F"/>
    <w:rsid w:val="001847AE"/>
    <w:rsid w:val="001867BB"/>
    <w:rsid w:val="00186ACC"/>
    <w:rsid w:val="001915B0"/>
    <w:rsid w:val="00191FC5"/>
    <w:rsid w:val="00192235"/>
    <w:rsid w:val="00192AA9"/>
    <w:rsid w:val="00194416"/>
    <w:rsid w:val="00194C82"/>
    <w:rsid w:val="00195EFE"/>
    <w:rsid w:val="001A0620"/>
    <w:rsid w:val="001A0DB1"/>
    <w:rsid w:val="001A30D2"/>
    <w:rsid w:val="001A3273"/>
    <w:rsid w:val="001A3687"/>
    <w:rsid w:val="001A46B3"/>
    <w:rsid w:val="001A4890"/>
    <w:rsid w:val="001A555B"/>
    <w:rsid w:val="001A6642"/>
    <w:rsid w:val="001A70EC"/>
    <w:rsid w:val="001A7C45"/>
    <w:rsid w:val="001B126B"/>
    <w:rsid w:val="001B2758"/>
    <w:rsid w:val="001B2F27"/>
    <w:rsid w:val="001B5939"/>
    <w:rsid w:val="001B6417"/>
    <w:rsid w:val="001B6418"/>
    <w:rsid w:val="001B67B7"/>
    <w:rsid w:val="001B73E1"/>
    <w:rsid w:val="001B75F0"/>
    <w:rsid w:val="001B7DB3"/>
    <w:rsid w:val="001C2106"/>
    <w:rsid w:val="001C2310"/>
    <w:rsid w:val="001C2AC3"/>
    <w:rsid w:val="001C2D09"/>
    <w:rsid w:val="001C361E"/>
    <w:rsid w:val="001C383A"/>
    <w:rsid w:val="001C46BD"/>
    <w:rsid w:val="001C5F5E"/>
    <w:rsid w:val="001C6234"/>
    <w:rsid w:val="001D0D41"/>
    <w:rsid w:val="001D0D92"/>
    <w:rsid w:val="001D2604"/>
    <w:rsid w:val="001D31F0"/>
    <w:rsid w:val="001D37C1"/>
    <w:rsid w:val="001D3D2F"/>
    <w:rsid w:val="001D47C7"/>
    <w:rsid w:val="001D626F"/>
    <w:rsid w:val="001D6812"/>
    <w:rsid w:val="001D6F5D"/>
    <w:rsid w:val="001D6FE4"/>
    <w:rsid w:val="001D7058"/>
    <w:rsid w:val="001D743B"/>
    <w:rsid w:val="001E179E"/>
    <w:rsid w:val="001E1F90"/>
    <w:rsid w:val="001E24CD"/>
    <w:rsid w:val="001E2C92"/>
    <w:rsid w:val="001E2D89"/>
    <w:rsid w:val="001E3E4B"/>
    <w:rsid w:val="001E45FF"/>
    <w:rsid w:val="001E4624"/>
    <w:rsid w:val="001E4F99"/>
    <w:rsid w:val="001E520A"/>
    <w:rsid w:val="001E553B"/>
    <w:rsid w:val="001E6011"/>
    <w:rsid w:val="001F0262"/>
    <w:rsid w:val="001F245D"/>
    <w:rsid w:val="001F5F17"/>
    <w:rsid w:val="001F640C"/>
    <w:rsid w:val="001F7C7F"/>
    <w:rsid w:val="002014D1"/>
    <w:rsid w:val="00202ED5"/>
    <w:rsid w:val="0020459A"/>
    <w:rsid w:val="00204BD6"/>
    <w:rsid w:val="00204FF2"/>
    <w:rsid w:val="00205803"/>
    <w:rsid w:val="00206482"/>
    <w:rsid w:val="00206B86"/>
    <w:rsid w:val="00207786"/>
    <w:rsid w:val="00210DA3"/>
    <w:rsid w:val="00211425"/>
    <w:rsid w:val="00211E4B"/>
    <w:rsid w:val="00212F82"/>
    <w:rsid w:val="0021333A"/>
    <w:rsid w:val="0021352B"/>
    <w:rsid w:val="00214307"/>
    <w:rsid w:val="00217FF8"/>
    <w:rsid w:val="00220CFC"/>
    <w:rsid w:val="00221235"/>
    <w:rsid w:val="00222F83"/>
    <w:rsid w:val="002232E3"/>
    <w:rsid w:val="00225025"/>
    <w:rsid w:val="00225E6D"/>
    <w:rsid w:val="0022661B"/>
    <w:rsid w:val="0022699F"/>
    <w:rsid w:val="00232607"/>
    <w:rsid w:val="00232754"/>
    <w:rsid w:val="00232822"/>
    <w:rsid w:val="00234361"/>
    <w:rsid w:val="00235133"/>
    <w:rsid w:val="00240283"/>
    <w:rsid w:val="0024103E"/>
    <w:rsid w:val="00241B9A"/>
    <w:rsid w:val="00242903"/>
    <w:rsid w:val="00243131"/>
    <w:rsid w:val="0024515C"/>
    <w:rsid w:val="0024555C"/>
    <w:rsid w:val="00246779"/>
    <w:rsid w:val="00246A9F"/>
    <w:rsid w:val="00246E65"/>
    <w:rsid w:val="002476C8"/>
    <w:rsid w:val="00247801"/>
    <w:rsid w:val="00250ABB"/>
    <w:rsid w:val="002513A0"/>
    <w:rsid w:val="002518AA"/>
    <w:rsid w:val="002519EA"/>
    <w:rsid w:val="00251D31"/>
    <w:rsid w:val="00252873"/>
    <w:rsid w:val="002537ED"/>
    <w:rsid w:val="00253DAE"/>
    <w:rsid w:val="002547BB"/>
    <w:rsid w:val="00254D8F"/>
    <w:rsid w:val="002569BB"/>
    <w:rsid w:val="00256E20"/>
    <w:rsid w:val="0025795D"/>
    <w:rsid w:val="002607D6"/>
    <w:rsid w:val="00260D95"/>
    <w:rsid w:val="00262B29"/>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231C"/>
    <w:rsid w:val="00282719"/>
    <w:rsid w:val="00283675"/>
    <w:rsid w:val="00284346"/>
    <w:rsid w:val="00285082"/>
    <w:rsid w:val="002855CD"/>
    <w:rsid w:val="002857F7"/>
    <w:rsid w:val="00285BC8"/>
    <w:rsid w:val="00286B9C"/>
    <w:rsid w:val="00286D98"/>
    <w:rsid w:val="00287596"/>
    <w:rsid w:val="002918CE"/>
    <w:rsid w:val="00292825"/>
    <w:rsid w:val="0029320E"/>
    <w:rsid w:val="00294272"/>
    <w:rsid w:val="002967A2"/>
    <w:rsid w:val="0029686D"/>
    <w:rsid w:val="002A0695"/>
    <w:rsid w:val="002A094F"/>
    <w:rsid w:val="002A202B"/>
    <w:rsid w:val="002A263B"/>
    <w:rsid w:val="002A31BF"/>
    <w:rsid w:val="002A3270"/>
    <w:rsid w:val="002A35E4"/>
    <w:rsid w:val="002A36C6"/>
    <w:rsid w:val="002A4F79"/>
    <w:rsid w:val="002A5D23"/>
    <w:rsid w:val="002A6865"/>
    <w:rsid w:val="002A6C7A"/>
    <w:rsid w:val="002B12CA"/>
    <w:rsid w:val="002B16DF"/>
    <w:rsid w:val="002B1FF4"/>
    <w:rsid w:val="002B2B66"/>
    <w:rsid w:val="002B2CC4"/>
    <w:rsid w:val="002B42DF"/>
    <w:rsid w:val="002B52FF"/>
    <w:rsid w:val="002B649F"/>
    <w:rsid w:val="002B7184"/>
    <w:rsid w:val="002B73E1"/>
    <w:rsid w:val="002B791B"/>
    <w:rsid w:val="002B7AF9"/>
    <w:rsid w:val="002C0617"/>
    <w:rsid w:val="002C0C1F"/>
    <w:rsid w:val="002C13CA"/>
    <w:rsid w:val="002C17EE"/>
    <w:rsid w:val="002C2B38"/>
    <w:rsid w:val="002C2FB9"/>
    <w:rsid w:val="002C4B46"/>
    <w:rsid w:val="002C52D6"/>
    <w:rsid w:val="002C53A8"/>
    <w:rsid w:val="002C5610"/>
    <w:rsid w:val="002C6D8B"/>
    <w:rsid w:val="002C6F91"/>
    <w:rsid w:val="002C7B63"/>
    <w:rsid w:val="002D1C0A"/>
    <w:rsid w:val="002D54AD"/>
    <w:rsid w:val="002D582B"/>
    <w:rsid w:val="002D71D1"/>
    <w:rsid w:val="002E246D"/>
    <w:rsid w:val="002E252C"/>
    <w:rsid w:val="002E2631"/>
    <w:rsid w:val="002E3146"/>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4B0"/>
    <w:rsid w:val="0030080D"/>
    <w:rsid w:val="00300EB3"/>
    <w:rsid w:val="003014E0"/>
    <w:rsid w:val="00301DDC"/>
    <w:rsid w:val="00301E1A"/>
    <w:rsid w:val="0030271D"/>
    <w:rsid w:val="00303EF4"/>
    <w:rsid w:val="0030619C"/>
    <w:rsid w:val="0031021A"/>
    <w:rsid w:val="0031032A"/>
    <w:rsid w:val="00310B83"/>
    <w:rsid w:val="00310C96"/>
    <w:rsid w:val="003112BD"/>
    <w:rsid w:val="0031199F"/>
    <w:rsid w:val="0031233B"/>
    <w:rsid w:val="00316561"/>
    <w:rsid w:val="003169FD"/>
    <w:rsid w:val="00317885"/>
    <w:rsid w:val="0032046E"/>
    <w:rsid w:val="00322637"/>
    <w:rsid w:val="0032509C"/>
    <w:rsid w:val="0032554A"/>
    <w:rsid w:val="00325E13"/>
    <w:rsid w:val="003262DF"/>
    <w:rsid w:val="00326396"/>
    <w:rsid w:val="003269F2"/>
    <w:rsid w:val="00326DCF"/>
    <w:rsid w:val="00327C86"/>
    <w:rsid w:val="00330A3D"/>
    <w:rsid w:val="00331758"/>
    <w:rsid w:val="00332012"/>
    <w:rsid w:val="003322F5"/>
    <w:rsid w:val="00333B06"/>
    <w:rsid w:val="003341BE"/>
    <w:rsid w:val="003345A3"/>
    <w:rsid w:val="0033465D"/>
    <w:rsid w:val="00335288"/>
    <w:rsid w:val="00337367"/>
    <w:rsid w:val="00337904"/>
    <w:rsid w:val="00341B7F"/>
    <w:rsid w:val="00341DE7"/>
    <w:rsid w:val="00341FFC"/>
    <w:rsid w:val="00342877"/>
    <w:rsid w:val="00343591"/>
    <w:rsid w:val="0034385C"/>
    <w:rsid w:val="003444CC"/>
    <w:rsid w:val="00345933"/>
    <w:rsid w:val="00345956"/>
    <w:rsid w:val="00345DC8"/>
    <w:rsid w:val="00346A8B"/>
    <w:rsid w:val="00346C1A"/>
    <w:rsid w:val="00346C74"/>
    <w:rsid w:val="00347FC4"/>
    <w:rsid w:val="00350D2F"/>
    <w:rsid w:val="00351BBC"/>
    <w:rsid w:val="003529E7"/>
    <w:rsid w:val="00352D86"/>
    <w:rsid w:val="00354CC6"/>
    <w:rsid w:val="00355A82"/>
    <w:rsid w:val="00355FE3"/>
    <w:rsid w:val="003560C8"/>
    <w:rsid w:val="0035720F"/>
    <w:rsid w:val="003576FC"/>
    <w:rsid w:val="0035792B"/>
    <w:rsid w:val="0036045C"/>
    <w:rsid w:val="00360BBF"/>
    <w:rsid w:val="00362FE8"/>
    <w:rsid w:val="003641E4"/>
    <w:rsid w:val="003642E7"/>
    <w:rsid w:val="00364A84"/>
    <w:rsid w:val="00366FFE"/>
    <w:rsid w:val="003671F7"/>
    <w:rsid w:val="00367D00"/>
    <w:rsid w:val="0037042C"/>
    <w:rsid w:val="00371144"/>
    <w:rsid w:val="003711A7"/>
    <w:rsid w:val="003713B2"/>
    <w:rsid w:val="003730F8"/>
    <w:rsid w:val="00373E26"/>
    <w:rsid w:val="0037476E"/>
    <w:rsid w:val="00374C8D"/>
    <w:rsid w:val="00374D04"/>
    <w:rsid w:val="00375CDF"/>
    <w:rsid w:val="003765FD"/>
    <w:rsid w:val="0037713F"/>
    <w:rsid w:val="003771AB"/>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1E07"/>
    <w:rsid w:val="00393009"/>
    <w:rsid w:val="003938FF"/>
    <w:rsid w:val="00393922"/>
    <w:rsid w:val="00394E61"/>
    <w:rsid w:val="00395AFF"/>
    <w:rsid w:val="0039765D"/>
    <w:rsid w:val="003A141A"/>
    <w:rsid w:val="003A40BA"/>
    <w:rsid w:val="003A586D"/>
    <w:rsid w:val="003A5EB4"/>
    <w:rsid w:val="003A6BE0"/>
    <w:rsid w:val="003A6FD4"/>
    <w:rsid w:val="003A77FC"/>
    <w:rsid w:val="003A7D61"/>
    <w:rsid w:val="003B043C"/>
    <w:rsid w:val="003B087E"/>
    <w:rsid w:val="003B2346"/>
    <w:rsid w:val="003B3523"/>
    <w:rsid w:val="003B3D19"/>
    <w:rsid w:val="003B440C"/>
    <w:rsid w:val="003B52BB"/>
    <w:rsid w:val="003B6155"/>
    <w:rsid w:val="003B6516"/>
    <w:rsid w:val="003B7244"/>
    <w:rsid w:val="003B7507"/>
    <w:rsid w:val="003B7CCF"/>
    <w:rsid w:val="003C0730"/>
    <w:rsid w:val="003C10AA"/>
    <w:rsid w:val="003C1A90"/>
    <w:rsid w:val="003C2CA8"/>
    <w:rsid w:val="003C301D"/>
    <w:rsid w:val="003C348B"/>
    <w:rsid w:val="003C3659"/>
    <w:rsid w:val="003C487E"/>
    <w:rsid w:val="003C7593"/>
    <w:rsid w:val="003C7FC4"/>
    <w:rsid w:val="003D0DAE"/>
    <w:rsid w:val="003D183D"/>
    <w:rsid w:val="003D1FC8"/>
    <w:rsid w:val="003D2C75"/>
    <w:rsid w:val="003D500D"/>
    <w:rsid w:val="003D54E3"/>
    <w:rsid w:val="003D5590"/>
    <w:rsid w:val="003D575B"/>
    <w:rsid w:val="003D5C46"/>
    <w:rsid w:val="003D600B"/>
    <w:rsid w:val="003D66FF"/>
    <w:rsid w:val="003D7007"/>
    <w:rsid w:val="003D75F3"/>
    <w:rsid w:val="003E074D"/>
    <w:rsid w:val="003E09D7"/>
    <w:rsid w:val="003E24B3"/>
    <w:rsid w:val="003E3785"/>
    <w:rsid w:val="003E3CE1"/>
    <w:rsid w:val="003E5FA1"/>
    <w:rsid w:val="003E7086"/>
    <w:rsid w:val="003E74E3"/>
    <w:rsid w:val="003F0379"/>
    <w:rsid w:val="003F03C3"/>
    <w:rsid w:val="003F1966"/>
    <w:rsid w:val="003F265C"/>
    <w:rsid w:val="003F26AC"/>
    <w:rsid w:val="003F67A7"/>
    <w:rsid w:val="003F6C8E"/>
    <w:rsid w:val="003F7CFC"/>
    <w:rsid w:val="003F7E4E"/>
    <w:rsid w:val="003F7EA1"/>
    <w:rsid w:val="0040084C"/>
    <w:rsid w:val="00401B0E"/>
    <w:rsid w:val="00402BF2"/>
    <w:rsid w:val="004036CA"/>
    <w:rsid w:val="00403FCE"/>
    <w:rsid w:val="00404535"/>
    <w:rsid w:val="00405B88"/>
    <w:rsid w:val="00405BD8"/>
    <w:rsid w:val="004070D0"/>
    <w:rsid w:val="0041162A"/>
    <w:rsid w:val="004135A7"/>
    <w:rsid w:val="00413A14"/>
    <w:rsid w:val="00413D4D"/>
    <w:rsid w:val="00414D11"/>
    <w:rsid w:val="0041518D"/>
    <w:rsid w:val="004154D3"/>
    <w:rsid w:val="00415F8E"/>
    <w:rsid w:val="00416AF1"/>
    <w:rsid w:val="00421945"/>
    <w:rsid w:val="0042203E"/>
    <w:rsid w:val="004220F7"/>
    <w:rsid w:val="00422E0D"/>
    <w:rsid w:val="0042396A"/>
    <w:rsid w:val="00423A8E"/>
    <w:rsid w:val="00425AF5"/>
    <w:rsid w:val="0042639E"/>
    <w:rsid w:val="00426C1D"/>
    <w:rsid w:val="00432770"/>
    <w:rsid w:val="00432D2B"/>
    <w:rsid w:val="00432F8B"/>
    <w:rsid w:val="00433465"/>
    <w:rsid w:val="004339C0"/>
    <w:rsid w:val="0043622C"/>
    <w:rsid w:val="00440052"/>
    <w:rsid w:val="00441238"/>
    <w:rsid w:val="0044157B"/>
    <w:rsid w:val="00441AF4"/>
    <w:rsid w:val="0044301C"/>
    <w:rsid w:val="0044356A"/>
    <w:rsid w:val="004451ED"/>
    <w:rsid w:val="0044535C"/>
    <w:rsid w:val="00446719"/>
    <w:rsid w:val="004506A1"/>
    <w:rsid w:val="0045272E"/>
    <w:rsid w:val="004529D0"/>
    <w:rsid w:val="00454147"/>
    <w:rsid w:val="0045589B"/>
    <w:rsid w:val="004567BE"/>
    <w:rsid w:val="00457140"/>
    <w:rsid w:val="00460F53"/>
    <w:rsid w:val="00461CBF"/>
    <w:rsid w:val="00462577"/>
    <w:rsid w:val="00463BBF"/>
    <w:rsid w:val="00463CFB"/>
    <w:rsid w:val="00465390"/>
    <w:rsid w:val="00466079"/>
    <w:rsid w:val="004671F6"/>
    <w:rsid w:val="004700CD"/>
    <w:rsid w:val="004723D9"/>
    <w:rsid w:val="004728D3"/>
    <w:rsid w:val="00475312"/>
    <w:rsid w:val="004753A2"/>
    <w:rsid w:val="004753FC"/>
    <w:rsid w:val="00477CA3"/>
    <w:rsid w:val="0048109E"/>
    <w:rsid w:val="0048185E"/>
    <w:rsid w:val="004829ED"/>
    <w:rsid w:val="00483C88"/>
    <w:rsid w:val="00483FC9"/>
    <w:rsid w:val="00484A90"/>
    <w:rsid w:val="00485A71"/>
    <w:rsid w:val="00485EDA"/>
    <w:rsid w:val="00485FEC"/>
    <w:rsid w:val="00486A9D"/>
    <w:rsid w:val="0048752E"/>
    <w:rsid w:val="0048768C"/>
    <w:rsid w:val="00490508"/>
    <w:rsid w:val="00491136"/>
    <w:rsid w:val="00495845"/>
    <w:rsid w:val="00495FB3"/>
    <w:rsid w:val="0049674C"/>
    <w:rsid w:val="0049708B"/>
    <w:rsid w:val="004A00D9"/>
    <w:rsid w:val="004A1029"/>
    <w:rsid w:val="004A1324"/>
    <w:rsid w:val="004A1C18"/>
    <w:rsid w:val="004A1F2C"/>
    <w:rsid w:val="004A25F8"/>
    <w:rsid w:val="004A3820"/>
    <w:rsid w:val="004A4CBA"/>
    <w:rsid w:val="004A4EC9"/>
    <w:rsid w:val="004A5945"/>
    <w:rsid w:val="004A641A"/>
    <w:rsid w:val="004A6659"/>
    <w:rsid w:val="004A76B5"/>
    <w:rsid w:val="004A7FF7"/>
    <w:rsid w:val="004B1CDE"/>
    <w:rsid w:val="004B34F9"/>
    <w:rsid w:val="004B35BF"/>
    <w:rsid w:val="004B3B28"/>
    <w:rsid w:val="004B4432"/>
    <w:rsid w:val="004B4877"/>
    <w:rsid w:val="004B539A"/>
    <w:rsid w:val="004B5B57"/>
    <w:rsid w:val="004B647D"/>
    <w:rsid w:val="004B7D03"/>
    <w:rsid w:val="004C0A06"/>
    <w:rsid w:val="004C0B6C"/>
    <w:rsid w:val="004C2BC9"/>
    <w:rsid w:val="004C3CD0"/>
    <w:rsid w:val="004C3F85"/>
    <w:rsid w:val="004C4465"/>
    <w:rsid w:val="004C48A0"/>
    <w:rsid w:val="004C4A26"/>
    <w:rsid w:val="004C52EE"/>
    <w:rsid w:val="004C6147"/>
    <w:rsid w:val="004C6CE0"/>
    <w:rsid w:val="004D2D09"/>
    <w:rsid w:val="004D31BD"/>
    <w:rsid w:val="004D3353"/>
    <w:rsid w:val="004D3CD6"/>
    <w:rsid w:val="004D5062"/>
    <w:rsid w:val="004D6B9C"/>
    <w:rsid w:val="004D7136"/>
    <w:rsid w:val="004E0170"/>
    <w:rsid w:val="004E0D79"/>
    <w:rsid w:val="004E0E0B"/>
    <w:rsid w:val="004E20BB"/>
    <w:rsid w:val="004E31B7"/>
    <w:rsid w:val="004E4F77"/>
    <w:rsid w:val="004E50F3"/>
    <w:rsid w:val="004E62F4"/>
    <w:rsid w:val="004E6EB2"/>
    <w:rsid w:val="004E7711"/>
    <w:rsid w:val="004F0153"/>
    <w:rsid w:val="004F0D75"/>
    <w:rsid w:val="004F15A6"/>
    <w:rsid w:val="004F1B93"/>
    <w:rsid w:val="004F32B2"/>
    <w:rsid w:val="004F3CBD"/>
    <w:rsid w:val="004F4332"/>
    <w:rsid w:val="004F59BE"/>
    <w:rsid w:val="004F7B42"/>
    <w:rsid w:val="0050139A"/>
    <w:rsid w:val="005017F1"/>
    <w:rsid w:val="005029F8"/>
    <w:rsid w:val="00502BF4"/>
    <w:rsid w:val="00503A48"/>
    <w:rsid w:val="00503D75"/>
    <w:rsid w:val="005045C8"/>
    <w:rsid w:val="005048A3"/>
    <w:rsid w:val="00506145"/>
    <w:rsid w:val="0050693C"/>
    <w:rsid w:val="005108B9"/>
    <w:rsid w:val="00510C1F"/>
    <w:rsid w:val="00510C36"/>
    <w:rsid w:val="005123F9"/>
    <w:rsid w:val="00513C2B"/>
    <w:rsid w:val="00516445"/>
    <w:rsid w:val="00516714"/>
    <w:rsid w:val="005174D3"/>
    <w:rsid w:val="00517A75"/>
    <w:rsid w:val="005235F1"/>
    <w:rsid w:val="00523A45"/>
    <w:rsid w:val="0052576A"/>
    <w:rsid w:val="005301A7"/>
    <w:rsid w:val="00531354"/>
    <w:rsid w:val="0053190A"/>
    <w:rsid w:val="00531F12"/>
    <w:rsid w:val="00532141"/>
    <w:rsid w:val="00532EF3"/>
    <w:rsid w:val="00533428"/>
    <w:rsid w:val="005337EC"/>
    <w:rsid w:val="00533BD0"/>
    <w:rsid w:val="0053410A"/>
    <w:rsid w:val="005341E9"/>
    <w:rsid w:val="00535AC5"/>
    <w:rsid w:val="00535D49"/>
    <w:rsid w:val="0053621F"/>
    <w:rsid w:val="00536828"/>
    <w:rsid w:val="00536B3F"/>
    <w:rsid w:val="0053767B"/>
    <w:rsid w:val="005378E2"/>
    <w:rsid w:val="005379A6"/>
    <w:rsid w:val="00540C5C"/>
    <w:rsid w:val="00542212"/>
    <w:rsid w:val="00543A1F"/>
    <w:rsid w:val="00543EEF"/>
    <w:rsid w:val="00545ADD"/>
    <w:rsid w:val="00546B04"/>
    <w:rsid w:val="00546B0D"/>
    <w:rsid w:val="00550B85"/>
    <w:rsid w:val="005513DA"/>
    <w:rsid w:val="0055283A"/>
    <w:rsid w:val="00552ACC"/>
    <w:rsid w:val="00553A18"/>
    <w:rsid w:val="0055445F"/>
    <w:rsid w:val="005550BC"/>
    <w:rsid w:val="00557A70"/>
    <w:rsid w:val="00557CD1"/>
    <w:rsid w:val="00566650"/>
    <w:rsid w:val="00566A7F"/>
    <w:rsid w:val="005705F8"/>
    <w:rsid w:val="005706E3"/>
    <w:rsid w:val="00570F9E"/>
    <w:rsid w:val="00571541"/>
    <w:rsid w:val="00571B94"/>
    <w:rsid w:val="00572241"/>
    <w:rsid w:val="00572B1E"/>
    <w:rsid w:val="00573327"/>
    <w:rsid w:val="005737AF"/>
    <w:rsid w:val="00573F3B"/>
    <w:rsid w:val="00574DDC"/>
    <w:rsid w:val="0057665D"/>
    <w:rsid w:val="0057704D"/>
    <w:rsid w:val="005770EA"/>
    <w:rsid w:val="005772B6"/>
    <w:rsid w:val="00580FB6"/>
    <w:rsid w:val="00584AD7"/>
    <w:rsid w:val="0058644E"/>
    <w:rsid w:val="0058727C"/>
    <w:rsid w:val="005879E2"/>
    <w:rsid w:val="00591E8B"/>
    <w:rsid w:val="00592BA4"/>
    <w:rsid w:val="00593929"/>
    <w:rsid w:val="00593EAF"/>
    <w:rsid w:val="00595426"/>
    <w:rsid w:val="0059656C"/>
    <w:rsid w:val="00596F7B"/>
    <w:rsid w:val="00597952"/>
    <w:rsid w:val="00597F69"/>
    <w:rsid w:val="005A09AD"/>
    <w:rsid w:val="005A0B27"/>
    <w:rsid w:val="005A10EE"/>
    <w:rsid w:val="005A16AD"/>
    <w:rsid w:val="005A2237"/>
    <w:rsid w:val="005A3567"/>
    <w:rsid w:val="005A49F2"/>
    <w:rsid w:val="005A4EA4"/>
    <w:rsid w:val="005A4FD1"/>
    <w:rsid w:val="005A6661"/>
    <w:rsid w:val="005A6EDE"/>
    <w:rsid w:val="005B147E"/>
    <w:rsid w:val="005B15F8"/>
    <w:rsid w:val="005B169B"/>
    <w:rsid w:val="005B2765"/>
    <w:rsid w:val="005B2DCD"/>
    <w:rsid w:val="005B332A"/>
    <w:rsid w:val="005B38F1"/>
    <w:rsid w:val="005B55F2"/>
    <w:rsid w:val="005B5911"/>
    <w:rsid w:val="005B5B6E"/>
    <w:rsid w:val="005B5CA4"/>
    <w:rsid w:val="005B6355"/>
    <w:rsid w:val="005B6977"/>
    <w:rsid w:val="005B7741"/>
    <w:rsid w:val="005B77E4"/>
    <w:rsid w:val="005B7CFC"/>
    <w:rsid w:val="005C1E25"/>
    <w:rsid w:val="005C5FB1"/>
    <w:rsid w:val="005C65F1"/>
    <w:rsid w:val="005C6EC1"/>
    <w:rsid w:val="005C781C"/>
    <w:rsid w:val="005D438C"/>
    <w:rsid w:val="005D51F0"/>
    <w:rsid w:val="005D5F66"/>
    <w:rsid w:val="005D6736"/>
    <w:rsid w:val="005D7196"/>
    <w:rsid w:val="005D7A2D"/>
    <w:rsid w:val="005E01FD"/>
    <w:rsid w:val="005E3305"/>
    <w:rsid w:val="005E5339"/>
    <w:rsid w:val="005E56F3"/>
    <w:rsid w:val="005E6F5E"/>
    <w:rsid w:val="005E76E1"/>
    <w:rsid w:val="005E7775"/>
    <w:rsid w:val="005E7D47"/>
    <w:rsid w:val="005F13D1"/>
    <w:rsid w:val="005F4A52"/>
    <w:rsid w:val="005F4C20"/>
    <w:rsid w:val="005F4FC0"/>
    <w:rsid w:val="005F518E"/>
    <w:rsid w:val="005F62DB"/>
    <w:rsid w:val="00600873"/>
    <w:rsid w:val="006027FA"/>
    <w:rsid w:val="006049C9"/>
    <w:rsid w:val="00604B02"/>
    <w:rsid w:val="006052D4"/>
    <w:rsid w:val="00606123"/>
    <w:rsid w:val="006102C7"/>
    <w:rsid w:val="006123AA"/>
    <w:rsid w:val="00612A7D"/>
    <w:rsid w:val="0061357E"/>
    <w:rsid w:val="006135B8"/>
    <w:rsid w:val="00613D10"/>
    <w:rsid w:val="006145F4"/>
    <w:rsid w:val="00614E95"/>
    <w:rsid w:val="00617822"/>
    <w:rsid w:val="00620580"/>
    <w:rsid w:val="00620CEE"/>
    <w:rsid w:val="00621DBE"/>
    <w:rsid w:val="00621E32"/>
    <w:rsid w:val="00622252"/>
    <w:rsid w:val="006222C9"/>
    <w:rsid w:val="006223AC"/>
    <w:rsid w:val="00623B38"/>
    <w:rsid w:val="006247E9"/>
    <w:rsid w:val="00624AF7"/>
    <w:rsid w:val="00624C99"/>
    <w:rsid w:val="006257F6"/>
    <w:rsid w:val="006274BC"/>
    <w:rsid w:val="00630594"/>
    <w:rsid w:val="00631F5C"/>
    <w:rsid w:val="00633565"/>
    <w:rsid w:val="0063392C"/>
    <w:rsid w:val="0063398B"/>
    <w:rsid w:val="00635242"/>
    <w:rsid w:val="00635992"/>
    <w:rsid w:val="00636076"/>
    <w:rsid w:val="00636908"/>
    <w:rsid w:val="00637BC4"/>
    <w:rsid w:val="00640330"/>
    <w:rsid w:val="006403B6"/>
    <w:rsid w:val="00640729"/>
    <w:rsid w:val="00640CBE"/>
    <w:rsid w:val="00641026"/>
    <w:rsid w:val="00643516"/>
    <w:rsid w:val="00644B93"/>
    <w:rsid w:val="00644D29"/>
    <w:rsid w:val="00646387"/>
    <w:rsid w:val="0064716A"/>
    <w:rsid w:val="00647A11"/>
    <w:rsid w:val="00650963"/>
    <w:rsid w:val="00650B35"/>
    <w:rsid w:val="006510AF"/>
    <w:rsid w:val="00651C70"/>
    <w:rsid w:val="00652801"/>
    <w:rsid w:val="006530C2"/>
    <w:rsid w:val="006546D5"/>
    <w:rsid w:val="0065498C"/>
    <w:rsid w:val="00655498"/>
    <w:rsid w:val="00656456"/>
    <w:rsid w:val="00656983"/>
    <w:rsid w:val="006610C8"/>
    <w:rsid w:val="0066226E"/>
    <w:rsid w:val="00662561"/>
    <w:rsid w:val="00663160"/>
    <w:rsid w:val="0066342E"/>
    <w:rsid w:val="00665E66"/>
    <w:rsid w:val="006707E2"/>
    <w:rsid w:val="006719AD"/>
    <w:rsid w:val="00674225"/>
    <w:rsid w:val="006749E6"/>
    <w:rsid w:val="00674D70"/>
    <w:rsid w:val="006769A0"/>
    <w:rsid w:val="00676B7F"/>
    <w:rsid w:val="00676C26"/>
    <w:rsid w:val="00677BD5"/>
    <w:rsid w:val="00680359"/>
    <w:rsid w:val="00681ACB"/>
    <w:rsid w:val="00682069"/>
    <w:rsid w:val="0068298D"/>
    <w:rsid w:val="00683C13"/>
    <w:rsid w:val="00684191"/>
    <w:rsid w:val="00685A2C"/>
    <w:rsid w:val="00685A2F"/>
    <w:rsid w:val="0068689D"/>
    <w:rsid w:val="0068710E"/>
    <w:rsid w:val="00687FB3"/>
    <w:rsid w:val="00690EA0"/>
    <w:rsid w:val="0069128A"/>
    <w:rsid w:val="00692790"/>
    <w:rsid w:val="00693400"/>
    <w:rsid w:val="0069394F"/>
    <w:rsid w:val="00693DB0"/>
    <w:rsid w:val="00694FF9"/>
    <w:rsid w:val="00695662"/>
    <w:rsid w:val="006966FA"/>
    <w:rsid w:val="00697DFA"/>
    <w:rsid w:val="006A0983"/>
    <w:rsid w:val="006A0E06"/>
    <w:rsid w:val="006A21EC"/>
    <w:rsid w:val="006A3E29"/>
    <w:rsid w:val="006A4323"/>
    <w:rsid w:val="006A576B"/>
    <w:rsid w:val="006A58EE"/>
    <w:rsid w:val="006A59A2"/>
    <w:rsid w:val="006A5CB6"/>
    <w:rsid w:val="006A62B8"/>
    <w:rsid w:val="006A74CC"/>
    <w:rsid w:val="006B1014"/>
    <w:rsid w:val="006B110A"/>
    <w:rsid w:val="006B152F"/>
    <w:rsid w:val="006B1923"/>
    <w:rsid w:val="006B1C4B"/>
    <w:rsid w:val="006B24C6"/>
    <w:rsid w:val="006B2593"/>
    <w:rsid w:val="006B336F"/>
    <w:rsid w:val="006B73CA"/>
    <w:rsid w:val="006C0191"/>
    <w:rsid w:val="006C1717"/>
    <w:rsid w:val="006C32F8"/>
    <w:rsid w:val="006C3394"/>
    <w:rsid w:val="006C3804"/>
    <w:rsid w:val="006C3C40"/>
    <w:rsid w:val="006C56BF"/>
    <w:rsid w:val="006C6EC1"/>
    <w:rsid w:val="006C7488"/>
    <w:rsid w:val="006C7C1D"/>
    <w:rsid w:val="006D0403"/>
    <w:rsid w:val="006D1922"/>
    <w:rsid w:val="006D2E13"/>
    <w:rsid w:val="006D3FE4"/>
    <w:rsid w:val="006D45CC"/>
    <w:rsid w:val="006D5607"/>
    <w:rsid w:val="006D593B"/>
    <w:rsid w:val="006D5BDB"/>
    <w:rsid w:val="006D6CBF"/>
    <w:rsid w:val="006E0573"/>
    <w:rsid w:val="006E1745"/>
    <w:rsid w:val="006E19E1"/>
    <w:rsid w:val="006E27C4"/>
    <w:rsid w:val="006E36FE"/>
    <w:rsid w:val="006E386D"/>
    <w:rsid w:val="006E4444"/>
    <w:rsid w:val="006E6D87"/>
    <w:rsid w:val="006F0B1C"/>
    <w:rsid w:val="006F0D89"/>
    <w:rsid w:val="006F1722"/>
    <w:rsid w:val="006F2C32"/>
    <w:rsid w:val="006F2EB5"/>
    <w:rsid w:val="006F483D"/>
    <w:rsid w:val="006F6973"/>
    <w:rsid w:val="0070007F"/>
    <w:rsid w:val="00700468"/>
    <w:rsid w:val="007004DB"/>
    <w:rsid w:val="00701215"/>
    <w:rsid w:val="00701EA4"/>
    <w:rsid w:val="00702365"/>
    <w:rsid w:val="007062AE"/>
    <w:rsid w:val="00707CDE"/>
    <w:rsid w:val="00711B71"/>
    <w:rsid w:val="0071254E"/>
    <w:rsid w:val="007132FB"/>
    <w:rsid w:val="00713EBF"/>
    <w:rsid w:val="0071458C"/>
    <w:rsid w:val="00715AA3"/>
    <w:rsid w:val="00715C73"/>
    <w:rsid w:val="007160B7"/>
    <w:rsid w:val="00716775"/>
    <w:rsid w:val="00717B1B"/>
    <w:rsid w:val="00717F52"/>
    <w:rsid w:val="007207AF"/>
    <w:rsid w:val="00722625"/>
    <w:rsid w:val="00725450"/>
    <w:rsid w:val="00727744"/>
    <w:rsid w:val="00727B3E"/>
    <w:rsid w:val="00731B11"/>
    <w:rsid w:val="007322CA"/>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8F2"/>
    <w:rsid w:val="00747FA5"/>
    <w:rsid w:val="007513DA"/>
    <w:rsid w:val="0075162E"/>
    <w:rsid w:val="00755274"/>
    <w:rsid w:val="0075581E"/>
    <w:rsid w:val="00756593"/>
    <w:rsid w:val="0075748F"/>
    <w:rsid w:val="007617FC"/>
    <w:rsid w:val="00761B24"/>
    <w:rsid w:val="007624F5"/>
    <w:rsid w:val="007625E7"/>
    <w:rsid w:val="00763443"/>
    <w:rsid w:val="00765AF9"/>
    <w:rsid w:val="00766F5D"/>
    <w:rsid w:val="00767404"/>
    <w:rsid w:val="00770278"/>
    <w:rsid w:val="00770366"/>
    <w:rsid w:val="007708B4"/>
    <w:rsid w:val="00770C99"/>
    <w:rsid w:val="00773816"/>
    <w:rsid w:val="00773F4F"/>
    <w:rsid w:val="0077545E"/>
    <w:rsid w:val="00775ED6"/>
    <w:rsid w:val="00776AF5"/>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EDE"/>
    <w:rsid w:val="00790A47"/>
    <w:rsid w:val="0079112F"/>
    <w:rsid w:val="0079128F"/>
    <w:rsid w:val="007913F6"/>
    <w:rsid w:val="00791652"/>
    <w:rsid w:val="00792520"/>
    <w:rsid w:val="00793489"/>
    <w:rsid w:val="007940DF"/>
    <w:rsid w:val="00794670"/>
    <w:rsid w:val="00796959"/>
    <w:rsid w:val="00797044"/>
    <w:rsid w:val="00797B2C"/>
    <w:rsid w:val="007A0227"/>
    <w:rsid w:val="007A1CFB"/>
    <w:rsid w:val="007A1EBB"/>
    <w:rsid w:val="007A2607"/>
    <w:rsid w:val="007A2E3C"/>
    <w:rsid w:val="007A3DA4"/>
    <w:rsid w:val="007A490D"/>
    <w:rsid w:val="007A4C6F"/>
    <w:rsid w:val="007A6202"/>
    <w:rsid w:val="007A75E5"/>
    <w:rsid w:val="007A75E6"/>
    <w:rsid w:val="007B1341"/>
    <w:rsid w:val="007B23C0"/>
    <w:rsid w:val="007B4AC4"/>
    <w:rsid w:val="007B66D8"/>
    <w:rsid w:val="007B7B89"/>
    <w:rsid w:val="007C1F9A"/>
    <w:rsid w:val="007C363B"/>
    <w:rsid w:val="007C4075"/>
    <w:rsid w:val="007C4936"/>
    <w:rsid w:val="007C58B8"/>
    <w:rsid w:val="007C629B"/>
    <w:rsid w:val="007D04AA"/>
    <w:rsid w:val="007D18C3"/>
    <w:rsid w:val="007D26C4"/>
    <w:rsid w:val="007D33ED"/>
    <w:rsid w:val="007D3937"/>
    <w:rsid w:val="007D460D"/>
    <w:rsid w:val="007D463F"/>
    <w:rsid w:val="007D499A"/>
    <w:rsid w:val="007D4DC0"/>
    <w:rsid w:val="007D5DCD"/>
    <w:rsid w:val="007D6E47"/>
    <w:rsid w:val="007D6EA2"/>
    <w:rsid w:val="007E056F"/>
    <w:rsid w:val="007E0C91"/>
    <w:rsid w:val="007E12F3"/>
    <w:rsid w:val="007E1B2A"/>
    <w:rsid w:val="007E1E7E"/>
    <w:rsid w:val="007E409E"/>
    <w:rsid w:val="007E45F7"/>
    <w:rsid w:val="007E4C9C"/>
    <w:rsid w:val="007E4D5D"/>
    <w:rsid w:val="007E5E63"/>
    <w:rsid w:val="007E7DA1"/>
    <w:rsid w:val="007F0BA5"/>
    <w:rsid w:val="007F1051"/>
    <w:rsid w:val="007F13D1"/>
    <w:rsid w:val="007F1D06"/>
    <w:rsid w:val="007F2C15"/>
    <w:rsid w:val="007F3EA8"/>
    <w:rsid w:val="007F5960"/>
    <w:rsid w:val="007F64C2"/>
    <w:rsid w:val="007F6562"/>
    <w:rsid w:val="007F7B45"/>
    <w:rsid w:val="0080016B"/>
    <w:rsid w:val="00800759"/>
    <w:rsid w:val="00800DBB"/>
    <w:rsid w:val="0080179D"/>
    <w:rsid w:val="00801B49"/>
    <w:rsid w:val="00802595"/>
    <w:rsid w:val="00804FBA"/>
    <w:rsid w:val="008050F8"/>
    <w:rsid w:val="00806B8A"/>
    <w:rsid w:val="0081243A"/>
    <w:rsid w:val="00813501"/>
    <w:rsid w:val="0081475B"/>
    <w:rsid w:val="00814F5E"/>
    <w:rsid w:val="008167F1"/>
    <w:rsid w:val="00816D28"/>
    <w:rsid w:val="008220A1"/>
    <w:rsid w:val="00822775"/>
    <w:rsid w:val="00822B60"/>
    <w:rsid w:val="00824DC3"/>
    <w:rsid w:val="00825AFD"/>
    <w:rsid w:val="00826534"/>
    <w:rsid w:val="008273F6"/>
    <w:rsid w:val="00830438"/>
    <w:rsid w:val="008308EF"/>
    <w:rsid w:val="00832502"/>
    <w:rsid w:val="00833FEA"/>
    <w:rsid w:val="00834D6A"/>
    <w:rsid w:val="00834F1A"/>
    <w:rsid w:val="0083533E"/>
    <w:rsid w:val="008354E6"/>
    <w:rsid w:val="00837D88"/>
    <w:rsid w:val="00840D1F"/>
    <w:rsid w:val="008420A7"/>
    <w:rsid w:val="00842DC2"/>
    <w:rsid w:val="0084309D"/>
    <w:rsid w:val="008449BC"/>
    <w:rsid w:val="00844B48"/>
    <w:rsid w:val="00846988"/>
    <w:rsid w:val="00846B2A"/>
    <w:rsid w:val="0085071D"/>
    <w:rsid w:val="008524DB"/>
    <w:rsid w:val="00852B95"/>
    <w:rsid w:val="00852C83"/>
    <w:rsid w:val="00853CE5"/>
    <w:rsid w:val="0085539B"/>
    <w:rsid w:val="00856074"/>
    <w:rsid w:val="00857A08"/>
    <w:rsid w:val="00862079"/>
    <w:rsid w:val="0086317A"/>
    <w:rsid w:val="008633CF"/>
    <w:rsid w:val="00866280"/>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430B"/>
    <w:rsid w:val="00884849"/>
    <w:rsid w:val="00886BF8"/>
    <w:rsid w:val="00887693"/>
    <w:rsid w:val="00891D4F"/>
    <w:rsid w:val="00891EAC"/>
    <w:rsid w:val="00892496"/>
    <w:rsid w:val="008926B8"/>
    <w:rsid w:val="00892C5D"/>
    <w:rsid w:val="00892E2D"/>
    <w:rsid w:val="008938E3"/>
    <w:rsid w:val="00893EC7"/>
    <w:rsid w:val="0089419A"/>
    <w:rsid w:val="00895174"/>
    <w:rsid w:val="00895320"/>
    <w:rsid w:val="00896124"/>
    <w:rsid w:val="008966D1"/>
    <w:rsid w:val="0089677D"/>
    <w:rsid w:val="00896971"/>
    <w:rsid w:val="0089753D"/>
    <w:rsid w:val="00897782"/>
    <w:rsid w:val="0089790E"/>
    <w:rsid w:val="008A29AD"/>
    <w:rsid w:val="008A2A5E"/>
    <w:rsid w:val="008A2B82"/>
    <w:rsid w:val="008A33CD"/>
    <w:rsid w:val="008A4742"/>
    <w:rsid w:val="008A5C3C"/>
    <w:rsid w:val="008A6D52"/>
    <w:rsid w:val="008A74E2"/>
    <w:rsid w:val="008A78FA"/>
    <w:rsid w:val="008B1514"/>
    <w:rsid w:val="008B1940"/>
    <w:rsid w:val="008B1C8F"/>
    <w:rsid w:val="008B309D"/>
    <w:rsid w:val="008B35EF"/>
    <w:rsid w:val="008B4678"/>
    <w:rsid w:val="008B477F"/>
    <w:rsid w:val="008B4E84"/>
    <w:rsid w:val="008B6298"/>
    <w:rsid w:val="008B6DC8"/>
    <w:rsid w:val="008C12E8"/>
    <w:rsid w:val="008C1A70"/>
    <w:rsid w:val="008C44EF"/>
    <w:rsid w:val="008C4D62"/>
    <w:rsid w:val="008C5C9B"/>
    <w:rsid w:val="008C69DD"/>
    <w:rsid w:val="008D065A"/>
    <w:rsid w:val="008D0858"/>
    <w:rsid w:val="008D1A97"/>
    <w:rsid w:val="008D2B3C"/>
    <w:rsid w:val="008D31D4"/>
    <w:rsid w:val="008D5A85"/>
    <w:rsid w:val="008D66B7"/>
    <w:rsid w:val="008D6745"/>
    <w:rsid w:val="008D69CA"/>
    <w:rsid w:val="008D6A6F"/>
    <w:rsid w:val="008D6A9A"/>
    <w:rsid w:val="008D789D"/>
    <w:rsid w:val="008E0361"/>
    <w:rsid w:val="008E2513"/>
    <w:rsid w:val="008E2936"/>
    <w:rsid w:val="008E3913"/>
    <w:rsid w:val="008E575D"/>
    <w:rsid w:val="008E7A46"/>
    <w:rsid w:val="008E7DCD"/>
    <w:rsid w:val="008F0D4C"/>
    <w:rsid w:val="008F2827"/>
    <w:rsid w:val="008F34B9"/>
    <w:rsid w:val="008F3EA9"/>
    <w:rsid w:val="008F683F"/>
    <w:rsid w:val="009006A5"/>
    <w:rsid w:val="0090192B"/>
    <w:rsid w:val="00901B58"/>
    <w:rsid w:val="009034F1"/>
    <w:rsid w:val="00903741"/>
    <w:rsid w:val="0090391A"/>
    <w:rsid w:val="00903F9F"/>
    <w:rsid w:val="00904637"/>
    <w:rsid w:val="00904D39"/>
    <w:rsid w:val="00905EB6"/>
    <w:rsid w:val="00906D50"/>
    <w:rsid w:val="00911A34"/>
    <w:rsid w:val="00911EB5"/>
    <w:rsid w:val="00912C3A"/>
    <w:rsid w:val="009133C4"/>
    <w:rsid w:val="00913FC5"/>
    <w:rsid w:val="009145F6"/>
    <w:rsid w:val="00914784"/>
    <w:rsid w:val="00915CE3"/>
    <w:rsid w:val="0091752D"/>
    <w:rsid w:val="009205B6"/>
    <w:rsid w:val="00923029"/>
    <w:rsid w:val="009230D9"/>
    <w:rsid w:val="009254EC"/>
    <w:rsid w:val="009255E7"/>
    <w:rsid w:val="00925734"/>
    <w:rsid w:val="00925ECD"/>
    <w:rsid w:val="00925FCB"/>
    <w:rsid w:val="009260AD"/>
    <w:rsid w:val="00926978"/>
    <w:rsid w:val="0092709C"/>
    <w:rsid w:val="00927AC3"/>
    <w:rsid w:val="009336E2"/>
    <w:rsid w:val="009342E3"/>
    <w:rsid w:val="0093495A"/>
    <w:rsid w:val="0094069E"/>
    <w:rsid w:val="00941ABE"/>
    <w:rsid w:val="00942E7A"/>
    <w:rsid w:val="00943CE9"/>
    <w:rsid w:val="009444F8"/>
    <w:rsid w:val="00945A0E"/>
    <w:rsid w:val="00947F57"/>
    <w:rsid w:val="009502AC"/>
    <w:rsid w:val="00950398"/>
    <w:rsid w:val="00954182"/>
    <w:rsid w:val="00954603"/>
    <w:rsid w:val="009546CE"/>
    <w:rsid w:val="00956266"/>
    <w:rsid w:val="0096056B"/>
    <w:rsid w:val="00960F49"/>
    <w:rsid w:val="009618D8"/>
    <w:rsid w:val="00961A2B"/>
    <w:rsid w:val="00962169"/>
    <w:rsid w:val="009629C0"/>
    <w:rsid w:val="0096351B"/>
    <w:rsid w:val="00965294"/>
    <w:rsid w:val="00967A50"/>
    <w:rsid w:val="00967BDC"/>
    <w:rsid w:val="00967D52"/>
    <w:rsid w:val="00967E06"/>
    <w:rsid w:val="00970CE4"/>
    <w:rsid w:val="00974F1B"/>
    <w:rsid w:val="00974FAC"/>
    <w:rsid w:val="00975DBA"/>
    <w:rsid w:val="00976B54"/>
    <w:rsid w:val="009770ED"/>
    <w:rsid w:val="00977580"/>
    <w:rsid w:val="00977BCC"/>
    <w:rsid w:val="009813C2"/>
    <w:rsid w:val="00982EF5"/>
    <w:rsid w:val="00983521"/>
    <w:rsid w:val="0098541D"/>
    <w:rsid w:val="00987559"/>
    <w:rsid w:val="0098771B"/>
    <w:rsid w:val="00993367"/>
    <w:rsid w:val="00993505"/>
    <w:rsid w:val="009946CB"/>
    <w:rsid w:val="00995738"/>
    <w:rsid w:val="00996062"/>
    <w:rsid w:val="009A11D3"/>
    <w:rsid w:val="009A2730"/>
    <w:rsid w:val="009A39B9"/>
    <w:rsid w:val="009A3D10"/>
    <w:rsid w:val="009A3D1F"/>
    <w:rsid w:val="009A4935"/>
    <w:rsid w:val="009A61CF"/>
    <w:rsid w:val="009A6B3D"/>
    <w:rsid w:val="009B1E25"/>
    <w:rsid w:val="009B37CF"/>
    <w:rsid w:val="009B3D0F"/>
    <w:rsid w:val="009B40F3"/>
    <w:rsid w:val="009B5EC4"/>
    <w:rsid w:val="009B64E2"/>
    <w:rsid w:val="009B7241"/>
    <w:rsid w:val="009B7ABE"/>
    <w:rsid w:val="009C16A2"/>
    <w:rsid w:val="009C16E7"/>
    <w:rsid w:val="009C1C92"/>
    <w:rsid w:val="009C36A4"/>
    <w:rsid w:val="009C3FB5"/>
    <w:rsid w:val="009C3FBE"/>
    <w:rsid w:val="009C4413"/>
    <w:rsid w:val="009C48F1"/>
    <w:rsid w:val="009C6030"/>
    <w:rsid w:val="009C6D38"/>
    <w:rsid w:val="009C781B"/>
    <w:rsid w:val="009D1020"/>
    <w:rsid w:val="009D112B"/>
    <w:rsid w:val="009D3230"/>
    <w:rsid w:val="009D527C"/>
    <w:rsid w:val="009D5578"/>
    <w:rsid w:val="009D6EDB"/>
    <w:rsid w:val="009D765B"/>
    <w:rsid w:val="009D7DD2"/>
    <w:rsid w:val="009E010F"/>
    <w:rsid w:val="009E0185"/>
    <w:rsid w:val="009E28E8"/>
    <w:rsid w:val="009E2A0B"/>
    <w:rsid w:val="009E3CAB"/>
    <w:rsid w:val="009E5BBD"/>
    <w:rsid w:val="009E5D70"/>
    <w:rsid w:val="009E693D"/>
    <w:rsid w:val="009E7013"/>
    <w:rsid w:val="009E79EF"/>
    <w:rsid w:val="009F0A7F"/>
    <w:rsid w:val="009F0F1E"/>
    <w:rsid w:val="009F1049"/>
    <w:rsid w:val="009F1058"/>
    <w:rsid w:val="009F1892"/>
    <w:rsid w:val="009F1F23"/>
    <w:rsid w:val="009F23A8"/>
    <w:rsid w:val="009F2933"/>
    <w:rsid w:val="009F3CAF"/>
    <w:rsid w:val="009F4AC6"/>
    <w:rsid w:val="009F5425"/>
    <w:rsid w:val="009F6931"/>
    <w:rsid w:val="00A0073D"/>
    <w:rsid w:val="00A02479"/>
    <w:rsid w:val="00A02BDB"/>
    <w:rsid w:val="00A0377B"/>
    <w:rsid w:val="00A04E60"/>
    <w:rsid w:val="00A05084"/>
    <w:rsid w:val="00A05F23"/>
    <w:rsid w:val="00A10DBF"/>
    <w:rsid w:val="00A116F8"/>
    <w:rsid w:val="00A11CCD"/>
    <w:rsid w:val="00A14B5E"/>
    <w:rsid w:val="00A15D50"/>
    <w:rsid w:val="00A15E90"/>
    <w:rsid w:val="00A16EB6"/>
    <w:rsid w:val="00A16F93"/>
    <w:rsid w:val="00A17C4B"/>
    <w:rsid w:val="00A21855"/>
    <w:rsid w:val="00A22283"/>
    <w:rsid w:val="00A22526"/>
    <w:rsid w:val="00A238C7"/>
    <w:rsid w:val="00A24364"/>
    <w:rsid w:val="00A27713"/>
    <w:rsid w:val="00A277D5"/>
    <w:rsid w:val="00A31466"/>
    <w:rsid w:val="00A3277C"/>
    <w:rsid w:val="00A327A8"/>
    <w:rsid w:val="00A3282C"/>
    <w:rsid w:val="00A330C1"/>
    <w:rsid w:val="00A331F3"/>
    <w:rsid w:val="00A3421C"/>
    <w:rsid w:val="00A342C0"/>
    <w:rsid w:val="00A35506"/>
    <w:rsid w:val="00A358EF"/>
    <w:rsid w:val="00A375A9"/>
    <w:rsid w:val="00A4025C"/>
    <w:rsid w:val="00A4025E"/>
    <w:rsid w:val="00A405D0"/>
    <w:rsid w:val="00A40E4E"/>
    <w:rsid w:val="00A41202"/>
    <w:rsid w:val="00A41B94"/>
    <w:rsid w:val="00A421ED"/>
    <w:rsid w:val="00A456AB"/>
    <w:rsid w:val="00A46D72"/>
    <w:rsid w:val="00A47911"/>
    <w:rsid w:val="00A5035D"/>
    <w:rsid w:val="00A50E55"/>
    <w:rsid w:val="00A51B99"/>
    <w:rsid w:val="00A54941"/>
    <w:rsid w:val="00A55818"/>
    <w:rsid w:val="00A575A5"/>
    <w:rsid w:val="00A60937"/>
    <w:rsid w:val="00A61854"/>
    <w:rsid w:val="00A62194"/>
    <w:rsid w:val="00A648E0"/>
    <w:rsid w:val="00A6493D"/>
    <w:rsid w:val="00A65169"/>
    <w:rsid w:val="00A66358"/>
    <w:rsid w:val="00A66478"/>
    <w:rsid w:val="00A6673B"/>
    <w:rsid w:val="00A7086B"/>
    <w:rsid w:val="00A70ECC"/>
    <w:rsid w:val="00A70F8D"/>
    <w:rsid w:val="00A71C5B"/>
    <w:rsid w:val="00A7293F"/>
    <w:rsid w:val="00A73BAB"/>
    <w:rsid w:val="00A74152"/>
    <w:rsid w:val="00A75EC0"/>
    <w:rsid w:val="00A761CF"/>
    <w:rsid w:val="00A76387"/>
    <w:rsid w:val="00A80152"/>
    <w:rsid w:val="00A80C70"/>
    <w:rsid w:val="00A81C41"/>
    <w:rsid w:val="00A82751"/>
    <w:rsid w:val="00A82F65"/>
    <w:rsid w:val="00A83FA0"/>
    <w:rsid w:val="00A84A3B"/>
    <w:rsid w:val="00A86A0C"/>
    <w:rsid w:val="00A87887"/>
    <w:rsid w:val="00A90A32"/>
    <w:rsid w:val="00A9200E"/>
    <w:rsid w:val="00A923DD"/>
    <w:rsid w:val="00A92A17"/>
    <w:rsid w:val="00A92EC5"/>
    <w:rsid w:val="00A930E4"/>
    <w:rsid w:val="00A943CA"/>
    <w:rsid w:val="00A94A58"/>
    <w:rsid w:val="00A95163"/>
    <w:rsid w:val="00A96984"/>
    <w:rsid w:val="00A96A54"/>
    <w:rsid w:val="00A97C0C"/>
    <w:rsid w:val="00AA13C2"/>
    <w:rsid w:val="00AA1D04"/>
    <w:rsid w:val="00AA3DEC"/>
    <w:rsid w:val="00AA3F32"/>
    <w:rsid w:val="00AA4E02"/>
    <w:rsid w:val="00AA4E66"/>
    <w:rsid w:val="00AA7AA8"/>
    <w:rsid w:val="00AA7D0C"/>
    <w:rsid w:val="00AB0DCE"/>
    <w:rsid w:val="00AB15BD"/>
    <w:rsid w:val="00AB24AB"/>
    <w:rsid w:val="00AB40AF"/>
    <w:rsid w:val="00AB51A6"/>
    <w:rsid w:val="00AB5233"/>
    <w:rsid w:val="00AB561B"/>
    <w:rsid w:val="00AB58F4"/>
    <w:rsid w:val="00AB5D13"/>
    <w:rsid w:val="00AB668E"/>
    <w:rsid w:val="00AB66D1"/>
    <w:rsid w:val="00AB7291"/>
    <w:rsid w:val="00AB74A7"/>
    <w:rsid w:val="00AC0190"/>
    <w:rsid w:val="00AC1963"/>
    <w:rsid w:val="00AC196B"/>
    <w:rsid w:val="00AC4C9E"/>
    <w:rsid w:val="00AC5A91"/>
    <w:rsid w:val="00AC5C4D"/>
    <w:rsid w:val="00AC6CB7"/>
    <w:rsid w:val="00AC704C"/>
    <w:rsid w:val="00AD0292"/>
    <w:rsid w:val="00AD0667"/>
    <w:rsid w:val="00AD09D3"/>
    <w:rsid w:val="00AD0C50"/>
    <w:rsid w:val="00AD1269"/>
    <w:rsid w:val="00AD2A01"/>
    <w:rsid w:val="00AD3101"/>
    <w:rsid w:val="00AD4C87"/>
    <w:rsid w:val="00AD619D"/>
    <w:rsid w:val="00AD67C1"/>
    <w:rsid w:val="00AD7540"/>
    <w:rsid w:val="00AE26CF"/>
    <w:rsid w:val="00AE3D31"/>
    <w:rsid w:val="00AE3F1D"/>
    <w:rsid w:val="00AE403F"/>
    <w:rsid w:val="00AE4491"/>
    <w:rsid w:val="00AE7452"/>
    <w:rsid w:val="00AE7FAF"/>
    <w:rsid w:val="00AF150D"/>
    <w:rsid w:val="00AF1807"/>
    <w:rsid w:val="00AF23C8"/>
    <w:rsid w:val="00AF2846"/>
    <w:rsid w:val="00AF29B7"/>
    <w:rsid w:val="00AF3D6A"/>
    <w:rsid w:val="00AF4137"/>
    <w:rsid w:val="00AF4612"/>
    <w:rsid w:val="00AF65DF"/>
    <w:rsid w:val="00AF7227"/>
    <w:rsid w:val="00B003EA"/>
    <w:rsid w:val="00B024D0"/>
    <w:rsid w:val="00B02739"/>
    <w:rsid w:val="00B05709"/>
    <w:rsid w:val="00B061B1"/>
    <w:rsid w:val="00B06324"/>
    <w:rsid w:val="00B1037E"/>
    <w:rsid w:val="00B11155"/>
    <w:rsid w:val="00B113B0"/>
    <w:rsid w:val="00B12221"/>
    <w:rsid w:val="00B126F9"/>
    <w:rsid w:val="00B133C7"/>
    <w:rsid w:val="00B136C3"/>
    <w:rsid w:val="00B13AFC"/>
    <w:rsid w:val="00B13BFB"/>
    <w:rsid w:val="00B13D4A"/>
    <w:rsid w:val="00B15092"/>
    <w:rsid w:val="00B16219"/>
    <w:rsid w:val="00B169C6"/>
    <w:rsid w:val="00B1731D"/>
    <w:rsid w:val="00B20283"/>
    <w:rsid w:val="00B20B34"/>
    <w:rsid w:val="00B20E73"/>
    <w:rsid w:val="00B21845"/>
    <w:rsid w:val="00B22244"/>
    <w:rsid w:val="00B2245E"/>
    <w:rsid w:val="00B2392F"/>
    <w:rsid w:val="00B2559A"/>
    <w:rsid w:val="00B25FC7"/>
    <w:rsid w:val="00B3006A"/>
    <w:rsid w:val="00B3114E"/>
    <w:rsid w:val="00B312AC"/>
    <w:rsid w:val="00B31639"/>
    <w:rsid w:val="00B31799"/>
    <w:rsid w:val="00B31AAA"/>
    <w:rsid w:val="00B3335F"/>
    <w:rsid w:val="00B33C86"/>
    <w:rsid w:val="00B34DC4"/>
    <w:rsid w:val="00B35A14"/>
    <w:rsid w:val="00B35A6D"/>
    <w:rsid w:val="00B367B7"/>
    <w:rsid w:val="00B37D35"/>
    <w:rsid w:val="00B37D65"/>
    <w:rsid w:val="00B4065B"/>
    <w:rsid w:val="00B40D9E"/>
    <w:rsid w:val="00B411C2"/>
    <w:rsid w:val="00B41C06"/>
    <w:rsid w:val="00B42CF1"/>
    <w:rsid w:val="00B42E55"/>
    <w:rsid w:val="00B430FE"/>
    <w:rsid w:val="00B43620"/>
    <w:rsid w:val="00B44248"/>
    <w:rsid w:val="00B4635F"/>
    <w:rsid w:val="00B50031"/>
    <w:rsid w:val="00B5122A"/>
    <w:rsid w:val="00B51F95"/>
    <w:rsid w:val="00B5496A"/>
    <w:rsid w:val="00B54D7D"/>
    <w:rsid w:val="00B57779"/>
    <w:rsid w:val="00B60224"/>
    <w:rsid w:val="00B62A70"/>
    <w:rsid w:val="00B62A9F"/>
    <w:rsid w:val="00B643C0"/>
    <w:rsid w:val="00B65F88"/>
    <w:rsid w:val="00B66C6A"/>
    <w:rsid w:val="00B672DD"/>
    <w:rsid w:val="00B70FA5"/>
    <w:rsid w:val="00B728E0"/>
    <w:rsid w:val="00B73242"/>
    <w:rsid w:val="00B740FB"/>
    <w:rsid w:val="00B7561B"/>
    <w:rsid w:val="00B756C0"/>
    <w:rsid w:val="00B76B9F"/>
    <w:rsid w:val="00B8137E"/>
    <w:rsid w:val="00B82F1E"/>
    <w:rsid w:val="00B83AEA"/>
    <w:rsid w:val="00B83CC0"/>
    <w:rsid w:val="00B858FB"/>
    <w:rsid w:val="00B85AD4"/>
    <w:rsid w:val="00B8671A"/>
    <w:rsid w:val="00B87918"/>
    <w:rsid w:val="00B9021E"/>
    <w:rsid w:val="00B9076F"/>
    <w:rsid w:val="00B9081F"/>
    <w:rsid w:val="00B90F26"/>
    <w:rsid w:val="00B91012"/>
    <w:rsid w:val="00B926E0"/>
    <w:rsid w:val="00B92783"/>
    <w:rsid w:val="00B954D6"/>
    <w:rsid w:val="00B95879"/>
    <w:rsid w:val="00B95B4E"/>
    <w:rsid w:val="00B978F6"/>
    <w:rsid w:val="00BA1285"/>
    <w:rsid w:val="00BA1BC3"/>
    <w:rsid w:val="00BA1BE4"/>
    <w:rsid w:val="00BA2CBD"/>
    <w:rsid w:val="00BA3FA3"/>
    <w:rsid w:val="00BA408E"/>
    <w:rsid w:val="00BA5D30"/>
    <w:rsid w:val="00BA67BC"/>
    <w:rsid w:val="00BA6E26"/>
    <w:rsid w:val="00BB080A"/>
    <w:rsid w:val="00BB09F1"/>
    <w:rsid w:val="00BB1F0D"/>
    <w:rsid w:val="00BB2B3F"/>
    <w:rsid w:val="00BB3478"/>
    <w:rsid w:val="00BB6062"/>
    <w:rsid w:val="00BB6D22"/>
    <w:rsid w:val="00BB6E18"/>
    <w:rsid w:val="00BB746E"/>
    <w:rsid w:val="00BB7B5B"/>
    <w:rsid w:val="00BB7E8A"/>
    <w:rsid w:val="00BB7FD7"/>
    <w:rsid w:val="00BC0417"/>
    <w:rsid w:val="00BC0ACB"/>
    <w:rsid w:val="00BC0CCE"/>
    <w:rsid w:val="00BC11B3"/>
    <w:rsid w:val="00BC1CCC"/>
    <w:rsid w:val="00BC29AF"/>
    <w:rsid w:val="00BC3648"/>
    <w:rsid w:val="00BC5C01"/>
    <w:rsid w:val="00BC5DA9"/>
    <w:rsid w:val="00BC5F20"/>
    <w:rsid w:val="00BC6C8A"/>
    <w:rsid w:val="00BD0592"/>
    <w:rsid w:val="00BD29EC"/>
    <w:rsid w:val="00BD493B"/>
    <w:rsid w:val="00BD587C"/>
    <w:rsid w:val="00BD7E98"/>
    <w:rsid w:val="00BE18CC"/>
    <w:rsid w:val="00BE3975"/>
    <w:rsid w:val="00BE3A1C"/>
    <w:rsid w:val="00BE4550"/>
    <w:rsid w:val="00BE5AF1"/>
    <w:rsid w:val="00BE5FAE"/>
    <w:rsid w:val="00BE63DD"/>
    <w:rsid w:val="00BE6B75"/>
    <w:rsid w:val="00BF00A6"/>
    <w:rsid w:val="00BF0E96"/>
    <w:rsid w:val="00BF1B1B"/>
    <w:rsid w:val="00BF21AA"/>
    <w:rsid w:val="00BF3760"/>
    <w:rsid w:val="00BF405F"/>
    <w:rsid w:val="00BF44FE"/>
    <w:rsid w:val="00BF4663"/>
    <w:rsid w:val="00BF4A58"/>
    <w:rsid w:val="00BF7292"/>
    <w:rsid w:val="00C01876"/>
    <w:rsid w:val="00C027FD"/>
    <w:rsid w:val="00C02C3B"/>
    <w:rsid w:val="00C030C2"/>
    <w:rsid w:val="00C0368F"/>
    <w:rsid w:val="00C03B4D"/>
    <w:rsid w:val="00C045D3"/>
    <w:rsid w:val="00C0594B"/>
    <w:rsid w:val="00C06BC9"/>
    <w:rsid w:val="00C06DB2"/>
    <w:rsid w:val="00C109F2"/>
    <w:rsid w:val="00C10B42"/>
    <w:rsid w:val="00C114B1"/>
    <w:rsid w:val="00C119B4"/>
    <w:rsid w:val="00C11AB6"/>
    <w:rsid w:val="00C11C3F"/>
    <w:rsid w:val="00C13596"/>
    <w:rsid w:val="00C13830"/>
    <w:rsid w:val="00C13D23"/>
    <w:rsid w:val="00C14111"/>
    <w:rsid w:val="00C14279"/>
    <w:rsid w:val="00C1434F"/>
    <w:rsid w:val="00C14943"/>
    <w:rsid w:val="00C15551"/>
    <w:rsid w:val="00C16B85"/>
    <w:rsid w:val="00C20CCA"/>
    <w:rsid w:val="00C20DAB"/>
    <w:rsid w:val="00C2148E"/>
    <w:rsid w:val="00C220A9"/>
    <w:rsid w:val="00C22D1F"/>
    <w:rsid w:val="00C2399F"/>
    <w:rsid w:val="00C23E23"/>
    <w:rsid w:val="00C2608C"/>
    <w:rsid w:val="00C261DC"/>
    <w:rsid w:val="00C26D1B"/>
    <w:rsid w:val="00C27357"/>
    <w:rsid w:val="00C316C5"/>
    <w:rsid w:val="00C3491E"/>
    <w:rsid w:val="00C40C23"/>
    <w:rsid w:val="00C422B6"/>
    <w:rsid w:val="00C42C29"/>
    <w:rsid w:val="00C42C6F"/>
    <w:rsid w:val="00C42FAF"/>
    <w:rsid w:val="00C43B58"/>
    <w:rsid w:val="00C444CE"/>
    <w:rsid w:val="00C44C0F"/>
    <w:rsid w:val="00C46416"/>
    <w:rsid w:val="00C46C29"/>
    <w:rsid w:val="00C523F9"/>
    <w:rsid w:val="00C525B8"/>
    <w:rsid w:val="00C528B9"/>
    <w:rsid w:val="00C56687"/>
    <w:rsid w:val="00C56AC4"/>
    <w:rsid w:val="00C6091C"/>
    <w:rsid w:val="00C62CA8"/>
    <w:rsid w:val="00C6404C"/>
    <w:rsid w:val="00C654D4"/>
    <w:rsid w:val="00C66168"/>
    <w:rsid w:val="00C6724F"/>
    <w:rsid w:val="00C70AC0"/>
    <w:rsid w:val="00C71F49"/>
    <w:rsid w:val="00C734B3"/>
    <w:rsid w:val="00C737AB"/>
    <w:rsid w:val="00C73D1A"/>
    <w:rsid w:val="00C743DC"/>
    <w:rsid w:val="00C74E58"/>
    <w:rsid w:val="00C74E7B"/>
    <w:rsid w:val="00C75474"/>
    <w:rsid w:val="00C7559B"/>
    <w:rsid w:val="00C76F1C"/>
    <w:rsid w:val="00C77001"/>
    <w:rsid w:val="00C77163"/>
    <w:rsid w:val="00C77C44"/>
    <w:rsid w:val="00C8016A"/>
    <w:rsid w:val="00C803C5"/>
    <w:rsid w:val="00C80D8B"/>
    <w:rsid w:val="00C82CCC"/>
    <w:rsid w:val="00C82F50"/>
    <w:rsid w:val="00C831B7"/>
    <w:rsid w:val="00C83AA3"/>
    <w:rsid w:val="00C84771"/>
    <w:rsid w:val="00C84CE8"/>
    <w:rsid w:val="00C851FE"/>
    <w:rsid w:val="00C9363D"/>
    <w:rsid w:val="00C93668"/>
    <w:rsid w:val="00C93E18"/>
    <w:rsid w:val="00C9432C"/>
    <w:rsid w:val="00C95FAE"/>
    <w:rsid w:val="00C97C44"/>
    <w:rsid w:val="00CA2C08"/>
    <w:rsid w:val="00CA31A3"/>
    <w:rsid w:val="00CA435A"/>
    <w:rsid w:val="00CA4B5B"/>
    <w:rsid w:val="00CA4C4A"/>
    <w:rsid w:val="00CA5038"/>
    <w:rsid w:val="00CA5440"/>
    <w:rsid w:val="00CA5C54"/>
    <w:rsid w:val="00CA7643"/>
    <w:rsid w:val="00CA7C45"/>
    <w:rsid w:val="00CB03E8"/>
    <w:rsid w:val="00CB0FF2"/>
    <w:rsid w:val="00CB21B6"/>
    <w:rsid w:val="00CB2DC2"/>
    <w:rsid w:val="00CB2F0E"/>
    <w:rsid w:val="00CB4987"/>
    <w:rsid w:val="00CB5921"/>
    <w:rsid w:val="00CB6102"/>
    <w:rsid w:val="00CB620B"/>
    <w:rsid w:val="00CC12E9"/>
    <w:rsid w:val="00CC1D5D"/>
    <w:rsid w:val="00CC255E"/>
    <w:rsid w:val="00CC2970"/>
    <w:rsid w:val="00CC2D0D"/>
    <w:rsid w:val="00CC3C59"/>
    <w:rsid w:val="00CC7658"/>
    <w:rsid w:val="00CD11F5"/>
    <w:rsid w:val="00CD2F99"/>
    <w:rsid w:val="00CD3B29"/>
    <w:rsid w:val="00CD5B8C"/>
    <w:rsid w:val="00CD5BFD"/>
    <w:rsid w:val="00CD5FE7"/>
    <w:rsid w:val="00CD6C3C"/>
    <w:rsid w:val="00CE08BD"/>
    <w:rsid w:val="00CE27D3"/>
    <w:rsid w:val="00CE4D34"/>
    <w:rsid w:val="00CE4EA8"/>
    <w:rsid w:val="00CE4F8B"/>
    <w:rsid w:val="00CE5240"/>
    <w:rsid w:val="00CE70E7"/>
    <w:rsid w:val="00CF02A1"/>
    <w:rsid w:val="00CF06E9"/>
    <w:rsid w:val="00CF090D"/>
    <w:rsid w:val="00CF0C10"/>
    <w:rsid w:val="00CF288C"/>
    <w:rsid w:val="00CF53CC"/>
    <w:rsid w:val="00CF64E2"/>
    <w:rsid w:val="00CF6C9F"/>
    <w:rsid w:val="00CF7229"/>
    <w:rsid w:val="00CF7465"/>
    <w:rsid w:val="00CF79CA"/>
    <w:rsid w:val="00D01754"/>
    <w:rsid w:val="00D0413B"/>
    <w:rsid w:val="00D0474E"/>
    <w:rsid w:val="00D04BE3"/>
    <w:rsid w:val="00D054A7"/>
    <w:rsid w:val="00D06A86"/>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6FEA"/>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1D4"/>
    <w:rsid w:val="00D352C1"/>
    <w:rsid w:val="00D40556"/>
    <w:rsid w:val="00D410AA"/>
    <w:rsid w:val="00D41150"/>
    <w:rsid w:val="00D41673"/>
    <w:rsid w:val="00D4208F"/>
    <w:rsid w:val="00D42E12"/>
    <w:rsid w:val="00D42E8E"/>
    <w:rsid w:val="00D43F49"/>
    <w:rsid w:val="00D44828"/>
    <w:rsid w:val="00D46058"/>
    <w:rsid w:val="00D472DD"/>
    <w:rsid w:val="00D475E7"/>
    <w:rsid w:val="00D47B2B"/>
    <w:rsid w:val="00D51333"/>
    <w:rsid w:val="00D52A9D"/>
    <w:rsid w:val="00D55121"/>
    <w:rsid w:val="00D56C20"/>
    <w:rsid w:val="00D57332"/>
    <w:rsid w:val="00D57450"/>
    <w:rsid w:val="00D57919"/>
    <w:rsid w:val="00D602BE"/>
    <w:rsid w:val="00D605F6"/>
    <w:rsid w:val="00D61012"/>
    <w:rsid w:val="00D61293"/>
    <w:rsid w:val="00D62189"/>
    <w:rsid w:val="00D6243A"/>
    <w:rsid w:val="00D641A4"/>
    <w:rsid w:val="00D6516B"/>
    <w:rsid w:val="00D66A1B"/>
    <w:rsid w:val="00D7091D"/>
    <w:rsid w:val="00D70A08"/>
    <w:rsid w:val="00D70B1E"/>
    <w:rsid w:val="00D715F4"/>
    <w:rsid w:val="00D71A1A"/>
    <w:rsid w:val="00D71CF8"/>
    <w:rsid w:val="00D71DD0"/>
    <w:rsid w:val="00D722AE"/>
    <w:rsid w:val="00D7232F"/>
    <w:rsid w:val="00D72710"/>
    <w:rsid w:val="00D72E47"/>
    <w:rsid w:val="00D74C07"/>
    <w:rsid w:val="00D7513D"/>
    <w:rsid w:val="00D75294"/>
    <w:rsid w:val="00D761C1"/>
    <w:rsid w:val="00D77265"/>
    <w:rsid w:val="00D805BA"/>
    <w:rsid w:val="00D824F5"/>
    <w:rsid w:val="00D855C2"/>
    <w:rsid w:val="00D85A31"/>
    <w:rsid w:val="00D85A9C"/>
    <w:rsid w:val="00D86AF8"/>
    <w:rsid w:val="00D87049"/>
    <w:rsid w:val="00D87159"/>
    <w:rsid w:val="00D879EE"/>
    <w:rsid w:val="00D900E7"/>
    <w:rsid w:val="00D9324B"/>
    <w:rsid w:val="00D968C5"/>
    <w:rsid w:val="00D9717A"/>
    <w:rsid w:val="00D97629"/>
    <w:rsid w:val="00D97819"/>
    <w:rsid w:val="00DA0CDC"/>
    <w:rsid w:val="00DA1004"/>
    <w:rsid w:val="00DA1A14"/>
    <w:rsid w:val="00DA227C"/>
    <w:rsid w:val="00DA29B1"/>
    <w:rsid w:val="00DA517E"/>
    <w:rsid w:val="00DA5902"/>
    <w:rsid w:val="00DA5D28"/>
    <w:rsid w:val="00DB1CA3"/>
    <w:rsid w:val="00DB4E40"/>
    <w:rsid w:val="00DB5809"/>
    <w:rsid w:val="00DB5C79"/>
    <w:rsid w:val="00DB5C87"/>
    <w:rsid w:val="00DC01C1"/>
    <w:rsid w:val="00DC0220"/>
    <w:rsid w:val="00DC0E09"/>
    <w:rsid w:val="00DC1E0E"/>
    <w:rsid w:val="00DC28F0"/>
    <w:rsid w:val="00DC608C"/>
    <w:rsid w:val="00DD2642"/>
    <w:rsid w:val="00DD2EDE"/>
    <w:rsid w:val="00DD3642"/>
    <w:rsid w:val="00DD499D"/>
    <w:rsid w:val="00DD4C37"/>
    <w:rsid w:val="00DD5378"/>
    <w:rsid w:val="00DD540D"/>
    <w:rsid w:val="00DD572A"/>
    <w:rsid w:val="00DD5DED"/>
    <w:rsid w:val="00DD6EB6"/>
    <w:rsid w:val="00DD7D82"/>
    <w:rsid w:val="00DD7E10"/>
    <w:rsid w:val="00DE06AC"/>
    <w:rsid w:val="00DE0ABC"/>
    <w:rsid w:val="00DE0D6E"/>
    <w:rsid w:val="00DE0FF8"/>
    <w:rsid w:val="00DE16C6"/>
    <w:rsid w:val="00DE16FC"/>
    <w:rsid w:val="00DE2F40"/>
    <w:rsid w:val="00DE363E"/>
    <w:rsid w:val="00DE3717"/>
    <w:rsid w:val="00DE69A4"/>
    <w:rsid w:val="00DE7343"/>
    <w:rsid w:val="00DE775D"/>
    <w:rsid w:val="00DF0065"/>
    <w:rsid w:val="00DF0187"/>
    <w:rsid w:val="00DF0624"/>
    <w:rsid w:val="00DF2196"/>
    <w:rsid w:val="00DF26C0"/>
    <w:rsid w:val="00DF3705"/>
    <w:rsid w:val="00DF3DAD"/>
    <w:rsid w:val="00DF4B21"/>
    <w:rsid w:val="00DF54D7"/>
    <w:rsid w:val="00DF6264"/>
    <w:rsid w:val="00DF7622"/>
    <w:rsid w:val="00DF78A9"/>
    <w:rsid w:val="00E02360"/>
    <w:rsid w:val="00E0301F"/>
    <w:rsid w:val="00E03213"/>
    <w:rsid w:val="00E03825"/>
    <w:rsid w:val="00E04506"/>
    <w:rsid w:val="00E0717A"/>
    <w:rsid w:val="00E13928"/>
    <w:rsid w:val="00E1485F"/>
    <w:rsid w:val="00E14F18"/>
    <w:rsid w:val="00E15366"/>
    <w:rsid w:val="00E1563C"/>
    <w:rsid w:val="00E157C1"/>
    <w:rsid w:val="00E15865"/>
    <w:rsid w:val="00E1615F"/>
    <w:rsid w:val="00E1734C"/>
    <w:rsid w:val="00E20255"/>
    <w:rsid w:val="00E20EC7"/>
    <w:rsid w:val="00E22CAF"/>
    <w:rsid w:val="00E24791"/>
    <w:rsid w:val="00E2480F"/>
    <w:rsid w:val="00E2525C"/>
    <w:rsid w:val="00E30D88"/>
    <w:rsid w:val="00E31E70"/>
    <w:rsid w:val="00E33D4C"/>
    <w:rsid w:val="00E34070"/>
    <w:rsid w:val="00E344CD"/>
    <w:rsid w:val="00E41854"/>
    <w:rsid w:val="00E426FB"/>
    <w:rsid w:val="00E42E83"/>
    <w:rsid w:val="00E4505D"/>
    <w:rsid w:val="00E45276"/>
    <w:rsid w:val="00E46165"/>
    <w:rsid w:val="00E47316"/>
    <w:rsid w:val="00E479BF"/>
    <w:rsid w:val="00E47A09"/>
    <w:rsid w:val="00E47B35"/>
    <w:rsid w:val="00E5056F"/>
    <w:rsid w:val="00E50757"/>
    <w:rsid w:val="00E516F8"/>
    <w:rsid w:val="00E5374F"/>
    <w:rsid w:val="00E5465E"/>
    <w:rsid w:val="00E5501D"/>
    <w:rsid w:val="00E55AA9"/>
    <w:rsid w:val="00E55C53"/>
    <w:rsid w:val="00E56EB8"/>
    <w:rsid w:val="00E575FF"/>
    <w:rsid w:val="00E60A11"/>
    <w:rsid w:val="00E627B4"/>
    <w:rsid w:val="00E62C15"/>
    <w:rsid w:val="00E62DA3"/>
    <w:rsid w:val="00E631CF"/>
    <w:rsid w:val="00E63B78"/>
    <w:rsid w:val="00E65630"/>
    <w:rsid w:val="00E65856"/>
    <w:rsid w:val="00E668CB"/>
    <w:rsid w:val="00E70901"/>
    <w:rsid w:val="00E7198A"/>
    <w:rsid w:val="00E72A6F"/>
    <w:rsid w:val="00E72FAF"/>
    <w:rsid w:val="00E7526D"/>
    <w:rsid w:val="00E75AD0"/>
    <w:rsid w:val="00E75EAE"/>
    <w:rsid w:val="00E768FE"/>
    <w:rsid w:val="00E77567"/>
    <w:rsid w:val="00E813CA"/>
    <w:rsid w:val="00E81548"/>
    <w:rsid w:val="00E81B7B"/>
    <w:rsid w:val="00E81E17"/>
    <w:rsid w:val="00E81FFB"/>
    <w:rsid w:val="00E826D5"/>
    <w:rsid w:val="00E83EC3"/>
    <w:rsid w:val="00E90057"/>
    <w:rsid w:val="00E9132C"/>
    <w:rsid w:val="00E91883"/>
    <w:rsid w:val="00E91D3B"/>
    <w:rsid w:val="00E92D83"/>
    <w:rsid w:val="00E92E1C"/>
    <w:rsid w:val="00E94E25"/>
    <w:rsid w:val="00E95160"/>
    <w:rsid w:val="00E9663D"/>
    <w:rsid w:val="00E969C1"/>
    <w:rsid w:val="00E96F24"/>
    <w:rsid w:val="00E97E81"/>
    <w:rsid w:val="00EA1BC8"/>
    <w:rsid w:val="00EA2D3A"/>
    <w:rsid w:val="00EA30FA"/>
    <w:rsid w:val="00EA3BE7"/>
    <w:rsid w:val="00EA51FE"/>
    <w:rsid w:val="00EA6FB7"/>
    <w:rsid w:val="00EA718F"/>
    <w:rsid w:val="00EA7323"/>
    <w:rsid w:val="00EA751A"/>
    <w:rsid w:val="00EB003B"/>
    <w:rsid w:val="00EB0AD0"/>
    <w:rsid w:val="00EB245B"/>
    <w:rsid w:val="00EB296B"/>
    <w:rsid w:val="00EB2F82"/>
    <w:rsid w:val="00EB34F2"/>
    <w:rsid w:val="00EB4191"/>
    <w:rsid w:val="00EB46E3"/>
    <w:rsid w:val="00EB55A3"/>
    <w:rsid w:val="00EB5AF7"/>
    <w:rsid w:val="00EB6899"/>
    <w:rsid w:val="00EB7064"/>
    <w:rsid w:val="00EB72D8"/>
    <w:rsid w:val="00EC0F34"/>
    <w:rsid w:val="00EC2361"/>
    <w:rsid w:val="00EC405F"/>
    <w:rsid w:val="00EC4C64"/>
    <w:rsid w:val="00EC5E2B"/>
    <w:rsid w:val="00EC612E"/>
    <w:rsid w:val="00EC6F7A"/>
    <w:rsid w:val="00EC7BC0"/>
    <w:rsid w:val="00EC7F53"/>
    <w:rsid w:val="00ED1F7A"/>
    <w:rsid w:val="00ED1FEB"/>
    <w:rsid w:val="00ED2168"/>
    <w:rsid w:val="00ED3D88"/>
    <w:rsid w:val="00ED65A7"/>
    <w:rsid w:val="00ED73CC"/>
    <w:rsid w:val="00EE01A9"/>
    <w:rsid w:val="00EE0624"/>
    <w:rsid w:val="00EE55F6"/>
    <w:rsid w:val="00EE6E9F"/>
    <w:rsid w:val="00EE79F2"/>
    <w:rsid w:val="00EE7DFD"/>
    <w:rsid w:val="00EF2456"/>
    <w:rsid w:val="00EF4057"/>
    <w:rsid w:val="00EF43F7"/>
    <w:rsid w:val="00EF4794"/>
    <w:rsid w:val="00EF5D28"/>
    <w:rsid w:val="00EF72EB"/>
    <w:rsid w:val="00F00284"/>
    <w:rsid w:val="00F018EA"/>
    <w:rsid w:val="00F01E32"/>
    <w:rsid w:val="00F01E37"/>
    <w:rsid w:val="00F0282A"/>
    <w:rsid w:val="00F0526E"/>
    <w:rsid w:val="00F06F9E"/>
    <w:rsid w:val="00F07AD5"/>
    <w:rsid w:val="00F1107B"/>
    <w:rsid w:val="00F121E4"/>
    <w:rsid w:val="00F12611"/>
    <w:rsid w:val="00F1282E"/>
    <w:rsid w:val="00F12893"/>
    <w:rsid w:val="00F128C1"/>
    <w:rsid w:val="00F140E1"/>
    <w:rsid w:val="00F14C7E"/>
    <w:rsid w:val="00F17971"/>
    <w:rsid w:val="00F17B6D"/>
    <w:rsid w:val="00F17F95"/>
    <w:rsid w:val="00F2020B"/>
    <w:rsid w:val="00F22303"/>
    <w:rsid w:val="00F243D1"/>
    <w:rsid w:val="00F24A85"/>
    <w:rsid w:val="00F25D31"/>
    <w:rsid w:val="00F26A38"/>
    <w:rsid w:val="00F30D7B"/>
    <w:rsid w:val="00F31AC1"/>
    <w:rsid w:val="00F32530"/>
    <w:rsid w:val="00F354D2"/>
    <w:rsid w:val="00F3561F"/>
    <w:rsid w:val="00F35B14"/>
    <w:rsid w:val="00F35ED0"/>
    <w:rsid w:val="00F35F84"/>
    <w:rsid w:val="00F368E8"/>
    <w:rsid w:val="00F36BB9"/>
    <w:rsid w:val="00F36F34"/>
    <w:rsid w:val="00F40689"/>
    <w:rsid w:val="00F40A1E"/>
    <w:rsid w:val="00F40ED8"/>
    <w:rsid w:val="00F41879"/>
    <w:rsid w:val="00F41BDE"/>
    <w:rsid w:val="00F43F70"/>
    <w:rsid w:val="00F44776"/>
    <w:rsid w:val="00F44E6C"/>
    <w:rsid w:val="00F45590"/>
    <w:rsid w:val="00F45C10"/>
    <w:rsid w:val="00F46C5C"/>
    <w:rsid w:val="00F46C82"/>
    <w:rsid w:val="00F47E97"/>
    <w:rsid w:val="00F47ECA"/>
    <w:rsid w:val="00F528E7"/>
    <w:rsid w:val="00F529AE"/>
    <w:rsid w:val="00F532D1"/>
    <w:rsid w:val="00F5494F"/>
    <w:rsid w:val="00F55A27"/>
    <w:rsid w:val="00F55D58"/>
    <w:rsid w:val="00F60D2A"/>
    <w:rsid w:val="00F63211"/>
    <w:rsid w:val="00F636E8"/>
    <w:rsid w:val="00F63899"/>
    <w:rsid w:val="00F65E0A"/>
    <w:rsid w:val="00F65ED5"/>
    <w:rsid w:val="00F66009"/>
    <w:rsid w:val="00F6679E"/>
    <w:rsid w:val="00F7014F"/>
    <w:rsid w:val="00F70AB7"/>
    <w:rsid w:val="00F72BA3"/>
    <w:rsid w:val="00F73AA3"/>
    <w:rsid w:val="00F74FCE"/>
    <w:rsid w:val="00F7523E"/>
    <w:rsid w:val="00F768B0"/>
    <w:rsid w:val="00F806BA"/>
    <w:rsid w:val="00F80AF0"/>
    <w:rsid w:val="00F80C57"/>
    <w:rsid w:val="00F80F37"/>
    <w:rsid w:val="00F828A9"/>
    <w:rsid w:val="00F83221"/>
    <w:rsid w:val="00F838C0"/>
    <w:rsid w:val="00F8437D"/>
    <w:rsid w:val="00F854AB"/>
    <w:rsid w:val="00F86C71"/>
    <w:rsid w:val="00F86D91"/>
    <w:rsid w:val="00F87B44"/>
    <w:rsid w:val="00F87E83"/>
    <w:rsid w:val="00F902DA"/>
    <w:rsid w:val="00F91910"/>
    <w:rsid w:val="00F91E65"/>
    <w:rsid w:val="00F92130"/>
    <w:rsid w:val="00F922B8"/>
    <w:rsid w:val="00F93D49"/>
    <w:rsid w:val="00F94666"/>
    <w:rsid w:val="00F953EC"/>
    <w:rsid w:val="00FA06DE"/>
    <w:rsid w:val="00FA11A4"/>
    <w:rsid w:val="00FA31F3"/>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570"/>
    <w:rsid w:val="00FC373D"/>
    <w:rsid w:val="00FC3740"/>
    <w:rsid w:val="00FC4131"/>
    <w:rsid w:val="00FC53B3"/>
    <w:rsid w:val="00FC589E"/>
    <w:rsid w:val="00FC58A8"/>
    <w:rsid w:val="00FC6F72"/>
    <w:rsid w:val="00FC75DD"/>
    <w:rsid w:val="00FC75F0"/>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287D"/>
  <w15:docId w15:val="{750C5DAD-E5CD-4E23-92CB-02B8ED92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36"/>
  </w:style>
  <w:style w:type="paragraph" w:styleId="Heading1">
    <w:name w:val="heading 1"/>
    <w:basedOn w:val="Normal"/>
    <w:next w:val="Normal"/>
    <w:link w:val="Heading1Char"/>
    <w:autoRedefine/>
    <w:qFormat/>
    <w:rsid w:val="004D5062"/>
    <w:pPr>
      <w:keepNext/>
      <w:keepLines/>
      <w:snapToGrid w:val="0"/>
      <w:spacing w:after="0" w:line="240" w:lineRule="auto"/>
      <w:jc w:val="center"/>
      <w:outlineLvl w:val="0"/>
    </w:pPr>
    <w:rPr>
      <w:rFonts w:ascii="SimSun" w:hAnsi="SimSun" w:cs="Times New Roman"/>
      <w:b/>
      <w:smallCaps/>
      <w:snapToGrid w:val="0"/>
      <w:sz w:val="24"/>
      <w:szCs w:val="24"/>
      <w:lang w:val="en-GB" w:eastAsia="zh-CN"/>
    </w:rPr>
  </w:style>
  <w:style w:type="paragraph" w:styleId="Heading2">
    <w:name w:val="heading 2"/>
    <w:basedOn w:val="Normal"/>
    <w:next w:val="Normal"/>
    <w:link w:val="Heading2Char"/>
    <w:autoRedefine/>
    <w:unhideWhenUsed/>
    <w:qFormat/>
    <w:rsid w:val="00CF090D"/>
    <w:pPr>
      <w:keepNext/>
      <w:keepLines/>
      <w:spacing w:before="120" w:after="120" w:line="240" w:lineRule="auto"/>
      <w:jc w:val="center"/>
      <w:outlineLvl w:val="1"/>
    </w:pPr>
    <w:rPr>
      <w:rFonts w:ascii="SimSun" w:hAnsi="SimSun" w:cs="Times New Roman"/>
      <w:b/>
      <w:snapToGrid w:val="0"/>
      <w:lang w:val="en-GB" w:eastAsia="zh-CN"/>
    </w:rPr>
  </w:style>
  <w:style w:type="paragraph" w:styleId="Heading3">
    <w:name w:val="heading 3"/>
    <w:basedOn w:val="Normal"/>
    <w:next w:val="Normal"/>
    <w:link w:val="Heading3Char"/>
    <w:autoRedefine/>
    <w:uiPriority w:val="9"/>
    <w:unhideWhenUsed/>
    <w:qFormat/>
    <w:rsid w:val="00475312"/>
    <w:pPr>
      <w:keepNext/>
      <w:keepLines/>
      <w:spacing w:before="240" w:after="240" w:line="240" w:lineRule="auto"/>
      <w:outlineLvl w:val="2"/>
    </w:pPr>
    <w:rPr>
      <w:rFonts w:ascii="楷体" w:eastAsia="KaiTi" w:hAnsi="楷体" w:cstheme="majorBid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Testo nota a piè di pagina Carattere Carattere,Testo nota a piè di pagina Carattere,Testo nota a piè di pagina Carattere1 Carattere,Testo nota a piè di pagina Carattere Carattere Carattere Carattere"/>
    <w:basedOn w:val="Normal"/>
    <w:link w:val="FootnoteTextChar"/>
    <w:autoRedefine/>
    <w:uiPriority w:val="99"/>
    <w:unhideWhenUsed/>
    <w:qFormat/>
    <w:rsid w:val="00513C2B"/>
    <w:pPr>
      <w:suppressLineNumbers/>
      <w:suppressAutoHyphens/>
      <w:spacing w:after="0" w:line="240" w:lineRule="auto"/>
    </w:pPr>
    <w:rPr>
      <w:rFonts w:ascii="Times New Roman" w:eastAsiaTheme="minorEastAsia" w:hAnsi="Times New Roman" w:cs="Times New Roman"/>
      <w:sz w:val="18"/>
      <w:szCs w:val="18"/>
      <w:lang w:val="en-GB"/>
    </w:rPr>
  </w:style>
  <w:style w:type="character" w:customStyle="1" w:styleId="FootnoteTextChar">
    <w:name w:val="Footnote Text Char"/>
    <w:aliases w:val="fn Char,Geneva 9 Char,Font: Geneva 9 Char,Boston 10 Char,f Char,Testo nota a piè di pagina Carattere Carattere Char,Testo nota a piè di pagina Carattere Char,Testo nota a piè di pagina Carattere1 Carattere Char"/>
    <w:basedOn w:val="DefaultParagraphFont"/>
    <w:link w:val="FootnoteText"/>
    <w:uiPriority w:val="99"/>
    <w:rsid w:val="00513C2B"/>
    <w:rPr>
      <w:rFonts w:ascii="Times New Roman" w:eastAsiaTheme="minorEastAsia" w:hAnsi="Times New Roman" w:cs="Times New Roman"/>
      <w:sz w:val="18"/>
      <w:szCs w:val="18"/>
      <w:lang w:val="en-GB"/>
    </w:rPr>
  </w:style>
  <w:style w:type="character" w:styleId="FootnoteReference">
    <w:name w:val="footnote reference"/>
    <w:aliases w:val="16 Point,Superscript 6 Point,Superscript 6 Point + 11 pt,ftref,Appel note de bas de page,number,Footnote Reference Superscript,-E Fußnotenzeichen,(Diplomarbeit FZ),(Diplomarbeit FZ)1,(Diplomarbeit FZ)2,(Diplomarbeit FZ)3,16 Poin"/>
    <w:basedOn w:val="DefaultParagraphFont"/>
    <w:link w:val="CharChar1CharCharCharChar1CharCharCharCharCharCharCharChar"/>
    <w:uiPriority w:val="99"/>
    <w:unhideWhenUsed/>
    <w:qFormat/>
    <w:rsid w:val="00CB2F0E"/>
    <w:rPr>
      <w:vertAlign w:val="superscript"/>
    </w:rPr>
  </w:style>
  <w:style w:type="character" w:styleId="Hyperlink">
    <w:name w:val="Hyperlink"/>
    <w:basedOn w:val="DefaultParagraphFont"/>
    <w:uiPriority w:val="99"/>
    <w:unhideWhenUsed/>
    <w:rsid w:val="006257F6"/>
    <w:rPr>
      <w:color w:val="0563C1" w:themeColor="hyperlink"/>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6257F6"/>
    <w:pPr>
      <w:spacing w:line="240" w:lineRule="exact"/>
      <w:jc w:val="both"/>
    </w:pPr>
    <w:rPr>
      <w:vertAlign w:val="superscript"/>
    </w:rPr>
  </w:style>
  <w:style w:type="paragraph" w:styleId="BalloonText">
    <w:name w:val="Balloon Text"/>
    <w:basedOn w:val="Normal"/>
    <w:link w:val="BalloonTextChar"/>
    <w:uiPriority w:val="99"/>
    <w:semiHidden/>
    <w:unhideWhenUsed/>
    <w:rsid w:val="0062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F6"/>
    <w:rPr>
      <w:rFonts w:ascii="Segoe UI" w:hAnsi="Segoe UI" w:cs="Segoe UI"/>
      <w:sz w:val="18"/>
      <w:szCs w:val="18"/>
    </w:rPr>
  </w:style>
  <w:style w:type="paragraph" w:styleId="ListParagraph">
    <w:name w:val="List Paragraph"/>
    <w:basedOn w:val="Normal"/>
    <w:uiPriority w:val="34"/>
    <w:qFormat/>
    <w:rsid w:val="00BC29AF"/>
    <w:pPr>
      <w:ind w:left="720"/>
      <w:contextualSpacing/>
    </w:pPr>
  </w:style>
  <w:style w:type="paragraph" w:customStyle="1" w:styleId="Para1">
    <w:name w:val="Para1"/>
    <w:basedOn w:val="Normal"/>
    <w:link w:val="Para1Char"/>
    <w:rsid w:val="00FB355B"/>
    <w:pPr>
      <w:numPr>
        <w:numId w:val="11"/>
      </w:numPr>
      <w:spacing w:after="120" w:line="240" w:lineRule="auto"/>
    </w:pPr>
    <w:rPr>
      <w:rFonts w:ascii="Times New Roman" w:eastAsia="MS Mincho" w:hAnsi="Times New Roman" w:cs="Angsana New"/>
      <w:snapToGrid w:val="0"/>
      <w:szCs w:val="18"/>
      <w:lang w:val="en-GB"/>
    </w:rPr>
  </w:style>
  <w:style w:type="paragraph" w:customStyle="1" w:styleId="Para3">
    <w:name w:val="Para3"/>
    <w:basedOn w:val="Normal"/>
    <w:rsid w:val="00FB355B"/>
    <w:pPr>
      <w:numPr>
        <w:ilvl w:val="2"/>
        <w:numId w:val="11"/>
      </w:numPr>
      <w:tabs>
        <w:tab w:val="left" w:pos="1980"/>
      </w:tabs>
      <w:spacing w:before="80" w:after="80" w:line="240" w:lineRule="auto"/>
    </w:pPr>
    <w:rPr>
      <w:rFonts w:ascii="Times New Roman" w:eastAsia="MS Mincho" w:hAnsi="Times New Roman" w:cs="Angsana New"/>
      <w:szCs w:val="20"/>
      <w:lang w:val="en-GB"/>
    </w:rPr>
  </w:style>
  <w:style w:type="table" w:styleId="TableGrid">
    <w:name w:val="Table Grid"/>
    <w:basedOn w:val="TableNormal"/>
    <w:uiPriority w:val="59"/>
    <w:rsid w:val="0027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D9"/>
  </w:style>
  <w:style w:type="paragraph" w:styleId="Footer">
    <w:name w:val="footer"/>
    <w:basedOn w:val="Normal"/>
    <w:link w:val="FooterChar"/>
    <w:uiPriority w:val="99"/>
    <w:unhideWhenUsed/>
    <w:rsid w:val="0092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D9"/>
  </w:style>
  <w:style w:type="character" w:styleId="CommentReference">
    <w:name w:val="annotation reference"/>
    <w:basedOn w:val="DefaultParagraphFont"/>
    <w:uiPriority w:val="99"/>
    <w:semiHidden/>
    <w:unhideWhenUsed/>
    <w:rsid w:val="000A6F0C"/>
    <w:rPr>
      <w:sz w:val="16"/>
      <w:szCs w:val="16"/>
    </w:rPr>
  </w:style>
  <w:style w:type="paragraph" w:styleId="CommentText">
    <w:name w:val="annotation text"/>
    <w:basedOn w:val="Normal"/>
    <w:link w:val="CommentTextChar"/>
    <w:uiPriority w:val="99"/>
    <w:semiHidden/>
    <w:unhideWhenUsed/>
    <w:rsid w:val="000A6F0C"/>
    <w:pPr>
      <w:spacing w:line="240" w:lineRule="auto"/>
    </w:pPr>
    <w:rPr>
      <w:sz w:val="20"/>
      <w:szCs w:val="20"/>
    </w:rPr>
  </w:style>
  <w:style w:type="character" w:customStyle="1" w:styleId="CommentTextChar">
    <w:name w:val="Comment Text Char"/>
    <w:basedOn w:val="DefaultParagraphFont"/>
    <w:link w:val="CommentText"/>
    <w:uiPriority w:val="99"/>
    <w:semiHidden/>
    <w:rsid w:val="000A6F0C"/>
    <w:rPr>
      <w:sz w:val="20"/>
      <w:szCs w:val="20"/>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b/>
      <w:bCs/>
      <w:sz w:val="20"/>
      <w:szCs w:val="20"/>
    </w:rPr>
  </w:style>
  <w:style w:type="character" w:customStyle="1" w:styleId="UnresolvedMention1">
    <w:name w:val="Unresolved Mention1"/>
    <w:basedOn w:val="DefaultParagraphFont"/>
    <w:uiPriority w:val="99"/>
    <w:semiHidden/>
    <w:unhideWhenUsed/>
    <w:rsid w:val="00970CE4"/>
    <w:rPr>
      <w:color w:val="605E5C"/>
      <w:shd w:val="clear" w:color="auto" w:fill="E1DFDD"/>
    </w:rPr>
  </w:style>
  <w:style w:type="table" w:customStyle="1" w:styleId="PlainTable41">
    <w:name w:val="Plain Table 41"/>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C6D8B"/>
    <w:rPr>
      <w:color w:val="800080"/>
      <w:u w:val="single"/>
    </w:rPr>
  </w:style>
  <w:style w:type="paragraph" w:customStyle="1" w:styleId="msonormal0">
    <w:name w:val="msonormal"/>
    <w:basedOn w:val="Normal"/>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C6D8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2C6D8B"/>
    <w:pPr>
      <w:spacing w:before="100" w:beforeAutospacing="1" w:after="100" w:afterAutospacing="1" w:line="240" w:lineRule="auto"/>
    </w:pPr>
    <w:rPr>
      <w:rFonts w:ascii="Tahoma" w:eastAsia="Times New Roman"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C6D8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2C6D8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75">
    <w:name w:val="xl75"/>
    <w:basedOn w:val="Normal"/>
    <w:rsid w:val="002C6D8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062"/>
    <w:rPr>
      <w:rFonts w:ascii="SimSun" w:hAnsi="SimSun" w:cs="Times New Roman"/>
      <w:b/>
      <w:smallCaps/>
      <w:snapToGrid w:val="0"/>
      <w:sz w:val="24"/>
      <w:szCs w:val="24"/>
      <w:lang w:val="en-GB" w:eastAsia="zh-CN"/>
    </w:rPr>
  </w:style>
  <w:style w:type="character" w:customStyle="1" w:styleId="Heading2Char">
    <w:name w:val="Heading 2 Char"/>
    <w:basedOn w:val="DefaultParagraphFont"/>
    <w:link w:val="Heading2"/>
    <w:rsid w:val="00CF090D"/>
    <w:rPr>
      <w:rFonts w:ascii="SimSun" w:hAnsi="SimSun" w:cs="Times New Roman"/>
      <w:b/>
      <w:snapToGrid w:val="0"/>
      <w:lang w:val="en-GB" w:eastAsia="zh-CN"/>
    </w:rPr>
  </w:style>
  <w:style w:type="character" w:customStyle="1" w:styleId="Heading3Char">
    <w:name w:val="Heading 3 Char"/>
    <w:basedOn w:val="DefaultParagraphFont"/>
    <w:link w:val="Heading3"/>
    <w:uiPriority w:val="9"/>
    <w:rsid w:val="00475312"/>
    <w:rPr>
      <w:rFonts w:ascii="楷体" w:eastAsia="KaiTi" w:hAnsi="楷体" w:cstheme="majorBidi"/>
      <w:sz w:val="24"/>
      <w:szCs w:val="24"/>
      <w:lang w:eastAsia="zh-CN"/>
    </w:rPr>
  </w:style>
  <w:style w:type="paragraph" w:styleId="TOC2">
    <w:name w:val="toc 2"/>
    <w:basedOn w:val="Normal"/>
    <w:next w:val="Normal"/>
    <w:autoRedefine/>
    <w:uiPriority w:val="39"/>
    <w:unhideWhenUsed/>
    <w:rsid w:val="00287596"/>
    <w:pPr>
      <w:tabs>
        <w:tab w:val="right" w:leader="dot" w:pos="9360"/>
      </w:tabs>
      <w:spacing w:after="100"/>
      <w:ind w:left="720"/>
    </w:pPr>
  </w:style>
  <w:style w:type="paragraph" w:styleId="TOC1">
    <w:name w:val="toc 1"/>
    <w:basedOn w:val="Normal"/>
    <w:next w:val="Normal"/>
    <w:autoRedefine/>
    <w:uiPriority w:val="39"/>
    <w:unhideWhenUsed/>
    <w:rsid w:val="00211E4B"/>
    <w:pPr>
      <w:tabs>
        <w:tab w:val="left" w:pos="440"/>
        <w:tab w:val="right" w:leader="dot" w:pos="9350"/>
      </w:tabs>
      <w:spacing w:after="100"/>
      <w:jc w:val="both"/>
    </w:pPr>
  </w:style>
  <w:style w:type="paragraph" w:styleId="TOC3">
    <w:name w:val="toc 3"/>
    <w:basedOn w:val="Normal"/>
    <w:next w:val="Normal"/>
    <w:autoRedefine/>
    <w:uiPriority w:val="39"/>
    <w:unhideWhenUsed/>
    <w:rsid w:val="00E45276"/>
    <w:pPr>
      <w:spacing w:after="100"/>
      <w:ind w:left="1008"/>
    </w:pPr>
  </w:style>
  <w:style w:type="paragraph" w:customStyle="1" w:styleId="HEADINGNOTFORTOC">
    <w:name w:val="HEADING (NOT FOR TOC)"/>
    <w:basedOn w:val="Heading1"/>
    <w:next w:val="Heading2"/>
    <w:rsid w:val="00AF2846"/>
    <w:pPr>
      <w:keepLines w:val="0"/>
      <w:tabs>
        <w:tab w:val="left" w:pos="720"/>
      </w:tabs>
      <w:spacing w:before="240" w:after="120"/>
    </w:pPr>
    <w:rPr>
      <w:rFonts w:eastAsia="Times New Roman"/>
      <w:caps/>
      <w:smallCaps w:val="0"/>
      <w:lang w:val="en-CA"/>
    </w:rPr>
  </w:style>
  <w:style w:type="paragraph" w:customStyle="1" w:styleId="meetingname">
    <w:name w:val="meeting name"/>
    <w:basedOn w:val="Normal"/>
    <w:qFormat/>
    <w:rsid w:val="00AF2846"/>
    <w:pPr>
      <w:spacing w:after="0" w:line="240" w:lineRule="auto"/>
      <w:ind w:left="170" w:right="3119" w:hanging="170"/>
    </w:pPr>
    <w:rPr>
      <w:rFonts w:ascii="Times New Roman" w:eastAsia="Malgun Gothic" w:hAnsi="Times New Roman" w:cs="Times New Roman"/>
      <w:caps/>
      <w:snapToGrid w:val="0"/>
      <w:sz w:val="24"/>
      <w:szCs w:val="24"/>
      <w:lang w:val="en-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uiPriority w:val="99"/>
    <w:rsid w:val="00AF2846"/>
    <w:pPr>
      <w:spacing w:line="240" w:lineRule="exact"/>
      <w:jc w:val="both"/>
    </w:pPr>
    <w:rPr>
      <w:rFonts w:ascii="Times New Roman" w:eastAsia="MS Mincho" w:hAnsi="Times New Roman" w:cs="Times New Roman"/>
      <w:sz w:val="18"/>
      <w:szCs w:val="20"/>
      <w:u w:val="single"/>
    </w:rPr>
  </w:style>
  <w:style w:type="character" w:styleId="PlaceholderText">
    <w:name w:val="Placeholder Text"/>
    <w:basedOn w:val="DefaultParagraphFont"/>
    <w:uiPriority w:val="99"/>
    <w:semiHidden/>
    <w:rsid w:val="00AF2846"/>
    <w:rPr>
      <w:color w:val="808080"/>
    </w:rPr>
  </w:style>
  <w:style w:type="character" w:customStyle="1" w:styleId="style21">
    <w:name w:val="style21"/>
    <w:basedOn w:val="DefaultParagraphFont"/>
    <w:rsid w:val="00BD493B"/>
    <w:rPr>
      <w:b w:val="0"/>
      <w:bCs w:val="0"/>
      <w:i w:val="0"/>
      <w:iCs w:val="0"/>
      <w:color w:val="000080"/>
      <w:sz w:val="24"/>
      <w:szCs w:val="24"/>
    </w:rPr>
  </w:style>
  <w:style w:type="character" w:customStyle="1" w:styleId="Para1Char">
    <w:name w:val="Para1 Char"/>
    <w:link w:val="Para1"/>
    <w:locked/>
    <w:rsid w:val="00A0073D"/>
    <w:rPr>
      <w:rFonts w:ascii="Times New Roman" w:eastAsia="MS Mincho" w:hAnsi="Times New Roman" w:cs="Angsana New"/>
      <w:snapToGrid w:val="0"/>
      <w:szCs w:val="18"/>
      <w:lang w:val="en-GB"/>
    </w:rPr>
  </w:style>
  <w:style w:type="numbering" w:customStyle="1" w:styleId="ImportedStyle141">
    <w:name w:val="Imported Style 141"/>
    <w:rsid w:val="00A0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554508818">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53287482">
      <w:bodyDiv w:val="1"/>
      <w:marLeft w:val="0"/>
      <w:marRight w:val="0"/>
      <w:marTop w:val="0"/>
      <w:marBottom w:val="0"/>
      <w:divBdr>
        <w:top w:val="none" w:sz="0" w:space="0" w:color="auto"/>
        <w:left w:val="none" w:sz="0" w:space="0" w:color="auto"/>
        <w:bottom w:val="none" w:sz="0" w:space="0" w:color="auto"/>
        <w:right w:val="none" w:sz="0" w:space="0" w:color="auto"/>
      </w:divBdr>
      <w:divsChild>
        <w:div w:id="76874063">
          <w:marLeft w:val="0"/>
          <w:marRight w:val="0"/>
          <w:marTop w:val="0"/>
          <w:marBottom w:val="0"/>
          <w:divBdr>
            <w:top w:val="none" w:sz="0" w:space="0" w:color="auto"/>
            <w:left w:val="none" w:sz="0" w:space="0" w:color="auto"/>
            <w:bottom w:val="none" w:sz="0" w:space="0" w:color="auto"/>
            <w:right w:val="none" w:sz="0" w:space="0" w:color="auto"/>
          </w:divBdr>
        </w:div>
      </w:divsChild>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146240466">
      <w:bodyDiv w:val="1"/>
      <w:marLeft w:val="0"/>
      <w:marRight w:val="0"/>
      <w:marTop w:val="0"/>
      <w:marBottom w:val="0"/>
      <w:divBdr>
        <w:top w:val="none" w:sz="0" w:space="0" w:color="auto"/>
        <w:left w:val="none" w:sz="0" w:space="0" w:color="auto"/>
        <w:bottom w:val="none" w:sz="0" w:space="0" w:color="auto"/>
        <w:right w:val="none" w:sz="0" w:space="0" w:color="auto"/>
      </w:divBdr>
      <w:divsChild>
        <w:div w:id="814643664">
          <w:marLeft w:val="0"/>
          <w:marRight w:val="0"/>
          <w:marTop w:val="0"/>
          <w:marBottom w:val="0"/>
          <w:divBdr>
            <w:top w:val="none" w:sz="0" w:space="0" w:color="auto"/>
            <w:left w:val="none" w:sz="0" w:space="0" w:color="auto"/>
            <w:bottom w:val="none" w:sz="0" w:space="0" w:color="auto"/>
            <w:right w:val="none" w:sz="0" w:space="0" w:color="auto"/>
          </w:divBdr>
        </w:div>
      </w:divsChild>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zh.pdf"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efieo.org/evaluations/evaluation-gefs-support-mainstreaming-biodiversity-2018" TargetMode="External"/><Relationship Id="rId3" Type="http://schemas.openxmlformats.org/officeDocument/2006/relationships/hyperlink" Target="https://www.thegef.org/sites/default/files/council-meeting-documents/EN_GEF.C.55.07_ES_Safeguards.pdf" TargetMode="External"/><Relationship Id="rId7" Type="http://schemas.openxmlformats.org/officeDocument/2006/relationships/hyperlink" Target="https://www.gefieo.org/evaluations/evaluation-gefs-support-mainstreaming-biodiversity-2018" TargetMode="External"/><Relationship Id="rId12" Type="http://schemas.openxmlformats.org/officeDocument/2006/relationships/hyperlink" Target="https://www.gefieo.org/evaluations/evaluation-gef-support-scaling-impact-2019" TargetMode="External"/><Relationship Id="rId2" Type="http://schemas.openxmlformats.org/officeDocument/2006/relationships/hyperlink" Target="https://www.thegef.org/sites/default/files/council-meeting-documents/EN_GEF_C.57_07_Work%20Program%20for%20GEF%20Trust%20Fund.pdf" TargetMode="External"/><Relationship Id="rId1" Type="http://schemas.openxmlformats.org/officeDocument/2006/relationships/hyperlink" Target="http://www.thegef.org/sites/default/files/council-meeting-documents/EN_GEF.C.54.11.Rev_.02_Results.pdf" TargetMode="External"/><Relationship Id="rId6" Type="http://schemas.openxmlformats.org/officeDocument/2006/relationships/hyperlink" Target="http://www.thegef.org/sites/default/files/council-meeting-documents/EN_GEF.C.54.11.Rev_.02_Results.pdf" TargetMode="External"/><Relationship Id="rId11" Type="http://schemas.openxmlformats.org/officeDocument/2006/relationships/hyperlink" Target="http://www.gefieo.org/sites/default/files/ieo/evaluations/files/transformational-change-2017.pdf" TargetMode="External"/><Relationship Id="rId5" Type="http://schemas.openxmlformats.org/officeDocument/2006/relationships/hyperlink" Target="http://www.thegef.org/sites/default/files/council-meeting-documents/EN_GEF.C.57.03_GEF%20Monitoring%20Report%202019_0.pdf" TargetMode="External"/><Relationship Id="rId10" Type="http://schemas.openxmlformats.org/officeDocument/2006/relationships/hyperlink" Target="http://www.gefieo.org/sites/default/files/ieo/evaluations/files/iaps-2017_0.pdf" TargetMode="External"/><Relationship Id="rId4" Type="http://schemas.openxmlformats.org/officeDocument/2006/relationships/hyperlink" Target="https://www.thegef.org/sites/default/files/council-meeting-documents/EN_GEF.C.56.03.Rev_.01_Policy_on_Monitoring.pdf" TargetMode="External"/><Relationship Id="rId9" Type="http://schemas.openxmlformats.org/officeDocument/2006/relationships/hyperlink" Target="https://www.gefieo.org/evaluations/evaluation-gefs-support-mainstreaming-biodiversity-201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worldbankgroup-my.sharepoint.com/personal/swyatt_thegef_org/Documents/Biodiversity/COP%202020/COP%20Report/DO%20IP%20rat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worldbankgroup-my.sharepoint.com/personal/swyatt_thegef_org/Documents/Biodiversity/COP%202020/COP%20Report/DO%20IP%20rating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444901\AppData\Local\Microsoft\Windows\INetCache\Content.Outlook\6LILCZI2\BD%20rating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44901\AppData\Local\Microsoft\Windows\INetCache\Content.Outlook\6LILCZI2\BD%20ratings.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WB356010\AppData\Local\Microsoft\Windows\INetCache\Content.Outlook\JJYRL5HI\cofin%20by%20FA%20FY1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400" b="0" i="0" u="none" strike="noStrike" kern="1200" spc="0" baseline="0">
                <a:solidFill>
                  <a:sysClr val="windowText" lastClr="000000">
                    <a:lumMod val="65000"/>
                    <a:lumOff val="35000"/>
                  </a:sysClr>
                </a:solidFill>
                <a:latin typeface="+mn-lt"/>
                <a:ea typeface="+mn-ea"/>
                <a:cs typeface="+mn-cs"/>
              </a:defRPr>
            </a:pPr>
            <a:r>
              <a:rPr lang="zh-CN" altLang="en-US" sz="1400" b="0" i="0" u="none" strike="noStrike" kern="1200" spc="0" baseline="0">
                <a:solidFill>
                  <a:sysClr val="windowText" lastClr="000000">
                    <a:lumMod val="65000"/>
                    <a:lumOff val="35000"/>
                  </a:sysClr>
                </a:solidFill>
                <a:latin typeface="宋体" panose="02010600030101010101" pitchFamily="2" charset="-122"/>
                <a:ea typeface="宋体" panose="02010600030101010101" pitchFamily="2" charset="-122"/>
                <a:cs typeface="+mn-cs"/>
              </a:rPr>
              <a:t>发展目标评级</a:t>
            </a:r>
            <a:endParaRPr lang="en-US" sz="1400" b="0" i="0" u="none" strike="noStrike" kern="1200" spc="0" baseline="0">
              <a:solidFill>
                <a:sysClr val="windowText" lastClr="000000">
                  <a:lumMod val="65000"/>
                  <a:lumOff val="35000"/>
                </a:sysClr>
              </a:solidFill>
              <a:latin typeface="宋体" panose="02010600030101010101" pitchFamily="2" charset="-122"/>
              <a:ea typeface="宋体" panose="02010600030101010101" pitchFamily="2" charset="-122"/>
              <a:cs typeface="+mn-cs"/>
            </a:endParaRPr>
          </a:p>
          <a:p>
            <a:pPr>
              <a:defRPr lang="en-US" sz="1400" b="0" i="0" u="none" strike="noStrike" kern="1200" spc="0" baseline="0">
                <a:solidFill>
                  <a:sysClr val="windowText" lastClr="000000">
                    <a:lumMod val="65000"/>
                    <a:lumOff val="35000"/>
                  </a:sysClr>
                </a:solidFill>
                <a:latin typeface="+mn-lt"/>
                <a:ea typeface="+mn-ea"/>
                <a:cs typeface="+mn-cs"/>
              </a:defRPr>
            </a:pPr>
            <a:r>
              <a:rPr lang="en-US" sz="1100" b="0" i="0" u="none" strike="noStrike" kern="1200" spc="0" baseline="0">
                <a:solidFill>
                  <a:sysClr val="windowText" lastClr="000000">
                    <a:lumMod val="65000"/>
                    <a:lumOff val="35000"/>
                  </a:sysClr>
                </a:solidFill>
                <a:latin typeface="+mn-lt"/>
                <a:ea typeface="+mn-ea"/>
                <a:cs typeface="+mn-cs"/>
              </a:rPr>
              <a:t>(</a:t>
            </a:r>
            <a:r>
              <a:rPr lang="en-US" sz="1100" b="0" i="0" u="none" strike="noStrike" kern="1200" spc="0" baseline="0">
                <a:solidFill>
                  <a:sysClr val="windowText" lastClr="000000">
                    <a:lumMod val="65000"/>
                    <a:lumOff val="35000"/>
                  </a:sysClr>
                </a:solidFill>
                <a:latin typeface="Times New Roman" panose="02020603050405020304" pitchFamily="18" charset="0"/>
                <a:ea typeface="宋体" panose="02010600030101010101" pitchFamily="2" charset="-122"/>
                <a:cs typeface="Times New Roman" panose="02020603050405020304" pitchFamily="18" charset="0"/>
              </a:rPr>
              <a:t>87% </a:t>
            </a:r>
            <a:r>
              <a:rPr lang="zh-CN" altLang="en-US" sz="1100" b="0" i="0" u="none" strike="noStrike" kern="1200" spc="0" baseline="0">
                <a:solidFill>
                  <a:sysClr val="windowText" lastClr="000000">
                    <a:lumMod val="65000"/>
                    <a:lumOff val="35000"/>
                  </a:sysClr>
                </a:solidFill>
                <a:latin typeface="Times New Roman" panose="02020603050405020304" pitchFamily="18" charset="0"/>
                <a:ea typeface="宋体" panose="02010600030101010101" pitchFamily="2" charset="-122"/>
                <a:cs typeface="Times New Roman" panose="02020603050405020304" pitchFamily="18" charset="0"/>
              </a:rPr>
              <a:t>的项目被评为中等满意程度以上</a:t>
            </a:r>
            <a:r>
              <a:rPr lang="en-US" sz="1100" b="0" i="0" u="none" strike="noStrike" kern="1200" spc="0" baseline="0">
                <a:solidFill>
                  <a:sysClr val="windowText" lastClr="000000">
                    <a:lumMod val="65000"/>
                    <a:lumOff val="35000"/>
                  </a:sysClr>
                </a:solidFill>
                <a:latin typeface="+mn-lt"/>
                <a:ea typeface="+mn-ea"/>
                <a:cs typeface="+mn-cs"/>
              </a:rPr>
              <a:t>)</a:t>
            </a:r>
          </a:p>
        </c:rich>
      </c:tx>
      <c:overlay val="0"/>
    </c:title>
    <c:autoTitleDeleted val="0"/>
    <c:plotArea>
      <c:layout/>
      <c:pieChart>
        <c:varyColors val="1"/>
        <c:ser>
          <c:idx val="4"/>
          <c:order val="0"/>
          <c:tx>
            <c:strRef>
              <c:f>Sheet1!$A$8</c:f>
              <c:strCache>
                <c:ptCount val="1"/>
                <c:pt idx="0">
                  <c:v>Development Objective Ratings for Active Projects </c:v>
                </c:pt>
              </c:strCache>
            </c:strRef>
          </c:tx>
          <c:spPr>
            <a:ln w="3175">
              <a:solidFill>
                <a:schemeClr val="bg1"/>
              </a:solidFill>
            </a:ln>
          </c:spPr>
          <c:dPt>
            <c:idx val="0"/>
            <c:bubble3D val="0"/>
            <c:spPr>
              <a:solidFill>
                <a:schemeClr val="accent6">
                  <a:lumMod val="50000"/>
                </a:schemeClr>
              </a:solidFill>
              <a:ln w="3175">
                <a:solidFill>
                  <a:schemeClr val="bg1"/>
                </a:solidFill>
              </a:ln>
            </c:spPr>
            <c:extLst>
              <c:ext xmlns:c16="http://schemas.microsoft.com/office/drawing/2014/chart" uri="{C3380CC4-5D6E-409C-BE32-E72D297353CC}">
                <c16:uniqueId val="{00000001-2E32-48A1-8EBB-56BFB93C0EBF}"/>
              </c:ext>
            </c:extLst>
          </c:dPt>
          <c:dPt>
            <c:idx val="1"/>
            <c:bubble3D val="0"/>
            <c:spPr>
              <a:solidFill>
                <a:schemeClr val="accent6">
                  <a:lumMod val="75000"/>
                </a:schemeClr>
              </a:solidFill>
              <a:ln w="3175">
                <a:solidFill>
                  <a:schemeClr val="bg1"/>
                </a:solidFill>
              </a:ln>
            </c:spPr>
            <c:extLst>
              <c:ext xmlns:c16="http://schemas.microsoft.com/office/drawing/2014/chart" uri="{C3380CC4-5D6E-409C-BE32-E72D297353CC}">
                <c16:uniqueId val="{00000003-2E32-48A1-8EBB-56BFB93C0EBF}"/>
              </c:ext>
            </c:extLst>
          </c:dPt>
          <c:dPt>
            <c:idx val="2"/>
            <c:bubble3D val="0"/>
            <c:spPr>
              <a:solidFill>
                <a:schemeClr val="accent6">
                  <a:lumMod val="60000"/>
                  <a:lumOff val="40000"/>
                </a:schemeClr>
              </a:solidFill>
              <a:ln w="3175">
                <a:solidFill>
                  <a:schemeClr val="bg1"/>
                </a:solidFill>
              </a:ln>
            </c:spPr>
            <c:extLst>
              <c:ext xmlns:c16="http://schemas.microsoft.com/office/drawing/2014/chart" uri="{C3380CC4-5D6E-409C-BE32-E72D297353CC}">
                <c16:uniqueId val="{00000005-2E32-48A1-8EBB-56BFB93C0EBF}"/>
              </c:ext>
            </c:extLst>
          </c:dPt>
          <c:dPt>
            <c:idx val="3"/>
            <c:bubble3D val="0"/>
            <c:spPr>
              <a:solidFill>
                <a:schemeClr val="accent1">
                  <a:lumMod val="60000"/>
                  <a:lumOff val="40000"/>
                </a:schemeClr>
              </a:solidFill>
              <a:ln w="3175">
                <a:solidFill>
                  <a:schemeClr val="bg1"/>
                </a:solidFill>
              </a:ln>
            </c:spPr>
            <c:extLst>
              <c:ext xmlns:c16="http://schemas.microsoft.com/office/drawing/2014/chart" uri="{C3380CC4-5D6E-409C-BE32-E72D297353CC}">
                <c16:uniqueId val="{00000007-2E32-48A1-8EBB-56BFB93C0EBF}"/>
              </c:ext>
            </c:extLst>
          </c:dPt>
          <c:dPt>
            <c:idx val="4"/>
            <c:bubble3D val="0"/>
            <c:spPr>
              <a:solidFill>
                <a:schemeClr val="accent1">
                  <a:lumMod val="75000"/>
                </a:schemeClr>
              </a:solidFill>
              <a:ln w="3175">
                <a:solidFill>
                  <a:schemeClr val="bg1"/>
                </a:solidFill>
              </a:ln>
            </c:spPr>
            <c:extLst>
              <c:ext xmlns:c16="http://schemas.microsoft.com/office/drawing/2014/chart" uri="{C3380CC4-5D6E-409C-BE32-E72D297353CC}">
                <c16:uniqueId val="{00000009-2E32-48A1-8EBB-56BFB93C0EBF}"/>
              </c:ext>
            </c:extLst>
          </c:dPt>
          <c:dPt>
            <c:idx val="5"/>
            <c:bubble3D val="0"/>
            <c:spPr>
              <a:solidFill>
                <a:schemeClr val="accent1">
                  <a:lumMod val="50000"/>
                </a:schemeClr>
              </a:solidFill>
              <a:ln w="3175">
                <a:solidFill>
                  <a:schemeClr val="bg1"/>
                </a:solidFill>
              </a:ln>
            </c:spPr>
            <c:extLst>
              <c:ext xmlns:c16="http://schemas.microsoft.com/office/drawing/2014/chart" uri="{C3380CC4-5D6E-409C-BE32-E72D297353CC}">
                <c16:uniqueId val="{0000000B-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0C-2E32-48A1-8EBB-56BFB93C0EBF}"/>
            </c:ext>
          </c:extLst>
        </c:ser>
        <c:ser>
          <c:idx val="5"/>
          <c:order val="1"/>
          <c:tx>
            <c:strRef>
              <c:f>Sheet1!$A$9</c:f>
              <c:strCache>
                <c:ptCount val="1"/>
                <c:pt idx="0">
                  <c:v>Implementation Progress Ratings for Active Projects </c:v>
                </c:pt>
              </c:strCache>
            </c:strRef>
          </c:tx>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0D-2E32-48A1-8EBB-56BFB93C0EBF}"/>
            </c:ext>
          </c:extLst>
        </c:ser>
        <c:ser>
          <c:idx val="6"/>
          <c:order val="2"/>
          <c:tx>
            <c:strRef>
              <c:f>Sheet1!$A$8</c:f>
              <c:strCache>
                <c:ptCount val="1"/>
                <c:pt idx="0">
                  <c:v>Development Objective Ratings for Active Projects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F-2E32-48A1-8EBB-56BFB93C0EBF}"/>
              </c:ext>
            </c:extLst>
          </c:dPt>
          <c:dPt>
            <c:idx val="1"/>
            <c:bubble3D val="0"/>
            <c:spPr>
              <a:solidFill>
                <a:schemeClr val="accent6">
                  <a:lumMod val="75000"/>
                </a:schemeClr>
              </a:solidFill>
              <a:ln w="6350">
                <a:solidFill>
                  <a:schemeClr val="lt1"/>
                </a:solidFill>
              </a:ln>
              <a:effectLst/>
            </c:spPr>
            <c:extLst>
              <c:ext xmlns:c16="http://schemas.microsoft.com/office/drawing/2014/chart" uri="{C3380CC4-5D6E-409C-BE32-E72D297353CC}">
                <c16:uniqueId val="{00000011-2E32-48A1-8EBB-56BFB93C0EBF}"/>
              </c:ext>
            </c:extLst>
          </c:dPt>
          <c:dPt>
            <c:idx val="2"/>
            <c:bubble3D val="0"/>
            <c:spPr>
              <a:solidFill>
                <a:schemeClr val="accent6">
                  <a:lumMod val="60000"/>
                  <a:lumOff val="40000"/>
                </a:schemeClr>
              </a:solidFill>
              <a:ln w="6350">
                <a:solidFill>
                  <a:schemeClr val="lt1"/>
                </a:solidFill>
              </a:ln>
              <a:effectLst/>
            </c:spPr>
            <c:extLst>
              <c:ext xmlns:c16="http://schemas.microsoft.com/office/drawing/2014/chart" uri="{C3380CC4-5D6E-409C-BE32-E72D297353CC}">
                <c16:uniqueId val="{00000013-2E32-48A1-8EBB-56BFB93C0EBF}"/>
              </c:ext>
            </c:extLst>
          </c:dPt>
          <c:dPt>
            <c:idx val="3"/>
            <c:bubble3D val="0"/>
            <c:spPr>
              <a:solidFill>
                <a:schemeClr val="accent1">
                  <a:lumMod val="60000"/>
                  <a:lumOff val="40000"/>
                </a:schemeClr>
              </a:solidFill>
              <a:ln w="6350">
                <a:solidFill>
                  <a:schemeClr val="lt1"/>
                </a:solidFill>
              </a:ln>
              <a:effectLst/>
            </c:spPr>
            <c:extLst>
              <c:ext xmlns:c16="http://schemas.microsoft.com/office/drawing/2014/chart" uri="{C3380CC4-5D6E-409C-BE32-E72D297353CC}">
                <c16:uniqueId val="{00000015-2E32-48A1-8EBB-56BFB93C0EBF}"/>
              </c:ext>
            </c:extLst>
          </c:dPt>
          <c:dPt>
            <c:idx val="4"/>
            <c:bubble3D val="0"/>
            <c:spPr>
              <a:solidFill>
                <a:schemeClr val="accent1">
                  <a:lumMod val="75000"/>
                </a:schemeClr>
              </a:solidFill>
              <a:ln w="6350">
                <a:solidFill>
                  <a:schemeClr val="lt1"/>
                </a:solidFill>
              </a:ln>
              <a:effectLst/>
            </c:spPr>
            <c:extLst>
              <c:ext xmlns:c16="http://schemas.microsoft.com/office/drawing/2014/chart" uri="{C3380CC4-5D6E-409C-BE32-E72D297353CC}">
                <c16:uniqueId val="{00000017-2E32-48A1-8EBB-56BFB93C0EBF}"/>
              </c:ext>
            </c:extLst>
          </c:dPt>
          <c:dPt>
            <c:idx val="5"/>
            <c:bubble3D val="0"/>
            <c:spPr>
              <a:solidFill>
                <a:schemeClr val="accent1">
                  <a:lumMod val="50000"/>
                </a:schemeClr>
              </a:solidFill>
              <a:ln w="6350">
                <a:solidFill>
                  <a:schemeClr val="lt1"/>
                </a:solidFill>
              </a:ln>
              <a:effectLst/>
            </c:spPr>
            <c:extLst>
              <c:ext xmlns:c16="http://schemas.microsoft.com/office/drawing/2014/chart" uri="{C3380CC4-5D6E-409C-BE32-E72D297353CC}">
                <c16:uniqueId val="{00000019-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1A-2E32-48A1-8EBB-56BFB93C0EBF}"/>
            </c:ext>
          </c:extLst>
        </c:ser>
        <c:ser>
          <c:idx val="7"/>
          <c:order val="3"/>
          <c:tx>
            <c:strRef>
              <c:f>Sheet1!$A$9</c:f>
              <c:strCache>
                <c:ptCount val="1"/>
                <c:pt idx="0">
                  <c:v>Implementation Progress Ratings for Active Projects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C-2E32-48A1-8EBB-56BFB93C0E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E-2E32-48A1-8EBB-56BFB93C0E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0-2E32-48A1-8EBB-56BFB93C0E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2-2E32-48A1-8EBB-56BFB93C0EB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4-2E32-48A1-8EBB-56BFB93C0EB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6-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27-2E32-48A1-8EBB-56BFB93C0EBF}"/>
            </c:ext>
          </c:extLst>
        </c:ser>
        <c:ser>
          <c:idx val="2"/>
          <c:order val="4"/>
          <c:tx>
            <c:strRef>
              <c:f>Sheet1!$A$8</c:f>
              <c:strCache>
                <c:ptCount val="1"/>
                <c:pt idx="0">
                  <c:v>Development Objective Ratings for Active Projects </c:v>
                </c:pt>
              </c:strCache>
            </c:strRef>
          </c:tx>
          <c:dPt>
            <c:idx val="0"/>
            <c:bubble3D val="0"/>
            <c:spPr>
              <a:solidFill>
                <a:schemeClr val="accent6">
                  <a:lumMod val="50000"/>
                </a:schemeClr>
              </a:solidFill>
            </c:spPr>
            <c:extLst>
              <c:ext xmlns:c16="http://schemas.microsoft.com/office/drawing/2014/chart" uri="{C3380CC4-5D6E-409C-BE32-E72D297353CC}">
                <c16:uniqueId val="{00000029-2E32-48A1-8EBB-56BFB93C0EBF}"/>
              </c:ext>
            </c:extLst>
          </c:dPt>
          <c:dPt>
            <c:idx val="1"/>
            <c:bubble3D val="0"/>
            <c:spPr>
              <a:solidFill>
                <a:schemeClr val="accent6">
                  <a:lumMod val="75000"/>
                </a:schemeClr>
              </a:solidFill>
              <a:ln w="6350"/>
            </c:spPr>
            <c:extLst>
              <c:ext xmlns:c16="http://schemas.microsoft.com/office/drawing/2014/chart" uri="{C3380CC4-5D6E-409C-BE32-E72D297353CC}">
                <c16:uniqueId val="{0000002B-2E32-48A1-8EBB-56BFB93C0EBF}"/>
              </c:ext>
            </c:extLst>
          </c:dPt>
          <c:dPt>
            <c:idx val="2"/>
            <c:bubble3D val="0"/>
            <c:spPr>
              <a:solidFill>
                <a:schemeClr val="accent6">
                  <a:lumMod val="60000"/>
                  <a:lumOff val="40000"/>
                </a:schemeClr>
              </a:solidFill>
              <a:ln w="6350"/>
            </c:spPr>
            <c:extLst>
              <c:ext xmlns:c16="http://schemas.microsoft.com/office/drawing/2014/chart" uri="{C3380CC4-5D6E-409C-BE32-E72D297353CC}">
                <c16:uniqueId val="{0000002D-2E32-48A1-8EBB-56BFB93C0EBF}"/>
              </c:ext>
            </c:extLst>
          </c:dPt>
          <c:dPt>
            <c:idx val="3"/>
            <c:bubble3D val="0"/>
            <c:spPr>
              <a:solidFill>
                <a:schemeClr val="accent1">
                  <a:lumMod val="60000"/>
                  <a:lumOff val="40000"/>
                </a:schemeClr>
              </a:solidFill>
              <a:ln w="6350"/>
            </c:spPr>
            <c:extLst>
              <c:ext xmlns:c16="http://schemas.microsoft.com/office/drawing/2014/chart" uri="{C3380CC4-5D6E-409C-BE32-E72D297353CC}">
                <c16:uniqueId val="{0000002F-2E32-48A1-8EBB-56BFB93C0EBF}"/>
              </c:ext>
            </c:extLst>
          </c:dPt>
          <c:dPt>
            <c:idx val="4"/>
            <c:bubble3D val="0"/>
            <c:spPr>
              <a:solidFill>
                <a:schemeClr val="accent1">
                  <a:lumMod val="75000"/>
                </a:schemeClr>
              </a:solidFill>
              <a:ln w="6350"/>
            </c:spPr>
            <c:extLst>
              <c:ext xmlns:c16="http://schemas.microsoft.com/office/drawing/2014/chart" uri="{C3380CC4-5D6E-409C-BE32-E72D297353CC}">
                <c16:uniqueId val="{00000031-2E32-48A1-8EBB-56BFB93C0EBF}"/>
              </c:ext>
            </c:extLst>
          </c:dPt>
          <c:dPt>
            <c:idx val="5"/>
            <c:bubble3D val="0"/>
            <c:spPr>
              <a:solidFill>
                <a:schemeClr val="accent1">
                  <a:lumMod val="50000"/>
                </a:schemeClr>
              </a:solidFill>
              <a:ln w="6350"/>
            </c:spPr>
            <c:extLst>
              <c:ext xmlns:c16="http://schemas.microsoft.com/office/drawing/2014/chart" uri="{C3380CC4-5D6E-409C-BE32-E72D297353CC}">
                <c16:uniqueId val="{00000033-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34-2E32-48A1-8EBB-56BFB93C0EBF}"/>
            </c:ext>
          </c:extLst>
        </c:ser>
        <c:ser>
          <c:idx val="3"/>
          <c:order val="5"/>
          <c:tx>
            <c:strRef>
              <c:f>Sheet1!$A$9</c:f>
              <c:strCache>
                <c:ptCount val="1"/>
                <c:pt idx="0">
                  <c:v>Implementation Progress Ratings for Active Projects </c:v>
                </c:pt>
              </c:strCache>
            </c:strRef>
          </c:tx>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35-2E32-48A1-8EBB-56BFB93C0EBF}"/>
            </c:ext>
          </c:extLst>
        </c:ser>
        <c:ser>
          <c:idx val="0"/>
          <c:order val="6"/>
          <c:tx>
            <c:strRef>
              <c:f>Sheet1!$A$8</c:f>
              <c:strCache>
                <c:ptCount val="1"/>
                <c:pt idx="0">
                  <c:v>Development Objective Ratings for Active Projects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37-2E32-48A1-8EBB-56BFB93C0EBF}"/>
              </c:ext>
            </c:extLst>
          </c:dPt>
          <c:dPt>
            <c:idx val="1"/>
            <c:bubble3D val="0"/>
            <c:spPr>
              <a:solidFill>
                <a:schemeClr val="accent6">
                  <a:lumMod val="75000"/>
                </a:schemeClr>
              </a:solidFill>
              <a:ln w="6350">
                <a:solidFill>
                  <a:schemeClr val="lt1"/>
                </a:solidFill>
              </a:ln>
              <a:effectLst/>
            </c:spPr>
            <c:extLst>
              <c:ext xmlns:c16="http://schemas.microsoft.com/office/drawing/2014/chart" uri="{C3380CC4-5D6E-409C-BE32-E72D297353CC}">
                <c16:uniqueId val="{00000039-2E32-48A1-8EBB-56BFB93C0EBF}"/>
              </c:ext>
            </c:extLst>
          </c:dPt>
          <c:dPt>
            <c:idx val="2"/>
            <c:bubble3D val="0"/>
            <c:spPr>
              <a:solidFill>
                <a:schemeClr val="accent6">
                  <a:lumMod val="60000"/>
                  <a:lumOff val="40000"/>
                </a:schemeClr>
              </a:solidFill>
              <a:ln w="6350">
                <a:solidFill>
                  <a:schemeClr val="lt1"/>
                </a:solidFill>
              </a:ln>
              <a:effectLst/>
            </c:spPr>
            <c:extLst>
              <c:ext xmlns:c16="http://schemas.microsoft.com/office/drawing/2014/chart" uri="{C3380CC4-5D6E-409C-BE32-E72D297353CC}">
                <c16:uniqueId val="{0000003B-2E32-48A1-8EBB-56BFB93C0EBF}"/>
              </c:ext>
            </c:extLst>
          </c:dPt>
          <c:dPt>
            <c:idx val="3"/>
            <c:bubble3D val="0"/>
            <c:spPr>
              <a:solidFill>
                <a:schemeClr val="accent1">
                  <a:lumMod val="60000"/>
                  <a:lumOff val="40000"/>
                </a:schemeClr>
              </a:solidFill>
              <a:ln w="6350">
                <a:solidFill>
                  <a:schemeClr val="lt1"/>
                </a:solidFill>
              </a:ln>
              <a:effectLst/>
            </c:spPr>
            <c:extLst>
              <c:ext xmlns:c16="http://schemas.microsoft.com/office/drawing/2014/chart" uri="{C3380CC4-5D6E-409C-BE32-E72D297353CC}">
                <c16:uniqueId val="{0000003D-2E32-48A1-8EBB-56BFB93C0EBF}"/>
              </c:ext>
            </c:extLst>
          </c:dPt>
          <c:dPt>
            <c:idx val="4"/>
            <c:bubble3D val="0"/>
            <c:spPr>
              <a:solidFill>
                <a:schemeClr val="accent1">
                  <a:lumMod val="75000"/>
                </a:schemeClr>
              </a:solidFill>
              <a:ln w="6350">
                <a:solidFill>
                  <a:schemeClr val="lt1"/>
                </a:solidFill>
              </a:ln>
              <a:effectLst/>
            </c:spPr>
            <c:extLst>
              <c:ext xmlns:c16="http://schemas.microsoft.com/office/drawing/2014/chart" uri="{C3380CC4-5D6E-409C-BE32-E72D297353CC}">
                <c16:uniqueId val="{0000003F-2E32-48A1-8EBB-56BFB93C0EBF}"/>
              </c:ext>
            </c:extLst>
          </c:dPt>
          <c:dPt>
            <c:idx val="5"/>
            <c:bubble3D val="0"/>
            <c:spPr>
              <a:solidFill>
                <a:schemeClr val="accent1">
                  <a:lumMod val="50000"/>
                </a:schemeClr>
              </a:solidFill>
              <a:ln w="6350">
                <a:solidFill>
                  <a:schemeClr val="lt1"/>
                </a:solidFill>
              </a:ln>
              <a:effectLst/>
            </c:spPr>
            <c:extLst>
              <c:ext xmlns:c16="http://schemas.microsoft.com/office/drawing/2014/chart" uri="{C3380CC4-5D6E-409C-BE32-E72D297353CC}">
                <c16:uniqueId val="{00000041-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Sheet1!$B$8:$G$8</c:f>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42-2E32-48A1-8EBB-56BFB93C0EBF}"/>
            </c:ext>
          </c:extLst>
        </c:ser>
        <c:ser>
          <c:idx val="1"/>
          <c:order val="7"/>
          <c:tx>
            <c:strRef>
              <c:f>Sheet1!$A$9</c:f>
              <c:strCache>
                <c:ptCount val="1"/>
                <c:pt idx="0">
                  <c:v>Implementation Progress Ratings for Active Projects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44-2E32-48A1-8EBB-56BFB93C0E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46-2E32-48A1-8EBB-56BFB93C0E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48-2E32-48A1-8EBB-56BFB93C0E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4A-2E32-48A1-8EBB-56BFB93C0EB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4C-2E32-48A1-8EBB-56BFB93C0EB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4E-2E32-48A1-8EBB-56BFB93C0EBF}"/>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4F-2E32-48A1-8EBB-56BFB93C0EB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4621497894158577"/>
          <c:y val="0.3347217467381795"/>
          <c:w val="0.34985577833698622"/>
          <c:h val="0.49356169650768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ln>
      <a:noFill/>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latin typeface="Times New Roman" panose="02020603050405020304" pitchFamily="18" charset="0"/>
                <a:ea typeface="宋体" panose="02010600030101010101" pitchFamily="2" charset="-122"/>
                <a:cs typeface="Times New Roman" panose="02020603050405020304" pitchFamily="18" charset="0"/>
              </a:rPr>
              <a:t>执行进展情况的评级</a:t>
            </a:r>
            <a:endParaRPr lang="en-US">
              <a:latin typeface="Times New Roman" panose="02020603050405020304" pitchFamily="18" charset="0"/>
              <a:ea typeface="宋体" panose="02010600030101010101" pitchFamily="2" charset="-122"/>
              <a:cs typeface="Times New Roman" panose="02020603050405020304" pitchFamily="18" charset="0"/>
            </a:endParaRPr>
          </a:p>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ea typeface="宋体" panose="02010600030101010101" pitchFamily="2" charset="-122"/>
                <a:cs typeface="Times New Roman" panose="02020603050405020304" pitchFamily="18" charset="0"/>
              </a:rPr>
              <a:t>(82%</a:t>
            </a:r>
            <a:r>
              <a:rPr lang="zh-CN" altLang="en-US" sz="1100">
                <a:latin typeface="Times New Roman" panose="02020603050405020304" pitchFamily="18" charset="0"/>
                <a:ea typeface="宋体" panose="02010600030101010101" pitchFamily="2" charset="-122"/>
                <a:cs typeface="Times New Roman" panose="02020603050405020304" pitchFamily="18" charset="0"/>
              </a:rPr>
              <a:t>的项目被评为中等满意程度以上</a:t>
            </a:r>
            <a:r>
              <a:rPr lang="en-US" sz="1100" baseline="0">
                <a:latin typeface="Times New Roman" panose="02020603050405020304" pitchFamily="18" charset="0"/>
                <a:ea typeface="宋体" panose="02010600030101010101" pitchFamily="2" charset="-122"/>
                <a:cs typeface="Times New Roman" panose="02020603050405020304" pitchFamily="18" charset="0"/>
              </a:rPr>
              <a:t>)</a:t>
            </a:r>
            <a:endParaRPr lang="en-US" sz="1100">
              <a:latin typeface="Times New Roman" panose="02020603050405020304" pitchFamily="18" charset="0"/>
              <a:ea typeface="宋体" panose="02010600030101010101" pitchFamily="2" charset="-122"/>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601128378190082"/>
          <c:y val="0.23476635514018693"/>
          <c:w val="0.38184724283594018"/>
          <c:h val="0.69462097611630325"/>
        </c:manualLayout>
      </c:layout>
      <c:pieChart>
        <c:varyColors val="1"/>
        <c:ser>
          <c:idx val="1"/>
          <c:order val="1"/>
          <c:tx>
            <c:strRef>
              <c:f>Sheet1!$A$9</c:f>
              <c:strCache>
                <c:ptCount val="1"/>
                <c:pt idx="0">
                  <c:v>Implementation Progress Ratings for Active Projects </c:v>
                </c:pt>
              </c:strCache>
            </c:strRef>
          </c:tx>
          <c:spPr>
            <a:solidFill>
              <a:schemeClr val="accent6">
                <a:lumMod val="75000"/>
              </a:schemeClr>
            </a:solidFill>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1-B9E7-42C3-BDE6-560846DE58AD}"/>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03-B9E7-42C3-BDE6-560846DE58AD}"/>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05-B9E7-42C3-BDE6-560846DE58AD}"/>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07-B9E7-42C3-BDE6-560846DE58AD}"/>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09-B9E7-42C3-BDE6-560846DE58AD}"/>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0B-B9E7-42C3-BDE6-560846DE58AD}"/>
              </c:ext>
            </c:extLst>
          </c:dPt>
          <c:cat>
            <c:strRef>
              <c:f>Sheet1!$B$7:$G$7</c:f>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f>Sheet1!$B$9:$G$9</c:f>
              <c:numCache>
                <c:formatCode>General</c:formatCode>
                <c:ptCount val="6"/>
                <c:pt idx="0">
                  <c:v>37</c:v>
                </c:pt>
                <c:pt idx="1">
                  <c:v>391</c:v>
                </c:pt>
                <c:pt idx="2">
                  <c:v>275</c:v>
                </c:pt>
                <c:pt idx="3">
                  <c:v>107</c:v>
                </c:pt>
                <c:pt idx="4">
                  <c:v>35</c:v>
                </c:pt>
                <c:pt idx="5">
                  <c:v>4</c:v>
                </c:pt>
              </c:numCache>
            </c:numRef>
          </c:val>
          <c:extLst>
            <c:ext xmlns:c16="http://schemas.microsoft.com/office/drawing/2014/chart" uri="{C3380CC4-5D6E-409C-BE32-E72D297353CC}">
              <c16:uniqueId val="{0000000C-B9E7-42C3-BDE6-560846DE58AD}"/>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Sheet1!$A$8</c15:sqref>
                        </c15:formulaRef>
                      </c:ext>
                    </c:extLst>
                    <c:strCache>
                      <c:ptCount val="1"/>
                      <c:pt idx="0">
                        <c:v>Development Objective Ratings for Active Projects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B9E7-42C3-BDE6-560846DE58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B9E7-42C3-BDE6-560846DE58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B9E7-42C3-BDE6-560846DE58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B9E7-42C3-BDE6-560846DE58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B9E7-42C3-BDE6-560846DE58A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B9E7-42C3-BDE6-560846DE58AD}"/>
                    </c:ext>
                  </c:extLst>
                </c:dPt>
                <c:cat>
                  <c:strRef>
                    <c:extLst>
                      <c:ext uri="{02D57815-91ED-43cb-92C2-25804820EDAC}">
                        <c15:formulaRef>
                          <c15:sqref>Sheet1!$B$7:$G$7</c15:sqref>
                        </c15:formulaRef>
                      </c:ext>
                    </c:extLst>
                    <c:strCache>
                      <c:ptCount val="6"/>
                      <c:pt idx="0">
                        <c:v>Highly Satisfactory (4%)</c:v>
                      </c:pt>
                      <c:pt idx="1">
                        <c:v>Satisfactory (46%)</c:v>
                      </c:pt>
                      <c:pt idx="2">
                        <c:v>Moderately Satisfactory (32%)</c:v>
                      </c:pt>
                      <c:pt idx="3">
                        <c:v>Moderately Unsatisfactory (13%)</c:v>
                      </c:pt>
                      <c:pt idx="4">
                        <c:v>Unsatisfactory (4%)</c:v>
                      </c:pt>
                      <c:pt idx="5">
                        <c:v>Highly Unsatisfactory (1%)</c:v>
                      </c:pt>
                    </c:strCache>
                  </c:strRef>
                </c:cat>
                <c:val>
                  <c:numRef>
                    <c:extLst>
                      <c:ext uri="{02D57815-91ED-43cb-92C2-25804820EDAC}">
                        <c15:formulaRef>
                          <c15:sqref>Sheet1!$B$8:$G$8</c15:sqref>
                        </c15:formulaRef>
                      </c:ext>
                    </c:extLst>
                    <c:numCache>
                      <c:formatCode>General</c:formatCode>
                      <c:ptCount val="6"/>
                      <c:pt idx="0">
                        <c:v>54</c:v>
                      </c:pt>
                      <c:pt idx="1">
                        <c:v>424</c:v>
                      </c:pt>
                      <c:pt idx="2">
                        <c:v>267</c:v>
                      </c:pt>
                      <c:pt idx="3">
                        <c:v>82</c:v>
                      </c:pt>
                      <c:pt idx="4">
                        <c:v>18</c:v>
                      </c:pt>
                      <c:pt idx="5">
                        <c:v>4</c:v>
                      </c:pt>
                    </c:numCache>
                  </c:numRef>
                </c:val>
                <c:extLst>
                  <c:ext xmlns:c16="http://schemas.microsoft.com/office/drawing/2014/chart" uri="{C3380CC4-5D6E-409C-BE32-E72D297353CC}">
                    <c16:uniqueId val="{00000019-B9E7-42C3-BDE6-560846DE58AD}"/>
                  </c:ext>
                </c:extLst>
              </c15:ser>
            </c15:filteredPieSeries>
          </c:ext>
        </c:extLst>
      </c:pieChart>
      <c:spPr>
        <a:noFill/>
        <a:ln>
          <a:noFill/>
        </a:ln>
        <a:effectLst/>
      </c:spPr>
    </c:plotArea>
    <c:legend>
      <c:legendPos val="r"/>
      <c:layout>
        <c:manualLayout>
          <c:xMode val="edge"/>
          <c:yMode val="edge"/>
          <c:x val="0.58950625737000262"/>
          <c:y val="0.35637367804594461"/>
          <c:w val="0.31159175773770498"/>
          <c:h val="0.420563691220840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latin typeface="Times New Roman" panose="02020603050405020304" pitchFamily="18" charset="0"/>
                <a:ea typeface="宋体" panose="02010600030101010101" pitchFamily="2" charset="-122"/>
                <a:cs typeface="Times New Roman" panose="02020603050405020304" pitchFamily="18" charset="0"/>
              </a:rPr>
              <a:t>执行进展情况</a:t>
            </a:r>
            <a:endParaRPr lang="en-US">
              <a:latin typeface="Times New Roman" panose="02020603050405020304" pitchFamily="18" charset="0"/>
              <a:ea typeface="宋体" panose="02010600030101010101" pitchFamily="2" charset="-122"/>
              <a:cs typeface="Times New Roman" panose="02020603050405020304" pitchFamily="18" charset="0"/>
            </a:endParaRPr>
          </a:p>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ea typeface="宋体" panose="02010600030101010101" pitchFamily="2" charset="-122"/>
                <a:cs typeface="Times New Roman" panose="02020603050405020304" pitchFamily="18" charset="0"/>
              </a:rPr>
              <a:t>(</a:t>
            </a:r>
            <a:r>
              <a:rPr lang="en-US" altLang="zh-CN" sz="1100">
                <a:latin typeface="Times New Roman" panose="02020603050405020304" pitchFamily="18" charset="0"/>
                <a:ea typeface="宋体" panose="02010600030101010101" pitchFamily="2" charset="-122"/>
                <a:cs typeface="Times New Roman" panose="02020603050405020304" pitchFamily="18" charset="0"/>
              </a:rPr>
              <a:t>82%</a:t>
            </a:r>
            <a:r>
              <a:rPr lang="zh-CN" altLang="en-US" sz="1100">
                <a:latin typeface="Times New Roman" panose="02020603050405020304" pitchFamily="18" charset="0"/>
                <a:ea typeface="宋体" panose="02010600030101010101" pitchFamily="2" charset="-122"/>
                <a:cs typeface="Times New Roman" panose="02020603050405020304" pitchFamily="18" charset="0"/>
              </a:rPr>
              <a:t>的项目被评为中等满意程度以上</a:t>
            </a:r>
            <a:r>
              <a:rPr lang="en-US" sz="1100" baseline="0">
                <a:latin typeface="Times New Roman" panose="02020603050405020304" pitchFamily="18" charset="0"/>
                <a:ea typeface="宋体" panose="02010600030101010101" pitchFamily="2" charset="-122"/>
                <a:cs typeface="Times New Roman" panose="02020603050405020304" pitchFamily="18" charset="0"/>
              </a:rPr>
              <a:t>)</a:t>
            </a:r>
            <a:endParaRPr lang="en-US" sz="1100">
              <a:latin typeface="Times New Roman" panose="02020603050405020304" pitchFamily="18" charset="0"/>
              <a:ea typeface="宋体" panose="02010600030101010101" pitchFamily="2" charset="-122"/>
              <a:cs typeface="Times New Roman" panose="02020603050405020304" pitchFamily="18" charset="0"/>
            </a:endParaRPr>
          </a:p>
        </c:rich>
      </c:tx>
      <c:overlay val="0"/>
      <c:spPr>
        <a:noFill/>
        <a:ln>
          <a:noFill/>
        </a:ln>
        <a:effectLst/>
      </c:spPr>
    </c:title>
    <c:autoTitleDeleted val="0"/>
    <c:plotArea>
      <c:layout/>
      <c:pieChart>
        <c:varyColors val="1"/>
        <c:ser>
          <c:idx val="1"/>
          <c:order val="1"/>
          <c:tx>
            <c:strRef>
              <c:f>Sheet1!$C$11</c:f>
              <c:strCache>
                <c:ptCount val="1"/>
                <c:pt idx="0">
                  <c:v>Implementation Progress</c:v>
                </c:pt>
              </c:strCache>
            </c:strRef>
          </c:tx>
          <c:spPr>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1-F60E-4790-8BA3-5B4A1CDC96A3}"/>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03-F60E-4790-8BA3-5B4A1CDC96A3}"/>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05-F60E-4790-8BA3-5B4A1CDC96A3}"/>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07-F60E-4790-8BA3-5B4A1CDC96A3}"/>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09-F60E-4790-8BA3-5B4A1CDC96A3}"/>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0B-F60E-4790-8BA3-5B4A1CDC96A3}"/>
              </c:ext>
            </c:extLst>
          </c:dPt>
          <c:cat>
            <c:strRef>
              <c:f>Sheet1!$A$12:$A$17</c:f>
              <c:strCache>
                <c:ptCount val="6"/>
                <c:pt idx="0">
                  <c:v>Highly Satisfactory (5%)</c:v>
                </c:pt>
                <c:pt idx="1">
                  <c:v>Satisfactory (46%)</c:v>
                </c:pt>
                <c:pt idx="2">
                  <c:v>Moderately Satisfactory (31%)</c:v>
                </c:pt>
                <c:pt idx="3">
                  <c:v>Moderately Unsatisfactory (12%)</c:v>
                </c:pt>
                <c:pt idx="4">
                  <c:v>Unsatisfactory (5%)</c:v>
                </c:pt>
                <c:pt idx="5">
                  <c:v>Highly Unsatisfactory (1%)</c:v>
                </c:pt>
              </c:strCache>
            </c:strRef>
          </c:cat>
          <c:val>
            <c:numRef>
              <c:f>Sheet1!$C$12:$C$17</c:f>
              <c:numCache>
                <c:formatCode>0%</c:formatCode>
                <c:ptCount val="6"/>
                <c:pt idx="0">
                  <c:v>4.7619047619047616E-2</c:v>
                </c:pt>
                <c:pt idx="1">
                  <c:v>0.46218487394957986</c:v>
                </c:pt>
                <c:pt idx="2">
                  <c:v>0.31092436974789917</c:v>
                </c:pt>
                <c:pt idx="3">
                  <c:v>0.11764705882352941</c:v>
                </c:pt>
                <c:pt idx="4">
                  <c:v>5.3221288515406161E-2</c:v>
                </c:pt>
                <c:pt idx="5">
                  <c:v>8.4033613445378148E-3</c:v>
                </c:pt>
              </c:numCache>
            </c:numRef>
          </c:val>
          <c:extLst>
            <c:ext xmlns:c16="http://schemas.microsoft.com/office/drawing/2014/chart" uri="{C3380CC4-5D6E-409C-BE32-E72D297353CC}">
              <c16:uniqueId val="{0000000C-F60E-4790-8BA3-5B4A1CDC96A3}"/>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Sheet1!$B$11</c15:sqref>
                        </c15:formulaRef>
                      </c:ext>
                    </c:extLst>
                    <c:strCache>
                      <c:ptCount val="1"/>
                      <c:pt idx="0">
                        <c:v>Development Objective </c:v>
                      </c:pt>
                    </c:strCache>
                  </c:strRef>
                </c:tx>
                <c:spPr>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E-F60E-4790-8BA3-5B4A1CDC96A3}"/>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10-F60E-4790-8BA3-5B4A1CDC96A3}"/>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12-F60E-4790-8BA3-5B4A1CDC96A3}"/>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14-F60E-4790-8BA3-5B4A1CDC96A3}"/>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16-F60E-4790-8BA3-5B4A1CDC96A3}"/>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18-F60E-4790-8BA3-5B4A1CDC96A3}"/>
                    </c:ext>
                  </c:extLst>
                </c:dPt>
                <c:cat>
                  <c:strRef>
                    <c:extLst>
                      <c:ext uri="{02D57815-91ED-43cb-92C2-25804820EDAC}">
                        <c15:formulaRef>
                          <c15:sqref>Sheet1!$A$12:$A$17</c15:sqref>
                        </c15:formulaRef>
                      </c:ext>
                    </c:extLst>
                    <c:strCache>
                      <c:ptCount val="6"/>
                      <c:pt idx="0">
                        <c:v>Highly Satisfactory (5%)</c:v>
                      </c:pt>
                      <c:pt idx="1">
                        <c:v>Satisfactory (46%)</c:v>
                      </c:pt>
                      <c:pt idx="2">
                        <c:v>Moderately Satisfactory (31%)</c:v>
                      </c:pt>
                      <c:pt idx="3">
                        <c:v>Moderately Unsatisfactory (12%)</c:v>
                      </c:pt>
                      <c:pt idx="4">
                        <c:v>Unsatisfactory (5%)</c:v>
                      </c:pt>
                      <c:pt idx="5">
                        <c:v>Highly Unsatisfactory (1%)</c:v>
                      </c:pt>
                    </c:strCache>
                  </c:strRef>
                </c:cat>
                <c:val>
                  <c:numRef>
                    <c:extLst>
                      <c:ext uri="{02D57815-91ED-43cb-92C2-25804820EDAC}">
                        <c15:formulaRef>
                          <c15:sqref>Sheet1!$B$12:$B$17</c15:sqref>
                        </c15:formulaRef>
                      </c:ext>
                    </c:extLst>
                    <c:numCache>
                      <c:formatCode>0%</c:formatCode>
                      <c:ptCount val="6"/>
                      <c:pt idx="0">
                        <c:v>5.3221288515406161E-2</c:v>
                      </c:pt>
                      <c:pt idx="1">
                        <c:v>0.49859943977591037</c:v>
                      </c:pt>
                      <c:pt idx="2">
                        <c:v>0.30252100840336132</c:v>
                      </c:pt>
                      <c:pt idx="3">
                        <c:v>0.11764705882352941</c:v>
                      </c:pt>
                      <c:pt idx="4">
                        <c:v>2.2408963585434174E-2</c:v>
                      </c:pt>
                      <c:pt idx="5">
                        <c:v>5.6022408963585435E-3</c:v>
                      </c:pt>
                    </c:numCache>
                  </c:numRef>
                </c:val>
                <c:extLst>
                  <c:ext xmlns:c16="http://schemas.microsoft.com/office/drawing/2014/chart" uri="{C3380CC4-5D6E-409C-BE32-E72D297353CC}">
                    <c16:uniqueId val="{00000019-F60E-4790-8BA3-5B4A1CDC96A3}"/>
                  </c:ext>
                </c:extLst>
              </c15:ser>
            </c15:filteredPieSeries>
          </c:ext>
        </c:extLst>
      </c:pieChart>
      <c:spPr>
        <a:noFill/>
        <a:ln>
          <a:noFill/>
        </a:ln>
        <a:effectLst/>
      </c:spPr>
    </c:plotArea>
    <c:legend>
      <c:legendPos val="r"/>
      <c:layout>
        <c:manualLayout>
          <c:xMode val="edge"/>
          <c:yMode val="edge"/>
          <c:x val="0.56500528851803977"/>
          <c:y val="0.33687672117908335"/>
          <c:w val="0.38612684608453796"/>
          <c:h val="0.4453876034726428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实现发展目标</a:t>
            </a:r>
            <a:endParaRPr lang="en-US"/>
          </a:p>
          <a:p>
            <a:pPr>
              <a:defRPr sz="1400" b="0" i="0" u="none" strike="noStrike" kern="1200" spc="0" baseline="0">
                <a:solidFill>
                  <a:schemeClr val="tx1">
                    <a:lumMod val="65000"/>
                    <a:lumOff val="35000"/>
                  </a:schemeClr>
                </a:solidFill>
                <a:latin typeface="+mn-lt"/>
                <a:ea typeface="+mn-ea"/>
                <a:cs typeface="+mn-cs"/>
              </a:defRPr>
            </a:pPr>
            <a:r>
              <a:rPr lang="en-US" sz="1100"/>
              <a:t>(85% </a:t>
            </a:r>
            <a:r>
              <a:rPr lang="zh-CN" altLang="en-US" sz="1100" b="0" i="0" u="none" strike="noStrike" baseline="0">
                <a:effectLst/>
                <a:latin typeface="Times New Roman" panose="02020603050405020304" pitchFamily="18" charset="0"/>
                <a:ea typeface="宋体" panose="02010600030101010101" pitchFamily="2" charset="-122"/>
                <a:cs typeface="Times New Roman" panose="02020603050405020304" pitchFamily="18" charset="0"/>
              </a:rPr>
              <a:t>的项目被评为中等满意程度以上</a:t>
            </a:r>
            <a:r>
              <a:rPr lang="en-US" sz="1100" baseline="0"/>
              <a:t>)</a:t>
            </a:r>
            <a:r>
              <a:rPr lang="en-US"/>
              <a:t> </a:t>
            </a:r>
          </a:p>
        </c:rich>
      </c:tx>
      <c:overlay val="0"/>
      <c:spPr>
        <a:noFill/>
        <a:ln>
          <a:noFill/>
        </a:ln>
        <a:effectLst/>
      </c:spPr>
    </c:title>
    <c:autoTitleDeleted val="0"/>
    <c:plotArea>
      <c:layout/>
      <c:pieChart>
        <c:varyColors val="1"/>
        <c:ser>
          <c:idx val="0"/>
          <c:order val="0"/>
          <c:tx>
            <c:strRef>
              <c:f>Sheet1!$B$20</c:f>
              <c:strCache>
                <c:ptCount val="1"/>
                <c:pt idx="0">
                  <c:v>Development Objective </c:v>
                </c:pt>
              </c:strCache>
            </c:strRef>
          </c:tx>
          <c:spPr>
            <a:ln w="3175"/>
          </c:spPr>
          <c:dPt>
            <c:idx val="0"/>
            <c:bubble3D val="0"/>
            <c:spPr>
              <a:solidFill>
                <a:schemeClr val="accent6">
                  <a:lumMod val="50000"/>
                </a:schemeClr>
              </a:solidFill>
              <a:ln w="3175">
                <a:solidFill>
                  <a:schemeClr val="lt1"/>
                </a:solidFill>
              </a:ln>
              <a:effectLst/>
            </c:spPr>
            <c:extLst>
              <c:ext xmlns:c16="http://schemas.microsoft.com/office/drawing/2014/chart" uri="{C3380CC4-5D6E-409C-BE32-E72D297353CC}">
                <c16:uniqueId val="{00000001-B6F0-43AD-9CA4-4537735A3176}"/>
              </c:ext>
            </c:extLst>
          </c:dPt>
          <c:dPt>
            <c:idx val="1"/>
            <c:bubble3D val="0"/>
            <c:spPr>
              <a:solidFill>
                <a:schemeClr val="accent6">
                  <a:lumMod val="75000"/>
                </a:schemeClr>
              </a:solidFill>
              <a:ln w="3175">
                <a:solidFill>
                  <a:schemeClr val="lt1"/>
                </a:solidFill>
              </a:ln>
              <a:effectLst/>
            </c:spPr>
            <c:extLst>
              <c:ext xmlns:c16="http://schemas.microsoft.com/office/drawing/2014/chart" uri="{C3380CC4-5D6E-409C-BE32-E72D297353CC}">
                <c16:uniqueId val="{00000003-B6F0-43AD-9CA4-4537735A3176}"/>
              </c:ext>
            </c:extLst>
          </c:dPt>
          <c:dPt>
            <c:idx val="2"/>
            <c:bubble3D val="0"/>
            <c:spPr>
              <a:solidFill>
                <a:schemeClr val="accent6">
                  <a:lumMod val="60000"/>
                  <a:lumOff val="40000"/>
                </a:schemeClr>
              </a:solidFill>
              <a:ln w="3175">
                <a:solidFill>
                  <a:schemeClr val="lt1"/>
                </a:solidFill>
              </a:ln>
              <a:effectLst/>
            </c:spPr>
            <c:extLst>
              <c:ext xmlns:c16="http://schemas.microsoft.com/office/drawing/2014/chart" uri="{C3380CC4-5D6E-409C-BE32-E72D297353CC}">
                <c16:uniqueId val="{00000005-B6F0-43AD-9CA4-4537735A3176}"/>
              </c:ext>
            </c:extLst>
          </c:dPt>
          <c:dPt>
            <c:idx val="3"/>
            <c:bubble3D val="0"/>
            <c:spPr>
              <a:solidFill>
                <a:schemeClr val="accent1">
                  <a:lumMod val="60000"/>
                  <a:lumOff val="40000"/>
                </a:schemeClr>
              </a:solidFill>
              <a:ln w="3175">
                <a:solidFill>
                  <a:schemeClr val="lt1"/>
                </a:solidFill>
              </a:ln>
              <a:effectLst/>
            </c:spPr>
            <c:extLst>
              <c:ext xmlns:c16="http://schemas.microsoft.com/office/drawing/2014/chart" uri="{C3380CC4-5D6E-409C-BE32-E72D297353CC}">
                <c16:uniqueId val="{00000007-B6F0-43AD-9CA4-4537735A3176}"/>
              </c:ext>
            </c:extLst>
          </c:dPt>
          <c:dPt>
            <c:idx val="4"/>
            <c:bubble3D val="0"/>
            <c:spPr>
              <a:solidFill>
                <a:schemeClr val="accent1">
                  <a:lumMod val="75000"/>
                </a:schemeClr>
              </a:solidFill>
              <a:ln w="3175">
                <a:solidFill>
                  <a:schemeClr val="lt1"/>
                </a:solidFill>
              </a:ln>
              <a:effectLst/>
            </c:spPr>
            <c:extLst>
              <c:ext xmlns:c16="http://schemas.microsoft.com/office/drawing/2014/chart" uri="{C3380CC4-5D6E-409C-BE32-E72D297353CC}">
                <c16:uniqueId val="{00000009-B6F0-43AD-9CA4-4537735A3176}"/>
              </c:ext>
            </c:extLst>
          </c:dPt>
          <c:dPt>
            <c:idx val="5"/>
            <c:bubble3D val="0"/>
            <c:spPr>
              <a:solidFill>
                <a:schemeClr val="accent1">
                  <a:lumMod val="50000"/>
                </a:schemeClr>
              </a:solidFill>
              <a:ln w="3175">
                <a:solidFill>
                  <a:schemeClr val="lt1"/>
                </a:solidFill>
              </a:ln>
              <a:effectLst/>
            </c:spPr>
            <c:extLst>
              <c:ext xmlns:c16="http://schemas.microsoft.com/office/drawing/2014/chart" uri="{C3380CC4-5D6E-409C-BE32-E72D297353CC}">
                <c16:uniqueId val="{0000000B-B6F0-43AD-9CA4-4537735A3176}"/>
              </c:ext>
            </c:extLst>
          </c:dPt>
          <c:cat>
            <c:strRef>
              <c:f>Sheet1!$A$21:$A$26</c:f>
              <c:strCache>
                <c:ptCount val="6"/>
                <c:pt idx="0">
                  <c:v>Highly Satisfactory (5%)</c:v>
                </c:pt>
                <c:pt idx="1">
                  <c:v>Satisfactory (50%)</c:v>
                </c:pt>
                <c:pt idx="2">
                  <c:v>Moderately Satisfactory (30%)</c:v>
                </c:pt>
                <c:pt idx="3">
                  <c:v>Moderately Unsatisfactory (12%)</c:v>
                </c:pt>
                <c:pt idx="4">
                  <c:v>Unsatisfactory (2%)</c:v>
                </c:pt>
                <c:pt idx="5">
                  <c:v>Highly Unsatisfactory (1%)</c:v>
                </c:pt>
              </c:strCache>
            </c:strRef>
          </c:cat>
          <c:val>
            <c:numRef>
              <c:f>Sheet1!$B$21:$B$26</c:f>
              <c:numCache>
                <c:formatCode>0%</c:formatCode>
                <c:ptCount val="6"/>
                <c:pt idx="0">
                  <c:v>5.3221288515406161E-2</c:v>
                </c:pt>
                <c:pt idx="1">
                  <c:v>0.49859943977591037</c:v>
                </c:pt>
                <c:pt idx="2">
                  <c:v>0.30252100840336132</c:v>
                </c:pt>
                <c:pt idx="3">
                  <c:v>0.11764705882352941</c:v>
                </c:pt>
                <c:pt idx="4">
                  <c:v>2.2408963585434174E-2</c:v>
                </c:pt>
                <c:pt idx="5">
                  <c:v>5.6022408963585435E-3</c:v>
                </c:pt>
              </c:numCache>
            </c:numRef>
          </c:val>
          <c:extLst>
            <c:ext xmlns:c16="http://schemas.microsoft.com/office/drawing/2014/chart" uri="{C3380CC4-5D6E-409C-BE32-E72D297353CC}">
              <c16:uniqueId val="{0000000C-B6F0-43AD-9CA4-4537735A317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549866331643598"/>
          <c:y val="0.35153427019978301"/>
          <c:w val="0.33760585121664988"/>
          <c:h val="0.400002737435172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GEF-3</c:v>
                </c:pt>
                <c:pt idx="1">
                  <c:v>GEF-4</c:v>
                </c:pt>
                <c:pt idx="2">
                  <c:v>GEF-5</c:v>
                </c:pt>
                <c:pt idx="3">
                  <c:v>GEF-6</c:v>
                </c:pt>
              </c:strCache>
            </c:strRef>
          </c:cat>
          <c:val>
            <c:numRef>
              <c:f>Sheet1!$B$1:$B$4</c:f>
              <c:numCache>
                <c:formatCode>0.0</c:formatCode>
                <c:ptCount val="4"/>
                <c:pt idx="0">
                  <c:v>5.79</c:v>
                </c:pt>
                <c:pt idx="1">
                  <c:v>6.11</c:v>
                </c:pt>
                <c:pt idx="2">
                  <c:v>8.32</c:v>
                </c:pt>
                <c:pt idx="3">
                  <c:v>9.31</c:v>
                </c:pt>
              </c:numCache>
            </c:numRef>
          </c:val>
          <c:extLst>
            <c:ext xmlns:c16="http://schemas.microsoft.com/office/drawing/2014/chart" uri="{C3380CC4-5D6E-409C-BE32-E72D297353CC}">
              <c16:uniqueId val="{00000000-9432-4378-88D7-B5E9F923E7E8}"/>
            </c:ext>
          </c:extLst>
        </c:ser>
        <c:dLbls>
          <c:showLegendKey val="0"/>
          <c:showVal val="0"/>
          <c:showCatName val="0"/>
          <c:showSerName val="0"/>
          <c:showPercent val="0"/>
          <c:showBubbleSize val="0"/>
        </c:dLbls>
        <c:gapWidth val="80"/>
        <c:overlap val="-27"/>
        <c:axId val="225114368"/>
        <c:axId val="227487744"/>
      </c:barChart>
      <c:catAx>
        <c:axId val="22511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487744"/>
        <c:crosses val="autoZero"/>
        <c:auto val="1"/>
        <c:lblAlgn val="ctr"/>
        <c:lblOffset val="100"/>
        <c:noMultiLvlLbl val="0"/>
      </c:catAx>
      <c:valAx>
        <c:axId val="227487744"/>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1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'C:\Users\wb331348\OneDrive - WBG\PPO\monitoring report\[FY19 DATA FINAL_Monitoring Report Working File v_3.xlsx]COFIN FA'!$C$13</c:f>
              <c:strCache>
                <c:ptCount val="1"/>
                <c:pt idx="0">
                  <c:v>co-fin ratio</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'[1]COFIN FA'!$A$14:$A$19</c:f>
              <c:strCache>
                <c:ptCount val="6"/>
                <c:pt idx="0">
                  <c:v>Biodiversity</c:v>
                </c:pt>
                <c:pt idx="1">
                  <c:v>Chemicals and Waste</c:v>
                </c:pt>
                <c:pt idx="2">
                  <c:v>Climate Change</c:v>
                </c:pt>
                <c:pt idx="3">
                  <c:v>International Waters</c:v>
                </c:pt>
                <c:pt idx="4">
                  <c:v>Land Degradation</c:v>
                </c:pt>
                <c:pt idx="5">
                  <c:v>Multi Focal Area</c:v>
                </c:pt>
              </c:strCache>
            </c:strRef>
          </c:cat>
          <c:val>
            <c:numRef>
              <c:f>'[1]COFIN FA'!$C$14:$C$19</c:f>
              <c:numCache>
                <c:formatCode>General</c:formatCode>
                <c:ptCount val="6"/>
                <c:pt idx="0">
                  <c:v>4.8197846298113269</c:v>
                </c:pt>
                <c:pt idx="1">
                  <c:v>4.8217913413511173</c:v>
                </c:pt>
                <c:pt idx="2">
                  <c:v>12.787901799391946</c:v>
                </c:pt>
                <c:pt idx="3">
                  <c:v>11.610156747351491</c:v>
                </c:pt>
                <c:pt idx="4">
                  <c:v>6.3140169250798346</c:v>
                </c:pt>
                <c:pt idx="5">
                  <c:v>7.7653261265929538</c:v>
                </c:pt>
              </c:numCache>
            </c:numRef>
          </c:val>
          <c:extLst>
            <c:ext xmlns:c16="http://schemas.microsoft.com/office/drawing/2014/chart" uri="{C3380CC4-5D6E-409C-BE32-E72D297353CC}">
              <c16:uniqueId val="{00000000-E7BC-4C38-AC8A-00AB1B3B0A81}"/>
            </c:ext>
          </c:extLst>
        </c:ser>
        <c:dLbls>
          <c:showLegendKey val="0"/>
          <c:showVal val="0"/>
          <c:showCatName val="0"/>
          <c:showSerName val="0"/>
          <c:showPercent val="0"/>
          <c:showBubbleSize val="0"/>
        </c:dLbls>
        <c:gapWidth val="80"/>
        <c:overlap val="-27"/>
        <c:axId val="225374976"/>
        <c:axId val="225376512"/>
        <c:extLst>
          <c:ext xmlns:c15="http://schemas.microsoft.com/office/drawing/2012/chart" uri="{02D57815-91ED-43cb-92C2-25804820EDAC}">
            <c15:filteredBarSeries>
              <c15:ser>
                <c:idx val="0"/>
                <c:order val="0"/>
                <c:tx>
                  <c:strRef>
                    <c:extLst>
                      <c:ext uri="{02D57815-91ED-43cb-92C2-25804820EDAC}">
                        <c15:formulaRef>
                          <c15:sqref>'C:\Users\wb331348\OneDrive - WBG\PPO\monitoring report\[FY19 DATA FINAL_Monitoring Report Working File v_3.xlsx]COFIN FA'!$B$13</c15:sqref>
                        </c15:formulaRef>
                      </c:ext>
                    </c:extLst>
                    <c:strCache>
                      <c:ptCount val="1"/>
                      <c:pt idx="0">
                        <c:v>Grants (%)</c:v>
                      </c:pt>
                    </c:strCache>
                  </c:strRef>
                </c:tx>
                <c:spPr>
                  <a:solidFill>
                    <a:schemeClr val="accent1"/>
                  </a:solidFill>
                  <a:ln>
                    <a:noFill/>
                  </a:ln>
                  <a:effectLst/>
                </c:spPr>
                <c:invertIfNegative val="0"/>
                <c:cat>
                  <c:strRef>
                    <c:extLst>
                      <c:ext uri="{02D57815-91ED-43cb-92C2-25804820EDAC}">
                        <c15:formulaRef>
                          <c15:sqref>'[1]COFIN FA'!$A$14:$A$19</c15:sqref>
                        </c15:formulaRef>
                      </c:ext>
                    </c:extLst>
                    <c:strCache>
                      <c:ptCount val="6"/>
                      <c:pt idx="0">
                        <c:v>Biodiversity</c:v>
                      </c:pt>
                      <c:pt idx="1">
                        <c:v>Chemicals and Waste</c:v>
                      </c:pt>
                      <c:pt idx="2">
                        <c:v>Climate Change</c:v>
                      </c:pt>
                      <c:pt idx="3">
                        <c:v>International Waters</c:v>
                      </c:pt>
                      <c:pt idx="4">
                        <c:v>Land Degradation</c:v>
                      </c:pt>
                      <c:pt idx="5">
                        <c:v>Multi Focal Area</c:v>
                      </c:pt>
                    </c:strCache>
                  </c:strRef>
                </c:cat>
                <c:val>
                  <c:numRef>
                    <c:extLst>
                      <c:ext uri="{02D57815-91ED-43cb-92C2-25804820EDAC}">
                        <c15:formulaRef>
                          <c15:sqref>'[1]COFIN FA'!$B$14:$B$19</c15:sqref>
                        </c15:formulaRef>
                      </c:ext>
                    </c:extLst>
                    <c:numCache>
                      <c:formatCode>General</c:formatCode>
                      <c:ptCount val="6"/>
                      <c:pt idx="0">
                        <c:v>17</c:v>
                      </c:pt>
                      <c:pt idx="1">
                        <c:v>10</c:v>
                      </c:pt>
                      <c:pt idx="2">
                        <c:v>25</c:v>
                      </c:pt>
                      <c:pt idx="3">
                        <c:v>6</c:v>
                      </c:pt>
                      <c:pt idx="4">
                        <c:v>4</c:v>
                      </c:pt>
                      <c:pt idx="5">
                        <c:v>38</c:v>
                      </c:pt>
                    </c:numCache>
                  </c:numRef>
                </c:val>
                <c:extLst>
                  <c:ext xmlns:c16="http://schemas.microsoft.com/office/drawing/2014/chart" uri="{C3380CC4-5D6E-409C-BE32-E72D297353CC}">
                    <c16:uniqueId val="{00000001-E7BC-4C38-AC8A-00AB1B3B0A81}"/>
                  </c:ext>
                </c:extLst>
              </c15:ser>
            </c15:filteredBarSeries>
          </c:ext>
        </c:extLst>
      </c:barChart>
      <c:catAx>
        <c:axId val="2253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376512"/>
        <c:crosses val="autoZero"/>
        <c:auto val="1"/>
        <c:lblAlgn val="ctr"/>
        <c:lblOffset val="100"/>
        <c:noMultiLvlLbl val="0"/>
      </c:catAx>
      <c:valAx>
        <c:axId val="22537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374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B16882D3CD1D4AF581A165F293A75A9E"/>
        <w:category>
          <w:name w:val="General"/>
          <w:gallery w:val="placeholder"/>
        </w:category>
        <w:types>
          <w:type w:val="bbPlcHdr"/>
        </w:types>
        <w:behaviors>
          <w:behavior w:val="content"/>
        </w:behaviors>
        <w:guid w:val="{E828BA2B-402F-43DB-BCF6-9E39A5B91AB6}"/>
      </w:docPartPr>
      <w:docPartBody>
        <w:p w:rsidR="00723176" w:rsidRDefault="00637C32" w:rsidP="00637C32">
          <w:pPr>
            <w:pStyle w:val="B16882D3CD1D4AF581A165F293A75A9E"/>
          </w:pPr>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altName w:val="Microsoft YaHei"/>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C32"/>
    <w:rsid w:val="002B1134"/>
    <w:rsid w:val="002E5893"/>
    <w:rsid w:val="00515C0B"/>
    <w:rsid w:val="00637C32"/>
    <w:rsid w:val="00723176"/>
    <w:rsid w:val="009653BF"/>
    <w:rsid w:val="00E530D6"/>
    <w:rsid w:val="00E81CCE"/>
    <w:rsid w:val="00F85FC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176"/>
    <w:rPr>
      <w:color w:val="808080"/>
    </w:rPr>
  </w:style>
  <w:style w:type="paragraph" w:customStyle="1" w:styleId="7207C0693C2141E48CF6787E265A3927">
    <w:name w:val="7207C0693C2141E48CF6787E265A3927"/>
    <w:rsid w:val="00637C32"/>
  </w:style>
  <w:style w:type="paragraph" w:customStyle="1" w:styleId="B16882D3CD1D4AF581A165F293A75A9E">
    <w:name w:val="B16882D3CD1D4AF581A165F293A75A9E"/>
    <w:rsid w:val="00637C32"/>
  </w:style>
  <w:style w:type="paragraph" w:customStyle="1" w:styleId="30A7825E02CC4C0A82FF55ED02BAD813">
    <w:name w:val="30A7825E02CC4C0A82FF55ED02BAD813"/>
    <w:rsid w:val="00637C32"/>
  </w:style>
  <w:style w:type="paragraph" w:customStyle="1" w:styleId="AB57621758274B1983F6392475BD1141">
    <w:name w:val="AB57621758274B1983F6392475BD1141"/>
    <w:rsid w:val="00637C32"/>
  </w:style>
  <w:style w:type="paragraph" w:customStyle="1" w:styleId="6B0E0D4F88734936806EE74494FD8563">
    <w:name w:val="6B0E0D4F88734936806EE74494FD8563"/>
    <w:rsid w:val="00723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01D5-7BF8-4CB4-8636-3E4B4661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4.xml><?xml version="1.0" encoding="utf-8"?>
<ds:datastoreItem xmlns:ds="http://schemas.openxmlformats.org/officeDocument/2006/customXml" ds:itemID="{ADE9C8EA-7C84-45E6-8D4E-A13745CF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财务机制 - 全球环境基金的初步报告</vt:lpstr>
    </vt:vector>
  </TitlesOfParts>
  <Company/>
  <LinksUpToDate>false</LinksUpToDate>
  <CharactersWithSpaces>24213</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财务机制 - 全球环境基金的初步报告</dc:title>
  <dc:subject>CBD/SBI/3/6/Add.1</dc:subject>
  <dc:creator>Mark Thomas Zimsky</dc:creator>
  <cp:lastModifiedBy>Veronique Lefebvre</cp:lastModifiedBy>
  <cp:revision>2</cp:revision>
  <cp:lastPrinted>2020-07-21T21:07:00Z</cp:lastPrinted>
  <dcterms:created xsi:type="dcterms:W3CDTF">2020-08-13T19:35:00Z</dcterms:created>
  <dcterms:modified xsi:type="dcterms:W3CDTF">2020-08-13T19:35:00Z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