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207" w:type="dxa"/>
        <w:tblInd w:w="-318" w:type="dxa"/>
        <w:tblBorders>
          <w:bottom w:val="single" w:sz="36" w:space="0" w:color="000000"/>
        </w:tblBorders>
        <w:tblLayout w:type="fixed"/>
        <w:tblLook w:val="0000" w:firstRow="0" w:lastRow="0" w:firstColumn="0" w:lastColumn="0" w:noHBand="0" w:noVBand="0"/>
      </w:tblPr>
      <w:tblGrid>
        <w:gridCol w:w="852"/>
        <w:gridCol w:w="2614"/>
        <w:gridCol w:w="2620"/>
        <w:gridCol w:w="1144"/>
        <w:gridCol w:w="2977"/>
      </w:tblGrid>
      <w:tr w:rsidR="00433B20" w:rsidRPr="00537803" w:rsidTr="00CF5ABA">
        <w:tc>
          <w:tcPr>
            <w:tcW w:w="852" w:type="dxa"/>
            <w:tcBorders>
              <w:top w:val="nil"/>
              <w:bottom w:val="single" w:sz="12" w:space="0" w:color="000000"/>
              <w:right w:val="nil"/>
            </w:tcBorders>
          </w:tcPr>
          <w:p w:rsidR="00433B20" w:rsidRPr="00E733CD" w:rsidRDefault="00415C0F" w:rsidP="00E733CD">
            <w:pPr>
              <w:pStyle w:val="BodyText2"/>
              <w:suppressLineNumbers/>
              <w:suppressAutoHyphens/>
              <w:kinsoku w:val="0"/>
              <w:overflowPunct w:val="0"/>
              <w:autoSpaceDE w:val="0"/>
              <w:autoSpaceDN w:val="0"/>
              <w:adjustRightInd w:val="0"/>
              <w:snapToGrid w:val="0"/>
              <w:spacing w:after="120"/>
              <w:rPr>
                <w:b/>
                <w:snapToGrid w:val="0"/>
                <w:kern w:val="22"/>
                <w:lang w:eastAsia="en-CA"/>
              </w:rPr>
            </w:pPr>
            <w:r w:rsidRPr="00E733CD">
              <w:rPr>
                <w:b/>
                <w:noProof/>
                <w:snapToGrid w:val="0"/>
                <w:kern w:val="22"/>
                <w:lang w:eastAsia="zh-CN"/>
              </w:rPr>
              <w:drawing>
                <wp:inline distT="0" distB="0" distL="0" distR="0" wp14:anchorId="5F009275" wp14:editId="33FF7EED">
                  <wp:extent cx="485775" cy="390525"/>
                  <wp:effectExtent l="0" t="0" r="0" b="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5775" cy="390525"/>
                          </a:xfrm>
                          <a:prstGeom prst="rect">
                            <a:avLst/>
                          </a:prstGeom>
                          <a:noFill/>
                          <a:ln>
                            <a:noFill/>
                          </a:ln>
                        </pic:spPr>
                      </pic:pic>
                    </a:graphicData>
                  </a:graphic>
                </wp:inline>
              </w:drawing>
            </w:r>
          </w:p>
        </w:tc>
        <w:tc>
          <w:tcPr>
            <w:tcW w:w="2614" w:type="dxa"/>
            <w:tcBorders>
              <w:top w:val="nil"/>
              <w:left w:val="nil"/>
              <w:bottom w:val="single" w:sz="12" w:space="0" w:color="000000"/>
              <w:right w:val="nil"/>
            </w:tcBorders>
          </w:tcPr>
          <w:p w:rsidR="00433B20" w:rsidRPr="00E733CD" w:rsidRDefault="00415C0F" w:rsidP="00E733CD">
            <w:pPr>
              <w:suppressLineNumbers/>
              <w:suppressAutoHyphens/>
              <w:kinsoku w:val="0"/>
              <w:overflowPunct w:val="0"/>
              <w:autoSpaceDE w:val="0"/>
              <w:autoSpaceDN w:val="0"/>
              <w:adjustRightInd w:val="0"/>
              <w:snapToGrid w:val="0"/>
              <w:spacing w:after="120"/>
              <w:rPr>
                <w:snapToGrid w:val="0"/>
                <w:kern w:val="22"/>
                <w:lang w:eastAsia="en-CA"/>
              </w:rPr>
            </w:pPr>
            <w:r w:rsidRPr="00E733CD">
              <w:rPr>
                <w:noProof/>
                <w:snapToGrid w:val="0"/>
                <w:kern w:val="22"/>
                <w:lang w:eastAsia="zh-CN"/>
              </w:rPr>
              <w:drawing>
                <wp:inline distT="0" distB="0" distL="0" distR="0" wp14:anchorId="0544CBAF" wp14:editId="3B46ADEC">
                  <wp:extent cx="342900" cy="400050"/>
                  <wp:effectExtent l="0" t="0" r="0" b="0"/>
                  <wp:docPr id="2" name="Picture 3" descr="Macintosh HD:Users:bilodeau:Desktop:logos:template 2017:unep-ol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bilodeau:Desktop:logos:template 2017:unep-old.em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2900" cy="400050"/>
                          </a:xfrm>
                          <a:prstGeom prst="rect">
                            <a:avLst/>
                          </a:prstGeom>
                          <a:noFill/>
                          <a:ln>
                            <a:noFill/>
                          </a:ln>
                        </pic:spPr>
                      </pic:pic>
                    </a:graphicData>
                  </a:graphic>
                </wp:inline>
              </w:drawing>
            </w:r>
          </w:p>
        </w:tc>
        <w:tc>
          <w:tcPr>
            <w:tcW w:w="6741" w:type="dxa"/>
            <w:gridSpan w:val="3"/>
            <w:tcBorders>
              <w:top w:val="nil"/>
              <w:left w:val="nil"/>
              <w:bottom w:val="single" w:sz="12" w:space="0" w:color="000000"/>
            </w:tcBorders>
          </w:tcPr>
          <w:p w:rsidR="00433B20" w:rsidRPr="00537803" w:rsidRDefault="00433B20" w:rsidP="00E733CD">
            <w:pPr>
              <w:suppressLineNumbers/>
              <w:suppressAutoHyphens/>
              <w:kinsoku w:val="0"/>
              <w:overflowPunct w:val="0"/>
              <w:autoSpaceDE w:val="0"/>
              <w:autoSpaceDN w:val="0"/>
              <w:adjustRightInd w:val="0"/>
              <w:snapToGrid w:val="0"/>
              <w:spacing w:after="120"/>
              <w:jc w:val="right"/>
              <w:rPr>
                <w:rFonts w:ascii="Univers" w:hAnsi="Univers"/>
                <w:b/>
                <w:snapToGrid w:val="0"/>
                <w:kern w:val="22"/>
                <w:sz w:val="32"/>
              </w:rPr>
            </w:pPr>
            <w:r w:rsidRPr="00537803">
              <w:rPr>
                <w:rFonts w:ascii="Univers" w:hAnsi="Univers"/>
                <w:b/>
                <w:snapToGrid w:val="0"/>
                <w:kern w:val="22"/>
                <w:sz w:val="32"/>
              </w:rPr>
              <w:t>CBD</w:t>
            </w:r>
          </w:p>
        </w:tc>
      </w:tr>
      <w:tr w:rsidR="00AD1731" w:rsidRPr="00537803" w:rsidTr="00CF5ABA">
        <w:trPr>
          <w:trHeight w:val="1693"/>
        </w:trPr>
        <w:tc>
          <w:tcPr>
            <w:tcW w:w="6086" w:type="dxa"/>
            <w:gridSpan w:val="3"/>
            <w:tcBorders>
              <w:top w:val="nil"/>
              <w:bottom w:val="single" w:sz="36" w:space="0" w:color="000000"/>
            </w:tcBorders>
          </w:tcPr>
          <w:p w:rsidR="00AD1731" w:rsidRPr="00537803" w:rsidRDefault="00AD1731" w:rsidP="00E733CD">
            <w:pPr>
              <w:suppressLineNumbers/>
              <w:suppressAutoHyphens/>
              <w:kinsoku w:val="0"/>
              <w:overflowPunct w:val="0"/>
              <w:autoSpaceDE w:val="0"/>
              <w:autoSpaceDN w:val="0"/>
              <w:adjustRightInd w:val="0"/>
              <w:snapToGrid w:val="0"/>
              <w:spacing w:after="120"/>
              <w:rPr>
                <w:snapToGrid w:val="0"/>
                <w:kern w:val="22"/>
              </w:rPr>
            </w:pPr>
          </w:p>
          <w:p w:rsidR="00AD1731" w:rsidRPr="00537803" w:rsidRDefault="00415C0F" w:rsidP="00E733CD">
            <w:pPr>
              <w:suppressLineNumbers/>
              <w:suppressAutoHyphens/>
              <w:kinsoku w:val="0"/>
              <w:overflowPunct w:val="0"/>
              <w:autoSpaceDE w:val="0"/>
              <w:autoSpaceDN w:val="0"/>
              <w:adjustRightInd w:val="0"/>
              <w:snapToGrid w:val="0"/>
              <w:spacing w:after="120"/>
              <w:rPr>
                <w:snapToGrid w:val="0"/>
                <w:kern w:val="22"/>
              </w:rPr>
            </w:pPr>
            <w:r w:rsidRPr="00E733CD">
              <w:rPr>
                <w:noProof/>
                <w:snapToGrid w:val="0"/>
                <w:kern w:val="22"/>
                <w:lang w:eastAsia="zh-CN"/>
              </w:rPr>
              <w:drawing>
                <wp:inline distT="0" distB="0" distL="0" distR="0" wp14:anchorId="13957324" wp14:editId="676EEAA4">
                  <wp:extent cx="2886075" cy="108585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86075" cy="1085850"/>
                          </a:xfrm>
                          <a:prstGeom prst="rect">
                            <a:avLst/>
                          </a:prstGeom>
                          <a:noFill/>
                          <a:ln>
                            <a:noFill/>
                          </a:ln>
                        </pic:spPr>
                      </pic:pic>
                    </a:graphicData>
                  </a:graphic>
                </wp:inline>
              </w:drawing>
            </w:r>
          </w:p>
          <w:p w:rsidR="00AD1731" w:rsidRPr="00537803" w:rsidRDefault="00AD1731" w:rsidP="00E733CD">
            <w:pPr>
              <w:suppressLineNumbers/>
              <w:suppressAutoHyphens/>
              <w:kinsoku w:val="0"/>
              <w:overflowPunct w:val="0"/>
              <w:autoSpaceDE w:val="0"/>
              <w:autoSpaceDN w:val="0"/>
              <w:adjustRightInd w:val="0"/>
              <w:snapToGrid w:val="0"/>
              <w:spacing w:after="120"/>
              <w:rPr>
                <w:rFonts w:ascii="Univers" w:hAnsi="Univers"/>
                <w:snapToGrid w:val="0"/>
                <w:kern w:val="22"/>
                <w:sz w:val="24"/>
              </w:rPr>
            </w:pPr>
          </w:p>
        </w:tc>
        <w:tc>
          <w:tcPr>
            <w:tcW w:w="1144" w:type="dxa"/>
            <w:tcBorders>
              <w:top w:val="nil"/>
              <w:bottom w:val="single" w:sz="36" w:space="0" w:color="000000"/>
            </w:tcBorders>
          </w:tcPr>
          <w:p w:rsidR="00AD1731" w:rsidRPr="00FC6E94" w:rsidRDefault="00AD1731" w:rsidP="00E733CD">
            <w:pPr>
              <w:pStyle w:val="Header"/>
              <w:suppressLineNumbers/>
              <w:tabs>
                <w:tab w:val="clear" w:pos="4320"/>
                <w:tab w:val="clear" w:pos="8640"/>
              </w:tabs>
              <w:suppressAutoHyphens/>
              <w:kinsoku w:val="0"/>
              <w:overflowPunct w:val="0"/>
              <w:autoSpaceDE w:val="0"/>
              <w:autoSpaceDN w:val="0"/>
              <w:adjustRightInd w:val="0"/>
              <w:snapToGrid w:val="0"/>
              <w:spacing w:after="120"/>
              <w:rPr>
                <w:bCs/>
                <w:snapToGrid w:val="0"/>
                <w:kern w:val="22"/>
                <w:sz w:val="32"/>
                <w:szCs w:val="32"/>
              </w:rPr>
            </w:pPr>
          </w:p>
        </w:tc>
        <w:tc>
          <w:tcPr>
            <w:tcW w:w="2977" w:type="dxa"/>
            <w:tcBorders>
              <w:top w:val="nil"/>
              <w:bottom w:val="single" w:sz="36" w:space="0" w:color="000000"/>
            </w:tcBorders>
          </w:tcPr>
          <w:p w:rsidR="00AD1731" w:rsidRPr="00545E01" w:rsidRDefault="00AD1731" w:rsidP="00E733CD">
            <w:pPr>
              <w:suppressLineNumbers/>
              <w:suppressAutoHyphens/>
              <w:kinsoku w:val="0"/>
              <w:overflowPunct w:val="0"/>
              <w:autoSpaceDE w:val="0"/>
              <w:autoSpaceDN w:val="0"/>
              <w:adjustRightInd w:val="0"/>
              <w:snapToGrid w:val="0"/>
              <w:ind w:left="317"/>
              <w:rPr>
                <w:snapToGrid w:val="0"/>
                <w:kern w:val="22"/>
                <w:szCs w:val="22"/>
              </w:rPr>
            </w:pPr>
            <w:r w:rsidRPr="00E039F4">
              <w:rPr>
                <w:snapToGrid w:val="0"/>
                <w:kern w:val="22"/>
                <w:szCs w:val="22"/>
              </w:rPr>
              <w:t>Distr.</w:t>
            </w:r>
          </w:p>
          <w:p w:rsidR="00AD1731" w:rsidRPr="00537803" w:rsidRDefault="005552F3" w:rsidP="00E733CD">
            <w:pPr>
              <w:suppressLineNumbers/>
              <w:suppressAutoHyphens/>
              <w:kinsoku w:val="0"/>
              <w:overflowPunct w:val="0"/>
              <w:autoSpaceDE w:val="0"/>
              <w:autoSpaceDN w:val="0"/>
              <w:adjustRightInd w:val="0"/>
              <w:snapToGrid w:val="0"/>
              <w:ind w:left="317"/>
              <w:rPr>
                <w:snapToGrid w:val="0"/>
                <w:kern w:val="22"/>
                <w:szCs w:val="22"/>
              </w:rPr>
            </w:pPr>
            <w:r w:rsidRPr="00537803">
              <w:rPr>
                <w:snapToGrid w:val="0"/>
                <w:kern w:val="22"/>
                <w:szCs w:val="22"/>
              </w:rPr>
              <w:t>GENERAL</w:t>
            </w:r>
          </w:p>
          <w:p w:rsidR="00AD1731" w:rsidRPr="00537803" w:rsidRDefault="00AD1731" w:rsidP="00E733CD">
            <w:pPr>
              <w:suppressLineNumbers/>
              <w:suppressAutoHyphens/>
              <w:kinsoku w:val="0"/>
              <w:overflowPunct w:val="0"/>
              <w:autoSpaceDE w:val="0"/>
              <w:autoSpaceDN w:val="0"/>
              <w:adjustRightInd w:val="0"/>
              <w:snapToGrid w:val="0"/>
              <w:ind w:left="317"/>
              <w:rPr>
                <w:snapToGrid w:val="0"/>
                <w:kern w:val="22"/>
                <w:szCs w:val="22"/>
              </w:rPr>
            </w:pPr>
          </w:p>
          <w:sdt>
            <w:sdtPr>
              <w:rPr>
                <w:snapToGrid w:val="0"/>
                <w:kern w:val="22"/>
                <w:szCs w:val="22"/>
              </w:rPr>
              <w:alias w:val="Subject"/>
              <w:tag w:val=""/>
              <w:id w:val="477654375"/>
              <w:placeholder>
                <w:docPart w:val="0EFA02AA087E457AB4E4602B89ABF8E4"/>
              </w:placeholder>
              <w:dataBinding w:prefixMappings="xmlns:ns0='http://purl.org/dc/elements/1.1/' xmlns:ns1='http://schemas.openxmlformats.org/package/2006/metadata/core-properties' " w:xpath="/ns1:coreProperties[1]/ns0:subject[1]" w:storeItemID="{6C3C8BC8-F283-45AE-878A-BAB7291924A1}"/>
              <w:text/>
            </w:sdtPr>
            <w:sdtEndPr/>
            <w:sdtContent>
              <w:p w:rsidR="00AD1731" w:rsidRPr="00537803" w:rsidRDefault="0007070D" w:rsidP="00E733CD">
                <w:pPr>
                  <w:suppressLineNumbers/>
                  <w:suppressAutoHyphens/>
                  <w:kinsoku w:val="0"/>
                  <w:overflowPunct w:val="0"/>
                  <w:autoSpaceDE w:val="0"/>
                  <w:autoSpaceDN w:val="0"/>
                  <w:adjustRightInd w:val="0"/>
                  <w:snapToGrid w:val="0"/>
                  <w:ind w:left="317"/>
                  <w:rPr>
                    <w:snapToGrid w:val="0"/>
                    <w:kern w:val="22"/>
                    <w:szCs w:val="22"/>
                  </w:rPr>
                </w:pPr>
                <w:r w:rsidRPr="00537803">
                  <w:rPr>
                    <w:snapToGrid w:val="0"/>
                    <w:kern w:val="22"/>
                    <w:szCs w:val="22"/>
                  </w:rPr>
                  <w:t>CBD/SBI/2/8</w:t>
                </w:r>
              </w:p>
            </w:sdtContent>
          </w:sdt>
          <w:p w:rsidR="00AD1731" w:rsidRPr="00FC6E94" w:rsidRDefault="00074692" w:rsidP="00E733CD">
            <w:pPr>
              <w:suppressLineNumbers/>
              <w:suppressAutoHyphens/>
              <w:kinsoku w:val="0"/>
              <w:overflowPunct w:val="0"/>
              <w:autoSpaceDE w:val="0"/>
              <w:autoSpaceDN w:val="0"/>
              <w:adjustRightInd w:val="0"/>
              <w:snapToGrid w:val="0"/>
              <w:ind w:left="317"/>
              <w:rPr>
                <w:snapToGrid w:val="0"/>
                <w:kern w:val="22"/>
                <w:szCs w:val="22"/>
              </w:rPr>
            </w:pPr>
            <w:r w:rsidRPr="00537803">
              <w:rPr>
                <w:snapToGrid w:val="0"/>
                <w:kern w:val="22"/>
                <w:szCs w:val="22"/>
              </w:rPr>
              <w:t>3</w:t>
            </w:r>
            <w:r w:rsidR="005552F3" w:rsidRPr="00FC6E94">
              <w:rPr>
                <w:snapToGrid w:val="0"/>
                <w:kern w:val="22"/>
                <w:szCs w:val="22"/>
              </w:rPr>
              <w:t xml:space="preserve">1 </w:t>
            </w:r>
            <w:r w:rsidRPr="00FC6E94">
              <w:rPr>
                <w:snapToGrid w:val="0"/>
                <w:kern w:val="22"/>
                <w:szCs w:val="22"/>
              </w:rPr>
              <w:t>Ma</w:t>
            </w:r>
            <w:r w:rsidR="0007070D" w:rsidRPr="00FC6E94">
              <w:rPr>
                <w:snapToGrid w:val="0"/>
                <w:kern w:val="22"/>
                <w:szCs w:val="22"/>
              </w:rPr>
              <w:t>y</w:t>
            </w:r>
            <w:r w:rsidR="005552F3" w:rsidRPr="00FC6E94">
              <w:rPr>
                <w:snapToGrid w:val="0"/>
                <w:kern w:val="22"/>
                <w:szCs w:val="22"/>
              </w:rPr>
              <w:t xml:space="preserve"> </w:t>
            </w:r>
            <w:r w:rsidR="00AD1731" w:rsidRPr="00FC6E94">
              <w:rPr>
                <w:snapToGrid w:val="0"/>
                <w:kern w:val="22"/>
                <w:szCs w:val="22"/>
              </w:rPr>
              <w:t>201</w:t>
            </w:r>
            <w:r w:rsidRPr="00FC6E94">
              <w:rPr>
                <w:snapToGrid w:val="0"/>
                <w:kern w:val="22"/>
                <w:szCs w:val="22"/>
              </w:rPr>
              <w:t>8</w:t>
            </w:r>
          </w:p>
          <w:p w:rsidR="00AD1731" w:rsidRPr="00FC6E94" w:rsidRDefault="00AD1731" w:rsidP="00E733CD">
            <w:pPr>
              <w:suppressLineNumbers/>
              <w:suppressAutoHyphens/>
              <w:kinsoku w:val="0"/>
              <w:overflowPunct w:val="0"/>
              <w:autoSpaceDE w:val="0"/>
              <w:autoSpaceDN w:val="0"/>
              <w:adjustRightInd w:val="0"/>
              <w:snapToGrid w:val="0"/>
              <w:ind w:left="317"/>
              <w:rPr>
                <w:snapToGrid w:val="0"/>
                <w:kern w:val="22"/>
                <w:szCs w:val="22"/>
              </w:rPr>
            </w:pPr>
          </w:p>
          <w:p w:rsidR="00AD1731" w:rsidRPr="00545E01" w:rsidRDefault="00AD1731" w:rsidP="00E733CD">
            <w:pPr>
              <w:suppressLineNumbers/>
              <w:suppressAutoHyphens/>
              <w:kinsoku w:val="0"/>
              <w:overflowPunct w:val="0"/>
              <w:autoSpaceDE w:val="0"/>
              <w:autoSpaceDN w:val="0"/>
              <w:adjustRightInd w:val="0"/>
              <w:snapToGrid w:val="0"/>
              <w:ind w:left="317"/>
              <w:rPr>
                <w:snapToGrid w:val="0"/>
                <w:kern w:val="22"/>
                <w:szCs w:val="22"/>
                <w:u w:val="single"/>
              </w:rPr>
            </w:pPr>
            <w:r w:rsidRPr="00E039F4">
              <w:rPr>
                <w:snapToGrid w:val="0"/>
                <w:kern w:val="22"/>
                <w:szCs w:val="22"/>
              </w:rPr>
              <w:t>ORIGINAL:  ENGLISH</w:t>
            </w:r>
          </w:p>
        </w:tc>
      </w:tr>
    </w:tbl>
    <w:p w:rsidR="00AD1731" w:rsidRPr="00685A77" w:rsidRDefault="00AD1731" w:rsidP="00E733CD">
      <w:pPr>
        <w:pStyle w:val="meetingname"/>
        <w:suppressLineNumbers/>
        <w:suppressAutoHyphens/>
        <w:kinsoku w:val="0"/>
        <w:overflowPunct w:val="0"/>
        <w:autoSpaceDE w:val="0"/>
        <w:autoSpaceDN w:val="0"/>
        <w:adjustRightInd w:val="0"/>
        <w:snapToGrid w:val="0"/>
        <w:ind w:left="-180" w:right="4398" w:firstLine="0"/>
        <w:rPr>
          <w:kern w:val="22"/>
          <w:szCs w:val="22"/>
        </w:rPr>
      </w:pPr>
      <w:bookmarkStart w:id="0" w:name="Meeting"/>
      <w:r w:rsidRPr="00455AB8">
        <w:rPr>
          <w:kern w:val="22"/>
          <w:szCs w:val="22"/>
        </w:rPr>
        <w:t>SUBSIDIARY BODY ON IMPLEMENTATION</w:t>
      </w:r>
      <w:bookmarkEnd w:id="0"/>
    </w:p>
    <w:p w:rsidR="00AD1731" w:rsidRPr="00EB4B12" w:rsidRDefault="00AD1731" w:rsidP="00E733CD">
      <w:pPr>
        <w:suppressLineNumbers/>
        <w:suppressAutoHyphens/>
        <w:kinsoku w:val="0"/>
        <w:overflowPunct w:val="0"/>
        <w:autoSpaceDE w:val="0"/>
        <w:autoSpaceDN w:val="0"/>
        <w:adjustRightInd w:val="0"/>
        <w:snapToGrid w:val="0"/>
        <w:rPr>
          <w:rFonts w:cs="Times New Roman"/>
          <w:snapToGrid w:val="0"/>
          <w:kern w:val="22"/>
          <w:szCs w:val="22"/>
          <w:lang w:eastAsia="nb-NO"/>
        </w:rPr>
      </w:pPr>
      <w:r w:rsidRPr="00EB4B12">
        <w:rPr>
          <w:rFonts w:cs="Times New Roman"/>
          <w:snapToGrid w:val="0"/>
          <w:kern w:val="22"/>
          <w:szCs w:val="22"/>
          <w:lang w:eastAsia="nb-NO"/>
        </w:rPr>
        <w:t>Second meeting</w:t>
      </w:r>
    </w:p>
    <w:p w:rsidR="00AD1731" w:rsidRPr="00545E01" w:rsidRDefault="00AD1731" w:rsidP="00E733CD">
      <w:pPr>
        <w:suppressLineNumbers/>
        <w:suppressAutoHyphens/>
        <w:kinsoku w:val="0"/>
        <w:overflowPunct w:val="0"/>
        <w:autoSpaceDE w:val="0"/>
        <w:autoSpaceDN w:val="0"/>
        <w:adjustRightInd w:val="0"/>
        <w:snapToGrid w:val="0"/>
        <w:rPr>
          <w:rFonts w:cs="Times New Roman"/>
          <w:snapToGrid w:val="0"/>
          <w:kern w:val="22"/>
          <w:szCs w:val="22"/>
          <w:lang w:eastAsia="nb-NO"/>
        </w:rPr>
      </w:pPr>
      <w:r w:rsidRPr="00E039F4">
        <w:rPr>
          <w:rFonts w:cs="Times New Roman"/>
          <w:snapToGrid w:val="0"/>
          <w:kern w:val="22"/>
          <w:szCs w:val="22"/>
          <w:lang w:eastAsia="nb-NO"/>
        </w:rPr>
        <w:t>Montreal, Canada, 9-13 July 2018</w:t>
      </w:r>
    </w:p>
    <w:p w:rsidR="00AD1731" w:rsidRPr="00455AB8" w:rsidRDefault="00AD1731" w:rsidP="00E733CD">
      <w:pPr>
        <w:pStyle w:val="Header"/>
        <w:suppressLineNumbers/>
        <w:tabs>
          <w:tab w:val="clear" w:pos="4320"/>
          <w:tab w:val="clear" w:pos="8640"/>
        </w:tabs>
        <w:suppressAutoHyphens/>
        <w:kinsoku w:val="0"/>
        <w:overflowPunct w:val="0"/>
        <w:autoSpaceDE w:val="0"/>
        <w:autoSpaceDN w:val="0"/>
        <w:adjustRightInd w:val="0"/>
        <w:snapToGrid w:val="0"/>
        <w:spacing w:after="120"/>
        <w:rPr>
          <w:snapToGrid w:val="0"/>
          <w:kern w:val="22"/>
          <w:szCs w:val="22"/>
        </w:rPr>
      </w:pPr>
      <w:r w:rsidRPr="00545E01">
        <w:rPr>
          <w:snapToGrid w:val="0"/>
          <w:kern w:val="22"/>
          <w:szCs w:val="22"/>
        </w:rPr>
        <w:t xml:space="preserve">Item </w:t>
      </w:r>
      <w:r w:rsidR="005A442E" w:rsidRPr="00B747CF">
        <w:rPr>
          <w:snapToGrid w:val="0"/>
          <w:kern w:val="22"/>
          <w:szCs w:val="22"/>
        </w:rPr>
        <w:t>8</w:t>
      </w:r>
      <w:r w:rsidRPr="00455AB8">
        <w:rPr>
          <w:snapToGrid w:val="0"/>
          <w:kern w:val="22"/>
          <w:szCs w:val="22"/>
        </w:rPr>
        <w:t xml:space="preserve"> of the provisional agenda</w:t>
      </w:r>
    </w:p>
    <w:sdt>
      <w:sdtPr>
        <w:rPr>
          <w:rFonts w:cs="Times New Roman"/>
          <w:snapToGrid w:val="0"/>
          <w:kern w:val="22"/>
          <w:szCs w:val="22"/>
        </w:rPr>
        <w:alias w:val="Title"/>
        <w:tag w:val=""/>
        <w:id w:val="2127654546"/>
        <w:placeholder>
          <w:docPart w:val="7F667401F4DD449AA1053D043335D8FD"/>
        </w:placeholder>
        <w:dataBinding w:prefixMappings="xmlns:ns0='http://purl.org/dc/elements/1.1/' xmlns:ns1='http://schemas.openxmlformats.org/package/2006/metadata/core-properties' " w:xpath="/ns1:coreProperties[1]/ns0:title[1]" w:storeItemID="{6C3C8BC8-F283-45AE-878A-BAB7291924A1}"/>
        <w:text/>
      </w:sdtPr>
      <w:sdtEndPr/>
      <w:sdtContent>
        <w:p w:rsidR="00933415" w:rsidRPr="00E733CD" w:rsidRDefault="005F49C6" w:rsidP="00E733CD">
          <w:pPr>
            <w:pStyle w:val="Heading1"/>
            <w:keepNext w:val="0"/>
            <w:suppressLineNumbers/>
            <w:tabs>
              <w:tab w:val="clear" w:pos="720"/>
            </w:tabs>
            <w:suppressAutoHyphens/>
            <w:kinsoku w:val="0"/>
            <w:overflowPunct w:val="0"/>
            <w:autoSpaceDE w:val="0"/>
            <w:autoSpaceDN w:val="0"/>
            <w:adjustRightInd w:val="0"/>
            <w:snapToGrid w:val="0"/>
            <w:spacing w:before="120"/>
            <w:rPr>
              <w:rFonts w:cs="Times New Roman"/>
              <w:caps w:val="0"/>
              <w:snapToGrid w:val="0"/>
              <w:kern w:val="22"/>
              <w:szCs w:val="22"/>
            </w:rPr>
          </w:pPr>
          <w:r w:rsidRPr="00E733CD">
            <w:rPr>
              <w:rFonts w:cs="Times New Roman"/>
              <w:snapToGrid w:val="0"/>
              <w:kern w:val="22"/>
              <w:szCs w:val="22"/>
            </w:rPr>
            <w:t>The financial mechanism</w:t>
          </w:r>
          <w:r w:rsidR="0007070D" w:rsidRPr="00E733CD">
            <w:rPr>
              <w:rFonts w:cs="Times New Roman"/>
              <w:snapToGrid w:val="0"/>
              <w:kern w:val="22"/>
              <w:szCs w:val="22"/>
            </w:rPr>
            <w:t xml:space="preserve"> (</w:t>
          </w:r>
          <w:r w:rsidRPr="00E733CD">
            <w:rPr>
              <w:rFonts w:cs="Times New Roman"/>
              <w:snapToGrid w:val="0"/>
              <w:kern w:val="22"/>
              <w:szCs w:val="22"/>
            </w:rPr>
            <w:t xml:space="preserve">Article </w:t>
          </w:r>
          <w:r w:rsidR="0007070D" w:rsidRPr="00E733CD">
            <w:rPr>
              <w:rFonts w:cs="Times New Roman"/>
              <w:snapToGrid w:val="0"/>
              <w:kern w:val="22"/>
              <w:szCs w:val="22"/>
            </w:rPr>
            <w:t>21)</w:t>
          </w:r>
        </w:p>
      </w:sdtContent>
    </w:sdt>
    <w:p w:rsidR="00933415" w:rsidRPr="00E733CD" w:rsidRDefault="00B01312" w:rsidP="00E733CD">
      <w:pPr>
        <w:pStyle w:val="Heading1"/>
        <w:suppressLineNumbers/>
        <w:tabs>
          <w:tab w:val="clear" w:pos="720"/>
        </w:tabs>
        <w:suppressAutoHyphens/>
        <w:kinsoku w:val="0"/>
        <w:overflowPunct w:val="0"/>
        <w:autoSpaceDE w:val="0"/>
        <w:autoSpaceDN w:val="0"/>
        <w:adjustRightInd w:val="0"/>
        <w:snapToGrid w:val="0"/>
        <w:spacing w:before="120"/>
        <w:rPr>
          <w:rFonts w:cs="Times New Roman"/>
          <w:bCs/>
          <w:iCs/>
          <w:caps w:val="0"/>
          <w:snapToGrid w:val="0"/>
          <w:kern w:val="22"/>
          <w:szCs w:val="22"/>
        </w:rPr>
      </w:pPr>
      <w:r w:rsidRPr="00E733CD">
        <w:rPr>
          <w:rFonts w:cs="Times New Roman"/>
          <w:snapToGrid w:val="0"/>
          <w:kern w:val="22"/>
          <w:szCs w:val="22"/>
        </w:rPr>
        <w:t>Introduction</w:t>
      </w:r>
    </w:p>
    <w:p w:rsidR="002C1BF8" w:rsidRPr="00EB4B12" w:rsidRDefault="00736C8F" w:rsidP="00E733CD">
      <w:pPr>
        <w:pStyle w:val="Para1"/>
        <w:numPr>
          <w:ilvl w:val="0"/>
          <w:numId w:val="14"/>
        </w:numPr>
        <w:suppressLineNumbers/>
        <w:tabs>
          <w:tab w:val="num" w:pos="720"/>
        </w:tabs>
        <w:suppressAutoHyphens/>
        <w:kinsoku w:val="0"/>
        <w:overflowPunct w:val="0"/>
        <w:autoSpaceDE w:val="0"/>
        <w:autoSpaceDN w:val="0"/>
        <w:adjustRightInd w:val="0"/>
        <w:snapToGrid w:val="0"/>
        <w:spacing w:before="120"/>
        <w:ind w:left="0" w:firstLine="0"/>
        <w:rPr>
          <w:rFonts w:cs="Times New Roman"/>
          <w:kern w:val="22"/>
          <w:szCs w:val="22"/>
        </w:rPr>
      </w:pPr>
      <w:r w:rsidRPr="00455AB8">
        <w:rPr>
          <w:rFonts w:cs="Times New Roman"/>
          <w:kern w:val="22"/>
          <w:szCs w:val="22"/>
        </w:rPr>
        <w:t xml:space="preserve">There have been </w:t>
      </w:r>
      <w:r w:rsidR="00CD3C39" w:rsidRPr="00685A77">
        <w:rPr>
          <w:rFonts w:cs="Times New Roman"/>
          <w:kern w:val="22"/>
          <w:szCs w:val="22"/>
        </w:rPr>
        <w:t xml:space="preserve">two </w:t>
      </w:r>
      <w:r w:rsidRPr="00EB4B12">
        <w:rPr>
          <w:rFonts w:cs="Times New Roman"/>
          <w:kern w:val="22"/>
          <w:szCs w:val="22"/>
        </w:rPr>
        <w:t xml:space="preserve">major developments regarding the financial mechanism of the Convention since the thirteenth meeting of the Conference of the Parties. </w:t>
      </w:r>
      <w:r w:rsidR="006A3AF8" w:rsidRPr="00EB4B12">
        <w:rPr>
          <w:rFonts w:cs="Times New Roman"/>
          <w:kern w:val="22"/>
          <w:szCs w:val="22"/>
        </w:rPr>
        <w:t xml:space="preserve">First, </w:t>
      </w:r>
      <w:r w:rsidR="00F62773" w:rsidRPr="00EB4B12">
        <w:rPr>
          <w:rFonts w:cs="Times New Roman"/>
          <w:kern w:val="22"/>
          <w:szCs w:val="22"/>
        </w:rPr>
        <w:t>t</w:t>
      </w:r>
      <w:r w:rsidR="006765FC" w:rsidRPr="00EB4B12">
        <w:rPr>
          <w:rFonts w:cs="Times New Roman"/>
          <w:kern w:val="22"/>
          <w:szCs w:val="22"/>
        </w:rPr>
        <w:t xml:space="preserve">he sixth comprehensive </w:t>
      </w:r>
      <w:r w:rsidRPr="00EB4B12">
        <w:rPr>
          <w:rFonts w:cs="Times New Roman"/>
          <w:kern w:val="22"/>
          <w:szCs w:val="22"/>
        </w:rPr>
        <w:t xml:space="preserve">study </w:t>
      </w:r>
      <w:r w:rsidR="006765FC" w:rsidRPr="00E039F4">
        <w:rPr>
          <w:rFonts w:cs="Times New Roman"/>
          <w:kern w:val="22"/>
          <w:szCs w:val="22"/>
        </w:rPr>
        <w:t xml:space="preserve">of the </w:t>
      </w:r>
      <w:r w:rsidR="00D37D98" w:rsidRPr="00E039F4">
        <w:rPr>
          <w:rFonts w:cs="Times New Roman"/>
          <w:kern w:val="22"/>
          <w:szCs w:val="22"/>
        </w:rPr>
        <w:t xml:space="preserve">Global Environment Facility </w:t>
      </w:r>
      <w:r w:rsidR="006765FC" w:rsidRPr="00545E01">
        <w:rPr>
          <w:rFonts w:cs="Times New Roman"/>
          <w:kern w:val="22"/>
          <w:szCs w:val="22"/>
        </w:rPr>
        <w:t>(OPS6)</w:t>
      </w:r>
      <w:r w:rsidR="006A3AF8" w:rsidRPr="00545E01">
        <w:rPr>
          <w:rFonts w:cs="Times New Roman"/>
          <w:kern w:val="22"/>
          <w:szCs w:val="22"/>
        </w:rPr>
        <w:t xml:space="preserve"> </w:t>
      </w:r>
      <w:r w:rsidR="006765FC" w:rsidRPr="00B747CF">
        <w:rPr>
          <w:rFonts w:cs="Times New Roman"/>
          <w:kern w:val="22"/>
          <w:szCs w:val="22"/>
        </w:rPr>
        <w:t>was completed by the GEF Independent Ev</w:t>
      </w:r>
      <w:r w:rsidR="006765FC" w:rsidRPr="00455AB8">
        <w:rPr>
          <w:rFonts w:cs="Times New Roman"/>
          <w:kern w:val="22"/>
          <w:szCs w:val="22"/>
        </w:rPr>
        <w:t>aluation Office in December 2017</w:t>
      </w:r>
      <w:r w:rsidRPr="00455AB8">
        <w:rPr>
          <w:rFonts w:cs="Times New Roman"/>
          <w:kern w:val="22"/>
          <w:szCs w:val="22"/>
        </w:rPr>
        <w:t xml:space="preserve">. Second, the </w:t>
      </w:r>
      <w:r w:rsidR="00052283" w:rsidRPr="00455AB8">
        <w:rPr>
          <w:rFonts w:cs="Times New Roman"/>
          <w:kern w:val="22"/>
          <w:szCs w:val="22"/>
        </w:rPr>
        <w:t>negotiation</w:t>
      </w:r>
      <w:r w:rsidR="00B2122E" w:rsidRPr="00455AB8">
        <w:rPr>
          <w:rFonts w:cs="Times New Roman"/>
          <w:kern w:val="22"/>
          <w:szCs w:val="22"/>
        </w:rPr>
        <w:t xml:space="preserve">s </w:t>
      </w:r>
      <w:r w:rsidR="00497262" w:rsidRPr="00455AB8">
        <w:rPr>
          <w:rFonts w:cs="Times New Roman"/>
          <w:kern w:val="22"/>
          <w:szCs w:val="22"/>
        </w:rPr>
        <w:t>for the</w:t>
      </w:r>
      <w:r w:rsidR="00052283" w:rsidRPr="00455AB8">
        <w:rPr>
          <w:rFonts w:cs="Times New Roman"/>
          <w:kern w:val="22"/>
          <w:szCs w:val="22"/>
        </w:rPr>
        <w:t xml:space="preserve"> </w:t>
      </w:r>
      <w:r w:rsidRPr="00455AB8">
        <w:rPr>
          <w:rFonts w:cs="Times New Roman"/>
          <w:kern w:val="22"/>
          <w:szCs w:val="22"/>
        </w:rPr>
        <w:t xml:space="preserve">seventh replenishment of the Global Environment Facility Trust Fund (GEF-7) </w:t>
      </w:r>
      <w:r w:rsidR="00497262" w:rsidRPr="00455AB8">
        <w:rPr>
          <w:rFonts w:cs="Times New Roman"/>
          <w:kern w:val="22"/>
          <w:szCs w:val="22"/>
        </w:rPr>
        <w:t xml:space="preserve">were </w:t>
      </w:r>
      <w:r w:rsidR="00EA214C" w:rsidRPr="00455AB8">
        <w:rPr>
          <w:rFonts w:cs="Times New Roman"/>
          <w:kern w:val="22"/>
          <w:szCs w:val="22"/>
        </w:rPr>
        <w:t>concluded in</w:t>
      </w:r>
      <w:r w:rsidRPr="00455AB8">
        <w:rPr>
          <w:rFonts w:cs="Times New Roman"/>
          <w:kern w:val="22"/>
          <w:szCs w:val="22"/>
        </w:rPr>
        <w:t xml:space="preserve"> April 2018</w:t>
      </w:r>
      <w:r w:rsidR="00B2122E" w:rsidRPr="00455AB8">
        <w:rPr>
          <w:rFonts w:cs="Times New Roman"/>
          <w:kern w:val="22"/>
          <w:szCs w:val="22"/>
        </w:rPr>
        <w:t>, with pledges of US$</w:t>
      </w:r>
      <w:r w:rsidR="009F18D6">
        <w:rPr>
          <w:rFonts w:cs="Times New Roman"/>
          <w:kern w:val="22"/>
          <w:szCs w:val="22"/>
        </w:rPr>
        <w:t> </w:t>
      </w:r>
      <w:r w:rsidR="00B2122E" w:rsidRPr="00455AB8">
        <w:rPr>
          <w:rFonts w:cs="Times New Roman"/>
          <w:kern w:val="22"/>
          <w:szCs w:val="22"/>
        </w:rPr>
        <w:t xml:space="preserve">4.1 billion announced. </w:t>
      </w:r>
      <w:r w:rsidRPr="00455AB8">
        <w:rPr>
          <w:rFonts w:cs="Times New Roman"/>
          <w:kern w:val="22"/>
          <w:szCs w:val="22"/>
        </w:rPr>
        <w:t>The replenishment package includes GEF-7 policy recommendations, GEF-7 programming directions, as well as the GEF-7 resource allocation and targets</w:t>
      </w:r>
      <w:r w:rsidR="00140BB8" w:rsidRPr="00455AB8">
        <w:rPr>
          <w:rFonts w:cs="Times New Roman"/>
          <w:kern w:val="22"/>
          <w:szCs w:val="22"/>
        </w:rPr>
        <w:t xml:space="preserve">, with explicit consideration of </w:t>
      </w:r>
      <w:r w:rsidR="00F62773" w:rsidRPr="00455AB8">
        <w:rPr>
          <w:rFonts w:eastAsia="Malgun Gothic" w:cs="Times New Roman"/>
          <w:kern w:val="22"/>
          <w:szCs w:val="22"/>
        </w:rPr>
        <w:t xml:space="preserve">the guidance </w:t>
      </w:r>
      <w:r w:rsidR="00140BB8" w:rsidRPr="00455AB8">
        <w:rPr>
          <w:rFonts w:eastAsia="Malgun Gothic" w:cs="Times New Roman"/>
          <w:kern w:val="22"/>
          <w:szCs w:val="22"/>
        </w:rPr>
        <w:t xml:space="preserve">provided </w:t>
      </w:r>
      <w:r w:rsidR="00F62773" w:rsidRPr="00455AB8">
        <w:rPr>
          <w:rFonts w:eastAsia="Malgun Gothic" w:cs="Times New Roman"/>
          <w:kern w:val="22"/>
          <w:szCs w:val="22"/>
        </w:rPr>
        <w:t xml:space="preserve">by the Conference of the Parties </w:t>
      </w:r>
      <w:r w:rsidR="00140BB8" w:rsidRPr="00455AB8">
        <w:rPr>
          <w:rFonts w:eastAsia="Malgun Gothic" w:cs="Times New Roman"/>
          <w:kern w:val="22"/>
          <w:szCs w:val="22"/>
        </w:rPr>
        <w:t xml:space="preserve">in </w:t>
      </w:r>
      <w:r w:rsidR="006765FC" w:rsidRPr="00455AB8">
        <w:rPr>
          <w:rFonts w:eastAsia="Malgun Gothic" w:cs="Times New Roman"/>
          <w:kern w:val="22"/>
          <w:szCs w:val="22"/>
        </w:rPr>
        <w:t xml:space="preserve">decision </w:t>
      </w:r>
      <w:hyperlink r:id="rId11" w:history="1">
        <w:r w:rsidR="006765FC" w:rsidRPr="00685A77">
          <w:rPr>
            <w:rStyle w:val="Hyperlink"/>
            <w:rFonts w:eastAsia="Malgun Gothic" w:cs="Times New Roman"/>
            <w:kern w:val="22"/>
            <w:szCs w:val="22"/>
          </w:rPr>
          <w:t>XIII/21</w:t>
        </w:r>
      </w:hyperlink>
      <w:r w:rsidR="00140BB8" w:rsidRPr="00455AB8">
        <w:rPr>
          <w:rFonts w:eastAsia="Malgun Gothic" w:cs="Times New Roman"/>
          <w:kern w:val="22"/>
          <w:szCs w:val="22"/>
        </w:rPr>
        <w:t xml:space="preserve">, as well as </w:t>
      </w:r>
      <w:r w:rsidR="002C1BF8" w:rsidRPr="00685A77">
        <w:rPr>
          <w:rFonts w:cs="Times New Roman"/>
          <w:kern w:val="22"/>
          <w:szCs w:val="22"/>
        </w:rPr>
        <w:t>the report on a full assessment of the amount of funds needed for the implementation of the Convention and its Protocols for the seventh replenishment period of the Global Environment Facility.</w:t>
      </w:r>
    </w:p>
    <w:p w:rsidR="0047695A" w:rsidRPr="00455AB8" w:rsidRDefault="00AF7475" w:rsidP="00E733CD">
      <w:pPr>
        <w:pStyle w:val="Para1"/>
        <w:numPr>
          <w:ilvl w:val="0"/>
          <w:numId w:val="14"/>
        </w:numPr>
        <w:suppressLineNumbers/>
        <w:tabs>
          <w:tab w:val="num" w:pos="720"/>
        </w:tabs>
        <w:suppressAutoHyphens/>
        <w:kinsoku w:val="0"/>
        <w:overflowPunct w:val="0"/>
        <w:autoSpaceDE w:val="0"/>
        <w:autoSpaceDN w:val="0"/>
        <w:adjustRightInd w:val="0"/>
        <w:snapToGrid w:val="0"/>
        <w:ind w:left="0" w:firstLine="0"/>
        <w:rPr>
          <w:rFonts w:cs="Times New Roman"/>
          <w:kern w:val="22"/>
          <w:szCs w:val="22"/>
        </w:rPr>
      </w:pPr>
      <w:r w:rsidRPr="00EB4B12">
        <w:rPr>
          <w:rFonts w:eastAsia="Malgun Gothic" w:cs="Times New Roman"/>
          <w:kern w:val="22"/>
          <w:szCs w:val="22"/>
        </w:rPr>
        <w:t xml:space="preserve">The present </w:t>
      </w:r>
      <w:r w:rsidR="00FC6E94" w:rsidRPr="00EB4B12">
        <w:rPr>
          <w:rFonts w:eastAsia="Malgun Gothic" w:cs="Times New Roman"/>
          <w:kern w:val="22"/>
          <w:szCs w:val="22"/>
        </w:rPr>
        <w:t>d</w:t>
      </w:r>
      <w:r w:rsidR="00FC6E94" w:rsidRPr="00E039F4">
        <w:rPr>
          <w:rFonts w:eastAsia="Malgun Gothic" w:cs="Times New Roman"/>
          <w:kern w:val="22"/>
          <w:szCs w:val="22"/>
        </w:rPr>
        <w:t xml:space="preserve">ocument </w:t>
      </w:r>
      <w:r w:rsidRPr="00E039F4">
        <w:rPr>
          <w:rFonts w:eastAsia="Malgun Gothic" w:cs="Times New Roman"/>
          <w:kern w:val="22"/>
          <w:szCs w:val="22"/>
        </w:rPr>
        <w:t xml:space="preserve">has been </w:t>
      </w:r>
      <w:r w:rsidRPr="00E733CD">
        <w:rPr>
          <w:rFonts w:cs="Times New Roman"/>
          <w:kern w:val="22"/>
          <w:szCs w:val="22"/>
        </w:rPr>
        <w:t>prepared</w:t>
      </w:r>
      <w:r w:rsidRPr="00455AB8">
        <w:rPr>
          <w:rFonts w:eastAsia="Malgun Gothic" w:cs="Times New Roman"/>
          <w:kern w:val="22"/>
          <w:szCs w:val="22"/>
        </w:rPr>
        <w:t xml:space="preserve"> to provide an update on implementation of decision XIII/21</w:t>
      </w:r>
      <w:r w:rsidR="002B0078" w:rsidRPr="00455AB8">
        <w:rPr>
          <w:rFonts w:eastAsia="Malgun Gothic" w:cs="Times New Roman"/>
          <w:kern w:val="22"/>
          <w:szCs w:val="22"/>
        </w:rPr>
        <w:t>, following the structural elements of the</w:t>
      </w:r>
      <w:r w:rsidR="005A2149" w:rsidRPr="00455AB8">
        <w:rPr>
          <w:rFonts w:eastAsia="Malgun Gothic" w:cs="Times New Roman"/>
          <w:kern w:val="22"/>
          <w:szCs w:val="22"/>
        </w:rPr>
        <w:t xml:space="preserve"> Memorandum of </w:t>
      </w:r>
      <w:r w:rsidR="00823EAA" w:rsidRPr="00455AB8">
        <w:rPr>
          <w:rFonts w:eastAsia="Malgun Gothic" w:cs="Times New Roman"/>
          <w:kern w:val="22"/>
          <w:szCs w:val="22"/>
        </w:rPr>
        <w:t>U</w:t>
      </w:r>
      <w:r w:rsidR="005A2149" w:rsidRPr="00455AB8">
        <w:rPr>
          <w:rFonts w:eastAsia="Malgun Gothic" w:cs="Times New Roman"/>
          <w:kern w:val="22"/>
          <w:szCs w:val="22"/>
        </w:rPr>
        <w:t>nderstanding between the Conference of the Parties to the Convention on Biological Diversity and the Council of the Global Environment Facility</w:t>
      </w:r>
      <w:r w:rsidRPr="00455AB8">
        <w:rPr>
          <w:rFonts w:eastAsia="Malgun Gothic" w:cs="Times New Roman"/>
          <w:kern w:val="22"/>
          <w:szCs w:val="22"/>
        </w:rPr>
        <w:t xml:space="preserve"> </w:t>
      </w:r>
      <w:r w:rsidR="005A2149" w:rsidRPr="00455AB8">
        <w:rPr>
          <w:rFonts w:eastAsia="Malgun Gothic" w:cs="Times New Roman"/>
          <w:kern w:val="22"/>
          <w:szCs w:val="22"/>
        </w:rPr>
        <w:t xml:space="preserve">agreed to in decision </w:t>
      </w:r>
      <w:hyperlink r:id="rId12" w:history="1">
        <w:r w:rsidR="005A2149" w:rsidRPr="00685A77">
          <w:rPr>
            <w:rStyle w:val="Hyperlink"/>
            <w:rFonts w:eastAsia="Malgun Gothic" w:cs="Times New Roman"/>
            <w:kern w:val="22"/>
            <w:szCs w:val="22"/>
          </w:rPr>
          <w:t>III/8</w:t>
        </w:r>
      </w:hyperlink>
      <w:r w:rsidR="005A2149" w:rsidRPr="00455AB8">
        <w:rPr>
          <w:rFonts w:eastAsia="Malgun Gothic" w:cs="Times New Roman"/>
          <w:kern w:val="22"/>
          <w:szCs w:val="22"/>
        </w:rPr>
        <w:t xml:space="preserve">. The </w:t>
      </w:r>
      <w:r w:rsidR="001E41D1" w:rsidRPr="00685A77">
        <w:rPr>
          <w:rFonts w:eastAsia="Malgun Gothic" w:cs="Times New Roman"/>
          <w:kern w:val="22"/>
          <w:szCs w:val="22"/>
        </w:rPr>
        <w:t xml:space="preserve">following </w:t>
      </w:r>
      <w:r w:rsidR="005A2149" w:rsidRPr="00EB4B12">
        <w:rPr>
          <w:rFonts w:eastAsia="Malgun Gothic" w:cs="Times New Roman"/>
          <w:kern w:val="22"/>
          <w:szCs w:val="22"/>
        </w:rPr>
        <w:t>four sections focus on: (</w:t>
      </w:r>
      <w:r w:rsidR="00823EAA" w:rsidRPr="00EB4B12">
        <w:rPr>
          <w:rFonts w:eastAsia="Malgun Gothic" w:cs="Times New Roman"/>
          <w:kern w:val="22"/>
          <w:szCs w:val="22"/>
        </w:rPr>
        <w:t>a</w:t>
      </w:r>
      <w:r w:rsidR="005A2149" w:rsidRPr="00EB4B12">
        <w:rPr>
          <w:rFonts w:eastAsia="Malgun Gothic" w:cs="Times New Roman"/>
          <w:kern w:val="22"/>
          <w:szCs w:val="22"/>
        </w:rPr>
        <w:t xml:space="preserve">) </w:t>
      </w:r>
      <w:r w:rsidR="005A2149" w:rsidRPr="00E733CD">
        <w:rPr>
          <w:rFonts w:cs="Times New Roman"/>
          <w:kern w:val="22"/>
          <w:szCs w:val="22"/>
        </w:rPr>
        <w:t>guidance</w:t>
      </w:r>
      <w:r w:rsidR="005A2149" w:rsidRPr="00455AB8">
        <w:rPr>
          <w:rFonts w:eastAsia="Malgun Gothic" w:cs="Times New Roman"/>
          <w:kern w:val="22"/>
          <w:szCs w:val="22"/>
        </w:rPr>
        <w:t xml:space="preserve"> from the Conference of the Parties; (</w:t>
      </w:r>
      <w:r w:rsidR="00823EAA" w:rsidRPr="00455AB8">
        <w:rPr>
          <w:rFonts w:eastAsia="Malgun Gothic" w:cs="Times New Roman"/>
          <w:kern w:val="22"/>
          <w:szCs w:val="22"/>
        </w:rPr>
        <w:t>b</w:t>
      </w:r>
      <w:r w:rsidR="005A2149" w:rsidRPr="00455AB8">
        <w:rPr>
          <w:rFonts w:eastAsia="Malgun Gothic" w:cs="Times New Roman"/>
          <w:kern w:val="22"/>
          <w:szCs w:val="22"/>
        </w:rPr>
        <w:t>) reporting; (</w:t>
      </w:r>
      <w:r w:rsidR="00823EAA" w:rsidRPr="00455AB8">
        <w:rPr>
          <w:rFonts w:eastAsia="Malgun Gothic" w:cs="Times New Roman"/>
          <w:kern w:val="22"/>
          <w:szCs w:val="22"/>
        </w:rPr>
        <w:t>c</w:t>
      </w:r>
      <w:r w:rsidR="005A2149" w:rsidRPr="00455AB8">
        <w:rPr>
          <w:rFonts w:eastAsia="Malgun Gothic" w:cs="Times New Roman"/>
          <w:kern w:val="22"/>
          <w:szCs w:val="22"/>
        </w:rPr>
        <w:t>) monitoring and evaluation; and (</w:t>
      </w:r>
      <w:r w:rsidR="00823EAA" w:rsidRPr="00455AB8">
        <w:rPr>
          <w:rFonts w:eastAsia="Malgun Gothic" w:cs="Times New Roman"/>
          <w:kern w:val="22"/>
          <w:szCs w:val="22"/>
        </w:rPr>
        <w:t>d</w:t>
      </w:r>
      <w:r w:rsidR="005A2149" w:rsidRPr="00455AB8">
        <w:rPr>
          <w:rFonts w:eastAsia="Malgun Gothic" w:cs="Times New Roman"/>
          <w:kern w:val="22"/>
          <w:szCs w:val="22"/>
        </w:rPr>
        <w:t>) determination of funding requirements.</w:t>
      </w:r>
    </w:p>
    <w:p w:rsidR="00D612B8" w:rsidRPr="00B962D9" w:rsidRDefault="005D10C4" w:rsidP="00E733CD">
      <w:pPr>
        <w:pStyle w:val="Para1"/>
        <w:numPr>
          <w:ilvl w:val="0"/>
          <w:numId w:val="14"/>
        </w:numPr>
        <w:suppressLineNumbers/>
        <w:tabs>
          <w:tab w:val="num" w:pos="720"/>
        </w:tabs>
        <w:suppressAutoHyphens/>
        <w:kinsoku w:val="0"/>
        <w:overflowPunct w:val="0"/>
        <w:autoSpaceDE w:val="0"/>
        <w:autoSpaceDN w:val="0"/>
        <w:adjustRightInd w:val="0"/>
        <w:snapToGrid w:val="0"/>
        <w:ind w:left="0" w:firstLine="0"/>
        <w:rPr>
          <w:rFonts w:eastAsia="Malgun Gothic" w:cs="Times New Roman"/>
          <w:kern w:val="22"/>
          <w:szCs w:val="22"/>
        </w:rPr>
      </w:pPr>
      <w:r w:rsidRPr="00B962D9">
        <w:rPr>
          <w:rFonts w:eastAsia="Malgun Gothic" w:cs="Times New Roman"/>
          <w:kern w:val="22"/>
          <w:szCs w:val="22"/>
        </w:rPr>
        <w:t>In addition, as the Strategic Plan for Biodiversity 2011-2020</w:t>
      </w:r>
      <w:r w:rsidR="00052283" w:rsidRPr="00B962D9">
        <w:rPr>
          <w:rFonts w:eastAsia="Malgun Gothic" w:cs="Times New Roman"/>
          <w:kern w:val="22"/>
          <w:szCs w:val="22"/>
        </w:rPr>
        <w:t xml:space="preserve"> is approaching its conclusion</w:t>
      </w:r>
      <w:r w:rsidRPr="00B962D9">
        <w:rPr>
          <w:rFonts w:eastAsia="Malgun Gothic" w:cs="Times New Roman"/>
          <w:kern w:val="22"/>
          <w:szCs w:val="22"/>
        </w:rPr>
        <w:t xml:space="preserve">, it will be important to consider the role of the financial mechanism in the post-2020 period. A </w:t>
      </w:r>
      <w:r w:rsidR="00D612B8" w:rsidRPr="00B962D9">
        <w:rPr>
          <w:rFonts w:eastAsia="Malgun Gothic" w:cs="Times New Roman"/>
          <w:kern w:val="22"/>
          <w:szCs w:val="22"/>
        </w:rPr>
        <w:t xml:space="preserve">process for the follow-up to the Strategic Plan for Biodiversity 2011-2020 </w:t>
      </w:r>
      <w:r w:rsidRPr="00B962D9">
        <w:rPr>
          <w:rFonts w:eastAsia="Malgun Gothic" w:cs="Times New Roman"/>
          <w:kern w:val="22"/>
          <w:szCs w:val="22"/>
        </w:rPr>
        <w:t xml:space="preserve">will be </w:t>
      </w:r>
      <w:r w:rsidR="004B0511" w:rsidRPr="00B962D9">
        <w:rPr>
          <w:rFonts w:eastAsia="Malgun Gothic" w:cs="Times New Roman"/>
          <w:kern w:val="22"/>
          <w:szCs w:val="22"/>
        </w:rPr>
        <w:t xml:space="preserve">considered by </w:t>
      </w:r>
      <w:r w:rsidR="00823EAA" w:rsidRPr="00B962D9">
        <w:rPr>
          <w:rFonts w:eastAsia="Malgun Gothic" w:cs="Times New Roman"/>
          <w:kern w:val="22"/>
          <w:szCs w:val="22"/>
        </w:rPr>
        <w:t xml:space="preserve">the Subsidiary Body on Implementation </w:t>
      </w:r>
      <w:r w:rsidRPr="00B962D9">
        <w:rPr>
          <w:rFonts w:eastAsia="Malgun Gothic" w:cs="Times New Roman"/>
          <w:kern w:val="22"/>
          <w:szCs w:val="22"/>
        </w:rPr>
        <w:t xml:space="preserve">under </w:t>
      </w:r>
      <w:r w:rsidR="00823EAA" w:rsidRPr="00B962D9">
        <w:rPr>
          <w:rFonts w:eastAsia="Malgun Gothic" w:cs="Times New Roman"/>
          <w:kern w:val="22"/>
          <w:szCs w:val="22"/>
        </w:rPr>
        <w:t>a</w:t>
      </w:r>
      <w:r w:rsidRPr="00B962D9">
        <w:rPr>
          <w:rFonts w:eastAsia="Malgun Gothic" w:cs="Times New Roman"/>
          <w:kern w:val="22"/>
          <w:szCs w:val="22"/>
        </w:rPr>
        <w:t>genda item</w:t>
      </w:r>
      <w:r w:rsidR="00140BB8" w:rsidRPr="00B962D9">
        <w:rPr>
          <w:rFonts w:eastAsia="Malgun Gothic" w:cs="Times New Roman"/>
          <w:kern w:val="22"/>
          <w:szCs w:val="22"/>
        </w:rPr>
        <w:t xml:space="preserve"> 3</w:t>
      </w:r>
      <w:r w:rsidRPr="00B962D9">
        <w:rPr>
          <w:rFonts w:eastAsia="Malgun Gothic" w:cs="Times New Roman"/>
          <w:kern w:val="22"/>
          <w:szCs w:val="22"/>
        </w:rPr>
        <w:t xml:space="preserve">. </w:t>
      </w:r>
      <w:r w:rsidR="00D612B8" w:rsidRPr="00B962D9">
        <w:rPr>
          <w:rFonts w:eastAsia="Malgun Gothic" w:cs="Times New Roman"/>
          <w:kern w:val="22"/>
          <w:szCs w:val="22"/>
        </w:rPr>
        <w:t xml:space="preserve">Section V of the present </w:t>
      </w:r>
      <w:r w:rsidR="00FC6E94" w:rsidRPr="00B962D9">
        <w:rPr>
          <w:rFonts w:eastAsia="Malgun Gothic" w:cs="Times New Roman"/>
          <w:kern w:val="22"/>
          <w:szCs w:val="22"/>
        </w:rPr>
        <w:t xml:space="preserve">document </w:t>
      </w:r>
      <w:r w:rsidR="00693172" w:rsidRPr="00B962D9">
        <w:rPr>
          <w:rFonts w:eastAsia="Malgun Gothic" w:cs="Times New Roman"/>
          <w:kern w:val="22"/>
          <w:szCs w:val="22"/>
        </w:rPr>
        <w:t xml:space="preserve">discusses issues that could be explored in </w:t>
      </w:r>
      <w:r w:rsidRPr="00B962D9">
        <w:rPr>
          <w:rFonts w:eastAsia="Malgun Gothic" w:cs="Times New Roman"/>
          <w:kern w:val="22"/>
          <w:szCs w:val="22"/>
        </w:rPr>
        <w:t>this context.</w:t>
      </w:r>
    </w:p>
    <w:p w:rsidR="00693172" w:rsidRPr="00455AB8" w:rsidRDefault="00693172" w:rsidP="00E733CD">
      <w:pPr>
        <w:pStyle w:val="Para1"/>
        <w:numPr>
          <w:ilvl w:val="0"/>
          <w:numId w:val="14"/>
        </w:numPr>
        <w:suppressLineNumbers/>
        <w:tabs>
          <w:tab w:val="num" w:pos="720"/>
        </w:tabs>
        <w:suppressAutoHyphens/>
        <w:kinsoku w:val="0"/>
        <w:overflowPunct w:val="0"/>
        <w:autoSpaceDE w:val="0"/>
        <w:autoSpaceDN w:val="0"/>
        <w:adjustRightInd w:val="0"/>
        <w:snapToGrid w:val="0"/>
        <w:ind w:left="0" w:firstLine="0"/>
        <w:rPr>
          <w:rFonts w:eastAsia="Malgun Gothic" w:cs="Times New Roman"/>
          <w:kern w:val="22"/>
          <w:szCs w:val="22"/>
        </w:rPr>
      </w:pPr>
      <w:r w:rsidRPr="00B747CF">
        <w:rPr>
          <w:rFonts w:eastAsia="Malgun Gothic" w:cs="Times New Roman"/>
          <w:kern w:val="22"/>
          <w:szCs w:val="22"/>
        </w:rPr>
        <w:t xml:space="preserve">The final section </w:t>
      </w:r>
      <w:r w:rsidR="00D612B8" w:rsidRPr="00455AB8">
        <w:rPr>
          <w:rFonts w:eastAsia="Malgun Gothic" w:cs="Times New Roman"/>
          <w:kern w:val="22"/>
          <w:szCs w:val="22"/>
        </w:rPr>
        <w:t xml:space="preserve">of the present </w:t>
      </w:r>
      <w:r w:rsidR="00FC6E94" w:rsidRPr="00455AB8">
        <w:rPr>
          <w:rFonts w:eastAsia="Malgun Gothic" w:cs="Times New Roman"/>
          <w:kern w:val="22"/>
          <w:szCs w:val="22"/>
        </w:rPr>
        <w:t xml:space="preserve">document </w:t>
      </w:r>
      <w:r w:rsidR="003C1770">
        <w:rPr>
          <w:rFonts w:eastAsia="Malgun Gothic" w:cs="Times New Roman"/>
          <w:kern w:val="22"/>
          <w:szCs w:val="22"/>
        </w:rPr>
        <w:t>contains</w:t>
      </w:r>
      <w:r w:rsidR="003C1770" w:rsidRPr="00455AB8">
        <w:rPr>
          <w:rFonts w:eastAsia="Malgun Gothic" w:cs="Times New Roman"/>
          <w:kern w:val="22"/>
          <w:szCs w:val="22"/>
        </w:rPr>
        <w:t xml:space="preserve"> </w:t>
      </w:r>
      <w:r w:rsidRPr="00455AB8">
        <w:rPr>
          <w:rFonts w:eastAsia="Malgun Gothic" w:cs="Times New Roman"/>
          <w:kern w:val="22"/>
          <w:szCs w:val="22"/>
        </w:rPr>
        <w:t>a set of recommendations for consideration by the Subsidiary Body on Implementation.</w:t>
      </w:r>
    </w:p>
    <w:p w:rsidR="00933415" w:rsidRPr="00E733CD" w:rsidRDefault="006E2E54" w:rsidP="00E733CD">
      <w:pPr>
        <w:pStyle w:val="Heading1"/>
        <w:suppressLineNumbers/>
        <w:tabs>
          <w:tab w:val="clear" w:pos="720"/>
          <w:tab w:val="left" w:pos="360"/>
        </w:tabs>
        <w:suppressAutoHyphens/>
        <w:kinsoku w:val="0"/>
        <w:overflowPunct w:val="0"/>
        <w:autoSpaceDE w:val="0"/>
        <w:autoSpaceDN w:val="0"/>
        <w:adjustRightInd w:val="0"/>
        <w:snapToGrid w:val="0"/>
        <w:spacing w:before="120"/>
        <w:rPr>
          <w:rFonts w:cs="Times New Roman"/>
          <w:snapToGrid w:val="0"/>
          <w:kern w:val="22"/>
          <w:szCs w:val="22"/>
        </w:rPr>
      </w:pPr>
      <w:r w:rsidRPr="00E733CD">
        <w:rPr>
          <w:rFonts w:cs="Times New Roman"/>
          <w:snapToGrid w:val="0"/>
          <w:kern w:val="22"/>
          <w:szCs w:val="22"/>
        </w:rPr>
        <w:t>I</w:t>
      </w:r>
      <w:r w:rsidR="0081660B" w:rsidRPr="00E733CD">
        <w:rPr>
          <w:rFonts w:cs="Times New Roman"/>
          <w:snapToGrid w:val="0"/>
          <w:kern w:val="22"/>
          <w:szCs w:val="22"/>
        </w:rPr>
        <w:t>.</w:t>
      </w:r>
      <w:r w:rsidR="0081660B" w:rsidRPr="00E733CD">
        <w:rPr>
          <w:rFonts w:cs="Times New Roman"/>
          <w:snapToGrid w:val="0"/>
          <w:kern w:val="22"/>
          <w:szCs w:val="22"/>
        </w:rPr>
        <w:tab/>
      </w:r>
      <w:r w:rsidR="0000799F" w:rsidRPr="00E733CD">
        <w:rPr>
          <w:rFonts w:cs="Times New Roman"/>
          <w:snapToGrid w:val="0"/>
          <w:kern w:val="22"/>
          <w:szCs w:val="22"/>
        </w:rPr>
        <w:t>Guidance from the Conference of the Parties</w:t>
      </w:r>
    </w:p>
    <w:p w:rsidR="00273A99" w:rsidRPr="00455AB8" w:rsidRDefault="00724468" w:rsidP="00E733CD">
      <w:pPr>
        <w:pStyle w:val="Para1"/>
        <w:numPr>
          <w:ilvl w:val="0"/>
          <w:numId w:val="14"/>
        </w:numPr>
        <w:suppressLineNumbers/>
        <w:suppressAutoHyphens/>
        <w:kinsoku w:val="0"/>
        <w:overflowPunct w:val="0"/>
        <w:autoSpaceDE w:val="0"/>
        <w:autoSpaceDN w:val="0"/>
        <w:adjustRightInd w:val="0"/>
        <w:snapToGrid w:val="0"/>
        <w:spacing w:before="120"/>
        <w:ind w:left="0" w:firstLine="0"/>
        <w:rPr>
          <w:rFonts w:cs="Times New Roman"/>
          <w:kern w:val="22"/>
          <w:szCs w:val="22"/>
        </w:rPr>
      </w:pPr>
      <w:r w:rsidRPr="00455AB8">
        <w:rPr>
          <w:rFonts w:eastAsia="Malgun Gothic" w:cs="Times New Roman"/>
          <w:kern w:val="22"/>
          <w:szCs w:val="22"/>
        </w:rPr>
        <w:t xml:space="preserve">Further to </w:t>
      </w:r>
      <w:r w:rsidR="00BE4F4A" w:rsidRPr="00685A77">
        <w:rPr>
          <w:rFonts w:eastAsia="Malgun Gothic" w:cs="Times New Roman"/>
          <w:kern w:val="22"/>
          <w:szCs w:val="22"/>
        </w:rPr>
        <w:t xml:space="preserve">Article 21, paragraph 1, </w:t>
      </w:r>
      <w:r w:rsidRPr="00EB4B12">
        <w:rPr>
          <w:rFonts w:eastAsia="Malgun Gothic" w:cs="Times New Roman"/>
          <w:kern w:val="22"/>
          <w:szCs w:val="22"/>
        </w:rPr>
        <w:t>as well as the Memorandum of Understanding adopted by the Conference of the Parties in d</w:t>
      </w:r>
      <w:r w:rsidR="008F31E2" w:rsidRPr="00E039F4">
        <w:rPr>
          <w:rFonts w:eastAsia="Malgun Gothic" w:cs="Times New Roman"/>
          <w:kern w:val="22"/>
          <w:szCs w:val="22"/>
        </w:rPr>
        <w:t>ecision III/8</w:t>
      </w:r>
      <w:r w:rsidRPr="00545E01">
        <w:rPr>
          <w:rFonts w:eastAsia="Malgun Gothic" w:cs="Times New Roman"/>
          <w:kern w:val="22"/>
          <w:szCs w:val="22"/>
        </w:rPr>
        <w:t xml:space="preserve">, </w:t>
      </w:r>
      <w:bookmarkStart w:id="1" w:name="_Ref513550450"/>
      <w:r w:rsidRPr="00545E01">
        <w:rPr>
          <w:rFonts w:eastAsia="Malgun Gothic" w:cs="Times New Roman"/>
          <w:kern w:val="22"/>
          <w:szCs w:val="22"/>
        </w:rPr>
        <w:t>t</w:t>
      </w:r>
      <w:r w:rsidR="00D724DE" w:rsidRPr="00455AB8">
        <w:rPr>
          <w:rFonts w:eastAsia="Malgun Gothic" w:cs="Times New Roman"/>
          <w:kern w:val="22"/>
          <w:szCs w:val="22"/>
        </w:rPr>
        <w:t xml:space="preserve">he Conference of the Parties </w:t>
      </w:r>
      <w:r w:rsidRPr="00455AB8">
        <w:rPr>
          <w:rFonts w:eastAsia="Malgun Gothic" w:cs="Times New Roman"/>
          <w:kern w:val="22"/>
          <w:szCs w:val="22"/>
        </w:rPr>
        <w:t>at its tenth meeting</w:t>
      </w:r>
      <w:r w:rsidR="00D724DE" w:rsidRPr="00455AB8">
        <w:rPr>
          <w:rFonts w:eastAsia="Malgun Gothic" w:cs="Times New Roman"/>
          <w:kern w:val="22"/>
          <w:szCs w:val="22"/>
        </w:rPr>
        <w:t xml:space="preserve"> </w:t>
      </w:r>
      <w:r w:rsidR="00623866" w:rsidRPr="00455AB8">
        <w:rPr>
          <w:rFonts w:eastAsia="Malgun Gothic" w:cs="Times New Roman"/>
          <w:kern w:val="22"/>
          <w:szCs w:val="22"/>
        </w:rPr>
        <w:t>decided that guidance to the financial mechanism, for a specific replenishment period, consists of a consolidated list of programme priorities that defines what to be financed, and an outcome oriented framework</w:t>
      </w:r>
      <w:r w:rsidR="006D7697" w:rsidRPr="00455AB8">
        <w:rPr>
          <w:rFonts w:cs="Times New Roman"/>
          <w:kern w:val="22"/>
          <w:szCs w:val="22"/>
        </w:rPr>
        <w:t>, taking into account the Strategic Plan for Biodiversity 2011-2020, including its Aichi Biodiversity Targets and associated indicators</w:t>
      </w:r>
      <w:r w:rsidRPr="00455AB8">
        <w:rPr>
          <w:rFonts w:eastAsia="Malgun Gothic" w:cs="Times New Roman"/>
          <w:kern w:val="22"/>
          <w:szCs w:val="22"/>
        </w:rPr>
        <w:t xml:space="preserve"> (decision X/24, para</w:t>
      </w:r>
      <w:r w:rsidR="00823EAA" w:rsidRPr="00455AB8">
        <w:rPr>
          <w:rFonts w:eastAsia="Malgun Gothic" w:cs="Times New Roman"/>
          <w:kern w:val="22"/>
          <w:szCs w:val="22"/>
        </w:rPr>
        <w:t>.</w:t>
      </w:r>
      <w:r w:rsidRPr="00455AB8">
        <w:rPr>
          <w:rFonts w:eastAsia="Malgun Gothic" w:cs="Times New Roman"/>
          <w:kern w:val="22"/>
          <w:szCs w:val="22"/>
        </w:rPr>
        <w:t xml:space="preserve"> 4)</w:t>
      </w:r>
      <w:r w:rsidR="006D7697" w:rsidRPr="00455AB8">
        <w:rPr>
          <w:rFonts w:cs="Times New Roman"/>
          <w:kern w:val="22"/>
          <w:szCs w:val="22"/>
        </w:rPr>
        <w:t>.</w:t>
      </w:r>
      <w:r w:rsidR="00273A99" w:rsidRPr="00455AB8">
        <w:rPr>
          <w:rFonts w:cs="Times New Roman"/>
          <w:kern w:val="22"/>
          <w:szCs w:val="22"/>
        </w:rPr>
        <w:t xml:space="preserve"> </w:t>
      </w:r>
      <w:r w:rsidR="0000799F" w:rsidRPr="00455AB8">
        <w:rPr>
          <w:rFonts w:cs="Times New Roman"/>
          <w:kern w:val="22"/>
          <w:szCs w:val="22"/>
        </w:rPr>
        <w:t xml:space="preserve">Further to this decision, </w:t>
      </w:r>
      <w:r w:rsidR="00AF1916" w:rsidRPr="00455AB8">
        <w:rPr>
          <w:rFonts w:cs="Times New Roman"/>
          <w:kern w:val="22"/>
          <w:szCs w:val="22"/>
        </w:rPr>
        <w:t xml:space="preserve">consolidated guidance, including </w:t>
      </w:r>
      <w:r w:rsidR="0000799F" w:rsidRPr="00455AB8">
        <w:rPr>
          <w:rFonts w:cs="Times New Roman"/>
          <w:kern w:val="22"/>
          <w:szCs w:val="22"/>
        </w:rPr>
        <w:lastRenderedPageBreak/>
        <w:t xml:space="preserve">the four-year framework of programme priorities (2018-2022) for the seventh replenishment of the Global Environment Facility Trust Fund </w:t>
      </w:r>
      <w:r w:rsidR="00AF1916" w:rsidRPr="00455AB8">
        <w:rPr>
          <w:rFonts w:cs="Times New Roman"/>
          <w:kern w:val="22"/>
          <w:szCs w:val="22"/>
        </w:rPr>
        <w:t>was adopted by the Conference of the Parties at its thirteenth meeting i</w:t>
      </w:r>
      <w:r w:rsidR="00273A99" w:rsidRPr="00455AB8">
        <w:rPr>
          <w:rFonts w:cs="Times New Roman"/>
          <w:kern w:val="22"/>
          <w:szCs w:val="22"/>
        </w:rPr>
        <w:t>n decision XIII/21</w:t>
      </w:r>
      <w:r w:rsidR="0000799F" w:rsidRPr="00455AB8">
        <w:rPr>
          <w:rFonts w:cs="Times New Roman"/>
          <w:kern w:val="22"/>
          <w:szCs w:val="22"/>
        </w:rPr>
        <w:t xml:space="preserve">. In the same decision, </w:t>
      </w:r>
      <w:r w:rsidR="00273A99" w:rsidRPr="00455AB8">
        <w:rPr>
          <w:rFonts w:cs="Times New Roman"/>
          <w:kern w:val="22"/>
          <w:szCs w:val="22"/>
        </w:rPr>
        <w:t>the Conference of the Parties introduced the consideration of programmatic synergies among the biodiversity-related conventions in its guidance to the financial mechanism.</w:t>
      </w:r>
      <w:bookmarkEnd w:id="1"/>
    </w:p>
    <w:p w:rsidR="00273A99" w:rsidRPr="00E733CD" w:rsidRDefault="00823EAA" w:rsidP="00E733CD">
      <w:pPr>
        <w:pStyle w:val="Heading2"/>
        <w:suppressLineNumbers/>
        <w:tabs>
          <w:tab w:val="clear" w:pos="720"/>
          <w:tab w:val="left" w:pos="360"/>
        </w:tabs>
        <w:suppressAutoHyphens/>
        <w:kinsoku w:val="0"/>
        <w:overflowPunct w:val="0"/>
        <w:autoSpaceDE w:val="0"/>
        <w:autoSpaceDN w:val="0"/>
        <w:adjustRightInd w:val="0"/>
        <w:snapToGrid w:val="0"/>
        <w:rPr>
          <w:rFonts w:cs="Times New Roman"/>
          <w:snapToGrid w:val="0"/>
          <w:kern w:val="22"/>
          <w:szCs w:val="22"/>
        </w:rPr>
      </w:pPr>
      <w:r w:rsidRPr="00E733CD">
        <w:rPr>
          <w:rFonts w:cs="Times New Roman"/>
          <w:snapToGrid w:val="0"/>
          <w:kern w:val="22"/>
          <w:szCs w:val="22"/>
        </w:rPr>
        <w:t>A.</w:t>
      </w:r>
      <w:r w:rsidRPr="00E733CD">
        <w:rPr>
          <w:rFonts w:cs="Times New Roman"/>
          <w:snapToGrid w:val="0"/>
          <w:kern w:val="22"/>
          <w:szCs w:val="22"/>
        </w:rPr>
        <w:tab/>
      </w:r>
      <w:r w:rsidR="00140BB8" w:rsidRPr="00E733CD">
        <w:rPr>
          <w:rFonts w:cs="Times New Roman"/>
          <w:snapToGrid w:val="0"/>
          <w:kern w:val="22"/>
          <w:szCs w:val="22"/>
        </w:rPr>
        <w:t xml:space="preserve">Response to the guidance from the thirteenth meeting of </w:t>
      </w:r>
      <w:r w:rsidRPr="00E733CD">
        <w:rPr>
          <w:rFonts w:cs="Times New Roman"/>
          <w:snapToGrid w:val="0"/>
          <w:kern w:val="22"/>
          <w:szCs w:val="22"/>
        </w:rPr>
        <w:t>the Conference of the Parties</w:t>
      </w:r>
    </w:p>
    <w:p w:rsidR="00D56E8B" w:rsidRPr="00455AB8" w:rsidRDefault="00D56E8B" w:rsidP="00E733CD">
      <w:pPr>
        <w:pStyle w:val="Para1"/>
        <w:numPr>
          <w:ilvl w:val="0"/>
          <w:numId w:val="14"/>
        </w:numPr>
        <w:suppressLineNumbers/>
        <w:suppressAutoHyphens/>
        <w:kinsoku w:val="0"/>
        <w:overflowPunct w:val="0"/>
        <w:autoSpaceDE w:val="0"/>
        <w:autoSpaceDN w:val="0"/>
        <w:adjustRightInd w:val="0"/>
        <w:snapToGrid w:val="0"/>
        <w:ind w:left="0" w:firstLine="0"/>
        <w:rPr>
          <w:rFonts w:eastAsia="Malgun Gothic" w:cs="Times New Roman"/>
          <w:kern w:val="22"/>
          <w:szCs w:val="22"/>
        </w:rPr>
      </w:pPr>
      <w:r w:rsidRPr="00455AB8">
        <w:rPr>
          <w:rFonts w:eastAsia="Malgun Gothic" w:cs="Times New Roman"/>
          <w:kern w:val="22"/>
          <w:szCs w:val="22"/>
        </w:rPr>
        <w:t xml:space="preserve">As provided in the </w:t>
      </w:r>
      <w:r w:rsidR="00823EAA" w:rsidRPr="00EB4B12">
        <w:rPr>
          <w:rFonts w:eastAsia="Malgun Gothic" w:cs="Times New Roman"/>
          <w:kern w:val="22"/>
          <w:szCs w:val="22"/>
        </w:rPr>
        <w:t>Memorandum of Understanding</w:t>
      </w:r>
      <w:r w:rsidRPr="00E039F4">
        <w:rPr>
          <w:rFonts w:eastAsia="Malgun Gothic" w:cs="Times New Roman"/>
          <w:kern w:val="22"/>
          <w:szCs w:val="22"/>
        </w:rPr>
        <w:t>, the GEF reports to the Conference of the Parties include specific information on how the GEF Council, its Secretariat and its Implementing and Executing Agencies have applied the guidance and implemented the policy, strategies, programme priorities and eligibility criteria determined by the Conference of the Parties, as well as any other decision of the Conference of th</w:t>
      </w:r>
      <w:r w:rsidRPr="00455AB8">
        <w:rPr>
          <w:rFonts w:eastAsia="Malgun Gothic" w:cs="Times New Roman"/>
          <w:kern w:val="22"/>
          <w:szCs w:val="22"/>
        </w:rPr>
        <w:t xml:space="preserve">e Parties communicated to GEF, under Article 21 of the Convention. The Council also reports on its monitoring and evaluation activities concerning projects in the biodiversity focal area. </w:t>
      </w:r>
      <w:r w:rsidR="009D0129" w:rsidRPr="00455AB8">
        <w:rPr>
          <w:rFonts w:eastAsia="Malgun Gothic" w:cs="Times New Roman"/>
          <w:kern w:val="22"/>
          <w:szCs w:val="22"/>
        </w:rPr>
        <w:t>Accordingly</w:t>
      </w:r>
      <w:r w:rsidR="00BC1B79" w:rsidRPr="00455AB8">
        <w:rPr>
          <w:rFonts w:eastAsia="Malgun Gothic" w:cs="Times New Roman"/>
          <w:kern w:val="22"/>
          <w:szCs w:val="22"/>
        </w:rPr>
        <w:t>,</w:t>
      </w:r>
      <w:r w:rsidR="009D0129" w:rsidRPr="00455AB8">
        <w:rPr>
          <w:rFonts w:eastAsia="Malgun Gothic" w:cs="Times New Roman"/>
          <w:kern w:val="22"/>
          <w:szCs w:val="22"/>
        </w:rPr>
        <w:t xml:space="preserve"> the GEF preliminary report described in section III, including the evaluation reports of the GEF Independent Evaluation Office, has provided information on how GEF has applied and implemented the guidance provided by </w:t>
      </w:r>
      <w:r w:rsidR="00BC1B79" w:rsidRPr="00455AB8">
        <w:rPr>
          <w:rFonts w:eastAsia="Malgun Gothic" w:cs="Times New Roman"/>
          <w:kern w:val="22"/>
          <w:szCs w:val="22"/>
        </w:rPr>
        <w:t xml:space="preserve">the Conference of the Parties </w:t>
      </w:r>
      <w:r w:rsidR="009D0129" w:rsidRPr="00455AB8">
        <w:rPr>
          <w:rFonts w:eastAsia="Malgun Gothic" w:cs="Times New Roman"/>
          <w:kern w:val="22"/>
          <w:szCs w:val="22"/>
        </w:rPr>
        <w:t xml:space="preserve">for the GEF-6 period. </w:t>
      </w:r>
      <w:r w:rsidRPr="00455AB8">
        <w:rPr>
          <w:rFonts w:eastAsia="Malgun Gothic" w:cs="Times New Roman"/>
          <w:kern w:val="22"/>
          <w:szCs w:val="22"/>
        </w:rPr>
        <w:t>Th</w:t>
      </w:r>
      <w:r w:rsidR="00BC1B79" w:rsidRPr="00455AB8">
        <w:rPr>
          <w:rFonts w:eastAsia="Malgun Gothic" w:cs="Times New Roman"/>
          <w:kern w:val="22"/>
          <w:szCs w:val="22"/>
        </w:rPr>
        <w:t>e present</w:t>
      </w:r>
      <w:r w:rsidRPr="00455AB8">
        <w:rPr>
          <w:rFonts w:eastAsia="Malgun Gothic" w:cs="Times New Roman"/>
          <w:kern w:val="22"/>
          <w:szCs w:val="22"/>
        </w:rPr>
        <w:t xml:space="preserve"> section is therefore focused on the latest guidance from the thirteenth meeting of </w:t>
      </w:r>
      <w:r w:rsidR="00BC1B79" w:rsidRPr="00455AB8">
        <w:rPr>
          <w:rFonts w:eastAsia="Malgun Gothic" w:cs="Times New Roman"/>
          <w:kern w:val="22"/>
          <w:szCs w:val="22"/>
        </w:rPr>
        <w:t>the Conference of the Parties</w:t>
      </w:r>
      <w:r w:rsidRPr="00455AB8">
        <w:rPr>
          <w:rFonts w:eastAsia="Malgun Gothic" w:cs="Times New Roman"/>
          <w:kern w:val="22"/>
          <w:szCs w:val="22"/>
        </w:rPr>
        <w:t>.</w:t>
      </w:r>
    </w:p>
    <w:p w:rsidR="00DE7001" w:rsidRPr="00455AB8" w:rsidRDefault="00D56E8B" w:rsidP="00E733CD">
      <w:pPr>
        <w:pStyle w:val="Para1"/>
        <w:numPr>
          <w:ilvl w:val="0"/>
          <w:numId w:val="14"/>
        </w:numPr>
        <w:suppressLineNumbers/>
        <w:suppressAutoHyphens/>
        <w:kinsoku w:val="0"/>
        <w:overflowPunct w:val="0"/>
        <w:autoSpaceDE w:val="0"/>
        <w:autoSpaceDN w:val="0"/>
        <w:adjustRightInd w:val="0"/>
        <w:snapToGrid w:val="0"/>
        <w:ind w:left="0" w:firstLine="0"/>
        <w:rPr>
          <w:rFonts w:eastAsia="Malgun Gothic" w:cs="Times New Roman"/>
          <w:kern w:val="22"/>
          <w:szCs w:val="22"/>
        </w:rPr>
      </w:pPr>
      <w:r w:rsidRPr="00455AB8">
        <w:rPr>
          <w:rFonts w:eastAsia="Malgun Gothic" w:cs="Times New Roman"/>
          <w:kern w:val="22"/>
          <w:szCs w:val="22"/>
        </w:rPr>
        <w:t xml:space="preserve">In the past </w:t>
      </w:r>
      <w:r w:rsidR="00B81265" w:rsidRPr="00455AB8">
        <w:rPr>
          <w:rFonts w:eastAsia="Malgun Gothic" w:cs="Times New Roman"/>
          <w:kern w:val="22"/>
          <w:szCs w:val="22"/>
        </w:rPr>
        <w:t>biennium</w:t>
      </w:r>
      <w:r w:rsidRPr="00455AB8">
        <w:rPr>
          <w:rFonts w:eastAsia="Malgun Gothic" w:cs="Times New Roman"/>
          <w:kern w:val="22"/>
          <w:szCs w:val="22"/>
        </w:rPr>
        <w:t xml:space="preserve">, </w:t>
      </w:r>
      <w:r w:rsidR="00126960" w:rsidRPr="00455AB8">
        <w:rPr>
          <w:rFonts w:eastAsia="Malgun Gothic" w:cs="Times New Roman"/>
          <w:kern w:val="22"/>
          <w:szCs w:val="22"/>
        </w:rPr>
        <w:t xml:space="preserve">the CBD and GEF secretariats consulted extensively during </w:t>
      </w:r>
      <w:r w:rsidRPr="00455AB8">
        <w:rPr>
          <w:rFonts w:eastAsia="Malgun Gothic" w:cs="Times New Roman"/>
          <w:kern w:val="22"/>
          <w:szCs w:val="22"/>
        </w:rPr>
        <w:t>the</w:t>
      </w:r>
      <w:r w:rsidR="00126960" w:rsidRPr="00455AB8">
        <w:rPr>
          <w:rFonts w:eastAsia="Malgun Gothic" w:cs="Times New Roman"/>
          <w:kern w:val="22"/>
          <w:szCs w:val="22"/>
        </w:rPr>
        <w:t xml:space="preserve"> preparation</w:t>
      </w:r>
      <w:r w:rsidRPr="00455AB8">
        <w:rPr>
          <w:rFonts w:eastAsia="Malgun Gothic" w:cs="Times New Roman"/>
          <w:kern w:val="22"/>
          <w:szCs w:val="22"/>
        </w:rPr>
        <w:t xml:space="preserve"> of the GEF-7 replenishment document on programming directions (GEF/R.7/19, 2 April 2018)</w:t>
      </w:r>
      <w:r w:rsidR="00126960" w:rsidRPr="00455AB8">
        <w:rPr>
          <w:rFonts w:eastAsia="Malgun Gothic" w:cs="Times New Roman"/>
          <w:kern w:val="22"/>
          <w:szCs w:val="22"/>
        </w:rPr>
        <w:t xml:space="preserve">, </w:t>
      </w:r>
      <w:r w:rsidRPr="00455AB8">
        <w:rPr>
          <w:rFonts w:eastAsia="Malgun Gothic" w:cs="Times New Roman"/>
          <w:kern w:val="22"/>
          <w:szCs w:val="22"/>
        </w:rPr>
        <w:t xml:space="preserve">as it serves as the first entry point </w:t>
      </w:r>
      <w:r w:rsidR="00126960" w:rsidRPr="00455AB8">
        <w:rPr>
          <w:rFonts w:eastAsia="Malgun Gothic" w:cs="Times New Roman"/>
          <w:kern w:val="22"/>
          <w:szCs w:val="22"/>
        </w:rPr>
        <w:t xml:space="preserve">for implementing the consolidated guidance including </w:t>
      </w:r>
      <w:r w:rsidR="00E37F8D" w:rsidRPr="00455AB8">
        <w:rPr>
          <w:rFonts w:eastAsia="Malgun Gothic" w:cs="Times New Roman"/>
          <w:kern w:val="22"/>
          <w:szCs w:val="22"/>
        </w:rPr>
        <w:t>the four-year framework of programme priorities (2018-2022) for the seventh replenishment of the Global Environment Facility Trust Fund</w:t>
      </w:r>
      <w:r w:rsidR="00AF1916" w:rsidRPr="00455AB8">
        <w:rPr>
          <w:rFonts w:eastAsia="Malgun Gothic" w:cs="Times New Roman"/>
          <w:kern w:val="22"/>
          <w:szCs w:val="22"/>
        </w:rPr>
        <w:t>,</w:t>
      </w:r>
      <w:r w:rsidR="00126960" w:rsidRPr="00455AB8">
        <w:rPr>
          <w:rFonts w:eastAsia="Malgun Gothic" w:cs="Times New Roman"/>
          <w:kern w:val="22"/>
          <w:szCs w:val="22"/>
        </w:rPr>
        <w:t xml:space="preserve"> and </w:t>
      </w:r>
      <w:r w:rsidR="003B4C00" w:rsidRPr="00455AB8">
        <w:rPr>
          <w:rFonts w:eastAsia="Malgun Gothic" w:cs="Times New Roman"/>
          <w:kern w:val="22"/>
          <w:szCs w:val="22"/>
        </w:rPr>
        <w:t xml:space="preserve">the </w:t>
      </w:r>
      <w:r w:rsidR="00126960" w:rsidRPr="00455AB8">
        <w:rPr>
          <w:rFonts w:eastAsia="Malgun Gothic" w:cs="Times New Roman"/>
          <w:kern w:val="22"/>
          <w:szCs w:val="22"/>
        </w:rPr>
        <w:t>further guidance contained in sections A and E of decision XIII/21</w:t>
      </w:r>
      <w:r w:rsidRPr="00455AB8">
        <w:rPr>
          <w:rFonts w:eastAsia="Malgun Gothic" w:cs="Times New Roman"/>
          <w:kern w:val="22"/>
          <w:szCs w:val="22"/>
        </w:rPr>
        <w:t xml:space="preserve">. </w:t>
      </w:r>
      <w:r w:rsidR="00384B78" w:rsidRPr="00455AB8">
        <w:rPr>
          <w:rFonts w:eastAsia="Malgun Gothic" w:cs="Times New Roman"/>
          <w:kern w:val="22"/>
          <w:szCs w:val="22"/>
        </w:rPr>
        <w:t xml:space="preserve">In </w:t>
      </w:r>
      <w:r w:rsidR="00DE7001" w:rsidRPr="00455AB8">
        <w:rPr>
          <w:rFonts w:eastAsia="Malgun Gothic" w:cs="Times New Roman"/>
          <w:kern w:val="22"/>
          <w:szCs w:val="22"/>
        </w:rPr>
        <w:t xml:space="preserve">the GEF-7 replenishment document on programming directions, </w:t>
      </w:r>
      <w:r w:rsidR="00384B78" w:rsidRPr="00455AB8">
        <w:rPr>
          <w:rFonts w:eastAsia="Malgun Gothic" w:cs="Times New Roman"/>
          <w:kern w:val="22"/>
          <w:szCs w:val="22"/>
        </w:rPr>
        <w:t>t</w:t>
      </w:r>
      <w:r w:rsidR="00DE7001" w:rsidRPr="00455AB8">
        <w:rPr>
          <w:rFonts w:eastAsia="Malgun Gothic" w:cs="Times New Roman"/>
          <w:kern w:val="22"/>
          <w:szCs w:val="22"/>
        </w:rPr>
        <w:t xml:space="preserve">he biodiversity focal area strategy is built around achieving the three </w:t>
      </w:r>
      <w:r w:rsidR="00384B78" w:rsidRPr="00455AB8">
        <w:rPr>
          <w:rFonts w:eastAsia="Malgun Gothic" w:cs="Times New Roman"/>
          <w:kern w:val="22"/>
          <w:szCs w:val="22"/>
        </w:rPr>
        <w:t xml:space="preserve">priority clusters </w:t>
      </w:r>
      <w:r w:rsidR="00DE7001" w:rsidRPr="00455AB8">
        <w:rPr>
          <w:rFonts w:eastAsia="Malgun Gothic" w:cs="Times New Roman"/>
          <w:kern w:val="22"/>
          <w:szCs w:val="22"/>
        </w:rPr>
        <w:t xml:space="preserve">of the four-year framework of programme priorities (2018-2022): </w:t>
      </w:r>
      <w:r w:rsidR="00BC1B79" w:rsidRPr="00455AB8">
        <w:rPr>
          <w:rFonts w:eastAsia="Malgun Gothic" w:cs="Times New Roman"/>
          <w:kern w:val="22"/>
          <w:szCs w:val="22"/>
        </w:rPr>
        <w:t>(a</w:t>
      </w:r>
      <w:r w:rsidR="00DE7001" w:rsidRPr="00455AB8">
        <w:rPr>
          <w:rFonts w:eastAsia="Malgun Gothic" w:cs="Times New Roman"/>
          <w:kern w:val="22"/>
          <w:szCs w:val="22"/>
        </w:rPr>
        <w:t xml:space="preserve">) mainstream biodiversity across sectors as well as landscapes and seascapes; </w:t>
      </w:r>
      <w:r w:rsidR="00BC1B79" w:rsidRPr="00455AB8">
        <w:rPr>
          <w:rFonts w:eastAsia="Malgun Gothic" w:cs="Times New Roman"/>
          <w:kern w:val="22"/>
          <w:szCs w:val="22"/>
        </w:rPr>
        <w:t>(b</w:t>
      </w:r>
      <w:r w:rsidR="00DE7001" w:rsidRPr="00455AB8">
        <w:rPr>
          <w:rFonts w:eastAsia="Malgun Gothic" w:cs="Times New Roman"/>
          <w:kern w:val="22"/>
          <w:szCs w:val="22"/>
        </w:rPr>
        <w:t xml:space="preserve">) address direct drivers to protect habitats and species; and </w:t>
      </w:r>
      <w:r w:rsidR="00BC1B79" w:rsidRPr="00455AB8">
        <w:rPr>
          <w:rFonts w:eastAsia="Malgun Gothic" w:cs="Times New Roman"/>
          <w:kern w:val="22"/>
          <w:szCs w:val="22"/>
        </w:rPr>
        <w:t>(c</w:t>
      </w:r>
      <w:r w:rsidR="00DE7001" w:rsidRPr="00455AB8">
        <w:rPr>
          <w:rFonts w:eastAsia="Malgun Gothic" w:cs="Times New Roman"/>
          <w:kern w:val="22"/>
          <w:szCs w:val="22"/>
        </w:rPr>
        <w:t xml:space="preserve">) further develop biodiversity policy and institutional frameworks. </w:t>
      </w:r>
      <w:r w:rsidR="00394037" w:rsidRPr="00455AB8">
        <w:rPr>
          <w:rFonts w:eastAsia="Malgun Gothic" w:cs="Times New Roman"/>
          <w:kern w:val="22"/>
          <w:szCs w:val="22"/>
        </w:rPr>
        <w:t xml:space="preserve">The document further </w:t>
      </w:r>
      <w:r w:rsidR="00DE7001" w:rsidRPr="00455AB8">
        <w:rPr>
          <w:rFonts w:eastAsia="Malgun Gothic" w:cs="Times New Roman"/>
          <w:kern w:val="22"/>
          <w:szCs w:val="22"/>
        </w:rPr>
        <w:t>sets out</w:t>
      </w:r>
      <w:r w:rsidR="00394037" w:rsidRPr="00455AB8">
        <w:rPr>
          <w:rFonts w:eastAsia="Malgun Gothic" w:cs="Times New Roman"/>
          <w:kern w:val="22"/>
          <w:szCs w:val="22"/>
        </w:rPr>
        <w:t xml:space="preserve">, in its annex </w:t>
      </w:r>
      <w:r w:rsidR="00BC1B79" w:rsidRPr="00455AB8">
        <w:rPr>
          <w:rFonts w:eastAsia="Malgun Gothic" w:cs="Times New Roman"/>
          <w:kern w:val="22"/>
          <w:szCs w:val="22"/>
        </w:rPr>
        <w:t>II</w:t>
      </w:r>
      <w:r w:rsidR="00394037" w:rsidRPr="00455AB8">
        <w:rPr>
          <w:rFonts w:eastAsia="Malgun Gothic" w:cs="Times New Roman"/>
          <w:kern w:val="22"/>
          <w:szCs w:val="22"/>
        </w:rPr>
        <w:t>,</w:t>
      </w:r>
      <w:r w:rsidR="00DE7001" w:rsidRPr="00455AB8">
        <w:rPr>
          <w:rFonts w:eastAsia="Malgun Gothic" w:cs="Times New Roman"/>
          <w:kern w:val="22"/>
          <w:szCs w:val="22"/>
        </w:rPr>
        <w:t xml:space="preserve"> programming options available to countries</w:t>
      </w:r>
      <w:r w:rsidR="00D573DF" w:rsidRPr="00455AB8">
        <w:rPr>
          <w:rFonts w:eastAsia="Malgun Gothic" w:cs="Times New Roman"/>
          <w:kern w:val="22"/>
          <w:szCs w:val="22"/>
        </w:rPr>
        <w:t>, in form of biodiversity focal area investments, impact programmes, and other focal areas</w:t>
      </w:r>
      <w:r w:rsidR="008A144D" w:rsidRPr="00455AB8">
        <w:rPr>
          <w:rFonts w:eastAsia="Malgun Gothic" w:cs="Times New Roman"/>
          <w:kern w:val="22"/>
          <w:szCs w:val="22"/>
        </w:rPr>
        <w:t>,</w:t>
      </w:r>
      <w:r w:rsidR="00DE7001" w:rsidRPr="00455AB8">
        <w:rPr>
          <w:rFonts w:eastAsia="Malgun Gothic" w:cs="Times New Roman"/>
          <w:kern w:val="22"/>
          <w:szCs w:val="22"/>
        </w:rPr>
        <w:t xml:space="preserve"> against the </w:t>
      </w:r>
      <w:r w:rsidR="00384B78" w:rsidRPr="00455AB8">
        <w:rPr>
          <w:rFonts w:eastAsia="Malgun Gothic" w:cs="Times New Roman"/>
          <w:kern w:val="22"/>
          <w:szCs w:val="22"/>
        </w:rPr>
        <w:t xml:space="preserve">individual </w:t>
      </w:r>
      <w:r w:rsidR="00DE7001" w:rsidRPr="00455AB8">
        <w:rPr>
          <w:rFonts w:eastAsia="Malgun Gothic" w:cs="Times New Roman"/>
          <w:kern w:val="22"/>
          <w:szCs w:val="22"/>
        </w:rPr>
        <w:t xml:space="preserve">priorities and </w:t>
      </w:r>
      <w:r w:rsidR="00384B78" w:rsidRPr="00455AB8">
        <w:rPr>
          <w:rFonts w:eastAsia="Malgun Gothic" w:cs="Times New Roman"/>
          <w:kern w:val="22"/>
          <w:szCs w:val="22"/>
        </w:rPr>
        <w:t xml:space="preserve">expected </w:t>
      </w:r>
      <w:r w:rsidR="00DE7001" w:rsidRPr="00455AB8">
        <w:rPr>
          <w:rFonts w:eastAsia="Malgun Gothic" w:cs="Times New Roman"/>
          <w:kern w:val="22"/>
          <w:szCs w:val="22"/>
        </w:rPr>
        <w:t xml:space="preserve">outcomes </w:t>
      </w:r>
      <w:r w:rsidR="00384B78" w:rsidRPr="00455AB8">
        <w:rPr>
          <w:rFonts w:eastAsia="Malgun Gothic" w:cs="Times New Roman"/>
          <w:kern w:val="22"/>
          <w:szCs w:val="22"/>
        </w:rPr>
        <w:t xml:space="preserve">under </w:t>
      </w:r>
      <w:r w:rsidR="00DE7001" w:rsidRPr="00455AB8">
        <w:rPr>
          <w:rFonts w:eastAsia="Malgun Gothic" w:cs="Times New Roman"/>
          <w:kern w:val="22"/>
          <w:szCs w:val="22"/>
        </w:rPr>
        <w:t xml:space="preserve">each </w:t>
      </w:r>
      <w:r w:rsidR="00384B78" w:rsidRPr="00455AB8">
        <w:rPr>
          <w:rFonts w:eastAsia="Malgun Gothic" w:cs="Times New Roman"/>
          <w:kern w:val="22"/>
          <w:szCs w:val="22"/>
        </w:rPr>
        <w:t xml:space="preserve">priority cluster </w:t>
      </w:r>
      <w:r w:rsidR="008A144D" w:rsidRPr="00455AB8">
        <w:rPr>
          <w:rFonts w:eastAsia="Malgun Gothic" w:cs="Times New Roman"/>
          <w:kern w:val="22"/>
          <w:szCs w:val="22"/>
        </w:rPr>
        <w:t>of the four-year framework</w:t>
      </w:r>
      <w:r w:rsidR="00DE7001" w:rsidRPr="00455AB8">
        <w:rPr>
          <w:rFonts w:eastAsia="Malgun Gothic" w:cs="Times New Roman"/>
          <w:kern w:val="22"/>
          <w:szCs w:val="22"/>
        </w:rPr>
        <w:t>.</w:t>
      </w:r>
    </w:p>
    <w:p w:rsidR="00384B78" w:rsidRPr="00455AB8" w:rsidRDefault="00384B78" w:rsidP="00E733CD">
      <w:pPr>
        <w:pStyle w:val="Para1"/>
        <w:numPr>
          <w:ilvl w:val="0"/>
          <w:numId w:val="14"/>
        </w:numPr>
        <w:suppressLineNumbers/>
        <w:suppressAutoHyphens/>
        <w:kinsoku w:val="0"/>
        <w:overflowPunct w:val="0"/>
        <w:autoSpaceDE w:val="0"/>
        <w:autoSpaceDN w:val="0"/>
        <w:adjustRightInd w:val="0"/>
        <w:snapToGrid w:val="0"/>
        <w:ind w:left="0" w:firstLine="0"/>
        <w:rPr>
          <w:rFonts w:eastAsia="Malgun Gothic" w:cs="Times New Roman"/>
          <w:kern w:val="22"/>
          <w:szCs w:val="22"/>
        </w:rPr>
      </w:pPr>
      <w:r w:rsidRPr="00455AB8">
        <w:rPr>
          <w:rFonts w:eastAsia="Malgun Gothic" w:cs="Times New Roman"/>
          <w:kern w:val="22"/>
          <w:szCs w:val="22"/>
        </w:rPr>
        <w:t xml:space="preserve">In paragraph 3 of decision </w:t>
      </w:r>
      <w:hyperlink r:id="rId13" w:history="1">
        <w:r w:rsidRPr="0037796E">
          <w:rPr>
            <w:rStyle w:val="Hyperlink"/>
            <w:rFonts w:eastAsia="Malgun Gothic" w:cs="Times New Roman"/>
            <w:kern w:val="22"/>
            <w:szCs w:val="22"/>
          </w:rPr>
          <w:t>XIII/</w:t>
        </w:r>
        <w:r w:rsidRPr="0037796E" w:rsidDel="0037796E">
          <w:rPr>
            <w:rStyle w:val="Hyperlink"/>
            <w:rFonts w:eastAsia="Malgun Gothic" w:cs="Times New Roman"/>
            <w:kern w:val="22"/>
            <w:szCs w:val="22"/>
          </w:rPr>
          <w:t>8</w:t>
        </w:r>
        <w:r w:rsidR="0037796E" w:rsidRPr="0037796E">
          <w:rPr>
            <w:rStyle w:val="Hyperlink"/>
            <w:rFonts w:eastAsia="Malgun Gothic" w:cs="Times New Roman"/>
            <w:kern w:val="22"/>
            <w:szCs w:val="22"/>
          </w:rPr>
          <w:t>21</w:t>
        </w:r>
      </w:hyperlink>
      <w:r w:rsidRPr="00455AB8">
        <w:rPr>
          <w:rFonts w:eastAsia="Malgun Gothic" w:cs="Times New Roman"/>
          <w:kern w:val="22"/>
          <w:szCs w:val="22"/>
        </w:rPr>
        <w:t>, the Conference of the Parties encouraged the Global Environment Facility to continue and further strengthen integrated programming as a means to harness opportunities for synergy. According to the GEF-7 replenishment document on programming directions, i</w:t>
      </w:r>
      <w:r w:rsidRPr="00EB4B12">
        <w:rPr>
          <w:rFonts w:eastAsia="Malgun Gothic" w:cs="Times New Roman"/>
          <w:kern w:val="22"/>
          <w:szCs w:val="22"/>
        </w:rPr>
        <w:t>ntegrated programming opportunities are provided through selected impact programmes focusing on: (</w:t>
      </w:r>
      <w:r w:rsidR="00BC1B79" w:rsidRPr="00E039F4">
        <w:rPr>
          <w:rFonts w:eastAsia="Malgun Gothic" w:cs="Times New Roman"/>
          <w:kern w:val="22"/>
          <w:szCs w:val="22"/>
        </w:rPr>
        <w:t>a</w:t>
      </w:r>
      <w:r w:rsidRPr="00E039F4">
        <w:rPr>
          <w:rFonts w:eastAsia="Malgun Gothic" w:cs="Times New Roman"/>
          <w:kern w:val="22"/>
          <w:szCs w:val="22"/>
        </w:rPr>
        <w:t>) food systems, land use and restoration; (</w:t>
      </w:r>
      <w:r w:rsidR="00BC1B79" w:rsidRPr="00455AB8">
        <w:rPr>
          <w:rFonts w:eastAsia="Malgun Gothic" w:cs="Times New Roman"/>
          <w:kern w:val="22"/>
          <w:szCs w:val="22"/>
        </w:rPr>
        <w:t>b</w:t>
      </w:r>
      <w:r w:rsidRPr="00455AB8">
        <w:rPr>
          <w:rFonts w:eastAsia="Malgun Gothic" w:cs="Times New Roman"/>
          <w:kern w:val="22"/>
          <w:szCs w:val="22"/>
        </w:rPr>
        <w:t>) sustainable cities; and (</w:t>
      </w:r>
      <w:r w:rsidR="00BC1B79" w:rsidRPr="00455AB8">
        <w:rPr>
          <w:rFonts w:eastAsia="Malgun Gothic" w:cs="Times New Roman"/>
          <w:kern w:val="22"/>
          <w:szCs w:val="22"/>
        </w:rPr>
        <w:t>c</w:t>
      </w:r>
      <w:r w:rsidRPr="00455AB8">
        <w:rPr>
          <w:rFonts w:eastAsia="Malgun Gothic" w:cs="Times New Roman"/>
          <w:kern w:val="22"/>
          <w:szCs w:val="22"/>
        </w:rPr>
        <w:t>) sustainable forest management.</w:t>
      </w:r>
    </w:p>
    <w:p w:rsidR="00273A99" w:rsidRPr="00E733CD" w:rsidRDefault="00DE7001" w:rsidP="00E733CD">
      <w:pPr>
        <w:pStyle w:val="Para1"/>
        <w:numPr>
          <w:ilvl w:val="0"/>
          <w:numId w:val="14"/>
        </w:numPr>
        <w:suppressLineNumbers/>
        <w:suppressAutoHyphens/>
        <w:kinsoku w:val="0"/>
        <w:overflowPunct w:val="0"/>
        <w:autoSpaceDE w:val="0"/>
        <w:autoSpaceDN w:val="0"/>
        <w:adjustRightInd w:val="0"/>
        <w:snapToGrid w:val="0"/>
        <w:ind w:left="0" w:firstLine="0"/>
        <w:rPr>
          <w:rFonts w:cs="Times New Roman"/>
          <w:kern w:val="22"/>
          <w:szCs w:val="22"/>
        </w:rPr>
      </w:pPr>
      <w:r w:rsidRPr="00455AB8">
        <w:rPr>
          <w:rFonts w:eastAsia="Malgun Gothic" w:cs="Times New Roman"/>
          <w:kern w:val="22"/>
          <w:szCs w:val="22"/>
        </w:rPr>
        <w:t xml:space="preserve">In </w:t>
      </w:r>
      <w:r w:rsidR="0068278C" w:rsidRPr="00455AB8">
        <w:rPr>
          <w:rFonts w:eastAsia="Malgun Gothic" w:cs="Times New Roman"/>
          <w:kern w:val="22"/>
          <w:szCs w:val="22"/>
        </w:rPr>
        <w:t>paragraph</w:t>
      </w:r>
      <w:r w:rsidR="00DF24EE" w:rsidRPr="00455AB8">
        <w:rPr>
          <w:rFonts w:eastAsia="Malgun Gothic" w:cs="Times New Roman"/>
          <w:kern w:val="22"/>
          <w:szCs w:val="22"/>
        </w:rPr>
        <w:t xml:space="preserve">s 7 and </w:t>
      </w:r>
      <w:r w:rsidR="0068278C" w:rsidRPr="00455AB8">
        <w:rPr>
          <w:rFonts w:eastAsia="Malgun Gothic" w:cs="Times New Roman"/>
          <w:kern w:val="22"/>
          <w:szCs w:val="22"/>
        </w:rPr>
        <w:t>8 of decision XIII/</w:t>
      </w:r>
      <w:r w:rsidR="0037796E">
        <w:rPr>
          <w:rFonts w:eastAsia="Malgun Gothic" w:cs="Times New Roman"/>
          <w:kern w:val="22"/>
          <w:szCs w:val="22"/>
        </w:rPr>
        <w:t>21</w:t>
      </w:r>
      <w:r w:rsidR="0068278C" w:rsidRPr="00455AB8">
        <w:rPr>
          <w:rFonts w:eastAsia="Malgun Gothic" w:cs="Times New Roman"/>
          <w:kern w:val="22"/>
          <w:szCs w:val="22"/>
        </w:rPr>
        <w:t xml:space="preserve">, the </w:t>
      </w:r>
      <w:r w:rsidR="00DF24EE" w:rsidRPr="00455AB8">
        <w:rPr>
          <w:rFonts w:eastAsia="Malgun Gothic" w:cs="Times New Roman"/>
          <w:kern w:val="22"/>
          <w:szCs w:val="22"/>
        </w:rPr>
        <w:t>C</w:t>
      </w:r>
      <w:r w:rsidR="0068278C" w:rsidRPr="00455AB8">
        <w:rPr>
          <w:rFonts w:eastAsia="Malgun Gothic" w:cs="Times New Roman"/>
          <w:kern w:val="22"/>
          <w:szCs w:val="22"/>
        </w:rPr>
        <w:t xml:space="preserve">onference of the Parties </w:t>
      </w:r>
      <w:r w:rsidR="00DF24EE" w:rsidRPr="00455AB8">
        <w:rPr>
          <w:rFonts w:eastAsia="Malgun Gothic" w:cs="Times New Roman"/>
          <w:kern w:val="22"/>
          <w:szCs w:val="22"/>
        </w:rPr>
        <w:t xml:space="preserve">took </w:t>
      </w:r>
      <w:r w:rsidR="0068278C" w:rsidRPr="00455AB8">
        <w:rPr>
          <w:rFonts w:eastAsia="Malgun Gothic" w:cs="Times New Roman"/>
          <w:kern w:val="22"/>
          <w:szCs w:val="22"/>
        </w:rPr>
        <w:t>note</w:t>
      </w:r>
      <w:r w:rsidR="00DF24EE" w:rsidRPr="00455AB8">
        <w:rPr>
          <w:rFonts w:eastAsia="Malgun Gothic" w:cs="Times New Roman"/>
          <w:kern w:val="22"/>
          <w:szCs w:val="22"/>
        </w:rPr>
        <w:t xml:space="preserve"> </w:t>
      </w:r>
      <w:r w:rsidR="0068278C" w:rsidRPr="00455AB8">
        <w:rPr>
          <w:rFonts w:eastAsia="Malgun Gothic" w:cs="Times New Roman"/>
          <w:kern w:val="22"/>
          <w:szCs w:val="22"/>
        </w:rPr>
        <w:t xml:space="preserve">with appreciation of the elements of advice </w:t>
      </w:r>
      <w:r w:rsidR="00DF24EE" w:rsidRPr="00455AB8">
        <w:rPr>
          <w:rFonts w:eastAsia="Malgun Gothic" w:cs="Times New Roman"/>
          <w:kern w:val="22"/>
          <w:szCs w:val="22"/>
        </w:rPr>
        <w:t xml:space="preserve">and input </w:t>
      </w:r>
      <w:r w:rsidR="0068278C" w:rsidRPr="00455AB8">
        <w:rPr>
          <w:rFonts w:eastAsia="Malgun Gothic" w:cs="Times New Roman"/>
          <w:kern w:val="22"/>
          <w:szCs w:val="22"/>
        </w:rPr>
        <w:t xml:space="preserve">received from </w:t>
      </w:r>
      <w:r w:rsidR="00DF24EE" w:rsidRPr="00455AB8">
        <w:rPr>
          <w:rFonts w:eastAsia="Malgun Gothic" w:cs="Times New Roman"/>
          <w:kern w:val="22"/>
          <w:szCs w:val="22"/>
        </w:rPr>
        <w:t xml:space="preserve">other biodiversity-related conventions, and noted </w:t>
      </w:r>
      <w:r w:rsidR="0068278C" w:rsidRPr="00455AB8">
        <w:rPr>
          <w:rFonts w:eastAsia="Malgun Gothic" w:cs="Times New Roman"/>
          <w:kern w:val="22"/>
          <w:szCs w:val="22"/>
        </w:rPr>
        <w:t xml:space="preserve">that the elements and input that fall within the mandate of the Global Environment Facility </w:t>
      </w:r>
      <w:r w:rsidR="00DF24EE" w:rsidRPr="00455AB8">
        <w:rPr>
          <w:rFonts w:eastAsia="Malgun Gothic" w:cs="Times New Roman"/>
          <w:kern w:val="22"/>
          <w:szCs w:val="22"/>
        </w:rPr>
        <w:t>were</w:t>
      </w:r>
      <w:r w:rsidR="0068278C" w:rsidRPr="00455AB8">
        <w:rPr>
          <w:rFonts w:eastAsia="Malgun Gothic" w:cs="Times New Roman"/>
          <w:kern w:val="22"/>
          <w:szCs w:val="22"/>
        </w:rPr>
        <w:t xml:space="preserve"> reflected at a strategic level, in the four-year framewo</w:t>
      </w:r>
      <w:bookmarkStart w:id="2" w:name="_GoBack"/>
      <w:bookmarkEnd w:id="2"/>
      <w:r w:rsidR="0068278C" w:rsidRPr="00455AB8">
        <w:rPr>
          <w:rFonts w:eastAsia="Malgun Gothic" w:cs="Times New Roman"/>
          <w:kern w:val="22"/>
          <w:szCs w:val="22"/>
        </w:rPr>
        <w:t>rk of programme priorities</w:t>
      </w:r>
      <w:r w:rsidR="00DF24EE" w:rsidRPr="00455AB8">
        <w:rPr>
          <w:rFonts w:eastAsia="Malgun Gothic" w:cs="Times New Roman"/>
          <w:kern w:val="22"/>
          <w:szCs w:val="22"/>
        </w:rPr>
        <w:t xml:space="preserve">, and </w:t>
      </w:r>
      <w:r w:rsidR="0068278C" w:rsidRPr="00455AB8">
        <w:rPr>
          <w:rFonts w:eastAsia="Malgun Gothic" w:cs="Times New Roman"/>
          <w:kern w:val="22"/>
          <w:szCs w:val="22"/>
        </w:rPr>
        <w:t>that this will further enhance programmatic synergies among the b</w:t>
      </w:r>
      <w:r w:rsidR="00DF24EE" w:rsidRPr="00455AB8">
        <w:rPr>
          <w:rFonts w:eastAsia="Malgun Gothic" w:cs="Times New Roman"/>
          <w:kern w:val="22"/>
          <w:szCs w:val="22"/>
        </w:rPr>
        <w:t>iodiversity-related conventions. T</w:t>
      </w:r>
      <w:r w:rsidR="00F21307" w:rsidRPr="00455AB8">
        <w:rPr>
          <w:rFonts w:eastAsia="Malgun Gothic" w:cs="Times New Roman"/>
          <w:kern w:val="22"/>
          <w:szCs w:val="22"/>
        </w:rPr>
        <w:t xml:space="preserve">he GEF-7 replenishment </w:t>
      </w:r>
      <w:r w:rsidR="00273A99" w:rsidRPr="00455AB8">
        <w:rPr>
          <w:rFonts w:eastAsia="Malgun Gothic" w:cs="Times New Roman"/>
          <w:kern w:val="22"/>
          <w:szCs w:val="22"/>
        </w:rPr>
        <w:t xml:space="preserve">document on </w:t>
      </w:r>
      <w:r w:rsidR="00F21307" w:rsidRPr="00455AB8">
        <w:rPr>
          <w:rFonts w:eastAsia="Malgun Gothic" w:cs="Times New Roman"/>
          <w:kern w:val="22"/>
          <w:szCs w:val="22"/>
        </w:rPr>
        <w:t>p</w:t>
      </w:r>
      <w:r w:rsidR="00273A99" w:rsidRPr="00455AB8">
        <w:rPr>
          <w:rFonts w:eastAsia="Malgun Gothic" w:cs="Times New Roman"/>
          <w:kern w:val="22"/>
          <w:szCs w:val="22"/>
        </w:rPr>
        <w:t xml:space="preserve">rogramming </w:t>
      </w:r>
      <w:r w:rsidR="00F21307" w:rsidRPr="00455AB8">
        <w:rPr>
          <w:rFonts w:eastAsia="Malgun Gothic" w:cs="Times New Roman"/>
          <w:kern w:val="22"/>
          <w:szCs w:val="22"/>
        </w:rPr>
        <w:t>d</w:t>
      </w:r>
      <w:r w:rsidR="00273A99" w:rsidRPr="00455AB8">
        <w:rPr>
          <w:rFonts w:eastAsia="Malgun Gothic" w:cs="Times New Roman"/>
          <w:kern w:val="22"/>
          <w:szCs w:val="22"/>
        </w:rPr>
        <w:t>irections</w:t>
      </w:r>
      <w:r w:rsidR="00F21307" w:rsidRPr="00455AB8">
        <w:rPr>
          <w:rFonts w:eastAsia="Malgun Gothic" w:cs="Times New Roman"/>
          <w:kern w:val="22"/>
          <w:szCs w:val="22"/>
        </w:rPr>
        <w:t xml:space="preserve"> </w:t>
      </w:r>
      <w:r w:rsidR="00273A99" w:rsidRPr="00455AB8">
        <w:rPr>
          <w:rFonts w:eastAsia="Malgun Gothic" w:cs="Times New Roman"/>
          <w:kern w:val="22"/>
          <w:szCs w:val="22"/>
        </w:rPr>
        <w:t>indicate</w:t>
      </w:r>
      <w:r w:rsidR="00F21307" w:rsidRPr="00455AB8">
        <w:rPr>
          <w:rFonts w:eastAsia="Malgun Gothic" w:cs="Times New Roman"/>
          <w:kern w:val="22"/>
          <w:szCs w:val="22"/>
        </w:rPr>
        <w:t>s</w:t>
      </w:r>
      <w:r w:rsidR="00273A99" w:rsidRPr="00455AB8">
        <w:rPr>
          <w:rFonts w:eastAsia="Malgun Gothic" w:cs="Times New Roman"/>
          <w:kern w:val="22"/>
          <w:szCs w:val="22"/>
        </w:rPr>
        <w:t xml:space="preserve">: “The GEF-7 biodiversity focal area investments and associated programming strategies fully embody integrated approaches to achieve the biodiversity conservation and sustainable use outcomes of the </w:t>
      </w:r>
      <w:r w:rsidR="00DF24EE" w:rsidRPr="00455AB8">
        <w:rPr>
          <w:rFonts w:eastAsia="Malgun Gothic" w:cs="Times New Roman"/>
          <w:kern w:val="22"/>
          <w:szCs w:val="22"/>
        </w:rPr>
        <w:t>f</w:t>
      </w:r>
      <w:r w:rsidR="00273A99" w:rsidRPr="00455AB8">
        <w:rPr>
          <w:rFonts w:eastAsia="Malgun Gothic" w:cs="Times New Roman"/>
          <w:kern w:val="22"/>
          <w:szCs w:val="22"/>
        </w:rPr>
        <w:t>our-year framework while supporting the implementation of all of the biodiversity-related conventions in a synergistic way.” Although not all the biodiversity-related conventions are referred to explicitly</w:t>
      </w:r>
      <w:r w:rsidR="00F21307" w:rsidRPr="00455AB8">
        <w:rPr>
          <w:rFonts w:eastAsia="Malgun Gothic" w:cs="Times New Roman"/>
          <w:kern w:val="22"/>
          <w:szCs w:val="22"/>
        </w:rPr>
        <w:t xml:space="preserve"> </w:t>
      </w:r>
      <w:r w:rsidR="00273A99" w:rsidRPr="00455AB8">
        <w:rPr>
          <w:rFonts w:eastAsia="Malgun Gothic" w:cs="Times New Roman"/>
          <w:kern w:val="22"/>
          <w:szCs w:val="22"/>
        </w:rPr>
        <w:t xml:space="preserve">in the document, project opportunities can be found in several </w:t>
      </w:r>
      <w:r w:rsidR="008A144D" w:rsidRPr="00455AB8">
        <w:rPr>
          <w:rFonts w:eastAsia="Malgun Gothic" w:cs="Times New Roman"/>
          <w:kern w:val="22"/>
          <w:szCs w:val="22"/>
        </w:rPr>
        <w:t>focal area investments and impact programmes</w:t>
      </w:r>
      <w:r w:rsidR="00273A99" w:rsidRPr="00455AB8">
        <w:rPr>
          <w:rFonts w:eastAsia="Malgun Gothic" w:cs="Times New Roman"/>
          <w:kern w:val="22"/>
          <w:szCs w:val="22"/>
        </w:rPr>
        <w:t>:</w:t>
      </w:r>
    </w:p>
    <w:p w:rsidR="00273A99" w:rsidRPr="00455AB8" w:rsidRDefault="00273A99" w:rsidP="00E733CD">
      <w:pPr>
        <w:pStyle w:val="Para1"/>
        <w:numPr>
          <w:ilvl w:val="0"/>
          <w:numId w:val="49"/>
        </w:numPr>
        <w:suppressLineNumbers/>
        <w:suppressAutoHyphens/>
        <w:kinsoku w:val="0"/>
        <w:overflowPunct w:val="0"/>
        <w:autoSpaceDE w:val="0"/>
        <w:autoSpaceDN w:val="0"/>
        <w:adjustRightInd w:val="0"/>
        <w:snapToGrid w:val="0"/>
        <w:ind w:left="0" w:firstLine="709"/>
        <w:rPr>
          <w:rFonts w:eastAsia="Malgun Gothic" w:cs="Times New Roman"/>
          <w:kern w:val="22"/>
          <w:szCs w:val="22"/>
        </w:rPr>
      </w:pPr>
      <w:r w:rsidRPr="00455AB8">
        <w:rPr>
          <w:rFonts w:eastAsia="Malgun Gothic" w:cs="Times New Roman"/>
          <w:kern w:val="22"/>
          <w:szCs w:val="22"/>
        </w:rPr>
        <w:t>Worl</w:t>
      </w:r>
      <w:r w:rsidRPr="00EB4B12">
        <w:rPr>
          <w:rFonts w:eastAsia="Malgun Gothic" w:cs="Times New Roman"/>
          <w:kern w:val="22"/>
          <w:szCs w:val="22"/>
        </w:rPr>
        <w:t>d Heritage Convention and Ramsar Convention on Wetlands: global protected area estate, sustainable forest management impact program</w:t>
      </w:r>
      <w:r w:rsidR="00DF24EE" w:rsidRPr="00E039F4">
        <w:rPr>
          <w:rFonts w:eastAsia="Malgun Gothic" w:cs="Times New Roman"/>
          <w:kern w:val="22"/>
          <w:szCs w:val="22"/>
        </w:rPr>
        <w:t>me</w:t>
      </w:r>
      <w:r w:rsidRPr="00455AB8">
        <w:rPr>
          <w:rFonts w:eastAsia="Malgun Gothic" w:cs="Times New Roman"/>
          <w:kern w:val="22"/>
          <w:szCs w:val="22"/>
        </w:rPr>
        <w:t>, inclusive conservation</w:t>
      </w:r>
      <w:r w:rsidR="00DF24EE" w:rsidRPr="00455AB8">
        <w:rPr>
          <w:rFonts w:eastAsia="Malgun Gothic" w:cs="Times New Roman"/>
          <w:kern w:val="22"/>
          <w:szCs w:val="22"/>
        </w:rPr>
        <w:t>;</w:t>
      </w:r>
    </w:p>
    <w:p w:rsidR="00273A99" w:rsidRPr="00455AB8" w:rsidRDefault="00273A99" w:rsidP="00E733CD">
      <w:pPr>
        <w:pStyle w:val="Para1"/>
        <w:numPr>
          <w:ilvl w:val="0"/>
          <w:numId w:val="49"/>
        </w:numPr>
        <w:suppressLineNumbers/>
        <w:suppressAutoHyphens/>
        <w:kinsoku w:val="0"/>
        <w:overflowPunct w:val="0"/>
        <w:autoSpaceDE w:val="0"/>
        <w:autoSpaceDN w:val="0"/>
        <w:adjustRightInd w:val="0"/>
        <w:snapToGrid w:val="0"/>
        <w:ind w:left="0" w:firstLine="709"/>
        <w:rPr>
          <w:rFonts w:eastAsia="Malgun Gothic" w:cs="Times New Roman"/>
          <w:kern w:val="22"/>
          <w:szCs w:val="22"/>
        </w:rPr>
      </w:pPr>
      <w:r w:rsidRPr="00455AB8">
        <w:rPr>
          <w:rFonts w:eastAsia="Malgun Gothic" w:cs="Times New Roman"/>
          <w:kern w:val="22"/>
          <w:szCs w:val="22"/>
        </w:rPr>
        <w:t>Convention on International Trade in Endangered Species of Wild Fauna and Flora: global wildlife program</w:t>
      </w:r>
      <w:r w:rsidR="00DF24EE" w:rsidRPr="00455AB8">
        <w:rPr>
          <w:rFonts w:eastAsia="Malgun Gothic" w:cs="Times New Roman"/>
          <w:kern w:val="22"/>
          <w:szCs w:val="22"/>
        </w:rPr>
        <w:t>me;</w:t>
      </w:r>
    </w:p>
    <w:p w:rsidR="00273A99" w:rsidRPr="00455AB8" w:rsidRDefault="00273A99" w:rsidP="00E733CD">
      <w:pPr>
        <w:pStyle w:val="Para1"/>
        <w:numPr>
          <w:ilvl w:val="0"/>
          <w:numId w:val="49"/>
        </w:numPr>
        <w:suppressLineNumbers/>
        <w:suppressAutoHyphens/>
        <w:kinsoku w:val="0"/>
        <w:overflowPunct w:val="0"/>
        <w:autoSpaceDE w:val="0"/>
        <w:autoSpaceDN w:val="0"/>
        <w:adjustRightInd w:val="0"/>
        <w:snapToGrid w:val="0"/>
        <w:ind w:left="0" w:firstLine="709"/>
        <w:rPr>
          <w:rFonts w:eastAsia="Malgun Gothic" w:cs="Times New Roman"/>
          <w:kern w:val="22"/>
          <w:szCs w:val="22"/>
        </w:rPr>
      </w:pPr>
      <w:r w:rsidRPr="00455AB8">
        <w:rPr>
          <w:rFonts w:eastAsia="Malgun Gothic" w:cs="Times New Roman"/>
          <w:kern w:val="22"/>
          <w:szCs w:val="22"/>
        </w:rPr>
        <w:lastRenderedPageBreak/>
        <w:t>International Plant Protection Convention: Sustainable use of plant and animal genetic resources, sustainable forest management impact program</w:t>
      </w:r>
      <w:r w:rsidR="00DF24EE" w:rsidRPr="00455AB8">
        <w:rPr>
          <w:rFonts w:eastAsia="Malgun Gothic" w:cs="Times New Roman"/>
          <w:kern w:val="22"/>
          <w:szCs w:val="22"/>
        </w:rPr>
        <w:t>me;</w:t>
      </w:r>
    </w:p>
    <w:p w:rsidR="00273A99" w:rsidRPr="00E733CD" w:rsidRDefault="00273A99" w:rsidP="00E733CD">
      <w:pPr>
        <w:pStyle w:val="Para1"/>
        <w:numPr>
          <w:ilvl w:val="0"/>
          <w:numId w:val="49"/>
        </w:numPr>
        <w:suppressLineNumbers/>
        <w:suppressAutoHyphens/>
        <w:kinsoku w:val="0"/>
        <w:overflowPunct w:val="0"/>
        <w:autoSpaceDE w:val="0"/>
        <w:autoSpaceDN w:val="0"/>
        <w:adjustRightInd w:val="0"/>
        <w:snapToGrid w:val="0"/>
        <w:ind w:left="0" w:firstLine="709"/>
        <w:rPr>
          <w:rFonts w:cs="Times New Roman"/>
          <w:kern w:val="22"/>
          <w:szCs w:val="22"/>
        </w:rPr>
      </w:pPr>
      <w:r w:rsidRPr="00455AB8">
        <w:rPr>
          <w:rFonts w:eastAsia="Malgun Gothic" w:cs="Times New Roman"/>
          <w:kern w:val="22"/>
          <w:szCs w:val="22"/>
        </w:rPr>
        <w:t>Convention on Conservation of Migratory Species: global protected area estate, global wildlife program, inclusive conservation</w:t>
      </w:r>
      <w:r w:rsidR="00DF24EE" w:rsidRPr="00455AB8">
        <w:rPr>
          <w:rFonts w:eastAsia="Malgun Gothic" w:cs="Times New Roman"/>
          <w:kern w:val="22"/>
          <w:szCs w:val="22"/>
        </w:rPr>
        <w:t>;</w:t>
      </w:r>
    </w:p>
    <w:p w:rsidR="00273A99" w:rsidRPr="00E039F4" w:rsidRDefault="00273A99" w:rsidP="00E733CD">
      <w:pPr>
        <w:pStyle w:val="Para1"/>
        <w:numPr>
          <w:ilvl w:val="0"/>
          <w:numId w:val="49"/>
        </w:numPr>
        <w:suppressLineNumbers/>
        <w:suppressAutoHyphens/>
        <w:kinsoku w:val="0"/>
        <w:overflowPunct w:val="0"/>
        <w:autoSpaceDE w:val="0"/>
        <w:autoSpaceDN w:val="0"/>
        <w:adjustRightInd w:val="0"/>
        <w:snapToGrid w:val="0"/>
        <w:ind w:left="0" w:firstLine="709"/>
        <w:rPr>
          <w:rFonts w:eastAsia="Malgun Gothic" w:cs="Times New Roman"/>
          <w:kern w:val="22"/>
          <w:szCs w:val="22"/>
        </w:rPr>
      </w:pPr>
      <w:r w:rsidRPr="00E733CD">
        <w:rPr>
          <w:rFonts w:cs="Times New Roman"/>
          <w:kern w:val="22"/>
          <w:szCs w:val="22"/>
        </w:rPr>
        <w:t xml:space="preserve">International Treaty on Plant Genetic Resources for Food and Agriculture: sustainable use of </w:t>
      </w:r>
      <w:r w:rsidRPr="00455AB8">
        <w:rPr>
          <w:rFonts w:eastAsia="Malgun Gothic" w:cs="Times New Roman"/>
          <w:kern w:val="22"/>
          <w:szCs w:val="22"/>
        </w:rPr>
        <w:t xml:space="preserve">plant and animal genetic resources, </w:t>
      </w:r>
      <w:r w:rsidR="00111492" w:rsidRPr="00455AB8">
        <w:rPr>
          <w:rFonts w:eastAsia="Malgun Gothic" w:cs="Times New Roman"/>
          <w:kern w:val="22"/>
          <w:szCs w:val="22"/>
        </w:rPr>
        <w:t xml:space="preserve">implementing </w:t>
      </w:r>
      <w:r w:rsidRPr="00455AB8">
        <w:rPr>
          <w:rFonts w:eastAsia="Malgun Gothic" w:cs="Times New Roman"/>
          <w:kern w:val="22"/>
          <w:szCs w:val="22"/>
        </w:rPr>
        <w:t>the Nagoya Protocol on Access and Benefit Sharing, food systems, land use, and re</w:t>
      </w:r>
      <w:r w:rsidRPr="00E039F4">
        <w:rPr>
          <w:rFonts w:eastAsia="Malgun Gothic" w:cs="Times New Roman"/>
          <w:kern w:val="22"/>
          <w:szCs w:val="22"/>
        </w:rPr>
        <w:t>storation impact program</w:t>
      </w:r>
      <w:r w:rsidR="00DF24EE" w:rsidRPr="00E039F4">
        <w:rPr>
          <w:rFonts w:eastAsia="Malgun Gothic" w:cs="Times New Roman"/>
          <w:kern w:val="22"/>
          <w:szCs w:val="22"/>
        </w:rPr>
        <w:t>me</w:t>
      </w:r>
      <w:r w:rsidR="00BC1B79" w:rsidRPr="00E039F4">
        <w:rPr>
          <w:rFonts w:eastAsia="Malgun Gothic" w:cs="Times New Roman"/>
          <w:kern w:val="22"/>
          <w:szCs w:val="22"/>
        </w:rPr>
        <w:t>.</w:t>
      </w:r>
    </w:p>
    <w:p w:rsidR="00273A99" w:rsidRPr="00E733CD" w:rsidRDefault="00F21307" w:rsidP="00E733CD">
      <w:pPr>
        <w:pStyle w:val="Para1"/>
        <w:numPr>
          <w:ilvl w:val="0"/>
          <w:numId w:val="14"/>
        </w:numPr>
        <w:suppressLineNumbers/>
        <w:tabs>
          <w:tab w:val="num" w:pos="720"/>
        </w:tabs>
        <w:suppressAutoHyphens/>
        <w:kinsoku w:val="0"/>
        <w:overflowPunct w:val="0"/>
        <w:autoSpaceDE w:val="0"/>
        <w:autoSpaceDN w:val="0"/>
        <w:adjustRightInd w:val="0"/>
        <w:snapToGrid w:val="0"/>
        <w:ind w:left="0" w:firstLine="0"/>
        <w:rPr>
          <w:rFonts w:cs="Times New Roman"/>
          <w:kern w:val="22"/>
          <w:szCs w:val="22"/>
        </w:rPr>
      </w:pPr>
      <w:r w:rsidRPr="00E733CD">
        <w:rPr>
          <w:rFonts w:cs="Times New Roman"/>
          <w:kern w:val="22"/>
          <w:szCs w:val="22"/>
        </w:rPr>
        <w:t>D</w:t>
      </w:r>
      <w:r w:rsidR="00273A99" w:rsidRPr="00E733CD">
        <w:rPr>
          <w:rFonts w:cs="Times New Roman"/>
          <w:kern w:val="22"/>
          <w:szCs w:val="22"/>
        </w:rPr>
        <w:t>ecision XIII/21</w:t>
      </w:r>
      <w:r w:rsidRPr="00E733CD">
        <w:rPr>
          <w:rFonts w:cs="Times New Roman"/>
          <w:kern w:val="22"/>
          <w:szCs w:val="22"/>
        </w:rPr>
        <w:t xml:space="preserve"> also contains </w:t>
      </w:r>
      <w:r w:rsidR="00273A99" w:rsidRPr="00E733CD">
        <w:rPr>
          <w:rFonts w:cs="Times New Roman"/>
          <w:kern w:val="22"/>
          <w:szCs w:val="22"/>
        </w:rPr>
        <w:t>further guidance to the financial mechanism with respect to ecosystem restoration, the Strategic Plan</w:t>
      </w:r>
      <w:r w:rsidR="00BC1B79" w:rsidRPr="00E733CD">
        <w:rPr>
          <w:rFonts w:cs="Times New Roman"/>
          <w:kern w:val="22"/>
          <w:szCs w:val="22"/>
        </w:rPr>
        <w:t xml:space="preserve"> for Biodiversity 2011-2020</w:t>
      </w:r>
      <w:r w:rsidR="00273A99" w:rsidRPr="00E733CD">
        <w:rPr>
          <w:rFonts w:cs="Times New Roman"/>
          <w:kern w:val="22"/>
          <w:szCs w:val="22"/>
        </w:rPr>
        <w:t xml:space="preserve">, Aichi </w:t>
      </w:r>
      <w:r w:rsidR="003B4C00" w:rsidRPr="00E733CD">
        <w:rPr>
          <w:rFonts w:cs="Times New Roman"/>
          <w:kern w:val="22"/>
          <w:szCs w:val="22"/>
        </w:rPr>
        <w:t>Biodiversity T</w:t>
      </w:r>
      <w:r w:rsidR="00273A99" w:rsidRPr="00E733CD">
        <w:rPr>
          <w:rFonts w:cs="Times New Roman"/>
          <w:kern w:val="22"/>
          <w:szCs w:val="22"/>
        </w:rPr>
        <w:t>argets 11 and 12, the sixth national report, cross-sectoral mainstreaming, traditional knowledge, the Cartagena Protocol on Biosafety, and the Nagoya Protocol on Access and Benefit-sharing. The delivery mechanisms proposed in the GEF-7 Programming Directions document offer a variety of project funding opportunities for these subject areas, for instance,</w:t>
      </w:r>
    </w:p>
    <w:p w:rsidR="00273A99" w:rsidRPr="00455AB8" w:rsidRDefault="00273A99" w:rsidP="00E733CD">
      <w:pPr>
        <w:pStyle w:val="Para1"/>
        <w:numPr>
          <w:ilvl w:val="0"/>
          <w:numId w:val="23"/>
        </w:numPr>
        <w:suppressLineNumbers/>
        <w:suppressAutoHyphens/>
        <w:kinsoku w:val="0"/>
        <w:overflowPunct w:val="0"/>
        <w:autoSpaceDE w:val="0"/>
        <w:autoSpaceDN w:val="0"/>
        <w:adjustRightInd w:val="0"/>
        <w:snapToGrid w:val="0"/>
        <w:spacing w:after="0"/>
        <w:ind w:left="1080"/>
        <w:rPr>
          <w:rFonts w:eastAsia="Malgun Gothic" w:cs="Times New Roman"/>
          <w:kern w:val="22"/>
          <w:szCs w:val="22"/>
        </w:rPr>
      </w:pPr>
      <w:r w:rsidRPr="00455AB8">
        <w:rPr>
          <w:rFonts w:eastAsia="Malgun Gothic" w:cs="Times New Roman"/>
          <w:kern w:val="22"/>
          <w:szCs w:val="22"/>
        </w:rPr>
        <w:t>Ecosystem restoration: Food systems, land use and restoration impact program</w:t>
      </w:r>
      <w:r w:rsidR="008A144D" w:rsidRPr="00455AB8">
        <w:rPr>
          <w:rFonts w:eastAsia="Malgun Gothic" w:cs="Times New Roman"/>
          <w:kern w:val="22"/>
          <w:szCs w:val="22"/>
        </w:rPr>
        <w:t>me;</w:t>
      </w:r>
    </w:p>
    <w:p w:rsidR="00273A99" w:rsidRPr="00455AB8" w:rsidRDefault="00273A99" w:rsidP="00E733CD">
      <w:pPr>
        <w:pStyle w:val="Para1"/>
        <w:numPr>
          <w:ilvl w:val="0"/>
          <w:numId w:val="23"/>
        </w:numPr>
        <w:suppressLineNumbers/>
        <w:suppressAutoHyphens/>
        <w:kinsoku w:val="0"/>
        <w:overflowPunct w:val="0"/>
        <w:autoSpaceDE w:val="0"/>
        <w:autoSpaceDN w:val="0"/>
        <w:adjustRightInd w:val="0"/>
        <w:snapToGrid w:val="0"/>
        <w:spacing w:after="0"/>
        <w:ind w:left="1080"/>
        <w:rPr>
          <w:rFonts w:eastAsia="Malgun Gothic" w:cs="Times New Roman"/>
          <w:kern w:val="22"/>
          <w:szCs w:val="22"/>
        </w:rPr>
      </w:pPr>
      <w:r w:rsidRPr="00455AB8">
        <w:rPr>
          <w:rFonts w:eastAsia="Malgun Gothic" w:cs="Times New Roman"/>
          <w:kern w:val="22"/>
          <w:szCs w:val="22"/>
        </w:rPr>
        <w:t>Strategic Plan: Enabling activities</w:t>
      </w:r>
      <w:r w:rsidR="008A144D" w:rsidRPr="00455AB8">
        <w:rPr>
          <w:rFonts w:eastAsia="Malgun Gothic" w:cs="Times New Roman"/>
          <w:kern w:val="22"/>
          <w:szCs w:val="22"/>
        </w:rPr>
        <w:t>;</w:t>
      </w:r>
    </w:p>
    <w:p w:rsidR="00273A99" w:rsidRPr="00455AB8" w:rsidRDefault="00273A99" w:rsidP="00E733CD">
      <w:pPr>
        <w:pStyle w:val="Para1"/>
        <w:numPr>
          <w:ilvl w:val="0"/>
          <w:numId w:val="23"/>
        </w:numPr>
        <w:suppressLineNumbers/>
        <w:suppressAutoHyphens/>
        <w:kinsoku w:val="0"/>
        <w:overflowPunct w:val="0"/>
        <w:autoSpaceDE w:val="0"/>
        <w:autoSpaceDN w:val="0"/>
        <w:adjustRightInd w:val="0"/>
        <w:snapToGrid w:val="0"/>
        <w:spacing w:after="0"/>
        <w:ind w:left="1080"/>
        <w:rPr>
          <w:rFonts w:eastAsia="Malgun Gothic" w:cs="Times New Roman"/>
          <w:kern w:val="22"/>
          <w:szCs w:val="22"/>
        </w:rPr>
      </w:pPr>
      <w:r w:rsidRPr="00455AB8">
        <w:rPr>
          <w:rFonts w:eastAsia="Malgun Gothic" w:cs="Times New Roman"/>
          <w:kern w:val="22"/>
          <w:szCs w:val="22"/>
        </w:rPr>
        <w:t>Aichi Targets 11 and 12: Global protected area estate, global wildlife program</w:t>
      </w:r>
      <w:r w:rsidR="008A144D" w:rsidRPr="00455AB8">
        <w:rPr>
          <w:rFonts w:eastAsia="Malgun Gothic" w:cs="Times New Roman"/>
          <w:kern w:val="22"/>
          <w:szCs w:val="22"/>
        </w:rPr>
        <w:t>me;</w:t>
      </w:r>
    </w:p>
    <w:p w:rsidR="00273A99" w:rsidRPr="00455AB8" w:rsidRDefault="00273A99" w:rsidP="00E733CD">
      <w:pPr>
        <w:pStyle w:val="Para1"/>
        <w:numPr>
          <w:ilvl w:val="0"/>
          <w:numId w:val="23"/>
        </w:numPr>
        <w:suppressLineNumbers/>
        <w:suppressAutoHyphens/>
        <w:kinsoku w:val="0"/>
        <w:overflowPunct w:val="0"/>
        <w:autoSpaceDE w:val="0"/>
        <w:autoSpaceDN w:val="0"/>
        <w:adjustRightInd w:val="0"/>
        <w:snapToGrid w:val="0"/>
        <w:spacing w:after="0"/>
        <w:ind w:left="1080"/>
        <w:rPr>
          <w:rFonts w:eastAsia="Malgun Gothic" w:cs="Times New Roman"/>
          <w:kern w:val="22"/>
          <w:szCs w:val="22"/>
        </w:rPr>
      </w:pPr>
      <w:r w:rsidRPr="00455AB8">
        <w:rPr>
          <w:rFonts w:eastAsia="Malgun Gothic" w:cs="Times New Roman"/>
          <w:kern w:val="22"/>
          <w:szCs w:val="22"/>
        </w:rPr>
        <w:t>Sixth national report: Enabling activities</w:t>
      </w:r>
      <w:r w:rsidR="008A144D" w:rsidRPr="00455AB8">
        <w:rPr>
          <w:rFonts w:eastAsia="Malgun Gothic" w:cs="Times New Roman"/>
          <w:kern w:val="22"/>
          <w:szCs w:val="22"/>
        </w:rPr>
        <w:t>;</w:t>
      </w:r>
    </w:p>
    <w:p w:rsidR="00273A99" w:rsidRPr="00455AB8" w:rsidRDefault="00273A99" w:rsidP="00E733CD">
      <w:pPr>
        <w:pStyle w:val="Para1"/>
        <w:numPr>
          <w:ilvl w:val="0"/>
          <w:numId w:val="23"/>
        </w:numPr>
        <w:suppressLineNumbers/>
        <w:suppressAutoHyphens/>
        <w:kinsoku w:val="0"/>
        <w:overflowPunct w:val="0"/>
        <w:autoSpaceDE w:val="0"/>
        <w:autoSpaceDN w:val="0"/>
        <w:adjustRightInd w:val="0"/>
        <w:snapToGrid w:val="0"/>
        <w:spacing w:after="0"/>
        <w:ind w:left="1080"/>
        <w:rPr>
          <w:rFonts w:eastAsia="Malgun Gothic" w:cs="Times New Roman"/>
          <w:kern w:val="22"/>
          <w:szCs w:val="22"/>
        </w:rPr>
      </w:pPr>
      <w:r w:rsidRPr="00455AB8">
        <w:rPr>
          <w:rFonts w:eastAsia="Malgun Gothic" w:cs="Times New Roman"/>
          <w:kern w:val="22"/>
          <w:szCs w:val="22"/>
        </w:rPr>
        <w:t>Cross-sectoral mainstreaming: biodiversity mainstreaming in priorities sectors, impact program</w:t>
      </w:r>
      <w:r w:rsidR="008A144D" w:rsidRPr="00455AB8">
        <w:rPr>
          <w:rFonts w:eastAsia="Malgun Gothic" w:cs="Times New Roman"/>
          <w:kern w:val="22"/>
          <w:szCs w:val="22"/>
        </w:rPr>
        <w:t>me</w:t>
      </w:r>
      <w:r w:rsidRPr="00455AB8">
        <w:rPr>
          <w:rFonts w:eastAsia="Malgun Gothic" w:cs="Times New Roman"/>
          <w:kern w:val="22"/>
          <w:szCs w:val="22"/>
        </w:rPr>
        <w:t>s and natural capital</w:t>
      </w:r>
      <w:r w:rsidR="008A144D" w:rsidRPr="00455AB8">
        <w:rPr>
          <w:rFonts w:eastAsia="Malgun Gothic" w:cs="Times New Roman"/>
          <w:kern w:val="22"/>
          <w:szCs w:val="22"/>
        </w:rPr>
        <w:t>;</w:t>
      </w:r>
    </w:p>
    <w:p w:rsidR="00273A99" w:rsidRPr="00455AB8" w:rsidRDefault="00273A99" w:rsidP="00E733CD">
      <w:pPr>
        <w:pStyle w:val="Para1"/>
        <w:numPr>
          <w:ilvl w:val="0"/>
          <w:numId w:val="23"/>
        </w:numPr>
        <w:suppressLineNumbers/>
        <w:suppressAutoHyphens/>
        <w:kinsoku w:val="0"/>
        <w:overflowPunct w:val="0"/>
        <w:autoSpaceDE w:val="0"/>
        <w:autoSpaceDN w:val="0"/>
        <w:adjustRightInd w:val="0"/>
        <w:snapToGrid w:val="0"/>
        <w:spacing w:after="0"/>
        <w:ind w:left="1080"/>
        <w:rPr>
          <w:rFonts w:eastAsia="Malgun Gothic" w:cs="Times New Roman"/>
          <w:kern w:val="22"/>
          <w:szCs w:val="22"/>
        </w:rPr>
      </w:pPr>
      <w:r w:rsidRPr="00455AB8">
        <w:rPr>
          <w:rFonts w:eastAsia="Malgun Gothic" w:cs="Times New Roman"/>
          <w:kern w:val="22"/>
          <w:szCs w:val="22"/>
        </w:rPr>
        <w:t>Traditional knowledge: Inclusive conservation</w:t>
      </w:r>
      <w:r w:rsidR="008A144D" w:rsidRPr="00455AB8">
        <w:rPr>
          <w:rFonts w:eastAsia="Malgun Gothic" w:cs="Times New Roman"/>
          <w:kern w:val="22"/>
          <w:szCs w:val="22"/>
        </w:rPr>
        <w:t>;</w:t>
      </w:r>
    </w:p>
    <w:p w:rsidR="00273A99" w:rsidRPr="00455AB8" w:rsidRDefault="00273A99" w:rsidP="00E733CD">
      <w:pPr>
        <w:pStyle w:val="Para1"/>
        <w:numPr>
          <w:ilvl w:val="0"/>
          <w:numId w:val="23"/>
        </w:numPr>
        <w:suppressLineNumbers/>
        <w:suppressAutoHyphens/>
        <w:kinsoku w:val="0"/>
        <w:overflowPunct w:val="0"/>
        <w:autoSpaceDE w:val="0"/>
        <w:autoSpaceDN w:val="0"/>
        <w:adjustRightInd w:val="0"/>
        <w:snapToGrid w:val="0"/>
        <w:spacing w:after="0"/>
        <w:ind w:left="1080"/>
        <w:rPr>
          <w:rFonts w:eastAsia="Malgun Gothic" w:cs="Times New Roman"/>
          <w:kern w:val="22"/>
          <w:szCs w:val="22"/>
        </w:rPr>
      </w:pPr>
      <w:r w:rsidRPr="00455AB8">
        <w:rPr>
          <w:rFonts w:eastAsia="Malgun Gothic" w:cs="Times New Roman"/>
          <w:kern w:val="22"/>
          <w:szCs w:val="22"/>
        </w:rPr>
        <w:t>Cartagena Protocol on Biosafety: Implementation programme</w:t>
      </w:r>
      <w:r w:rsidR="008A144D" w:rsidRPr="00455AB8">
        <w:rPr>
          <w:rFonts w:eastAsia="Malgun Gothic" w:cs="Times New Roman"/>
          <w:kern w:val="22"/>
          <w:szCs w:val="22"/>
        </w:rPr>
        <w:t>;</w:t>
      </w:r>
    </w:p>
    <w:p w:rsidR="00273A99" w:rsidRPr="00455AB8" w:rsidRDefault="00273A99" w:rsidP="00E733CD">
      <w:pPr>
        <w:pStyle w:val="Para1"/>
        <w:numPr>
          <w:ilvl w:val="0"/>
          <w:numId w:val="23"/>
        </w:numPr>
        <w:suppressLineNumbers/>
        <w:suppressAutoHyphens/>
        <w:kinsoku w:val="0"/>
        <w:overflowPunct w:val="0"/>
        <w:autoSpaceDE w:val="0"/>
        <w:autoSpaceDN w:val="0"/>
        <w:adjustRightInd w:val="0"/>
        <w:snapToGrid w:val="0"/>
        <w:ind w:left="1080"/>
        <w:rPr>
          <w:rFonts w:eastAsia="Malgun Gothic" w:cs="Times New Roman"/>
          <w:kern w:val="22"/>
          <w:szCs w:val="22"/>
        </w:rPr>
      </w:pPr>
      <w:r w:rsidRPr="00455AB8">
        <w:rPr>
          <w:rFonts w:eastAsia="Malgun Gothic" w:cs="Times New Roman"/>
          <w:kern w:val="22"/>
          <w:szCs w:val="22"/>
        </w:rPr>
        <w:t>Nagoya Protocol on Access and Benefit-sharing: Implementation programme</w:t>
      </w:r>
      <w:r w:rsidR="008A144D" w:rsidRPr="00455AB8">
        <w:rPr>
          <w:rFonts w:eastAsia="Malgun Gothic" w:cs="Times New Roman"/>
          <w:kern w:val="22"/>
          <w:szCs w:val="22"/>
        </w:rPr>
        <w:t>;</w:t>
      </w:r>
    </w:p>
    <w:p w:rsidR="00273A99" w:rsidRPr="00E733CD" w:rsidRDefault="00BC1B79" w:rsidP="00E733CD">
      <w:pPr>
        <w:pStyle w:val="Heading2"/>
        <w:suppressLineNumbers/>
        <w:suppressAutoHyphens/>
        <w:kinsoku w:val="0"/>
        <w:overflowPunct w:val="0"/>
        <w:autoSpaceDE w:val="0"/>
        <w:autoSpaceDN w:val="0"/>
        <w:adjustRightInd w:val="0"/>
        <w:snapToGrid w:val="0"/>
        <w:rPr>
          <w:rFonts w:cs="Times New Roman"/>
          <w:snapToGrid w:val="0"/>
          <w:kern w:val="22"/>
          <w:szCs w:val="22"/>
        </w:rPr>
      </w:pPr>
      <w:r w:rsidRPr="00E733CD">
        <w:rPr>
          <w:rFonts w:cs="Times New Roman"/>
          <w:snapToGrid w:val="0"/>
          <w:kern w:val="22"/>
          <w:szCs w:val="22"/>
        </w:rPr>
        <w:t>B.</w:t>
      </w:r>
      <w:r w:rsidRPr="00E733CD">
        <w:rPr>
          <w:rFonts w:cs="Times New Roman"/>
          <w:snapToGrid w:val="0"/>
          <w:kern w:val="22"/>
          <w:szCs w:val="22"/>
        </w:rPr>
        <w:tab/>
      </w:r>
      <w:r w:rsidR="00273A99" w:rsidRPr="00E733CD">
        <w:rPr>
          <w:rFonts w:cs="Times New Roman"/>
          <w:snapToGrid w:val="0"/>
          <w:kern w:val="22"/>
          <w:szCs w:val="22"/>
        </w:rPr>
        <w:t>Future development of guidance</w:t>
      </w:r>
    </w:p>
    <w:p w:rsidR="00576E4E" w:rsidRPr="00455AB8" w:rsidRDefault="00E407A1" w:rsidP="00E733CD">
      <w:pPr>
        <w:pStyle w:val="Para1"/>
        <w:numPr>
          <w:ilvl w:val="0"/>
          <w:numId w:val="14"/>
        </w:numPr>
        <w:suppressLineNumbers/>
        <w:tabs>
          <w:tab w:val="num" w:pos="720"/>
        </w:tabs>
        <w:suppressAutoHyphens/>
        <w:kinsoku w:val="0"/>
        <w:overflowPunct w:val="0"/>
        <w:autoSpaceDE w:val="0"/>
        <w:autoSpaceDN w:val="0"/>
        <w:adjustRightInd w:val="0"/>
        <w:snapToGrid w:val="0"/>
        <w:ind w:left="0" w:firstLine="0"/>
        <w:rPr>
          <w:rFonts w:cs="Times New Roman"/>
          <w:kern w:val="22"/>
          <w:szCs w:val="22"/>
        </w:rPr>
      </w:pPr>
      <w:r w:rsidRPr="00E733CD">
        <w:rPr>
          <w:rFonts w:cs="Times New Roman"/>
          <w:kern w:val="22"/>
          <w:szCs w:val="22"/>
        </w:rPr>
        <w:t>The guidance from the Conference of the Parties consists of a consolidation of existing further guidance and a four-year framework of programme priorities coinciding with a replenishment cycle of GEF Trust Fund</w:t>
      </w:r>
      <w:r w:rsidR="001E41D1" w:rsidRPr="00E733CD">
        <w:rPr>
          <w:rFonts w:cs="Times New Roman"/>
          <w:kern w:val="22"/>
          <w:szCs w:val="22"/>
        </w:rPr>
        <w:t xml:space="preserve">. While the development of the first </w:t>
      </w:r>
      <w:r w:rsidR="007A2503" w:rsidRPr="00455AB8">
        <w:rPr>
          <w:rFonts w:cs="Times New Roman"/>
          <w:kern w:val="22"/>
          <w:szCs w:val="22"/>
        </w:rPr>
        <w:t>four-year outcome oriented framework of programme priorities, developed to cover the period</w:t>
      </w:r>
      <w:r w:rsidR="001E41D1" w:rsidRPr="00E039F4">
        <w:rPr>
          <w:rFonts w:cs="Times New Roman"/>
          <w:kern w:val="22"/>
          <w:szCs w:val="22"/>
        </w:rPr>
        <w:t xml:space="preserve"> of GEF-</w:t>
      </w:r>
      <w:r w:rsidR="00C3286A" w:rsidRPr="00E039F4">
        <w:rPr>
          <w:rFonts w:cs="Times New Roman"/>
          <w:kern w:val="22"/>
          <w:szCs w:val="22"/>
        </w:rPr>
        <w:t>5</w:t>
      </w:r>
      <w:r w:rsidR="001E41D1" w:rsidRPr="00E039F4">
        <w:rPr>
          <w:rFonts w:cs="Times New Roman"/>
          <w:kern w:val="22"/>
          <w:szCs w:val="22"/>
        </w:rPr>
        <w:t xml:space="preserve"> (</w:t>
      </w:r>
      <w:r w:rsidR="007A2503" w:rsidRPr="00E039F4">
        <w:rPr>
          <w:rFonts w:cs="Times New Roman"/>
          <w:kern w:val="22"/>
          <w:szCs w:val="22"/>
        </w:rPr>
        <w:t>2010-2014</w:t>
      </w:r>
      <w:r w:rsidR="001E41D1" w:rsidRPr="00E039F4">
        <w:rPr>
          <w:rFonts w:cs="Times New Roman"/>
          <w:kern w:val="22"/>
          <w:szCs w:val="22"/>
        </w:rPr>
        <w:t>)</w:t>
      </w:r>
      <w:r w:rsidR="007A2503" w:rsidRPr="00E039F4">
        <w:rPr>
          <w:rFonts w:cs="Times New Roman"/>
          <w:kern w:val="22"/>
          <w:szCs w:val="22"/>
        </w:rPr>
        <w:t xml:space="preserve">, </w:t>
      </w:r>
      <w:r w:rsidR="001E41D1" w:rsidRPr="00E039F4">
        <w:rPr>
          <w:rFonts w:cs="Times New Roman"/>
          <w:kern w:val="22"/>
          <w:szCs w:val="22"/>
        </w:rPr>
        <w:t xml:space="preserve">preceded the adoption of the </w:t>
      </w:r>
      <w:r w:rsidR="007A2503" w:rsidRPr="00E039F4">
        <w:rPr>
          <w:rFonts w:cs="Times New Roman"/>
          <w:kern w:val="22"/>
          <w:szCs w:val="22"/>
        </w:rPr>
        <w:t>Strategic Plan for Biodiversity 2011-2020</w:t>
      </w:r>
      <w:r w:rsidR="001E41D1" w:rsidRPr="00455AB8">
        <w:rPr>
          <w:rFonts w:cs="Times New Roman"/>
          <w:kern w:val="22"/>
          <w:szCs w:val="22"/>
        </w:rPr>
        <w:t xml:space="preserve"> in 2010, </w:t>
      </w:r>
      <w:r w:rsidR="002F4F51" w:rsidRPr="00455AB8">
        <w:rPr>
          <w:rFonts w:cs="Times New Roman"/>
          <w:kern w:val="22"/>
          <w:szCs w:val="22"/>
        </w:rPr>
        <w:t>the following two four-years frameworks</w:t>
      </w:r>
      <w:r w:rsidR="00C3286A" w:rsidRPr="00455AB8">
        <w:rPr>
          <w:rFonts w:cs="Times New Roman"/>
          <w:kern w:val="22"/>
          <w:szCs w:val="22"/>
        </w:rPr>
        <w:t xml:space="preserve"> followed a strategic sequencing logic, in the sense that the four-year outcome oriented framework of programme priorities for GEF-6 provided broad guidance to implement the recent Strategic Plans, adopted under the Convention and the Cartagena Protocol, as well as the specific guidance developed under the Nagoya Protocol, while the four-year outcome oriented framework of programme priorities for GEF-</w:t>
      </w:r>
      <w:r w:rsidR="008A4186" w:rsidRPr="00455AB8">
        <w:rPr>
          <w:rFonts w:cs="Times New Roman"/>
          <w:kern w:val="22"/>
          <w:szCs w:val="22"/>
        </w:rPr>
        <w:t>7</w:t>
      </w:r>
      <w:r w:rsidR="00C3286A" w:rsidRPr="00455AB8">
        <w:rPr>
          <w:rFonts w:cs="Times New Roman"/>
          <w:kern w:val="22"/>
          <w:szCs w:val="22"/>
        </w:rPr>
        <w:t xml:space="preserve"> </w:t>
      </w:r>
      <w:r w:rsidR="008A4186" w:rsidRPr="00455AB8">
        <w:rPr>
          <w:rFonts w:cs="Times New Roman"/>
          <w:kern w:val="22"/>
          <w:szCs w:val="22"/>
        </w:rPr>
        <w:t xml:space="preserve">highlighted areas where additional funding from GEF would provide the necessary support to achieve the current Strategic Plan in its remaining years, as well as prioritized support for key enabling activities, in particular those which will become important for the post-2020 period. However, the two frameworks were developed independently and, from this perspective, this strategic sequencing could be further strengthened and integrated under the successor agreement to the current Strategic Plan, ideally setting </w:t>
      </w:r>
      <w:r w:rsidR="007A2503" w:rsidRPr="00455AB8">
        <w:rPr>
          <w:rFonts w:cs="Times New Roman"/>
          <w:kern w:val="22"/>
          <w:szCs w:val="22"/>
        </w:rPr>
        <w:t xml:space="preserve">out a road map for financing the implementation of the </w:t>
      </w:r>
      <w:r w:rsidR="008A4186" w:rsidRPr="00455AB8">
        <w:rPr>
          <w:rFonts w:cs="Times New Roman"/>
          <w:kern w:val="22"/>
          <w:szCs w:val="22"/>
        </w:rPr>
        <w:t xml:space="preserve">successor framework </w:t>
      </w:r>
      <w:r w:rsidR="007A2503" w:rsidRPr="00455AB8">
        <w:rPr>
          <w:rFonts w:cs="Times New Roman"/>
          <w:kern w:val="22"/>
          <w:szCs w:val="22"/>
        </w:rPr>
        <w:t>through</w:t>
      </w:r>
      <w:r w:rsidR="008A4186" w:rsidRPr="00455AB8">
        <w:rPr>
          <w:rFonts w:cs="Times New Roman"/>
          <w:kern w:val="22"/>
          <w:szCs w:val="22"/>
        </w:rPr>
        <w:t>out</w:t>
      </w:r>
      <w:r w:rsidR="007A2503" w:rsidRPr="00455AB8">
        <w:rPr>
          <w:rFonts w:cs="Times New Roman"/>
          <w:kern w:val="22"/>
          <w:szCs w:val="22"/>
        </w:rPr>
        <w:t xml:space="preserve"> the </w:t>
      </w:r>
      <w:r w:rsidR="008A4186" w:rsidRPr="00455AB8">
        <w:rPr>
          <w:rFonts w:cs="Times New Roman"/>
          <w:kern w:val="22"/>
          <w:szCs w:val="22"/>
        </w:rPr>
        <w:t xml:space="preserve">coming </w:t>
      </w:r>
      <w:r w:rsidR="007A2503" w:rsidRPr="00455AB8">
        <w:rPr>
          <w:rFonts w:cs="Times New Roman"/>
          <w:kern w:val="22"/>
          <w:szCs w:val="22"/>
        </w:rPr>
        <w:t xml:space="preserve">decade. </w:t>
      </w:r>
      <w:r w:rsidR="00900E5C" w:rsidRPr="00455AB8">
        <w:rPr>
          <w:rFonts w:cs="Times New Roman"/>
          <w:kern w:val="22"/>
          <w:szCs w:val="22"/>
        </w:rPr>
        <w:t xml:space="preserve">At the same time, opportunities could be explored to further improve the design of the </w:t>
      </w:r>
      <w:r w:rsidR="0048598B" w:rsidRPr="00E733CD">
        <w:rPr>
          <w:rFonts w:cs="Times New Roman"/>
          <w:kern w:val="22"/>
          <w:szCs w:val="22"/>
        </w:rPr>
        <w:t>four-year framework of programme priorities</w:t>
      </w:r>
      <w:r w:rsidR="00900E5C" w:rsidRPr="00E733CD">
        <w:rPr>
          <w:rFonts w:cs="Times New Roman"/>
          <w:kern w:val="22"/>
          <w:szCs w:val="22"/>
        </w:rPr>
        <w:t>.</w:t>
      </w:r>
    </w:p>
    <w:p w:rsidR="00D612B8" w:rsidRPr="00E733CD" w:rsidRDefault="006E2E54" w:rsidP="00E733CD">
      <w:pPr>
        <w:pStyle w:val="Heading1"/>
        <w:suppressLineNumbers/>
        <w:tabs>
          <w:tab w:val="clear" w:pos="720"/>
          <w:tab w:val="left" w:pos="360"/>
        </w:tabs>
        <w:suppressAutoHyphens/>
        <w:kinsoku w:val="0"/>
        <w:overflowPunct w:val="0"/>
        <w:autoSpaceDE w:val="0"/>
        <w:autoSpaceDN w:val="0"/>
        <w:adjustRightInd w:val="0"/>
        <w:snapToGrid w:val="0"/>
        <w:spacing w:before="120"/>
        <w:rPr>
          <w:rFonts w:cs="Times New Roman"/>
          <w:snapToGrid w:val="0"/>
          <w:kern w:val="22"/>
          <w:szCs w:val="22"/>
        </w:rPr>
      </w:pPr>
      <w:r w:rsidRPr="00E733CD">
        <w:rPr>
          <w:rFonts w:eastAsia="Malgun Gothic" w:cs="Times New Roman"/>
          <w:snapToGrid w:val="0"/>
          <w:kern w:val="22"/>
          <w:szCs w:val="22"/>
        </w:rPr>
        <w:t>II</w:t>
      </w:r>
      <w:r w:rsidR="00D612B8" w:rsidRPr="00E733CD">
        <w:rPr>
          <w:rFonts w:cs="Times New Roman"/>
          <w:snapToGrid w:val="0"/>
          <w:kern w:val="22"/>
          <w:szCs w:val="22"/>
        </w:rPr>
        <w:t>.</w:t>
      </w:r>
      <w:r w:rsidR="00D612B8" w:rsidRPr="00E733CD">
        <w:rPr>
          <w:rFonts w:cs="Times New Roman"/>
          <w:snapToGrid w:val="0"/>
          <w:kern w:val="22"/>
          <w:szCs w:val="22"/>
        </w:rPr>
        <w:tab/>
        <w:t>R</w:t>
      </w:r>
      <w:r w:rsidR="001721A7" w:rsidRPr="00E733CD">
        <w:rPr>
          <w:rFonts w:cs="Times New Roman"/>
          <w:snapToGrid w:val="0"/>
          <w:kern w:val="22"/>
          <w:szCs w:val="22"/>
        </w:rPr>
        <w:t>eporting from the Council of the Global Environment Facility</w:t>
      </w:r>
    </w:p>
    <w:p w:rsidR="00724468" w:rsidRPr="00E733CD" w:rsidRDefault="00373CEA" w:rsidP="00E733CD">
      <w:pPr>
        <w:pStyle w:val="Para1"/>
        <w:numPr>
          <w:ilvl w:val="0"/>
          <w:numId w:val="14"/>
        </w:numPr>
        <w:suppressLineNumbers/>
        <w:tabs>
          <w:tab w:val="num" w:pos="720"/>
        </w:tabs>
        <w:suppressAutoHyphens/>
        <w:kinsoku w:val="0"/>
        <w:overflowPunct w:val="0"/>
        <w:autoSpaceDE w:val="0"/>
        <w:autoSpaceDN w:val="0"/>
        <w:adjustRightInd w:val="0"/>
        <w:snapToGrid w:val="0"/>
        <w:ind w:left="0" w:firstLine="0"/>
        <w:rPr>
          <w:rFonts w:cs="Times New Roman"/>
          <w:kern w:val="22"/>
          <w:szCs w:val="22"/>
        </w:rPr>
      </w:pPr>
      <w:r w:rsidRPr="00E733CD">
        <w:rPr>
          <w:rFonts w:cs="Times New Roman"/>
          <w:kern w:val="22"/>
          <w:szCs w:val="22"/>
        </w:rPr>
        <w:t xml:space="preserve">The Memorandum of Understanding, adopted in </w:t>
      </w:r>
      <w:r w:rsidR="006B7196" w:rsidRPr="00E733CD">
        <w:rPr>
          <w:rFonts w:cs="Times New Roman"/>
          <w:kern w:val="22"/>
          <w:szCs w:val="22"/>
        </w:rPr>
        <w:t xml:space="preserve">decision III/8, </w:t>
      </w:r>
      <w:r w:rsidRPr="00E733CD">
        <w:rPr>
          <w:rFonts w:cs="Times New Roman"/>
          <w:kern w:val="22"/>
          <w:szCs w:val="22"/>
        </w:rPr>
        <w:t>indicates that t</w:t>
      </w:r>
      <w:r w:rsidR="005C64BF" w:rsidRPr="00E733CD">
        <w:rPr>
          <w:rFonts w:cs="Times New Roman"/>
          <w:kern w:val="22"/>
          <w:szCs w:val="22"/>
        </w:rPr>
        <w:t xml:space="preserve">he reports should </w:t>
      </w:r>
      <w:r w:rsidR="006B7196" w:rsidRPr="00E733CD">
        <w:rPr>
          <w:rFonts w:cs="Times New Roman"/>
          <w:kern w:val="22"/>
          <w:szCs w:val="22"/>
        </w:rPr>
        <w:t xml:space="preserve">include specific information on how the GEF Council, its Secretariat and its Implementing and Executing Agencies have applied the guidance and implemented the policy, strategies, programme priorities and eligibility criteria determined by the Conference of the Parties, as well as any other decision of the Conference of the Parties communicated to GEF, under Article 21 of the Convention. The </w:t>
      </w:r>
      <w:r w:rsidR="005C64BF" w:rsidRPr="00E733CD">
        <w:rPr>
          <w:rFonts w:cs="Times New Roman"/>
          <w:kern w:val="22"/>
          <w:szCs w:val="22"/>
        </w:rPr>
        <w:t xml:space="preserve">GEF </w:t>
      </w:r>
      <w:r w:rsidR="006B7196" w:rsidRPr="00E733CD">
        <w:rPr>
          <w:rFonts w:cs="Times New Roman"/>
          <w:kern w:val="22"/>
          <w:szCs w:val="22"/>
        </w:rPr>
        <w:t>Council should also report on its monitoring and evaluation activities concerning projects in the biodiversity focal area.</w:t>
      </w:r>
      <w:r w:rsidR="005C64BF" w:rsidRPr="00E733CD">
        <w:rPr>
          <w:rFonts w:cs="Times New Roman"/>
          <w:kern w:val="22"/>
          <w:szCs w:val="22"/>
        </w:rPr>
        <w:t xml:space="preserve"> In decision XII/30, </w:t>
      </w:r>
      <w:r w:rsidR="00F21307" w:rsidRPr="00E733CD">
        <w:rPr>
          <w:rFonts w:cs="Times New Roman"/>
          <w:kern w:val="22"/>
          <w:szCs w:val="22"/>
        </w:rPr>
        <w:t>the Conference of the Parties decided that the Global Environment Facility should make available a preliminary draft of its report to the Conference of the Parties, particularly focusing on the response of the Global Environment Facility to previous guidance from the Conference of the Parties, to the Subsidiary Body on Implementation prior to the meeting of the Conference of the Parties at which the report will be formally considered, with a view to promoting effective and timely consideration of the information provided in the report.</w:t>
      </w:r>
    </w:p>
    <w:p w:rsidR="00F73958" w:rsidRPr="00E733CD" w:rsidRDefault="005C64BF" w:rsidP="00E733CD">
      <w:pPr>
        <w:pStyle w:val="Para1"/>
        <w:numPr>
          <w:ilvl w:val="0"/>
          <w:numId w:val="14"/>
        </w:numPr>
        <w:suppressLineNumbers/>
        <w:suppressAutoHyphens/>
        <w:kinsoku w:val="0"/>
        <w:overflowPunct w:val="0"/>
        <w:autoSpaceDE w:val="0"/>
        <w:autoSpaceDN w:val="0"/>
        <w:adjustRightInd w:val="0"/>
        <w:snapToGrid w:val="0"/>
        <w:ind w:left="0" w:firstLine="0"/>
        <w:rPr>
          <w:rFonts w:cs="Times New Roman"/>
          <w:kern w:val="22"/>
          <w:szCs w:val="22"/>
        </w:rPr>
      </w:pPr>
      <w:r w:rsidRPr="00E733CD">
        <w:rPr>
          <w:rFonts w:cs="Times New Roman"/>
          <w:kern w:val="22"/>
          <w:szCs w:val="22"/>
        </w:rPr>
        <w:t xml:space="preserve">Annex II to decision XIII/21 </w:t>
      </w:r>
      <w:r w:rsidR="00F73958" w:rsidRPr="00E733CD">
        <w:rPr>
          <w:rFonts w:cs="Times New Roman"/>
          <w:kern w:val="22"/>
          <w:szCs w:val="22"/>
        </w:rPr>
        <w:t xml:space="preserve">provides a consolidation of requests related to </w:t>
      </w:r>
      <w:r w:rsidR="00830DD4" w:rsidRPr="00E733CD">
        <w:rPr>
          <w:rFonts w:cs="Times New Roman"/>
          <w:kern w:val="22"/>
          <w:szCs w:val="22"/>
        </w:rPr>
        <w:t xml:space="preserve">the </w:t>
      </w:r>
      <w:r w:rsidR="00F73958" w:rsidRPr="00E733CD">
        <w:rPr>
          <w:rFonts w:cs="Times New Roman"/>
          <w:kern w:val="22"/>
          <w:szCs w:val="22"/>
        </w:rPr>
        <w:t xml:space="preserve">report from the GEF Council, including </w:t>
      </w:r>
      <w:r w:rsidR="00373CEA" w:rsidRPr="00E733CD">
        <w:rPr>
          <w:rFonts w:cs="Times New Roman"/>
          <w:kern w:val="22"/>
          <w:szCs w:val="22"/>
        </w:rPr>
        <w:t>(</w:t>
      </w:r>
      <w:r w:rsidR="00BC1B79" w:rsidRPr="00E733CD">
        <w:rPr>
          <w:rFonts w:cs="Times New Roman"/>
          <w:kern w:val="22"/>
          <w:szCs w:val="22"/>
        </w:rPr>
        <w:t>a</w:t>
      </w:r>
      <w:r w:rsidR="00373CEA" w:rsidRPr="00E733CD">
        <w:rPr>
          <w:rFonts w:cs="Times New Roman"/>
          <w:kern w:val="22"/>
          <w:szCs w:val="22"/>
        </w:rPr>
        <w:t>) submitting a preliminary draft, particularly focusing on the response of the Global Environment Facility to previous guidance from the Conference of the Parties, to the Subsidiary Body on Implementation</w:t>
      </w:r>
      <w:r w:rsidR="00830DD4" w:rsidRPr="00E733CD">
        <w:rPr>
          <w:rFonts w:cs="Times New Roman"/>
          <w:kern w:val="22"/>
          <w:szCs w:val="22"/>
        </w:rPr>
        <w:t>; (</w:t>
      </w:r>
      <w:r w:rsidR="00BC1B79" w:rsidRPr="00E733CD">
        <w:rPr>
          <w:rFonts w:cs="Times New Roman"/>
          <w:kern w:val="22"/>
          <w:szCs w:val="22"/>
        </w:rPr>
        <w:t>b</w:t>
      </w:r>
      <w:r w:rsidR="00830DD4" w:rsidRPr="00E733CD">
        <w:rPr>
          <w:rFonts w:cs="Times New Roman"/>
          <w:kern w:val="22"/>
          <w:szCs w:val="22"/>
        </w:rPr>
        <w:t xml:space="preserve">) </w:t>
      </w:r>
      <w:r w:rsidR="00F73958" w:rsidRPr="00E733CD">
        <w:rPr>
          <w:rFonts w:cs="Times New Roman"/>
          <w:kern w:val="22"/>
          <w:szCs w:val="22"/>
        </w:rPr>
        <w:t xml:space="preserve">information </w:t>
      </w:r>
      <w:r w:rsidR="00830DD4" w:rsidRPr="00E733CD">
        <w:rPr>
          <w:rFonts w:cs="Times New Roman"/>
          <w:kern w:val="22"/>
          <w:szCs w:val="22"/>
        </w:rPr>
        <w:t>on the implementation of the four-year outcome oriented framework of programme priorities and how it responds to the individual elements; (</w:t>
      </w:r>
      <w:r w:rsidR="00BC1B79" w:rsidRPr="00E733CD">
        <w:rPr>
          <w:rFonts w:cs="Times New Roman"/>
          <w:kern w:val="22"/>
          <w:szCs w:val="22"/>
        </w:rPr>
        <w:t>c</w:t>
      </w:r>
      <w:r w:rsidR="00830DD4" w:rsidRPr="00E733CD">
        <w:rPr>
          <w:rFonts w:cs="Times New Roman"/>
          <w:kern w:val="22"/>
          <w:szCs w:val="22"/>
        </w:rPr>
        <w:t>) planned response to the report on the determination of funding requirements.</w:t>
      </w:r>
      <w:r w:rsidR="00F73958" w:rsidRPr="00E733CD">
        <w:rPr>
          <w:rFonts w:cs="Times New Roman"/>
          <w:kern w:val="22"/>
          <w:szCs w:val="22"/>
        </w:rPr>
        <w:t xml:space="preserve"> </w:t>
      </w:r>
      <w:r w:rsidR="00A828F2" w:rsidRPr="00E733CD">
        <w:rPr>
          <w:rFonts w:cs="Times New Roman"/>
          <w:kern w:val="22"/>
          <w:szCs w:val="22"/>
        </w:rPr>
        <w:t>Decision XIII/21 also contains a number of paragraphs providing specific guidance to GEF including requests for specific information to be included in the report.</w:t>
      </w:r>
    </w:p>
    <w:p w:rsidR="00830DD4" w:rsidRPr="00E733CD" w:rsidRDefault="00830DD4" w:rsidP="00E733CD">
      <w:pPr>
        <w:pStyle w:val="Para1"/>
        <w:numPr>
          <w:ilvl w:val="0"/>
          <w:numId w:val="14"/>
        </w:numPr>
        <w:suppressLineNumbers/>
        <w:suppressAutoHyphens/>
        <w:kinsoku w:val="0"/>
        <w:overflowPunct w:val="0"/>
        <w:autoSpaceDE w:val="0"/>
        <w:autoSpaceDN w:val="0"/>
        <w:adjustRightInd w:val="0"/>
        <w:snapToGrid w:val="0"/>
        <w:ind w:left="0" w:firstLine="0"/>
        <w:rPr>
          <w:rFonts w:cs="Times New Roman"/>
          <w:kern w:val="22"/>
          <w:szCs w:val="22"/>
        </w:rPr>
      </w:pPr>
      <w:r w:rsidRPr="00E733CD">
        <w:rPr>
          <w:rFonts w:cs="Times New Roman"/>
          <w:kern w:val="22"/>
          <w:szCs w:val="22"/>
        </w:rPr>
        <w:t>The preliminary draft report of the Global Environment Facility to the fourteenth meeting of the Conference of the Parties is available in document CBD/SBI/2/8/Add.1, for consideration by the Subsidiary Body.</w:t>
      </w:r>
      <w:r w:rsidR="00A828F2" w:rsidRPr="00E733CD">
        <w:rPr>
          <w:rFonts w:cs="Times New Roman"/>
          <w:kern w:val="22"/>
          <w:szCs w:val="22"/>
        </w:rPr>
        <w:t xml:space="preserve"> The responses provided by the GEF Council to the guidance contained in </w:t>
      </w:r>
      <w:r w:rsidR="00A618D6" w:rsidRPr="00E733CD">
        <w:rPr>
          <w:rFonts w:cs="Times New Roman"/>
          <w:kern w:val="22"/>
          <w:szCs w:val="22"/>
        </w:rPr>
        <w:t>d</w:t>
      </w:r>
      <w:r w:rsidR="00A828F2" w:rsidRPr="00E733CD">
        <w:rPr>
          <w:rFonts w:cs="Times New Roman"/>
          <w:kern w:val="22"/>
          <w:szCs w:val="22"/>
        </w:rPr>
        <w:t xml:space="preserve">ecision XIII/21 </w:t>
      </w:r>
      <w:r w:rsidR="00BC1B79" w:rsidRPr="00E733CD">
        <w:rPr>
          <w:rFonts w:cs="Times New Roman"/>
          <w:kern w:val="22"/>
          <w:szCs w:val="22"/>
        </w:rPr>
        <w:t xml:space="preserve">are </w:t>
      </w:r>
      <w:r w:rsidR="00795830">
        <w:rPr>
          <w:rFonts w:cs="Times New Roman"/>
          <w:kern w:val="22"/>
          <w:szCs w:val="22"/>
        </w:rPr>
        <w:t>provided in t</w:t>
      </w:r>
      <w:r w:rsidR="00A828F2" w:rsidRPr="00E733CD">
        <w:rPr>
          <w:rFonts w:cs="Times New Roman"/>
          <w:kern w:val="22"/>
          <w:szCs w:val="22"/>
        </w:rPr>
        <w:t xml:space="preserve">able 1 of </w:t>
      </w:r>
      <w:r w:rsidR="006E2E54" w:rsidRPr="00E733CD">
        <w:rPr>
          <w:rFonts w:cs="Times New Roman"/>
          <w:kern w:val="22"/>
          <w:szCs w:val="22"/>
        </w:rPr>
        <w:t>its</w:t>
      </w:r>
      <w:r w:rsidR="00A828F2" w:rsidRPr="00E733CD">
        <w:rPr>
          <w:rFonts w:cs="Times New Roman"/>
          <w:kern w:val="22"/>
          <w:szCs w:val="22"/>
        </w:rPr>
        <w:t xml:space="preserve"> report.</w:t>
      </w:r>
    </w:p>
    <w:p w:rsidR="00933415" w:rsidRPr="00E733CD" w:rsidRDefault="006E2E54" w:rsidP="00E733CD">
      <w:pPr>
        <w:pStyle w:val="Heading1"/>
        <w:suppressLineNumbers/>
        <w:tabs>
          <w:tab w:val="clear" w:pos="720"/>
          <w:tab w:val="left" w:pos="450"/>
        </w:tabs>
        <w:suppressAutoHyphens/>
        <w:kinsoku w:val="0"/>
        <w:overflowPunct w:val="0"/>
        <w:autoSpaceDE w:val="0"/>
        <w:autoSpaceDN w:val="0"/>
        <w:adjustRightInd w:val="0"/>
        <w:snapToGrid w:val="0"/>
        <w:spacing w:before="120"/>
        <w:rPr>
          <w:rFonts w:cs="Times New Roman"/>
          <w:snapToGrid w:val="0"/>
          <w:kern w:val="22"/>
          <w:szCs w:val="22"/>
        </w:rPr>
      </w:pPr>
      <w:r w:rsidRPr="00E733CD">
        <w:rPr>
          <w:rFonts w:cs="Times New Roman"/>
          <w:snapToGrid w:val="0"/>
          <w:kern w:val="22"/>
          <w:szCs w:val="22"/>
        </w:rPr>
        <w:t>III</w:t>
      </w:r>
      <w:r w:rsidR="0081660B" w:rsidRPr="00E733CD">
        <w:rPr>
          <w:rFonts w:cs="Times New Roman"/>
          <w:snapToGrid w:val="0"/>
          <w:kern w:val="22"/>
          <w:szCs w:val="22"/>
        </w:rPr>
        <w:t>.</w:t>
      </w:r>
      <w:r w:rsidR="0081660B" w:rsidRPr="00E733CD">
        <w:rPr>
          <w:rFonts w:cs="Times New Roman"/>
          <w:snapToGrid w:val="0"/>
          <w:kern w:val="22"/>
          <w:szCs w:val="22"/>
        </w:rPr>
        <w:tab/>
      </w:r>
      <w:r w:rsidR="00D612B8" w:rsidRPr="00E733CD">
        <w:rPr>
          <w:rFonts w:cs="Times New Roman"/>
          <w:snapToGrid w:val="0"/>
          <w:kern w:val="22"/>
          <w:szCs w:val="22"/>
        </w:rPr>
        <w:t>M</w:t>
      </w:r>
      <w:r w:rsidR="006E247D" w:rsidRPr="00E733CD">
        <w:rPr>
          <w:rFonts w:cs="Times New Roman"/>
          <w:snapToGrid w:val="0"/>
          <w:kern w:val="22"/>
          <w:szCs w:val="22"/>
        </w:rPr>
        <w:t>onitoring and Evaluation</w:t>
      </w:r>
    </w:p>
    <w:p w:rsidR="009264E6" w:rsidRPr="00E733CD" w:rsidRDefault="009264E6" w:rsidP="00E733CD">
      <w:pPr>
        <w:pStyle w:val="Heading2"/>
        <w:numPr>
          <w:ilvl w:val="0"/>
          <w:numId w:val="47"/>
        </w:numPr>
        <w:suppressLineNumbers/>
        <w:tabs>
          <w:tab w:val="clear" w:pos="720"/>
          <w:tab w:val="left" w:pos="360"/>
        </w:tabs>
        <w:suppressAutoHyphens/>
        <w:kinsoku w:val="0"/>
        <w:overflowPunct w:val="0"/>
        <w:autoSpaceDE w:val="0"/>
        <w:autoSpaceDN w:val="0"/>
        <w:adjustRightInd w:val="0"/>
        <w:snapToGrid w:val="0"/>
        <w:ind w:left="0" w:firstLine="0"/>
        <w:rPr>
          <w:rFonts w:cs="Times New Roman"/>
          <w:snapToGrid w:val="0"/>
          <w:kern w:val="22"/>
          <w:szCs w:val="22"/>
        </w:rPr>
      </w:pPr>
      <w:r w:rsidRPr="00E733CD">
        <w:rPr>
          <w:rFonts w:cs="Times New Roman"/>
          <w:snapToGrid w:val="0"/>
          <w:kern w:val="22"/>
          <w:szCs w:val="22"/>
        </w:rPr>
        <w:t>Fifth review of effectiveness of the financial mechanism</w:t>
      </w:r>
    </w:p>
    <w:p w:rsidR="00A36429" w:rsidRPr="00E733CD" w:rsidRDefault="00B01312" w:rsidP="00E733CD">
      <w:pPr>
        <w:numPr>
          <w:ilvl w:val="0"/>
          <w:numId w:val="14"/>
        </w:numPr>
        <w:suppressLineNumbers/>
        <w:suppressAutoHyphens/>
        <w:kinsoku w:val="0"/>
        <w:overflowPunct w:val="0"/>
        <w:autoSpaceDE w:val="0"/>
        <w:autoSpaceDN w:val="0"/>
        <w:adjustRightInd w:val="0"/>
        <w:snapToGrid w:val="0"/>
        <w:spacing w:after="120"/>
        <w:ind w:left="0" w:firstLine="0"/>
        <w:rPr>
          <w:rFonts w:cs="Times New Roman"/>
          <w:snapToGrid w:val="0"/>
          <w:kern w:val="22"/>
          <w:szCs w:val="22"/>
        </w:rPr>
      </w:pPr>
      <w:r w:rsidRPr="00455AB8">
        <w:rPr>
          <w:rFonts w:cs="Times New Roman"/>
          <w:snapToGrid w:val="0"/>
          <w:kern w:val="22"/>
          <w:szCs w:val="22"/>
        </w:rPr>
        <w:t>In decision XIII/21, the Conference of the Parties requested the Executive Secretary t</w:t>
      </w:r>
      <w:r w:rsidR="00247254" w:rsidRPr="00E039F4">
        <w:rPr>
          <w:rFonts w:cs="Times New Roman"/>
          <w:snapToGrid w:val="0"/>
          <w:kern w:val="22"/>
          <w:szCs w:val="22"/>
        </w:rPr>
        <w:t>o</w:t>
      </w:r>
      <w:r w:rsidR="00247254" w:rsidRPr="00E733CD">
        <w:rPr>
          <w:rFonts w:cs="Times New Roman"/>
          <w:snapToGrid w:val="0"/>
          <w:kern w:val="22"/>
          <w:szCs w:val="22"/>
        </w:rPr>
        <w:t xml:space="preserve"> </w:t>
      </w:r>
      <w:r w:rsidR="00247254" w:rsidRPr="00455AB8">
        <w:rPr>
          <w:rFonts w:cs="Times New Roman"/>
          <w:snapToGrid w:val="0"/>
          <w:kern w:val="22"/>
          <w:szCs w:val="22"/>
        </w:rPr>
        <w:t xml:space="preserve">ensure the implementation of the fifth review of the effectiveness of the financial </w:t>
      </w:r>
      <w:r w:rsidR="00247254" w:rsidRPr="00E039F4">
        <w:rPr>
          <w:rFonts w:cs="Times New Roman"/>
          <w:snapToGrid w:val="0"/>
          <w:kern w:val="22"/>
          <w:szCs w:val="22"/>
        </w:rPr>
        <w:t>mechanism according to the terms of reference (para</w:t>
      </w:r>
      <w:r w:rsidR="00BC1B79" w:rsidRPr="00E039F4">
        <w:rPr>
          <w:rFonts w:cs="Times New Roman"/>
          <w:snapToGrid w:val="0"/>
          <w:kern w:val="22"/>
          <w:szCs w:val="22"/>
        </w:rPr>
        <w:t>.</w:t>
      </w:r>
      <w:r w:rsidR="00247254" w:rsidRPr="00E039F4">
        <w:rPr>
          <w:rFonts w:cs="Times New Roman"/>
          <w:snapToGrid w:val="0"/>
          <w:kern w:val="22"/>
          <w:szCs w:val="22"/>
        </w:rPr>
        <w:t xml:space="preserve"> 12), including making it </w:t>
      </w:r>
      <w:r w:rsidRPr="00E039F4">
        <w:rPr>
          <w:rFonts w:cs="Times New Roman"/>
          <w:snapToGrid w:val="0"/>
          <w:kern w:val="22"/>
          <w:szCs w:val="22"/>
        </w:rPr>
        <w:t xml:space="preserve">available for consideration by the second meeting of the Subsidiary Body on Implementation. Due to </w:t>
      </w:r>
      <w:r w:rsidR="00247254" w:rsidRPr="00455AB8">
        <w:rPr>
          <w:rFonts w:cs="Times New Roman"/>
          <w:snapToGrid w:val="0"/>
          <w:kern w:val="22"/>
          <w:szCs w:val="22"/>
        </w:rPr>
        <w:t xml:space="preserve">a </w:t>
      </w:r>
      <w:r w:rsidRPr="00455AB8">
        <w:rPr>
          <w:rFonts w:cs="Times New Roman"/>
          <w:snapToGrid w:val="0"/>
          <w:kern w:val="22"/>
          <w:szCs w:val="22"/>
        </w:rPr>
        <w:t xml:space="preserve">lack of voluntary contributions, it has not been financially possible to contract an experienced independent evaluator to undertake the review, in accordance with the objectives, methodology and criteria set out in the terms of reference </w:t>
      </w:r>
      <w:r w:rsidR="00A36429" w:rsidRPr="00E733CD">
        <w:rPr>
          <w:rFonts w:cs="Times New Roman"/>
          <w:snapToGrid w:val="0"/>
          <w:kern w:val="22"/>
          <w:szCs w:val="22"/>
        </w:rPr>
        <w:t xml:space="preserve">contained in </w:t>
      </w:r>
      <w:r w:rsidR="00BC1B79" w:rsidRPr="00E733CD">
        <w:rPr>
          <w:rFonts w:cs="Times New Roman"/>
          <w:snapToGrid w:val="0"/>
          <w:kern w:val="22"/>
          <w:szCs w:val="22"/>
        </w:rPr>
        <w:t>a</w:t>
      </w:r>
      <w:r w:rsidR="00A36429" w:rsidRPr="00E733CD">
        <w:rPr>
          <w:rFonts w:cs="Times New Roman"/>
          <w:snapToGrid w:val="0"/>
          <w:kern w:val="22"/>
          <w:szCs w:val="22"/>
        </w:rPr>
        <w:t xml:space="preserve">nnex III </w:t>
      </w:r>
      <w:r w:rsidR="00A618D6" w:rsidRPr="00E733CD">
        <w:rPr>
          <w:rFonts w:cs="Times New Roman"/>
          <w:snapToGrid w:val="0"/>
          <w:kern w:val="22"/>
          <w:szCs w:val="22"/>
        </w:rPr>
        <w:t>of</w:t>
      </w:r>
      <w:r w:rsidR="00A36429" w:rsidRPr="00E733CD">
        <w:rPr>
          <w:rFonts w:cs="Times New Roman"/>
          <w:snapToGrid w:val="0"/>
          <w:kern w:val="22"/>
          <w:szCs w:val="22"/>
        </w:rPr>
        <w:t xml:space="preserve"> decision XIII/21. </w:t>
      </w:r>
      <w:r w:rsidR="00272BBD" w:rsidRPr="00E733CD">
        <w:rPr>
          <w:rFonts w:cs="Times New Roman"/>
          <w:snapToGrid w:val="0"/>
          <w:kern w:val="22"/>
          <w:szCs w:val="22"/>
        </w:rPr>
        <w:t>As decision XIII/21 called for considering reports of the GEF Independent Evaluation Office (</w:t>
      </w:r>
      <w:r w:rsidR="00A618D6" w:rsidRPr="00E733CD">
        <w:rPr>
          <w:rFonts w:cs="Times New Roman"/>
          <w:snapToGrid w:val="0"/>
          <w:kern w:val="22"/>
          <w:szCs w:val="22"/>
        </w:rPr>
        <w:t>GEF/</w:t>
      </w:r>
      <w:r w:rsidR="00272BBD" w:rsidRPr="00E733CD">
        <w:rPr>
          <w:rFonts w:cs="Times New Roman"/>
          <w:snapToGrid w:val="0"/>
          <w:kern w:val="22"/>
          <w:szCs w:val="22"/>
        </w:rPr>
        <w:t>IEO) that relate to GEF biodiversity activities within the framework of the financial mechanism, including the sixth comprehensive evaluation of the GEF (OPS6), th</w:t>
      </w:r>
      <w:r w:rsidR="00285386" w:rsidRPr="00E733CD">
        <w:rPr>
          <w:rFonts w:cs="Times New Roman"/>
          <w:snapToGrid w:val="0"/>
          <w:kern w:val="22"/>
          <w:szCs w:val="22"/>
        </w:rPr>
        <w:t>e present</w:t>
      </w:r>
      <w:r w:rsidR="00272BBD" w:rsidRPr="00E733CD">
        <w:rPr>
          <w:rFonts w:cs="Times New Roman"/>
          <w:snapToGrid w:val="0"/>
          <w:kern w:val="22"/>
          <w:szCs w:val="22"/>
        </w:rPr>
        <w:t xml:space="preserve"> section provides a brief </w:t>
      </w:r>
      <w:r w:rsidR="003D7EB4" w:rsidRPr="00E733CD">
        <w:rPr>
          <w:rFonts w:cs="Times New Roman"/>
          <w:snapToGrid w:val="0"/>
          <w:kern w:val="22"/>
          <w:szCs w:val="22"/>
        </w:rPr>
        <w:t xml:space="preserve">overview </w:t>
      </w:r>
      <w:r w:rsidR="00272BBD" w:rsidRPr="00E733CD">
        <w:rPr>
          <w:rFonts w:cs="Times New Roman"/>
          <w:snapToGrid w:val="0"/>
          <w:kern w:val="22"/>
          <w:szCs w:val="22"/>
        </w:rPr>
        <w:t xml:space="preserve">of pertinent evaluation information </w:t>
      </w:r>
      <w:r w:rsidR="003D7EB4" w:rsidRPr="00E733CD">
        <w:rPr>
          <w:rFonts w:cs="Times New Roman"/>
          <w:snapToGrid w:val="0"/>
          <w:kern w:val="22"/>
          <w:szCs w:val="22"/>
        </w:rPr>
        <w:t xml:space="preserve">already </w:t>
      </w:r>
      <w:r w:rsidR="00272BBD" w:rsidRPr="00E733CD">
        <w:rPr>
          <w:rFonts w:cs="Times New Roman"/>
          <w:snapToGrid w:val="0"/>
          <w:kern w:val="22"/>
          <w:szCs w:val="22"/>
        </w:rPr>
        <w:t>available from the GEF Independent Evaluation Office</w:t>
      </w:r>
      <w:r w:rsidR="00A618D6" w:rsidRPr="00E733CD">
        <w:rPr>
          <w:rFonts w:cs="Times New Roman"/>
          <w:snapToGrid w:val="0"/>
          <w:kern w:val="22"/>
          <w:szCs w:val="22"/>
        </w:rPr>
        <w:t>,</w:t>
      </w:r>
      <w:r w:rsidR="00272BBD" w:rsidRPr="00E733CD">
        <w:rPr>
          <w:rFonts w:cs="Times New Roman"/>
          <w:snapToGrid w:val="0"/>
          <w:kern w:val="22"/>
          <w:szCs w:val="22"/>
        </w:rPr>
        <w:t xml:space="preserve"> in order to facilitate the consideration of implementing the fifth review of effectiveness of the financial mechanism by the Subsidiary Body on Implementation at its second meeting</w:t>
      </w:r>
      <w:r w:rsidR="00247254" w:rsidRPr="00E733CD">
        <w:rPr>
          <w:rFonts w:cs="Times New Roman"/>
          <w:snapToGrid w:val="0"/>
          <w:kern w:val="22"/>
          <w:szCs w:val="22"/>
        </w:rPr>
        <w:t>.</w:t>
      </w:r>
      <w:r w:rsidR="003D7EB4" w:rsidRPr="00E733CD">
        <w:rPr>
          <w:rFonts w:cs="Times New Roman"/>
          <w:snapToGrid w:val="0"/>
          <w:kern w:val="22"/>
          <w:szCs w:val="22"/>
        </w:rPr>
        <w:t xml:space="preserve"> A full summary of this information, including the conclusions of the GEF/IEO, is provided in information document CBD/SBI/2/INF/</w:t>
      </w:r>
      <w:r w:rsidR="00285386" w:rsidRPr="00E733CD">
        <w:rPr>
          <w:rFonts w:cs="Times New Roman"/>
          <w:snapToGrid w:val="0"/>
          <w:kern w:val="22"/>
          <w:szCs w:val="22"/>
        </w:rPr>
        <w:t>25</w:t>
      </w:r>
      <w:r w:rsidR="00ED406F" w:rsidRPr="00E733CD">
        <w:rPr>
          <w:rFonts w:cs="Times New Roman"/>
          <w:snapToGrid w:val="0"/>
          <w:kern w:val="22"/>
          <w:szCs w:val="22"/>
        </w:rPr>
        <w:t>.</w:t>
      </w:r>
    </w:p>
    <w:p w:rsidR="006872FB" w:rsidRPr="00E733CD" w:rsidRDefault="006872FB" w:rsidP="00E733CD">
      <w:pPr>
        <w:pStyle w:val="Para1"/>
        <w:numPr>
          <w:ilvl w:val="0"/>
          <w:numId w:val="14"/>
        </w:numPr>
        <w:suppressLineNumbers/>
        <w:tabs>
          <w:tab w:val="num" w:pos="720"/>
        </w:tabs>
        <w:suppressAutoHyphens/>
        <w:kinsoku w:val="0"/>
        <w:overflowPunct w:val="0"/>
        <w:autoSpaceDE w:val="0"/>
        <w:autoSpaceDN w:val="0"/>
        <w:adjustRightInd w:val="0"/>
        <w:snapToGrid w:val="0"/>
        <w:spacing w:before="120" w:after="0"/>
        <w:ind w:left="0" w:firstLine="0"/>
        <w:rPr>
          <w:rFonts w:cs="Times New Roman"/>
          <w:kern w:val="22"/>
          <w:szCs w:val="22"/>
        </w:rPr>
      </w:pPr>
      <w:r w:rsidRPr="00E733CD">
        <w:rPr>
          <w:rFonts w:cs="Times New Roman"/>
          <w:kern w:val="22"/>
          <w:szCs w:val="22"/>
        </w:rPr>
        <w:t>The GEF/IEO has conducted numerous performance evaluations, corporate and country evaluations, and thematic and impact evaluations, as well as focal areas evaluations in the past replenishment cycle, and published the sixth comprehensive evaluation of the GEF in December 2017. Of particular relevance to biodiversity, the GEF/IEO has prepared evaluations on protected areas systems (GEF/ME/C.49/Inf.02, October 2015), species management, and access and benefit</w:t>
      </w:r>
      <w:r w:rsidR="00285386" w:rsidRPr="00E733CD">
        <w:rPr>
          <w:rFonts w:cs="Times New Roman"/>
          <w:kern w:val="22"/>
          <w:szCs w:val="22"/>
        </w:rPr>
        <w:t>-</w:t>
      </w:r>
      <w:r w:rsidRPr="00E733CD">
        <w:rPr>
          <w:rFonts w:cs="Times New Roman"/>
          <w:kern w:val="22"/>
          <w:szCs w:val="22"/>
        </w:rPr>
        <w:t>sharing and the Nagoya Protocol (GEF/ME/C.53/Inf.03, November 2017). The evaluation of GEF support to biodiversity mainstreaming will be available in June 2018.</w:t>
      </w:r>
    </w:p>
    <w:p w:rsidR="006872FB" w:rsidRPr="00E733CD" w:rsidRDefault="006872FB" w:rsidP="00E733CD">
      <w:pPr>
        <w:pStyle w:val="Para1"/>
        <w:numPr>
          <w:ilvl w:val="0"/>
          <w:numId w:val="14"/>
        </w:numPr>
        <w:suppressLineNumbers/>
        <w:tabs>
          <w:tab w:val="num" w:pos="720"/>
        </w:tabs>
        <w:suppressAutoHyphens/>
        <w:kinsoku w:val="0"/>
        <w:overflowPunct w:val="0"/>
        <w:autoSpaceDE w:val="0"/>
        <w:autoSpaceDN w:val="0"/>
        <w:adjustRightInd w:val="0"/>
        <w:snapToGrid w:val="0"/>
        <w:spacing w:before="120"/>
        <w:ind w:left="0" w:firstLine="0"/>
        <w:rPr>
          <w:rFonts w:cs="Times New Roman"/>
          <w:kern w:val="22"/>
          <w:szCs w:val="22"/>
        </w:rPr>
      </w:pPr>
      <w:r w:rsidRPr="00E733CD">
        <w:rPr>
          <w:rFonts w:cs="Times New Roman"/>
          <w:kern w:val="22"/>
          <w:szCs w:val="22"/>
        </w:rPr>
        <w:t>R</w:t>
      </w:r>
      <w:r w:rsidRPr="00455AB8">
        <w:rPr>
          <w:rFonts w:eastAsia="Times New Roman" w:cs="Times New Roman"/>
          <w:kern w:val="22"/>
          <w:szCs w:val="22"/>
        </w:rPr>
        <w:t xml:space="preserve">egarding </w:t>
      </w:r>
      <w:r w:rsidRPr="00E733CD">
        <w:rPr>
          <w:rFonts w:cs="Times New Roman"/>
          <w:kern w:val="22"/>
          <w:szCs w:val="22"/>
        </w:rPr>
        <w:t xml:space="preserve">the list of action that should be taken by the Global Environment Facility to further improve the effectiveness of the financial mechanism, as contained in annex II to decision XIII/21, paragraph 28, as well as the additional action contained in its further guidance in the same decision, the following information has also been </w:t>
      </w:r>
      <w:r w:rsidR="00D56E8B" w:rsidRPr="00E733CD">
        <w:rPr>
          <w:rFonts w:cs="Times New Roman"/>
          <w:kern w:val="22"/>
          <w:szCs w:val="22"/>
        </w:rPr>
        <w:t xml:space="preserve">made </w:t>
      </w:r>
      <w:r w:rsidRPr="00E733CD">
        <w:rPr>
          <w:rFonts w:cs="Times New Roman"/>
          <w:kern w:val="22"/>
          <w:szCs w:val="22"/>
        </w:rPr>
        <w:t>available from the GEF/IEO</w:t>
      </w:r>
      <w:r w:rsidR="003D7EB4" w:rsidRPr="00E733CD">
        <w:rPr>
          <w:rFonts w:cs="Times New Roman"/>
          <w:kern w:val="22"/>
          <w:szCs w:val="22"/>
        </w:rPr>
        <w:t>:</w:t>
      </w:r>
    </w:p>
    <w:p w:rsidR="006872FB" w:rsidRPr="00E733CD" w:rsidRDefault="006872FB" w:rsidP="00E733CD">
      <w:pPr>
        <w:numPr>
          <w:ilvl w:val="0"/>
          <w:numId w:val="44"/>
        </w:numPr>
        <w:suppressLineNumbers/>
        <w:suppressAutoHyphens/>
        <w:kinsoku w:val="0"/>
        <w:overflowPunct w:val="0"/>
        <w:autoSpaceDE w:val="0"/>
        <w:autoSpaceDN w:val="0"/>
        <w:adjustRightInd w:val="0"/>
        <w:snapToGrid w:val="0"/>
        <w:spacing w:after="120"/>
        <w:ind w:left="0" w:firstLine="720"/>
        <w:rPr>
          <w:rFonts w:cs="Times New Roman"/>
          <w:snapToGrid w:val="0"/>
          <w:kern w:val="22"/>
          <w:szCs w:val="22"/>
        </w:rPr>
      </w:pPr>
      <w:r w:rsidRPr="00E733CD">
        <w:rPr>
          <w:rFonts w:cs="Times New Roman"/>
          <w:snapToGrid w:val="0"/>
          <w:kern w:val="22"/>
          <w:szCs w:val="22"/>
        </w:rPr>
        <w:t xml:space="preserve">Including gender in the financing of biodiversity and ecosystem services: </w:t>
      </w:r>
      <w:r w:rsidRPr="00E733CD">
        <w:rPr>
          <w:rFonts w:eastAsia="Times New Roman" w:cs="Times New Roman"/>
          <w:snapToGrid w:val="0"/>
          <w:kern w:val="22"/>
          <w:szCs w:val="22"/>
        </w:rPr>
        <w:t>the evaluation</w:t>
      </w:r>
      <w:r w:rsidRPr="00E733CD">
        <w:rPr>
          <w:rFonts w:cs="Times New Roman"/>
          <w:snapToGrid w:val="0"/>
          <w:kern w:val="22"/>
          <w:szCs w:val="22"/>
        </w:rPr>
        <w:t xml:space="preserve"> of gender mainstreaming in GEF (GEF/ME/C.52/Inf.09, May 2017)</w:t>
      </w:r>
      <w:r w:rsidR="0007070D" w:rsidRPr="00E733CD">
        <w:rPr>
          <w:rFonts w:cs="Times New Roman"/>
          <w:snapToGrid w:val="0"/>
          <w:kern w:val="22"/>
          <w:szCs w:val="22"/>
        </w:rPr>
        <w:t>;</w:t>
      </w:r>
    </w:p>
    <w:p w:rsidR="006872FB" w:rsidRPr="00E733CD" w:rsidRDefault="006872FB" w:rsidP="00E733CD">
      <w:pPr>
        <w:numPr>
          <w:ilvl w:val="0"/>
          <w:numId w:val="44"/>
        </w:numPr>
        <w:suppressLineNumbers/>
        <w:suppressAutoHyphens/>
        <w:kinsoku w:val="0"/>
        <w:overflowPunct w:val="0"/>
        <w:autoSpaceDE w:val="0"/>
        <w:autoSpaceDN w:val="0"/>
        <w:adjustRightInd w:val="0"/>
        <w:snapToGrid w:val="0"/>
        <w:spacing w:after="120"/>
        <w:ind w:left="0" w:firstLine="720"/>
        <w:rPr>
          <w:rFonts w:cs="Times New Roman"/>
          <w:snapToGrid w:val="0"/>
          <w:kern w:val="22"/>
          <w:szCs w:val="22"/>
        </w:rPr>
      </w:pPr>
      <w:r w:rsidRPr="00E733CD">
        <w:rPr>
          <w:rFonts w:cs="Times New Roman"/>
          <w:snapToGrid w:val="0"/>
          <w:kern w:val="22"/>
          <w:szCs w:val="22"/>
        </w:rPr>
        <w:t>Project procedure: evaluation of programmatic approaches in GEF (GEF/ME/C.52/Inf.01/Rev.01), evaluation of the multiple benefits of GEF’s multifocal area portfolio (GEF/ME/C.53/Inf.05), formative review of the integrated approach pilot programs (GEF/ME/C.53/Inf.04), review of GEF support for transformational change (GEF/ME/C.52/Inf.06), impact of GEF support on national environment laws and policies (GEF/ME/C.52/Inf.05), knowledge management needs assessment (GEF/ME/C.49/Inf.01), review of knowledge management in the GEF (GEF/ME/C.53/Inf.08), review of results-based management in the GEF (GEF/ME/C.52/Inf.07), the assessment of the GEF project cycle (OPS5 Technical Document #18, October 2013)</w:t>
      </w:r>
      <w:r w:rsidR="0007070D" w:rsidRPr="00E733CD">
        <w:rPr>
          <w:rFonts w:cs="Times New Roman"/>
          <w:snapToGrid w:val="0"/>
          <w:kern w:val="22"/>
          <w:szCs w:val="22"/>
        </w:rPr>
        <w:t>;</w:t>
      </w:r>
    </w:p>
    <w:p w:rsidR="006872FB" w:rsidRPr="00E733CD" w:rsidRDefault="006872FB" w:rsidP="00E733CD">
      <w:pPr>
        <w:numPr>
          <w:ilvl w:val="0"/>
          <w:numId w:val="44"/>
        </w:numPr>
        <w:suppressLineNumbers/>
        <w:suppressAutoHyphens/>
        <w:kinsoku w:val="0"/>
        <w:overflowPunct w:val="0"/>
        <w:autoSpaceDE w:val="0"/>
        <w:autoSpaceDN w:val="0"/>
        <w:adjustRightInd w:val="0"/>
        <w:snapToGrid w:val="0"/>
        <w:spacing w:after="120"/>
        <w:ind w:left="0" w:firstLine="720"/>
        <w:rPr>
          <w:rFonts w:cs="Times New Roman"/>
          <w:snapToGrid w:val="0"/>
          <w:kern w:val="22"/>
          <w:szCs w:val="22"/>
        </w:rPr>
      </w:pPr>
      <w:r w:rsidRPr="00E733CD">
        <w:rPr>
          <w:rFonts w:cs="Times New Roman"/>
          <w:snapToGrid w:val="0"/>
          <w:kern w:val="22"/>
          <w:szCs w:val="22"/>
        </w:rPr>
        <w:t xml:space="preserve">Catalytic role and co-financing: </w:t>
      </w:r>
      <w:r w:rsidRPr="00E733CD">
        <w:rPr>
          <w:rFonts w:eastAsia="Times New Roman" w:cs="Times New Roman"/>
          <w:iCs/>
          <w:snapToGrid w:val="0"/>
          <w:kern w:val="22"/>
          <w:szCs w:val="22"/>
        </w:rPr>
        <w:t>evaluation on co-financing (OPS5 Technical document #21, November 2013</w:t>
      </w:r>
      <w:r w:rsidRPr="00E733CD">
        <w:rPr>
          <w:rFonts w:cs="Times New Roman"/>
          <w:snapToGrid w:val="0"/>
          <w:kern w:val="22"/>
          <w:szCs w:val="22"/>
        </w:rPr>
        <w:t>), the sixth comprehensive evaluation of the GEF (OPS6) (GEF/R.7/Misc/OPS6-Final Report, December 2017)</w:t>
      </w:r>
      <w:r w:rsidR="0007070D" w:rsidRPr="00E733CD">
        <w:rPr>
          <w:rFonts w:cs="Times New Roman"/>
          <w:snapToGrid w:val="0"/>
          <w:kern w:val="22"/>
          <w:szCs w:val="22"/>
        </w:rPr>
        <w:t>;</w:t>
      </w:r>
    </w:p>
    <w:p w:rsidR="006872FB" w:rsidRPr="00E733CD" w:rsidRDefault="006872FB" w:rsidP="00E733CD">
      <w:pPr>
        <w:numPr>
          <w:ilvl w:val="0"/>
          <w:numId w:val="44"/>
        </w:numPr>
        <w:suppressLineNumbers/>
        <w:suppressAutoHyphens/>
        <w:kinsoku w:val="0"/>
        <w:overflowPunct w:val="0"/>
        <w:autoSpaceDE w:val="0"/>
        <w:autoSpaceDN w:val="0"/>
        <w:adjustRightInd w:val="0"/>
        <w:snapToGrid w:val="0"/>
        <w:spacing w:after="120"/>
        <w:ind w:left="0" w:firstLine="720"/>
        <w:rPr>
          <w:rFonts w:cs="Times New Roman"/>
          <w:snapToGrid w:val="0"/>
          <w:kern w:val="22"/>
          <w:szCs w:val="22"/>
        </w:rPr>
      </w:pPr>
      <w:r w:rsidRPr="00E733CD">
        <w:rPr>
          <w:rFonts w:cs="Times New Roman"/>
          <w:snapToGrid w:val="0"/>
          <w:kern w:val="22"/>
          <w:szCs w:val="22"/>
        </w:rPr>
        <w:t>Incremental costs: evaluation of incremental cost assessment (GEF/ME/C.30/2, November 2, 2006) Sustainability: the sixth comprehensive evaluation of the GEF (OPS6) (GEF/R.7/Misc/OPS6-Final Report, December 2017)</w:t>
      </w:r>
      <w:r w:rsidR="0007070D" w:rsidRPr="00E733CD">
        <w:rPr>
          <w:rFonts w:cs="Times New Roman"/>
          <w:snapToGrid w:val="0"/>
          <w:kern w:val="22"/>
          <w:szCs w:val="22"/>
        </w:rPr>
        <w:t>;</w:t>
      </w:r>
    </w:p>
    <w:p w:rsidR="006872FB" w:rsidRPr="00E733CD" w:rsidRDefault="006872FB" w:rsidP="00E733CD">
      <w:pPr>
        <w:numPr>
          <w:ilvl w:val="0"/>
          <w:numId w:val="44"/>
        </w:numPr>
        <w:suppressLineNumbers/>
        <w:suppressAutoHyphens/>
        <w:kinsoku w:val="0"/>
        <w:overflowPunct w:val="0"/>
        <w:autoSpaceDE w:val="0"/>
        <w:autoSpaceDN w:val="0"/>
        <w:adjustRightInd w:val="0"/>
        <w:snapToGrid w:val="0"/>
        <w:spacing w:after="120"/>
        <w:ind w:left="0" w:firstLine="720"/>
        <w:rPr>
          <w:rFonts w:cs="Times New Roman"/>
          <w:snapToGrid w:val="0"/>
          <w:kern w:val="22"/>
          <w:szCs w:val="22"/>
        </w:rPr>
      </w:pPr>
      <w:r w:rsidRPr="00E733CD">
        <w:rPr>
          <w:rFonts w:cs="Times New Roman"/>
          <w:snapToGrid w:val="0"/>
          <w:kern w:val="22"/>
          <w:szCs w:val="22"/>
        </w:rPr>
        <w:t>Country ownership: evaluation of the GEF’s System for Transparent Allocation of Resources (GEF/ME/C.53/Inf.10, November 2017)</w:t>
      </w:r>
      <w:r w:rsidR="0007070D" w:rsidRPr="00E733CD">
        <w:rPr>
          <w:rFonts w:cs="Times New Roman"/>
          <w:snapToGrid w:val="0"/>
          <w:kern w:val="22"/>
          <w:szCs w:val="22"/>
        </w:rPr>
        <w:t>;</w:t>
      </w:r>
    </w:p>
    <w:p w:rsidR="006872FB" w:rsidRPr="00E733CD" w:rsidRDefault="006872FB" w:rsidP="00E733CD">
      <w:pPr>
        <w:numPr>
          <w:ilvl w:val="0"/>
          <w:numId w:val="44"/>
        </w:numPr>
        <w:suppressLineNumbers/>
        <w:suppressAutoHyphens/>
        <w:kinsoku w:val="0"/>
        <w:overflowPunct w:val="0"/>
        <w:autoSpaceDE w:val="0"/>
        <w:autoSpaceDN w:val="0"/>
        <w:adjustRightInd w:val="0"/>
        <w:snapToGrid w:val="0"/>
        <w:spacing w:after="120"/>
        <w:ind w:left="0" w:firstLine="720"/>
        <w:rPr>
          <w:rFonts w:cs="Times New Roman"/>
          <w:snapToGrid w:val="0"/>
          <w:kern w:val="22"/>
          <w:szCs w:val="22"/>
        </w:rPr>
      </w:pPr>
      <w:r w:rsidRPr="00E733CD">
        <w:rPr>
          <w:rFonts w:cs="Times New Roman"/>
          <w:snapToGrid w:val="0"/>
          <w:kern w:val="22"/>
          <w:szCs w:val="22"/>
        </w:rPr>
        <w:t>Compliance and collaboration of agencies: evaluation of the accreditation process for expansion of the GEF partnership (GEF/ME/C.48/Inf.03, June 2015), evaluation of the expansion of the GEF partnership - First Phase (GEF/ME/C.50/06, June 2016), review of the GEF policy on agency minimum standards on environmental and social safeguards (GEF/ME/C.52/Inf.08, May 2017), and comparative advantage, adequacy of funding /financing, health of the expanded GEF partnership and governance structure (GEF/ME/C.53/Inf.09, November 2017)</w:t>
      </w:r>
      <w:r w:rsidR="0007070D" w:rsidRPr="00E733CD">
        <w:rPr>
          <w:rFonts w:cs="Times New Roman"/>
          <w:snapToGrid w:val="0"/>
          <w:kern w:val="22"/>
          <w:szCs w:val="22"/>
        </w:rPr>
        <w:t>;</w:t>
      </w:r>
    </w:p>
    <w:p w:rsidR="006872FB" w:rsidRPr="00E733CD" w:rsidRDefault="006872FB" w:rsidP="00E733CD">
      <w:pPr>
        <w:numPr>
          <w:ilvl w:val="0"/>
          <w:numId w:val="44"/>
        </w:numPr>
        <w:suppressLineNumbers/>
        <w:suppressAutoHyphens/>
        <w:kinsoku w:val="0"/>
        <w:overflowPunct w:val="0"/>
        <w:autoSpaceDE w:val="0"/>
        <w:autoSpaceDN w:val="0"/>
        <w:adjustRightInd w:val="0"/>
        <w:snapToGrid w:val="0"/>
        <w:spacing w:after="120"/>
        <w:ind w:left="0" w:firstLine="720"/>
        <w:rPr>
          <w:rFonts w:cs="Times New Roman"/>
          <w:snapToGrid w:val="0"/>
          <w:kern w:val="22"/>
          <w:szCs w:val="22"/>
        </w:rPr>
      </w:pPr>
      <w:r w:rsidRPr="00E733CD">
        <w:rPr>
          <w:rFonts w:cs="Times New Roman"/>
          <w:snapToGrid w:val="0"/>
          <w:kern w:val="22"/>
          <w:szCs w:val="22"/>
        </w:rPr>
        <w:t>Monitoring and evaluation: the sixth comprehensive evaluation of the GEF (OPS6) (GEF/R.7/Misc/OPS6-Final Report, December 2017)</w:t>
      </w:r>
      <w:r w:rsidR="0007070D" w:rsidRPr="00E733CD">
        <w:rPr>
          <w:rFonts w:cs="Times New Roman"/>
          <w:snapToGrid w:val="0"/>
          <w:kern w:val="22"/>
          <w:szCs w:val="22"/>
        </w:rPr>
        <w:t>;</w:t>
      </w:r>
    </w:p>
    <w:p w:rsidR="006872FB" w:rsidRPr="00E733CD" w:rsidRDefault="006872FB" w:rsidP="00E733CD">
      <w:pPr>
        <w:numPr>
          <w:ilvl w:val="0"/>
          <w:numId w:val="44"/>
        </w:numPr>
        <w:suppressLineNumbers/>
        <w:suppressAutoHyphens/>
        <w:kinsoku w:val="0"/>
        <w:overflowPunct w:val="0"/>
        <w:autoSpaceDE w:val="0"/>
        <w:autoSpaceDN w:val="0"/>
        <w:adjustRightInd w:val="0"/>
        <w:snapToGrid w:val="0"/>
        <w:spacing w:after="120"/>
        <w:ind w:left="0" w:firstLine="720"/>
        <w:rPr>
          <w:rFonts w:cs="Times New Roman"/>
          <w:snapToGrid w:val="0"/>
          <w:kern w:val="22"/>
          <w:szCs w:val="22"/>
        </w:rPr>
      </w:pPr>
      <w:r w:rsidRPr="00E733CD">
        <w:rPr>
          <w:rFonts w:cs="Times New Roman"/>
          <w:snapToGrid w:val="0"/>
          <w:kern w:val="22"/>
          <w:szCs w:val="22"/>
        </w:rPr>
        <w:t>Small grants programme: the joint GEF/UNDP Small Grant Program</w:t>
      </w:r>
      <w:r w:rsidR="00285386" w:rsidRPr="00E733CD">
        <w:rPr>
          <w:rFonts w:cs="Times New Roman"/>
          <w:snapToGrid w:val="0"/>
          <w:kern w:val="22"/>
          <w:szCs w:val="22"/>
        </w:rPr>
        <w:t>me</w:t>
      </w:r>
      <w:r w:rsidRPr="00E733CD">
        <w:rPr>
          <w:rFonts w:cs="Times New Roman"/>
          <w:snapToGrid w:val="0"/>
          <w:kern w:val="22"/>
          <w:szCs w:val="22"/>
        </w:rPr>
        <w:t xml:space="preserve"> (SGP) evaluation (GEF/ME/C.48/Inf.02, May 2015)</w:t>
      </w:r>
      <w:r w:rsidR="0007070D" w:rsidRPr="00E733CD">
        <w:rPr>
          <w:rFonts w:cs="Times New Roman"/>
          <w:snapToGrid w:val="0"/>
          <w:kern w:val="22"/>
          <w:szCs w:val="22"/>
        </w:rPr>
        <w:t>;</w:t>
      </w:r>
    </w:p>
    <w:p w:rsidR="006872FB" w:rsidRPr="00E733CD" w:rsidRDefault="006872FB" w:rsidP="00E733CD">
      <w:pPr>
        <w:numPr>
          <w:ilvl w:val="0"/>
          <w:numId w:val="44"/>
        </w:numPr>
        <w:suppressLineNumbers/>
        <w:suppressAutoHyphens/>
        <w:kinsoku w:val="0"/>
        <w:overflowPunct w:val="0"/>
        <w:autoSpaceDE w:val="0"/>
        <w:autoSpaceDN w:val="0"/>
        <w:adjustRightInd w:val="0"/>
        <w:snapToGrid w:val="0"/>
        <w:spacing w:after="120"/>
        <w:ind w:left="0" w:firstLine="720"/>
        <w:rPr>
          <w:rFonts w:cs="Times New Roman"/>
          <w:snapToGrid w:val="0"/>
          <w:kern w:val="22"/>
          <w:szCs w:val="22"/>
        </w:rPr>
      </w:pPr>
      <w:r w:rsidRPr="00E733CD">
        <w:rPr>
          <w:rFonts w:cs="Times New Roman"/>
          <w:snapToGrid w:val="0"/>
          <w:kern w:val="22"/>
          <w:szCs w:val="22"/>
        </w:rPr>
        <w:t>Financial management: the sixth comprehensive evaluation of the GEF (OPS6) (GEF/R.7/Misc/OPS6-Final Report, December</w:t>
      </w:r>
      <w:r w:rsidRPr="00E733CD">
        <w:rPr>
          <w:rFonts w:eastAsia="Times New Roman" w:cs="Times New Roman"/>
          <w:iCs/>
          <w:snapToGrid w:val="0"/>
          <w:kern w:val="22"/>
          <w:szCs w:val="22"/>
        </w:rPr>
        <w:t xml:space="preserve"> 2017)</w:t>
      </w:r>
      <w:r w:rsidR="0007070D" w:rsidRPr="00E733CD">
        <w:rPr>
          <w:rFonts w:eastAsia="Times New Roman" w:cs="Times New Roman"/>
          <w:iCs/>
          <w:snapToGrid w:val="0"/>
          <w:kern w:val="22"/>
          <w:szCs w:val="22"/>
        </w:rPr>
        <w:t>.</w:t>
      </w:r>
    </w:p>
    <w:p w:rsidR="004C16FB" w:rsidRPr="00E733CD" w:rsidRDefault="004C16FB" w:rsidP="00E733CD">
      <w:pPr>
        <w:pStyle w:val="Para1"/>
        <w:numPr>
          <w:ilvl w:val="0"/>
          <w:numId w:val="14"/>
        </w:numPr>
        <w:suppressLineNumbers/>
        <w:tabs>
          <w:tab w:val="num" w:pos="720"/>
        </w:tabs>
        <w:suppressAutoHyphens/>
        <w:kinsoku w:val="0"/>
        <w:overflowPunct w:val="0"/>
        <w:autoSpaceDE w:val="0"/>
        <w:autoSpaceDN w:val="0"/>
        <w:adjustRightInd w:val="0"/>
        <w:snapToGrid w:val="0"/>
        <w:ind w:left="0" w:firstLine="0"/>
        <w:rPr>
          <w:rFonts w:cs="Times New Roman"/>
          <w:kern w:val="22"/>
          <w:szCs w:val="22"/>
        </w:rPr>
      </w:pPr>
      <w:r w:rsidRPr="00E733CD">
        <w:rPr>
          <w:rFonts w:cs="Times New Roman"/>
          <w:kern w:val="22"/>
          <w:szCs w:val="22"/>
        </w:rPr>
        <w:t>During the preparation of the sixth comprehensive evaluation of the GEF, the Independent Evaluation Office engaged the staff of the Convention Secretariat</w:t>
      </w:r>
      <w:r w:rsidR="00736C8F" w:rsidRPr="00E733CD">
        <w:rPr>
          <w:rFonts w:cs="Times New Roman"/>
          <w:kern w:val="22"/>
          <w:szCs w:val="22"/>
        </w:rPr>
        <w:t xml:space="preserve"> as well as Parties</w:t>
      </w:r>
      <w:r w:rsidRPr="00E733CD">
        <w:rPr>
          <w:rFonts w:cs="Times New Roman"/>
          <w:kern w:val="22"/>
          <w:szCs w:val="22"/>
        </w:rPr>
        <w:t xml:space="preserve"> </w:t>
      </w:r>
      <w:r w:rsidR="00736C8F" w:rsidRPr="00E733CD">
        <w:rPr>
          <w:rFonts w:cs="Times New Roman"/>
          <w:kern w:val="22"/>
          <w:szCs w:val="22"/>
        </w:rPr>
        <w:t xml:space="preserve">and other stakeholders </w:t>
      </w:r>
      <w:r w:rsidRPr="00E733CD">
        <w:rPr>
          <w:rFonts w:cs="Times New Roman"/>
          <w:kern w:val="22"/>
          <w:szCs w:val="22"/>
        </w:rPr>
        <w:t>in all its thematic and impact assessments, through teleconference, interviews, online surveys and face-to-face meetings. The report of the sixth comprehensive evaluation of the GEF,</w:t>
      </w:r>
      <w:r w:rsidR="00033DAA" w:rsidRPr="00E733CD">
        <w:rPr>
          <w:rStyle w:val="FootnoteReference"/>
          <w:rFonts w:cs="Times New Roman"/>
          <w:kern w:val="22"/>
          <w:sz w:val="22"/>
          <w:szCs w:val="22"/>
        </w:rPr>
        <w:footnoteReference w:id="1"/>
      </w:r>
      <w:r w:rsidRPr="00E733CD">
        <w:rPr>
          <w:rFonts w:cs="Times New Roman"/>
          <w:kern w:val="22"/>
          <w:szCs w:val="22"/>
        </w:rPr>
        <w:t xml:space="preserve"> contains the following relevant findings and conclusions:</w:t>
      </w:r>
    </w:p>
    <w:p w:rsidR="004C16FB" w:rsidRPr="00E733CD" w:rsidRDefault="004C16FB" w:rsidP="00E733CD">
      <w:pPr>
        <w:numPr>
          <w:ilvl w:val="0"/>
          <w:numId w:val="45"/>
        </w:numPr>
        <w:suppressLineNumbers/>
        <w:suppressAutoHyphens/>
        <w:kinsoku w:val="0"/>
        <w:overflowPunct w:val="0"/>
        <w:autoSpaceDE w:val="0"/>
        <w:autoSpaceDN w:val="0"/>
        <w:adjustRightInd w:val="0"/>
        <w:snapToGrid w:val="0"/>
        <w:spacing w:after="120"/>
        <w:ind w:left="0" w:firstLine="720"/>
        <w:rPr>
          <w:rFonts w:cs="Times New Roman"/>
          <w:snapToGrid w:val="0"/>
          <w:kern w:val="22"/>
          <w:szCs w:val="22"/>
        </w:rPr>
      </w:pPr>
      <w:r w:rsidRPr="00E733CD">
        <w:rPr>
          <w:rFonts w:cs="Times New Roman"/>
          <w:snapToGrid w:val="0"/>
          <w:kern w:val="22"/>
          <w:szCs w:val="22"/>
        </w:rPr>
        <w:t xml:space="preserve">The GEF’s relevance in the global environment: with its broad focus and as a financial mechanism for environmental conventions, the GEF occupies a unique space in the global environmental financing architecture. The GEF focal area strategies have been responsive to convention guidance. GEF distinguishes itself from other environmental financial mechanisms in its ability to work through multiple Agencies in more than 140 recipient countries. GEF support to least developed countries (LDCs) and small island developing </w:t>
      </w:r>
      <w:r w:rsidR="00033DAA" w:rsidRPr="00E733CD">
        <w:rPr>
          <w:rFonts w:cs="Times New Roman"/>
          <w:snapToGrid w:val="0"/>
          <w:kern w:val="22"/>
          <w:szCs w:val="22"/>
        </w:rPr>
        <w:t>S</w:t>
      </w:r>
      <w:r w:rsidRPr="00E733CD">
        <w:rPr>
          <w:rFonts w:cs="Times New Roman"/>
          <w:snapToGrid w:val="0"/>
          <w:kern w:val="22"/>
          <w:szCs w:val="22"/>
        </w:rPr>
        <w:t>tates (SIDS) has increased; however, support to middle-income countries remains critical;</w:t>
      </w:r>
    </w:p>
    <w:p w:rsidR="004C16FB" w:rsidRPr="00E733CD" w:rsidRDefault="004C16FB" w:rsidP="00E733CD">
      <w:pPr>
        <w:numPr>
          <w:ilvl w:val="0"/>
          <w:numId w:val="45"/>
        </w:numPr>
        <w:suppressLineNumbers/>
        <w:suppressAutoHyphens/>
        <w:kinsoku w:val="0"/>
        <w:overflowPunct w:val="0"/>
        <w:autoSpaceDE w:val="0"/>
        <w:autoSpaceDN w:val="0"/>
        <w:adjustRightInd w:val="0"/>
        <w:snapToGrid w:val="0"/>
        <w:spacing w:after="120"/>
        <w:ind w:left="0" w:firstLine="720"/>
        <w:rPr>
          <w:rFonts w:cs="Times New Roman"/>
          <w:snapToGrid w:val="0"/>
          <w:kern w:val="22"/>
          <w:szCs w:val="22"/>
        </w:rPr>
      </w:pPr>
      <w:r w:rsidRPr="00E733CD">
        <w:rPr>
          <w:rFonts w:cs="Times New Roman"/>
          <w:snapToGrid w:val="0"/>
          <w:kern w:val="22"/>
          <w:szCs w:val="22"/>
        </w:rPr>
        <w:t>Performance and impact: GEF has a strong track record in delivering overall good project performance; likely sustainability of outcomes remains the greatest challenge. GEF interventions have contributed to reducing environmental stress. The GEF is on track to meet its GEF-5 replenishment targets for most of the indicators, and to exceed a majority of GEF-6 targets. The GEF has played a catalytic role and supported transformational change primarily through mainstreaming. With their emphasis on integration, programmatic approaches and multifocal area projects are relevant in addressing drivers of environmental degradation; however, complex program designs have implications for outcomes, efficiency, and management. The integrated approach pilots are relevant to environmental issues and the countries/cities they serve, and have been designed for long-term sustainability. Additionality needs to be demonstrated and process issues require attention;</w:t>
      </w:r>
    </w:p>
    <w:p w:rsidR="004C16FB" w:rsidRPr="00E733CD" w:rsidRDefault="004C16FB" w:rsidP="00E733CD">
      <w:pPr>
        <w:numPr>
          <w:ilvl w:val="0"/>
          <w:numId w:val="45"/>
        </w:numPr>
        <w:suppressLineNumbers/>
        <w:suppressAutoHyphens/>
        <w:kinsoku w:val="0"/>
        <w:overflowPunct w:val="0"/>
        <w:autoSpaceDE w:val="0"/>
        <w:autoSpaceDN w:val="0"/>
        <w:adjustRightInd w:val="0"/>
        <w:snapToGrid w:val="0"/>
        <w:spacing w:after="120"/>
        <w:ind w:left="0" w:firstLine="720"/>
        <w:rPr>
          <w:rFonts w:cs="Times New Roman"/>
          <w:snapToGrid w:val="0"/>
          <w:kern w:val="22"/>
          <w:szCs w:val="22"/>
        </w:rPr>
      </w:pPr>
      <w:r w:rsidRPr="00E733CD">
        <w:rPr>
          <w:rFonts w:cs="Times New Roman"/>
          <w:snapToGrid w:val="0"/>
          <w:kern w:val="22"/>
          <w:szCs w:val="22"/>
        </w:rPr>
        <w:t xml:space="preserve">Financing, governance, policies, and internal systems: </w:t>
      </w:r>
      <w:r w:rsidR="00033DAA" w:rsidRPr="00E733CD">
        <w:rPr>
          <w:rFonts w:cs="Times New Roman"/>
          <w:snapToGrid w:val="0"/>
          <w:kern w:val="22"/>
          <w:szCs w:val="22"/>
        </w:rPr>
        <w:t>o</w:t>
      </w:r>
      <w:r w:rsidRPr="00E733CD">
        <w:rPr>
          <w:rFonts w:cs="Times New Roman"/>
          <w:snapToGrid w:val="0"/>
          <w:kern w:val="22"/>
          <w:szCs w:val="22"/>
        </w:rPr>
        <w:t xml:space="preserve">perational restrictions and lack of awareness of the GEF have resulted in limiting or not fully realizing the potential for successful engagement with the private sector. Overall, the GEF partnership is well governed; concerns continue to exist on matters related to representation, efficiency, accountability, and transparency. The GEF Gender Mainstreaming Policy has advanced GEF’s efforts to strengthen gender mainstreaming in GEF programming and operations in a more systematic manner; there is further room for improvement in implementation. GEF policies and guidance on safeguards and indigenous peoples have advanced the </w:t>
      </w:r>
      <w:r w:rsidR="00033DAA" w:rsidRPr="00E733CD">
        <w:rPr>
          <w:rFonts w:cs="Times New Roman"/>
          <w:snapToGrid w:val="0"/>
          <w:kern w:val="22"/>
          <w:szCs w:val="22"/>
        </w:rPr>
        <w:t>Facility</w:t>
      </w:r>
      <w:r w:rsidRPr="00E733CD">
        <w:rPr>
          <w:rFonts w:cs="Times New Roman"/>
          <w:snapToGrid w:val="0"/>
          <w:kern w:val="22"/>
          <w:szCs w:val="22"/>
        </w:rPr>
        <w:t>’s efforts in these areas; gaps exist in the policy frameworks relative to good practice in partner Agencies and in implementation. Some progress has been made with regard to the GEF’s Project Management Information System (PMIS), results-based management system, and knowledge management; the availability and quality of information in these systems needs further improvement.</w:t>
      </w:r>
    </w:p>
    <w:p w:rsidR="00CA7383" w:rsidRPr="00E733CD" w:rsidRDefault="00CA7383" w:rsidP="00E733CD">
      <w:pPr>
        <w:pStyle w:val="Para1"/>
        <w:numPr>
          <w:ilvl w:val="0"/>
          <w:numId w:val="14"/>
        </w:numPr>
        <w:suppressLineNumbers/>
        <w:tabs>
          <w:tab w:val="num" w:pos="720"/>
        </w:tabs>
        <w:suppressAutoHyphens/>
        <w:kinsoku w:val="0"/>
        <w:overflowPunct w:val="0"/>
        <w:autoSpaceDE w:val="0"/>
        <w:autoSpaceDN w:val="0"/>
        <w:adjustRightInd w:val="0"/>
        <w:snapToGrid w:val="0"/>
        <w:ind w:left="0" w:firstLine="0"/>
        <w:rPr>
          <w:rFonts w:cs="Times New Roman"/>
          <w:kern w:val="22"/>
          <w:szCs w:val="22"/>
        </w:rPr>
      </w:pPr>
      <w:r w:rsidRPr="00E733CD">
        <w:rPr>
          <w:rFonts w:cs="Times New Roman"/>
          <w:kern w:val="22"/>
          <w:szCs w:val="22"/>
        </w:rPr>
        <w:t>Drawing on the recommendations for the 29 individual evaluations that were conducted in the preparation of its sixth comprehensive evaluation, the Independent Evaluation Office developed the following set of strategic recommendations that are intended to inform future directions for GEF:</w:t>
      </w:r>
    </w:p>
    <w:p w:rsidR="00CA7383" w:rsidRPr="00E733CD" w:rsidRDefault="00CA7383" w:rsidP="00E733CD">
      <w:pPr>
        <w:pStyle w:val="Para1"/>
        <w:numPr>
          <w:ilvl w:val="0"/>
          <w:numId w:val="46"/>
        </w:numPr>
        <w:suppressLineNumbers/>
        <w:suppressAutoHyphens/>
        <w:kinsoku w:val="0"/>
        <w:overflowPunct w:val="0"/>
        <w:autoSpaceDE w:val="0"/>
        <w:autoSpaceDN w:val="0"/>
        <w:adjustRightInd w:val="0"/>
        <w:snapToGrid w:val="0"/>
        <w:ind w:left="0" w:firstLine="720"/>
        <w:rPr>
          <w:rFonts w:cs="Times New Roman"/>
          <w:kern w:val="22"/>
          <w:szCs w:val="22"/>
        </w:rPr>
      </w:pPr>
      <w:r w:rsidRPr="00E733CD">
        <w:rPr>
          <w:rFonts w:cs="Times New Roman"/>
          <w:i/>
          <w:iCs/>
          <w:kern w:val="22"/>
          <w:szCs w:val="22"/>
        </w:rPr>
        <w:t>Strategic positioning</w:t>
      </w:r>
      <w:r w:rsidRPr="00E733CD">
        <w:rPr>
          <w:rFonts w:cs="Times New Roman"/>
          <w:kern w:val="22"/>
          <w:szCs w:val="22"/>
        </w:rPr>
        <w:t>. GEF should enhance its efforts in the biodiversity focal area, where there are limited sources of financing and few players with the GEF’s depth of knowledge and experience. GEF should explore its potential to be an incubator for countries to test and refine their approaches prior to seeking large-scale finance through other partners;</w:t>
      </w:r>
    </w:p>
    <w:p w:rsidR="00CA7383" w:rsidRPr="00E733CD" w:rsidRDefault="00CA7383" w:rsidP="00E733CD">
      <w:pPr>
        <w:pStyle w:val="Para1"/>
        <w:numPr>
          <w:ilvl w:val="0"/>
          <w:numId w:val="46"/>
        </w:numPr>
        <w:suppressLineNumbers/>
        <w:suppressAutoHyphens/>
        <w:kinsoku w:val="0"/>
        <w:overflowPunct w:val="0"/>
        <w:autoSpaceDE w:val="0"/>
        <w:autoSpaceDN w:val="0"/>
        <w:adjustRightInd w:val="0"/>
        <w:snapToGrid w:val="0"/>
        <w:ind w:left="0" w:firstLine="720"/>
        <w:rPr>
          <w:rFonts w:cs="Times New Roman"/>
          <w:kern w:val="22"/>
          <w:szCs w:val="22"/>
        </w:rPr>
      </w:pPr>
      <w:r w:rsidRPr="00E733CD">
        <w:rPr>
          <w:rFonts w:cs="Times New Roman"/>
          <w:i/>
          <w:iCs/>
          <w:kern w:val="22"/>
          <w:szCs w:val="22"/>
        </w:rPr>
        <w:t>Promoting transformational change</w:t>
      </w:r>
      <w:r w:rsidRPr="00E733CD">
        <w:rPr>
          <w:rFonts w:cs="Times New Roman"/>
          <w:kern w:val="22"/>
          <w:szCs w:val="22"/>
        </w:rPr>
        <w:t>. To drive transformational change in any focal area, GEF will need to further its efforts in designing for transformation through adoption of systems approaches and addressing drivers of environmental degradation, and in promoting policy and regulatory reform and building institutional capacity in recipient countries. It would also require working with financial institutions to de</w:t>
      </w:r>
      <w:r w:rsidR="00461A69" w:rsidRPr="00E733CD">
        <w:rPr>
          <w:rFonts w:cs="Times New Roman"/>
          <w:kern w:val="22"/>
          <w:szCs w:val="22"/>
        </w:rPr>
        <w:t>-</w:t>
      </w:r>
      <w:r w:rsidRPr="00E733CD">
        <w:rPr>
          <w:rFonts w:cs="Times New Roman"/>
          <w:kern w:val="22"/>
          <w:szCs w:val="22"/>
        </w:rPr>
        <w:t>risk investment, develop structured finance deals, and demonstrate how to engage markets. Ex ante assessments of the potential for transformation based on clear criteria should be completed for projects at the design stage;</w:t>
      </w:r>
    </w:p>
    <w:p w:rsidR="00CA7383" w:rsidRPr="00E733CD" w:rsidRDefault="00CA7383" w:rsidP="00E733CD">
      <w:pPr>
        <w:pStyle w:val="Para1"/>
        <w:numPr>
          <w:ilvl w:val="0"/>
          <w:numId w:val="46"/>
        </w:numPr>
        <w:suppressLineNumbers/>
        <w:suppressAutoHyphens/>
        <w:kinsoku w:val="0"/>
        <w:overflowPunct w:val="0"/>
        <w:autoSpaceDE w:val="0"/>
        <w:autoSpaceDN w:val="0"/>
        <w:adjustRightInd w:val="0"/>
        <w:snapToGrid w:val="0"/>
        <w:ind w:left="0" w:firstLine="720"/>
        <w:rPr>
          <w:rFonts w:cs="Times New Roman"/>
          <w:kern w:val="22"/>
          <w:szCs w:val="22"/>
        </w:rPr>
      </w:pPr>
      <w:r w:rsidRPr="00E733CD">
        <w:rPr>
          <w:rFonts w:cs="Times New Roman"/>
          <w:i/>
          <w:iCs/>
          <w:kern w:val="22"/>
          <w:szCs w:val="22"/>
        </w:rPr>
        <w:t>Continuing focus on integration based on additionality</w:t>
      </w:r>
      <w:r w:rsidRPr="00E733CD">
        <w:rPr>
          <w:rFonts w:cs="Times New Roman"/>
          <w:kern w:val="22"/>
          <w:szCs w:val="22"/>
        </w:rPr>
        <w:t>. GEF should continue pursuing an integrative principle in its programming based on scientific and technical merits, including demonstrated additionality, GEF experience, GEF comparative advantage, innovative contributions, environmental need, and national relevance;</w:t>
      </w:r>
    </w:p>
    <w:p w:rsidR="00CA7383" w:rsidRPr="00E733CD" w:rsidRDefault="00CA7383" w:rsidP="00E733CD">
      <w:pPr>
        <w:pStyle w:val="Para1"/>
        <w:numPr>
          <w:ilvl w:val="0"/>
          <w:numId w:val="46"/>
        </w:numPr>
        <w:suppressLineNumbers/>
        <w:suppressAutoHyphens/>
        <w:kinsoku w:val="0"/>
        <w:overflowPunct w:val="0"/>
        <w:autoSpaceDE w:val="0"/>
        <w:autoSpaceDN w:val="0"/>
        <w:adjustRightInd w:val="0"/>
        <w:snapToGrid w:val="0"/>
        <w:ind w:left="0" w:firstLine="720"/>
        <w:rPr>
          <w:rFonts w:cs="Times New Roman"/>
          <w:kern w:val="22"/>
          <w:szCs w:val="22"/>
        </w:rPr>
      </w:pPr>
      <w:r w:rsidRPr="00E733CD">
        <w:rPr>
          <w:rFonts w:cs="Times New Roman"/>
          <w:i/>
          <w:iCs/>
          <w:kern w:val="22"/>
          <w:szCs w:val="22"/>
        </w:rPr>
        <w:t>Improving financial management</w:t>
      </w:r>
      <w:r w:rsidRPr="00E733CD">
        <w:rPr>
          <w:rFonts w:cs="Times New Roman"/>
          <w:kern w:val="22"/>
          <w:szCs w:val="22"/>
        </w:rPr>
        <w:t xml:space="preserve">. GEF should consider expanding the number and variety of donors from both </w:t>
      </w:r>
      <w:r w:rsidR="00461A69" w:rsidRPr="00461A69">
        <w:rPr>
          <w:rFonts w:cs="Times New Roman"/>
          <w:kern w:val="22"/>
          <w:szCs w:val="22"/>
        </w:rPr>
        <w:t xml:space="preserve">members of the </w:t>
      </w:r>
      <w:r w:rsidRPr="00E733CD">
        <w:rPr>
          <w:rFonts w:cs="Times New Roman"/>
          <w:kern w:val="22"/>
          <w:szCs w:val="22"/>
        </w:rPr>
        <w:t>Organi</w:t>
      </w:r>
      <w:r w:rsidR="00813E7B" w:rsidRPr="00E733CD">
        <w:rPr>
          <w:rFonts w:cs="Times New Roman"/>
          <w:kern w:val="22"/>
          <w:szCs w:val="22"/>
        </w:rPr>
        <w:t>s</w:t>
      </w:r>
      <w:r w:rsidRPr="00E733CD">
        <w:rPr>
          <w:rFonts w:cs="Times New Roman"/>
          <w:kern w:val="22"/>
          <w:szCs w:val="22"/>
        </w:rPr>
        <w:t>ation for Economic Co-operation and Development (OECD) and middle-income countries, including subnational states/provinces, that have not previously contributed and are increasingly in a position to do so. GEF should implement foreign exchange risk management within the parameters of the GEF Instrument, and/or as otherwise legally allowed to manage volatility</w:t>
      </w:r>
      <w:r w:rsidR="00813E7B" w:rsidRPr="00E733CD">
        <w:rPr>
          <w:rFonts w:cs="Times New Roman"/>
          <w:kern w:val="22"/>
          <w:szCs w:val="22"/>
        </w:rPr>
        <w:t>;</w:t>
      </w:r>
    </w:p>
    <w:p w:rsidR="00CA7383" w:rsidRPr="00E733CD" w:rsidRDefault="00CA7383" w:rsidP="00E733CD">
      <w:pPr>
        <w:pStyle w:val="Para1"/>
        <w:numPr>
          <w:ilvl w:val="0"/>
          <w:numId w:val="46"/>
        </w:numPr>
        <w:suppressLineNumbers/>
        <w:suppressAutoHyphens/>
        <w:kinsoku w:val="0"/>
        <w:overflowPunct w:val="0"/>
        <w:autoSpaceDE w:val="0"/>
        <w:autoSpaceDN w:val="0"/>
        <w:adjustRightInd w:val="0"/>
        <w:snapToGrid w:val="0"/>
        <w:ind w:left="0" w:firstLine="720"/>
        <w:rPr>
          <w:rFonts w:cs="Times New Roman"/>
          <w:kern w:val="22"/>
          <w:szCs w:val="22"/>
        </w:rPr>
      </w:pPr>
      <w:r w:rsidRPr="00E733CD">
        <w:rPr>
          <w:rFonts w:cs="Times New Roman"/>
          <w:i/>
          <w:iCs/>
          <w:kern w:val="22"/>
          <w:szCs w:val="22"/>
        </w:rPr>
        <w:t>Engaging the private sector</w:t>
      </w:r>
      <w:r w:rsidRPr="00E733CD">
        <w:rPr>
          <w:rFonts w:cs="Times New Roman"/>
          <w:kern w:val="22"/>
          <w:szCs w:val="22"/>
        </w:rPr>
        <w:t>. The GEF will need to adapt its strategy to improve its engagement with the private sector</w:t>
      </w:r>
      <w:r w:rsidR="00813E7B" w:rsidRPr="00E733CD">
        <w:rPr>
          <w:rFonts w:cs="Times New Roman"/>
          <w:kern w:val="22"/>
          <w:szCs w:val="22"/>
        </w:rPr>
        <w:t>;</w:t>
      </w:r>
    </w:p>
    <w:p w:rsidR="007317D5" w:rsidRPr="00E733CD" w:rsidRDefault="00CA7383" w:rsidP="00E733CD">
      <w:pPr>
        <w:pStyle w:val="Para1"/>
        <w:numPr>
          <w:ilvl w:val="0"/>
          <w:numId w:val="46"/>
        </w:numPr>
        <w:suppressLineNumbers/>
        <w:suppressAutoHyphens/>
        <w:kinsoku w:val="0"/>
        <w:overflowPunct w:val="0"/>
        <w:autoSpaceDE w:val="0"/>
        <w:autoSpaceDN w:val="0"/>
        <w:adjustRightInd w:val="0"/>
        <w:snapToGrid w:val="0"/>
        <w:ind w:left="0" w:firstLine="720"/>
        <w:rPr>
          <w:rFonts w:cs="Times New Roman"/>
          <w:kern w:val="22"/>
          <w:szCs w:val="22"/>
        </w:rPr>
      </w:pPr>
      <w:r w:rsidRPr="00E733CD">
        <w:rPr>
          <w:rFonts w:cs="Times New Roman"/>
          <w:i/>
          <w:iCs/>
          <w:kern w:val="22"/>
          <w:szCs w:val="22"/>
        </w:rPr>
        <w:t>Promoting gender equality</w:t>
      </w:r>
      <w:r w:rsidRPr="00E733CD">
        <w:rPr>
          <w:rFonts w:cs="Times New Roman"/>
          <w:kern w:val="22"/>
          <w:szCs w:val="22"/>
        </w:rPr>
        <w:t>. In revising the</w:t>
      </w:r>
      <w:r w:rsidR="007317D5" w:rsidRPr="00E733CD">
        <w:rPr>
          <w:rFonts w:cs="Times New Roman"/>
          <w:kern w:val="22"/>
          <w:szCs w:val="22"/>
        </w:rPr>
        <w:t xml:space="preserve"> </w:t>
      </w:r>
      <w:r w:rsidRPr="00E733CD">
        <w:rPr>
          <w:rFonts w:cs="Times New Roman"/>
          <w:kern w:val="22"/>
          <w:szCs w:val="22"/>
        </w:rPr>
        <w:t>Policy on Gender Mainstreaming, the GEF Secretariat</w:t>
      </w:r>
      <w:r w:rsidR="007317D5" w:rsidRPr="00E733CD">
        <w:rPr>
          <w:rFonts w:cs="Times New Roman"/>
          <w:kern w:val="22"/>
          <w:szCs w:val="22"/>
        </w:rPr>
        <w:t xml:space="preserve"> </w:t>
      </w:r>
      <w:r w:rsidRPr="00E733CD">
        <w:rPr>
          <w:rFonts w:cs="Times New Roman"/>
          <w:kern w:val="22"/>
          <w:szCs w:val="22"/>
        </w:rPr>
        <w:t>needs to align the policy more closely</w:t>
      </w:r>
      <w:r w:rsidR="007317D5" w:rsidRPr="00E733CD">
        <w:rPr>
          <w:rFonts w:cs="Times New Roman"/>
          <w:kern w:val="22"/>
          <w:szCs w:val="22"/>
        </w:rPr>
        <w:t xml:space="preserve"> </w:t>
      </w:r>
      <w:r w:rsidRPr="00E733CD">
        <w:rPr>
          <w:rFonts w:cs="Times New Roman"/>
          <w:kern w:val="22"/>
          <w:szCs w:val="22"/>
        </w:rPr>
        <w:t>with international gender mainstreaming good</w:t>
      </w:r>
      <w:r w:rsidR="007317D5" w:rsidRPr="00E733CD">
        <w:rPr>
          <w:rFonts w:cs="Times New Roman"/>
          <w:kern w:val="22"/>
          <w:szCs w:val="22"/>
        </w:rPr>
        <w:t xml:space="preserve"> </w:t>
      </w:r>
      <w:r w:rsidRPr="00E733CD">
        <w:rPr>
          <w:rFonts w:cs="Times New Roman"/>
          <w:kern w:val="22"/>
          <w:szCs w:val="22"/>
        </w:rPr>
        <w:t>practice standards</w:t>
      </w:r>
      <w:r w:rsidR="00813E7B" w:rsidRPr="00E733CD">
        <w:rPr>
          <w:rFonts w:cs="Times New Roman"/>
          <w:kern w:val="22"/>
          <w:szCs w:val="22"/>
        </w:rPr>
        <w:t>;</w:t>
      </w:r>
    </w:p>
    <w:p w:rsidR="007317D5" w:rsidRPr="00E733CD" w:rsidRDefault="00CA7383" w:rsidP="00E733CD">
      <w:pPr>
        <w:pStyle w:val="Para1"/>
        <w:numPr>
          <w:ilvl w:val="0"/>
          <w:numId w:val="46"/>
        </w:numPr>
        <w:suppressLineNumbers/>
        <w:suppressAutoHyphens/>
        <w:kinsoku w:val="0"/>
        <w:overflowPunct w:val="0"/>
        <w:autoSpaceDE w:val="0"/>
        <w:autoSpaceDN w:val="0"/>
        <w:adjustRightInd w:val="0"/>
        <w:snapToGrid w:val="0"/>
        <w:ind w:left="0" w:firstLine="720"/>
        <w:rPr>
          <w:rFonts w:cs="Times New Roman"/>
          <w:kern w:val="22"/>
          <w:szCs w:val="22"/>
        </w:rPr>
      </w:pPr>
      <w:r w:rsidRPr="00E733CD">
        <w:rPr>
          <w:rFonts w:cs="Times New Roman"/>
          <w:i/>
          <w:iCs/>
          <w:kern w:val="22"/>
          <w:szCs w:val="22"/>
        </w:rPr>
        <w:t>Reviewing and revising safeguard policies</w:t>
      </w:r>
      <w:r w:rsidRPr="00E733CD">
        <w:rPr>
          <w:rFonts w:cs="Times New Roman"/>
          <w:kern w:val="22"/>
          <w:szCs w:val="22"/>
        </w:rPr>
        <w:t>.</w:t>
      </w:r>
      <w:r w:rsidR="007317D5" w:rsidRPr="00E733CD">
        <w:rPr>
          <w:rFonts w:cs="Times New Roman"/>
          <w:kern w:val="22"/>
          <w:szCs w:val="22"/>
        </w:rPr>
        <w:t xml:space="preserve"> </w:t>
      </w:r>
      <w:r w:rsidRPr="00E733CD">
        <w:rPr>
          <w:rFonts w:cs="Times New Roman"/>
          <w:kern w:val="22"/>
          <w:szCs w:val="22"/>
        </w:rPr>
        <w:t>The policy on safeguards and rules of</w:t>
      </w:r>
      <w:r w:rsidR="007317D5" w:rsidRPr="00E733CD">
        <w:rPr>
          <w:rFonts w:cs="Times New Roman"/>
          <w:kern w:val="22"/>
          <w:szCs w:val="22"/>
        </w:rPr>
        <w:t xml:space="preserve"> </w:t>
      </w:r>
      <w:r w:rsidRPr="00E733CD">
        <w:rPr>
          <w:rFonts w:cs="Times New Roman"/>
          <w:kern w:val="22"/>
          <w:szCs w:val="22"/>
        </w:rPr>
        <w:t>engagement with indigenous peoples should</w:t>
      </w:r>
      <w:r w:rsidR="007317D5" w:rsidRPr="00E733CD">
        <w:rPr>
          <w:rFonts w:cs="Times New Roman"/>
          <w:kern w:val="22"/>
          <w:szCs w:val="22"/>
        </w:rPr>
        <w:t xml:space="preserve"> </w:t>
      </w:r>
      <w:r w:rsidRPr="00E733CD">
        <w:rPr>
          <w:rFonts w:cs="Times New Roman"/>
          <w:kern w:val="22"/>
          <w:szCs w:val="22"/>
        </w:rPr>
        <w:t>be reviewed for gaps against good practices</w:t>
      </w:r>
      <w:r w:rsidR="007317D5" w:rsidRPr="00E733CD">
        <w:rPr>
          <w:rFonts w:cs="Times New Roman"/>
          <w:kern w:val="22"/>
          <w:szCs w:val="22"/>
        </w:rPr>
        <w:t xml:space="preserve"> </w:t>
      </w:r>
      <w:r w:rsidRPr="00E733CD">
        <w:rPr>
          <w:rFonts w:cs="Times New Roman"/>
          <w:kern w:val="22"/>
          <w:szCs w:val="22"/>
        </w:rPr>
        <w:t>and updated accordingly</w:t>
      </w:r>
      <w:r w:rsidR="00813E7B" w:rsidRPr="00E733CD">
        <w:rPr>
          <w:rFonts w:cs="Times New Roman"/>
          <w:kern w:val="22"/>
          <w:szCs w:val="22"/>
        </w:rPr>
        <w:t>;</w:t>
      </w:r>
    </w:p>
    <w:p w:rsidR="007317D5" w:rsidRPr="00E733CD" w:rsidRDefault="00CA7383" w:rsidP="00E733CD">
      <w:pPr>
        <w:pStyle w:val="Para1"/>
        <w:numPr>
          <w:ilvl w:val="0"/>
          <w:numId w:val="46"/>
        </w:numPr>
        <w:suppressLineNumbers/>
        <w:suppressAutoHyphens/>
        <w:kinsoku w:val="0"/>
        <w:overflowPunct w:val="0"/>
        <w:autoSpaceDE w:val="0"/>
        <w:autoSpaceDN w:val="0"/>
        <w:adjustRightInd w:val="0"/>
        <w:snapToGrid w:val="0"/>
        <w:ind w:left="0" w:firstLine="720"/>
        <w:rPr>
          <w:rFonts w:cs="Times New Roman"/>
          <w:kern w:val="22"/>
          <w:szCs w:val="22"/>
        </w:rPr>
      </w:pPr>
      <w:r w:rsidRPr="00E733CD">
        <w:rPr>
          <w:rFonts w:cs="Times New Roman"/>
          <w:i/>
          <w:iCs/>
          <w:kern w:val="22"/>
          <w:szCs w:val="22"/>
        </w:rPr>
        <w:t>Strengthening operational governance</w:t>
      </w:r>
      <w:r w:rsidRPr="00E733CD">
        <w:rPr>
          <w:rFonts w:cs="Times New Roman"/>
          <w:kern w:val="22"/>
          <w:szCs w:val="22"/>
        </w:rPr>
        <w:t>. The GEF Secretariat should develop and</w:t>
      </w:r>
      <w:r w:rsidR="007317D5" w:rsidRPr="00E733CD">
        <w:rPr>
          <w:rFonts w:cs="Times New Roman"/>
          <w:kern w:val="22"/>
          <w:szCs w:val="22"/>
        </w:rPr>
        <w:t xml:space="preserve"> </w:t>
      </w:r>
      <w:r w:rsidRPr="00E733CD">
        <w:rPr>
          <w:rFonts w:cs="Times New Roman"/>
          <w:kern w:val="22"/>
          <w:szCs w:val="22"/>
        </w:rPr>
        <w:t>clearly communicate the criteria for program</w:t>
      </w:r>
      <w:r w:rsidR="007317D5" w:rsidRPr="00E733CD">
        <w:rPr>
          <w:rFonts w:cs="Times New Roman"/>
          <w:kern w:val="22"/>
          <w:szCs w:val="22"/>
        </w:rPr>
        <w:t xml:space="preserve"> </w:t>
      </w:r>
      <w:r w:rsidRPr="00E733CD">
        <w:rPr>
          <w:rFonts w:cs="Times New Roman"/>
          <w:kern w:val="22"/>
          <w:szCs w:val="22"/>
        </w:rPr>
        <w:t>selection and design. Addressing the potential for conflicts</w:t>
      </w:r>
      <w:r w:rsidR="007317D5" w:rsidRPr="00E733CD">
        <w:rPr>
          <w:rFonts w:cs="Times New Roman"/>
          <w:kern w:val="22"/>
          <w:szCs w:val="22"/>
        </w:rPr>
        <w:t xml:space="preserve"> </w:t>
      </w:r>
      <w:r w:rsidRPr="00E733CD">
        <w:rPr>
          <w:rFonts w:cs="Times New Roman"/>
          <w:kern w:val="22"/>
          <w:szCs w:val="22"/>
        </w:rPr>
        <w:t>of interest arising from the overlapping</w:t>
      </w:r>
      <w:r w:rsidR="007317D5" w:rsidRPr="00E733CD">
        <w:rPr>
          <w:rFonts w:cs="Times New Roman"/>
          <w:kern w:val="22"/>
          <w:szCs w:val="22"/>
        </w:rPr>
        <w:t xml:space="preserve"> </w:t>
      </w:r>
      <w:r w:rsidRPr="00E733CD">
        <w:rPr>
          <w:rFonts w:cs="Times New Roman"/>
          <w:kern w:val="22"/>
          <w:szCs w:val="22"/>
        </w:rPr>
        <w:t>roles between implementing and executing</w:t>
      </w:r>
      <w:r w:rsidR="007317D5" w:rsidRPr="00E733CD">
        <w:rPr>
          <w:rFonts w:cs="Times New Roman"/>
          <w:kern w:val="22"/>
          <w:szCs w:val="22"/>
        </w:rPr>
        <w:t xml:space="preserve"> </w:t>
      </w:r>
      <w:r w:rsidRPr="00E733CD">
        <w:rPr>
          <w:rFonts w:cs="Times New Roman"/>
          <w:kern w:val="22"/>
          <w:szCs w:val="22"/>
        </w:rPr>
        <w:t>Agencies—including for international civil</w:t>
      </w:r>
      <w:r w:rsidR="007317D5" w:rsidRPr="00E733CD">
        <w:rPr>
          <w:rFonts w:cs="Times New Roman"/>
          <w:kern w:val="22"/>
          <w:szCs w:val="22"/>
        </w:rPr>
        <w:t xml:space="preserve"> </w:t>
      </w:r>
      <w:r w:rsidRPr="00E733CD">
        <w:rPr>
          <w:rFonts w:cs="Times New Roman"/>
          <w:kern w:val="22"/>
          <w:szCs w:val="22"/>
        </w:rPr>
        <w:t>society organization partner Agencies—is</w:t>
      </w:r>
      <w:r w:rsidR="007317D5" w:rsidRPr="00E733CD">
        <w:rPr>
          <w:rFonts w:cs="Times New Roman"/>
          <w:kern w:val="22"/>
          <w:szCs w:val="22"/>
        </w:rPr>
        <w:t xml:space="preserve"> </w:t>
      </w:r>
      <w:r w:rsidRPr="00E733CD">
        <w:rPr>
          <w:rFonts w:cs="Times New Roman"/>
          <w:kern w:val="22"/>
          <w:szCs w:val="22"/>
        </w:rPr>
        <w:t>imperative</w:t>
      </w:r>
      <w:r w:rsidR="00813E7B" w:rsidRPr="00E733CD">
        <w:rPr>
          <w:rFonts w:cs="Times New Roman"/>
          <w:kern w:val="22"/>
          <w:szCs w:val="22"/>
        </w:rPr>
        <w:t>;</w:t>
      </w:r>
    </w:p>
    <w:p w:rsidR="007317D5" w:rsidRPr="00E733CD" w:rsidRDefault="00CA7383" w:rsidP="00E733CD">
      <w:pPr>
        <w:pStyle w:val="Para1"/>
        <w:numPr>
          <w:ilvl w:val="0"/>
          <w:numId w:val="46"/>
        </w:numPr>
        <w:suppressLineNumbers/>
        <w:suppressAutoHyphens/>
        <w:kinsoku w:val="0"/>
        <w:overflowPunct w:val="0"/>
        <w:autoSpaceDE w:val="0"/>
        <w:autoSpaceDN w:val="0"/>
        <w:adjustRightInd w:val="0"/>
        <w:snapToGrid w:val="0"/>
        <w:ind w:left="0" w:firstLine="720"/>
        <w:rPr>
          <w:rFonts w:cs="Times New Roman"/>
          <w:kern w:val="22"/>
          <w:szCs w:val="22"/>
        </w:rPr>
      </w:pPr>
      <w:r w:rsidRPr="00E733CD">
        <w:rPr>
          <w:rFonts w:cs="Times New Roman"/>
          <w:i/>
          <w:iCs/>
          <w:kern w:val="22"/>
          <w:szCs w:val="22"/>
        </w:rPr>
        <w:t>Improving systems for data, monitoring, and</w:t>
      </w:r>
      <w:r w:rsidR="007317D5" w:rsidRPr="00E733CD">
        <w:rPr>
          <w:rFonts w:cs="Times New Roman"/>
          <w:i/>
          <w:iCs/>
          <w:kern w:val="22"/>
          <w:szCs w:val="22"/>
        </w:rPr>
        <w:t xml:space="preserve"> </w:t>
      </w:r>
      <w:r w:rsidRPr="00E733CD">
        <w:rPr>
          <w:rFonts w:cs="Times New Roman"/>
          <w:i/>
          <w:iCs/>
          <w:kern w:val="22"/>
          <w:szCs w:val="22"/>
        </w:rPr>
        <w:t>knowledge</w:t>
      </w:r>
      <w:r w:rsidRPr="00E733CD">
        <w:rPr>
          <w:rFonts w:cs="Times New Roman"/>
          <w:kern w:val="22"/>
          <w:szCs w:val="22"/>
        </w:rPr>
        <w:t>. GEF systems for project management</w:t>
      </w:r>
      <w:r w:rsidR="007317D5" w:rsidRPr="00E733CD">
        <w:rPr>
          <w:rFonts w:cs="Times New Roman"/>
          <w:kern w:val="22"/>
          <w:szCs w:val="22"/>
        </w:rPr>
        <w:t xml:space="preserve"> </w:t>
      </w:r>
      <w:r w:rsidRPr="00E733CD">
        <w:rPr>
          <w:rFonts w:cs="Times New Roman"/>
          <w:kern w:val="22"/>
          <w:szCs w:val="22"/>
        </w:rPr>
        <w:t>information, results, and knowledge</w:t>
      </w:r>
      <w:r w:rsidR="007317D5" w:rsidRPr="00E733CD">
        <w:rPr>
          <w:rFonts w:cs="Times New Roman"/>
          <w:kern w:val="22"/>
          <w:szCs w:val="22"/>
        </w:rPr>
        <w:t xml:space="preserve"> </w:t>
      </w:r>
      <w:r w:rsidRPr="00E733CD">
        <w:rPr>
          <w:rFonts w:cs="Times New Roman"/>
          <w:kern w:val="22"/>
          <w:szCs w:val="22"/>
        </w:rPr>
        <w:t>must be further strengthened to enable the</w:t>
      </w:r>
      <w:r w:rsidR="007317D5" w:rsidRPr="00E733CD">
        <w:rPr>
          <w:rFonts w:cs="Times New Roman"/>
          <w:kern w:val="22"/>
          <w:szCs w:val="22"/>
        </w:rPr>
        <w:t xml:space="preserve"> </w:t>
      </w:r>
      <w:r w:rsidRPr="00E733CD">
        <w:rPr>
          <w:rFonts w:cs="Times New Roman"/>
          <w:kern w:val="22"/>
          <w:szCs w:val="22"/>
        </w:rPr>
        <w:t>GEF to demonstrate its results and serve the</w:t>
      </w:r>
      <w:r w:rsidR="007317D5" w:rsidRPr="00E733CD">
        <w:rPr>
          <w:rFonts w:cs="Times New Roman"/>
          <w:kern w:val="22"/>
          <w:szCs w:val="22"/>
        </w:rPr>
        <w:t xml:space="preserve"> </w:t>
      </w:r>
      <w:r w:rsidRPr="00E733CD">
        <w:rPr>
          <w:rFonts w:cs="Times New Roman"/>
          <w:kern w:val="22"/>
          <w:szCs w:val="22"/>
        </w:rPr>
        <w:t>needs of the partnership for learning.</w:t>
      </w:r>
    </w:p>
    <w:p w:rsidR="009264E6" w:rsidRPr="00E733CD" w:rsidRDefault="009264E6" w:rsidP="00E733CD">
      <w:pPr>
        <w:pStyle w:val="Heading2"/>
        <w:numPr>
          <w:ilvl w:val="0"/>
          <w:numId w:val="47"/>
        </w:numPr>
        <w:suppressLineNumbers/>
        <w:tabs>
          <w:tab w:val="clear" w:pos="720"/>
          <w:tab w:val="left" w:pos="360"/>
        </w:tabs>
        <w:suppressAutoHyphens/>
        <w:kinsoku w:val="0"/>
        <w:overflowPunct w:val="0"/>
        <w:autoSpaceDE w:val="0"/>
        <w:autoSpaceDN w:val="0"/>
        <w:adjustRightInd w:val="0"/>
        <w:snapToGrid w:val="0"/>
        <w:ind w:left="0" w:firstLine="0"/>
        <w:rPr>
          <w:rFonts w:cs="Times New Roman"/>
          <w:snapToGrid w:val="0"/>
          <w:kern w:val="22"/>
          <w:szCs w:val="22"/>
        </w:rPr>
      </w:pPr>
      <w:r w:rsidRPr="00E733CD">
        <w:rPr>
          <w:rFonts w:cs="Times New Roman"/>
          <w:snapToGrid w:val="0"/>
          <w:kern w:val="22"/>
          <w:szCs w:val="22"/>
        </w:rPr>
        <w:t xml:space="preserve">Future implementation of review of effectiveness of the financial mechanism </w:t>
      </w:r>
    </w:p>
    <w:p w:rsidR="009264E6" w:rsidRPr="00E733CD" w:rsidRDefault="009264E6" w:rsidP="00E733CD">
      <w:pPr>
        <w:pStyle w:val="Para1"/>
        <w:numPr>
          <w:ilvl w:val="0"/>
          <w:numId w:val="14"/>
        </w:numPr>
        <w:suppressLineNumbers/>
        <w:tabs>
          <w:tab w:val="num" w:pos="720"/>
        </w:tabs>
        <w:suppressAutoHyphens/>
        <w:kinsoku w:val="0"/>
        <w:overflowPunct w:val="0"/>
        <w:autoSpaceDE w:val="0"/>
        <w:autoSpaceDN w:val="0"/>
        <w:adjustRightInd w:val="0"/>
        <w:snapToGrid w:val="0"/>
        <w:ind w:left="0" w:firstLine="0"/>
        <w:rPr>
          <w:rFonts w:eastAsia="Times New Roman" w:cs="Times New Roman"/>
          <w:iCs/>
          <w:kern w:val="22"/>
          <w:szCs w:val="22"/>
        </w:rPr>
      </w:pPr>
      <w:bookmarkStart w:id="3" w:name="_Ref513636591"/>
      <w:r w:rsidRPr="00E733CD">
        <w:rPr>
          <w:rFonts w:eastAsia="Times New Roman" w:cs="Times New Roman"/>
          <w:iCs/>
          <w:kern w:val="22"/>
          <w:szCs w:val="22"/>
        </w:rPr>
        <w:t>Article 21</w:t>
      </w:r>
      <w:r w:rsidR="00D767AF" w:rsidRPr="00E733CD">
        <w:rPr>
          <w:rFonts w:eastAsia="Times New Roman" w:cs="Times New Roman"/>
          <w:iCs/>
          <w:kern w:val="22"/>
          <w:szCs w:val="22"/>
        </w:rPr>
        <w:t>, paragraph 3,</w:t>
      </w:r>
      <w:r w:rsidRPr="00E733CD">
        <w:rPr>
          <w:rFonts w:eastAsia="Times New Roman" w:cs="Times New Roman"/>
          <w:iCs/>
          <w:kern w:val="22"/>
          <w:szCs w:val="22"/>
        </w:rPr>
        <w:t xml:space="preserve"> states that the Conference of the Parties shall review the effectiveness of the financial mechanism on a regular basis, and shall take appropriate action to improve the effectiveness of the mechanism if necessary. The original terms of reference for such review were initially adopted by the Conference of the Parties in decision III/7 (Guidelines for the </w:t>
      </w:r>
      <w:r w:rsidRPr="00E733CD">
        <w:rPr>
          <w:rFonts w:cs="Times New Roman"/>
          <w:kern w:val="22"/>
          <w:szCs w:val="22"/>
        </w:rPr>
        <w:t>review</w:t>
      </w:r>
      <w:r w:rsidRPr="00E733CD">
        <w:rPr>
          <w:rFonts w:eastAsia="Times New Roman" w:cs="Times New Roman"/>
          <w:iCs/>
          <w:kern w:val="22"/>
          <w:szCs w:val="22"/>
        </w:rPr>
        <w:t xml:space="preserve"> of the effectiveness of the financial mechanism)</w:t>
      </w:r>
      <w:r w:rsidR="004A1EA5" w:rsidRPr="00E733CD">
        <w:rPr>
          <w:rFonts w:eastAsia="Times New Roman" w:cs="Times New Roman"/>
          <w:iCs/>
          <w:kern w:val="22"/>
          <w:szCs w:val="22"/>
        </w:rPr>
        <w:t>,</w:t>
      </w:r>
      <w:r w:rsidRPr="00E733CD">
        <w:rPr>
          <w:rFonts w:eastAsia="Times New Roman" w:cs="Times New Roman"/>
          <w:iCs/>
          <w:kern w:val="22"/>
          <w:szCs w:val="22"/>
        </w:rPr>
        <w:t xml:space="preserve"> in 1996, and decision V/12 (Second review of the financial mechanism)</w:t>
      </w:r>
      <w:r w:rsidR="006871B9" w:rsidRPr="00E733CD">
        <w:rPr>
          <w:rFonts w:eastAsia="Times New Roman" w:cs="Times New Roman"/>
          <w:iCs/>
          <w:kern w:val="22"/>
          <w:szCs w:val="22"/>
        </w:rPr>
        <w:t>, in 2000</w:t>
      </w:r>
      <w:r w:rsidRPr="00E733CD">
        <w:rPr>
          <w:rFonts w:eastAsia="Times New Roman" w:cs="Times New Roman"/>
          <w:iCs/>
          <w:kern w:val="22"/>
          <w:szCs w:val="22"/>
        </w:rPr>
        <w:t xml:space="preserve">. Similar terms of reference have been adopted for subsequent reviews of effectiveness of financial mechanism, with an experienced independent evaluator to be contracted for undertaking the review, in accordance with the adopted objectives, methodology and criteria. However, </w:t>
      </w:r>
      <w:r w:rsidR="006871B9" w:rsidRPr="00E733CD">
        <w:rPr>
          <w:rFonts w:eastAsia="Times New Roman" w:cs="Times New Roman"/>
          <w:iCs/>
          <w:kern w:val="22"/>
          <w:szCs w:val="22"/>
        </w:rPr>
        <w:t>t</w:t>
      </w:r>
      <w:r w:rsidRPr="00E733CD">
        <w:rPr>
          <w:rFonts w:eastAsia="Times New Roman" w:cs="Times New Roman"/>
          <w:iCs/>
          <w:kern w:val="22"/>
          <w:szCs w:val="22"/>
        </w:rPr>
        <w:t>he implementation of the terms of reference for the review of effectiveness of financial mechanism has become subject to availability of voluntary contributions, which have not been always available in time for preparing a report on the effectiveness review.</w:t>
      </w:r>
      <w:r w:rsidR="00D767AF" w:rsidRPr="00E733CD">
        <w:rPr>
          <w:rFonts w:eastAsia="Times New Roman" w:cs="Times New Roman"/>
          <w:iCs/>
          <w:kern w:val="22"/>
          <w:szCs w:val="22"/>
        </w:rPr>
        <w:t xml:space="preserve"> As a result, the fourth review of effectiveness of the financial mechanism was postponed from the eleventh meeting of the Conference of the Parties to the twelfth meeting</w:t>
      </w:r>
      <w:r w:rsidR="006871B9" w:rsidRPr="00E733CD">
        <w:rPr>
          <w:rFonts w:eastAsia="Times New Roman" w:cs="Times New Roman"/>
          <w:iCs/>
          <w:kern w:val="22"/>
          <w:szCs w:val="22"/>
        </w:rPr>
        <w:t xml:space="preserve"> (see</w:t>
      </w:r>
      <w:r w:rsidR="00D767AF" w:rsidRPr="00E733CD">
        <w:rPr>
          <w:rFonts w:eastAsia="Times New Roman" w:cs="Times New Roman"/>
          <w:iCs/>
          <w:kern w:val="22"/>
          <w:szCs w:val="22"/>
        </w:rPr>
        <w:t xml:space="preserve"> </w:t>
      </w:r>
      <w:r w:rsidR="00EF6C70" w:rsidRPr="00E733CD">
        <w:rPr>
          <w:rFonts w:eastAsia="Times New Roman" w:cs="Times New Roman"/>
          <w:iCs/>
          <w:kern w:val="22"/>
          <w:szCs w:val="22"/>
        </w:rPr>
        <w:t>decision XI</w:t>
      </w:r>
      <w:r w:rsidR="00D767AF" w:rsidRPr="00E733CD">
        <w:rPr>
          <w:rFonts w:eastAsia="Times New Roman" w:cs="Times New Roman"/>
          <w:iCs/>
          <w:kern w:val="22"/>
          <w:szCs w:val="22"/>
        </w:rPr>
        <w:t>/5, para</w:t>
      </w:r>
      <w:r w:rsidR="00A81BDC" w:rsidRPr="00E733CD">
        <w:rPr>
          <w:rFonts w:eastAsia="Times New Roman" w:cs="Times New Roman"/>
          <w:iCs/>
          <w:kern w:val="22"/>
          <w:szCs w:val="22"/>
        </w:rPr>
        <w:t>.</w:t>
      </w:r>
      <w:r w:rsidR="00D767AF" w:rsidRPr="00E733CD">
        <w:rPr>
          <w:rFonts w:eastAsia="Times New Roman" w:cs="Times New Roman"/>
          <w:iCs/>
          <w:kern w:val="22"/>
          <w:szCs w:val="22"/>
        </w:rPr>
        <w:t xml:space="preserve"> 7</w:t>
      </w:r>
      <w:r w:rsidR="006871B9" w:rsidRPr="00E733CD">
        <w:rPr>
          <w:rFonts w:eastAsia="Times New Roman" w:cs="Times New Roman"/>
          <w:iCs/>
          <w:kern w:val="22"/>
          <w:szCs w:val="22"/>
        </w:rPr>
        <w:t>)</w:t>
      </w:r>
      <w:r w:rsidR="00D767AF" w:rsidRPr="00E733CD">
        <w:rPr>
          <w:rFonts w:eastAsia="Times New Roman" w:cs="Times New Roman"/>
          <w:iCs/>
          <w:kern w:val="22"/>
          <w:szCs w:val="22"/>
        </w:rPr>
        <w:t>.</w:t>
      </w:r>
      <w:bookmarkEnd w:id="3"/>
      <w:r w:rsidR="00052283" w:rsidRPr="00E733CD">
        <w:rPr>
          <w:rFonts w:eastAsia="Times New Roman" w:cs="Times New Roman"/>
          <w:iCs/>
          <w:kern w:val="22"/>
          <w:szCs w:val="22"/>
        </w:rPr>
        <w:t xml:space="preserve"> Due to the lack of funding, the fifth review of the effectiveness of the financial mechanism has not been </w:t>
      </w:r>
      <w:r w:rsidR="00B2122E" w:rsidRPr="00E733CD">
        <w:rPr>
          <w:rFonts w:eastAsia="Times New Roman" w:cs="Times New Roman"/>
          <w:iCs/>
          <w:kern w:val="22"/>
          <w:szCs w:val="22"/>
        </w:rPr>
        <w:t>carried out.</w:t>
      </w:r>
    </w:p>
    <w:p w:rsidR="00EF6C70" w:rsidRPr="00E733CD" w:rsidRDefault="00EF6C70" w:rsidP="00E733CD">
      <w:pPr>
        <w:pStyle w:val="Para1"/>
        <w:numPr>
          <w:ilvl w:val="0"/>
          <w:numId w:val="14"/>
        </w:numPr>
        <w:suppressLineNumbers/>
        <w:tabs>
          <w:tab w:val="num" w:pos="720"/>
        </w:tabs>
        <w:suppressAutoHyphens/>
        <w:kinsoku w:val="0"/>
        <w:overflowPunct w:val="0"/>
        <w:autoSpaceDE w:val="0"/>
        <w:autoSpaceDN w:val="0"/>
        <w:adjustRightInd w:val="0"/>
        <w:snapToGrid w:val="0"/>
        <w:ind w:left="0" w:firstLine="0"/>
        <w:rPr>
          <w:rFonts w:eastAsia="Times New Roman" w:cs="Times New Roman"/>
          <w:iCs/>
          <w:kern w:val="22"/>
          <w:szCs w:val="22"/>
        </w:rPr>
      </w:pPr>
      <w:bookmarkStart w:id="4" w:name="_Ref513635853"/>
      <w:r w:rsidRPr="00E733CD">
        <w:rPr>
          <w:rFonts w:eastAsia="Times New Roman" w:cs="Times New Roman"/>
          <w:iCs/>
          <w:kern w:val="22"/>
          <w:szCs w:val="22"/>
        </w:rPr>
        <w:t xml:space="preserve">Since </w:t>
      </w:r>
      <w:r w:rsidR="009264E6" w:rsidRPr="00E733CD">
        <w:rPr>
          <w:rFonts w:eastAsia="Times New Roman" w:cs="Times New Roman"/>
          <w:iCs/>
          <w:kern w:val="22"/>
          <w:szCs w:val="22"/>
        </w:rPr>
        <w:t xml:space="preserve">the Conference of the Parties adopted an independent process for review of effectiveness in </w:t>
      </w:r>
      <w:r w:rsidRPr="00E733CD">
        <w:rPr>
          <w:rFonts w:eastAsia="Times New Roman" w:cs="Times New Roman"/>
          <w:iCs/>
          <w:kern w:val="22"/>
          <w:szCs w:val="22"/>
        </w:rPr>
        <w:t xml:space="preserve">May </w:t>
      </w:r>
      <w:r w:rsidR="009264E6" w:rsidRPr="00E733CD">
        <w:rPr>
          <w:rFonts w:eastAsia="Times New Roman" w:cs="Times New Roman"/>
          <w:iCs/>
          <w:kern w:val="22"/>
          <w:szCs w:val="22"/>
        </w:rPr>
        <w:t xml:space="preserve">2000, the GEF Council decided to establish the Independent Evaluation Office </w:t>
      </w:r>
      <w:r w:rsidRPr="00E733CD">
        <w:rPr>
          <w:rFonts w:eastAsia="Times New Roman" w:cs="Times New Roman"/>
          <w:iCs/>
          <w:kern w:val="22"/>
          <w:szCs w:val="22"/>
        </w:rPr>
        <w:t>to provide the independent evaluation function within GEF</w:t>
      </w:r>
      <w:r w:rsidR="006871B9" w:rsidRPr="00E733CD">
        <w:rPr>
          <w:rFonts w:eastAsia="Times New Roman" w:cs="Times New Roman"/>
          <w:iCs/>
          <w:kern w:val="22"/>
          <w:szCs w:val="22"/>
        </w:rPr>
        <w:t>,</w:t>
      </w:r>
      <w:r w:rsidRPr="00E733CD">
        <w:rPr>
          <w:rFonts w:eastAsia="Times New Roman" w:cs="Times New Roman"/>
          <w:iCs/>
          <w:kern w:val="22"/>
          <w:szCs w:val="22"/>
        </w:rPr>
        <w:t xml:space="preserve"> </w:t>
      </w:r>
      <w:r w:rsidR="009264E6" w:rsidRPr="00E733CD">
        <w:rPr>
          <w:rFonts w:eastAsia="Times New Roman" w:cs="Times New Roman"/>
          <w:iCs/>
          <w:kern w:val="22"/>
          <w:szCs w:val="22"/>
        </w:rPr>
        <w:t xml:space="preserve">in July 2003. </w:t>
      </w:r>
      <w:r w:rsidRPr="00E733CD">
        <w:rPr>
          <w:rFonts w:cs="Times New Roman"/>
          <w:kern w:val="22"/>
          <w:szCs w:val="22"/>
        </w:rPr>
        <w:t>The GEF/IEO is independent from the policymaking, the delivery, and management of assistance in GEF, and is accountable directly to the GEF Council. In undertaking evaluations, the GEF/IEO is guided by the following principles as spelled out in the GEF Monitoring and Evaluation (M&amp;E) Policy 2010 (GEF/ME/C.39/6/Rev.1, November 17, 2010): independence, credibility, utility, impartiality, transparency, disclosure, ethical, participation, competencies and capacities. The GEF Evaluation Office Ethical Guidelines 2007 further require independence, impartiality, transparency, disclosure and knowledge sharing in its evaluations</w:t>
      </w:r>
      <w:r w:rsidR="00953C2E" w:rsidRPr="00E733CD">
        <w:rPr>
          <w:rFonts w:cs="Times New Roman"/>
          <w:kern w:val="22"/>
          <w:szCs w:val="22"/>
        </w:rPr>
        <w:t>, and state that e</w:t>
      </w:r>
      <w:r w:rsidRPr="00E733CD">
        <w:rPr>
          <w:rFonts w:cs="Times New Roman"/>
          <w:kern w:val="22"/>
          <w:szCs w:val="22"/>
        </w:rPr>
        <w:t>valuations must give a comprehensive and balanced presentation of strengths and weaknesses of the policy, program, project, or organizational unit being evaluated. The evaluation process shall reflect impartiality at all stages and take due account of the views of stakeholders.</w:t>
      </w:r>
      <w:bookmarkEnd w:id="4"/>
    </w:p>
    <w:p w:rsidR="00D612B8" w:rsidRPr="00E733CD" w:rsidRDefault="00D612B8" w:rsidP="00E733CD">
      <w:pPr>
        <w:pStyle w:val="Heading1"/>
        <w:suppressLineNumbers/>
        <w:tabs>
          <w:tab w:val="clear" w:pos="720"/>
          <w:tab w:val="left" w:pos="360"/>
        </w:tabs>
        <w:suppressAutoHyphens/>
        <w:kinsoku w:val="0"/>
        <w:overflowPunct w:val="0"/>
        <w:autoSpaceDE w:val="0"/>
        <w:autoSpaceDN w:val="0"/>
        <w:adjustRightInd w:val="0"/>
        <w:snapToGrid w:val="0"/>
        <w:spacing w:before="120"/>
        <w:rPr>
          <w:rFonts w:cs="Times New Roman"/>
          <w:snapToGrid w:val="0"/>
          <w:kern w:val="22"/>
          <w:szCs w:val="22"/>
        </w:rPr>
      </w:pPr>
      <w:r w:rsidRPr="00E733CD">
        <w:rPr>
          <w:rFonts w:cs="Times New Roman"/>
          <w:snapToGrid w:val="0"/>
          <w:kern w:val="22"/>
          <w:szCs w:val="22"/>
        </w:rPr>
        <w:t>IV.</w:t>
      </w:r>
      <w:r w:rsidRPr="00E733CD">
        <w:rPr>
          <w:rFonts w:cs="Times New Roman"/>
          <w:snapToGrid w:val="0"/>
          <w:kern w:val="22"/>
          <w:szCs w:val="22"/>
        </w:rPr>
        <w:tab/>
        <w:t>DETERMINATION OF FUNDING REQUIREMENTS</w:t>
      </w:r>
    </w:p>
    <w:p w:rsidR="00E22D51" w:rsidRPr="003769A6" w:rsidRDefault="00494431" w:rsidP="00E733CD">
      <w:pPr>
        <w:pStyle w:val="Para1"/>
        <w:numPr>
          <w:ilvl w:val="0"/>
          <w:numId w:val="14"/>
        </w:numPr>
        <w:suppressLineNumbers/>
        <w:suppressAutoHyphens/>
        <w:kinsoku w:val="0"/>
        <w:overflowPunct w:val="0"/>
        <w:autoSpaceDE w:val="0"/>
        <w:autoSpaceDN w:val="0"/>
        <w:adjustRightInd w:val="0"/>
        <w:snapToGrid w:val="0"/>
        <w:ind w:left="0" w:firstLine="0"/>
        <w:rPr>
          <w:rFonts w:eastAsia="Malgun Gothic" w:cs="Times New Roman"/>
          <w:kern w:val="22"/>
          <w:szCs w:val="22"/>
        </w:rPr>
      </w:pPr>
      <w:r w:rsidRPr="00455AB8">
        <w:rPr>
          <w:rFonts w:eastAsia="Malgun Gothic" w:cs="Times New Roman"/>
          <w:kern w:val="22"/>
          <w:szCs w:val="22"/>
        </w:rPr>
        <w:t xml:space="preserve">In </w:t>
      </w:r>
      <w:r w:rsidRPr="00E733CD">
        <w:rPr>
          <w:rFonts w:eastAsia="Times New Roman" w:cs="Times New Roman"/>
          <w:iCs/>
          <w:kern w:val="22"/>
          <w:szCs w:val="22"/>
        </w:rPr>
        <w:t>decision</w:t>
      </w:r>
      <w:r w:rsidRPr="00455AB8">
        <w:rPr>
          <w:rFonts w:eastAsia="Malgun Gothic" w:cs="Times New Roman"/>
          <w:kern w:val="22"/>
          <w:szCs w:val="22"/>
        </w:rPr>
        <w:t xml:space="preserve"> </w:t>
      </w:r>
      <w:hyperlink r:id="rId14" w:history="1">
        <w:r w:rsidRPr="00E039F4">
          <w:rPr>
            <w:rStyle w:val="Hyperlink"/>
            <w:rFonts w:eastAsia="Malgun Gothic" w:cs="Times New Roman"/>
            <w:kern w:val="22"/>
            <w:szCs w:val="22"/>
          </w:rPr>
          <w:t>X/26</w:t>
        </w:r>
      </w:hyperlink>
      <w:r w:rsidRPr="00455AB8">
        <w:rPr>
          <w:rFonts w:eastAsia="Malgun Gothic" w:cs="Times New Roman"/>
          <w:kern w:val="22"/>
          <w:szCs w:val="22"/>
        </w:rPr>
        <w:t xml:space="preserve">, the Conference of the Parties decided to initiate an assessment of the amount of funds that are necessary to assist developing countries, in accordance with the guidance </w:t>
      </w:r>
      <w:r w:rsidRPr="00E733CD">
        <w:rPr>
          <w:rFonts w:eastAsia="Times New Roman" w:cs="Times New Roman"/>
          <w:iCs/>
          <w:kern w:val="22"/>
          <w:szCs w:val="22"/>
        </w:rPr>
        <w:t>provided</w:t>
      </w:r>
      <w:r w:rsidRPr="00455AB8">
        <w:rPr>
          <w:rFonts w:eastAsia="Malgun Gothic" w:cs="Times New Roman"/>
          <w:kern w:val="22"/>
          <w:szCs w:val="22"/>
        </w:rPr>
        <w:t xml:space="preserve"> by the Conference of the Parties, in fulfilling their commitments under the</w:t>
      </w:r>
      <w:r w:rsidRPr="00E039F4">
        <w:rPr>
          <w:rFonts w:eastAsia="Malgun Gothic" w:cs="Times New Roman"/>
          <w:kern w:val="22"/>
          <w:szCs w:val="22"/>
        </w:rPr>
        <w:t xml:space="preserve"> Convention over the next GEF replenishment cycle. </w:t>
      </w:r>
      <w:r w:rsidR="005236C8" w:rsidRPr="003769A6">
        <w:rPr>
          <w:rFonts w:eastAsia="Malgun Gothic" w:cs="Times New Roman"/>
          <w:kern w:val="22"/>
          <w:szCs w:val="22"/>
        </w:rPr>
        <w:t xml:space="preserve">In anticipation of the seventh replenishment of the GEF Trust Fund, an expert team conducted a full assessment of funding needs and </w:t>
      </w:r>
      <w:r w:rsidR="00E22D51" w:rsidRPr="00B747CF">
        <w:rPr>
          <w:rFonts w:eastAsia="Malgun Gothic" w:cs="Times New Roman"/>
          <w:kern w:val="22"/>
          <w:szCs w:val="22"/>
        </w:rPr>
        <w:t xml:space="preserve">projected </w:t>
      </w:r>
      <w:r w:rsidR="005236C8" w:rsidRPr="00BF7E4D">
        <w:rPr>
          <w:rFonts w:eastAsia="Malgun Gothic" w:cs="Times New Roman"/>
          <w:kern w:val="22"/>
          <w:szCs w:val="22"/>
        </w:rPr>
        <w:t>that</w:t>
      </w:r>
      <w:r w:rsidR="00E22D51" w:rsidRPr="00156FC6">
        <w:rPr>
          <w:rFonts w:eastAsia="Malgun Gothic" w:cs="Times New Roman"/>
          <w:kern w:val="22"/>
          <w:szCs w:val="22"/>
        </w:rPr>
        <w:t xml:space="preserve"> the GEF-7 funding needs would fall within the range betwee</w:t>
      </w:r>
      <w:r w:rsidR="00E22D51" w:rsidRPr="006A3516">
        <w:rPr>
          <w:rFonts w:eastAsia="Malgun Gothic" w:cs="Times New Roman"/>
          <w:kern w:val="22"/>
          <w:szCs w:val="22"/>
        </w:rPr>
        <w:t>n US$</w:t>
      </w:r>
      <w:r w:rsidR="003769A6">
        <w:rPr>
          <w:rFonts w:eastAsia="Malgun Gothic" w:cs="Times New Roman"/>
          <w:kern w:val="22"/>
          <w:szCs w:val="22"/>
        </w:rPr>
        <w:t> </w:t>
      </w:r>
      <w:r w:rsidR="00E22D51" w:rsidRPr="003769A6">
        <w:rPr>
          <w:rFonts w:eastAsia="Malgun Gothic" w:cs="Times New Roman"/>
          <w:kern w:val="22"/>
          <w:szCs w:val="22"/>
        </w:rPr>
        <w:t>2 billion and US$</w:t>
      </w:r>
      <w:r w:rsidR="003769A6">
        <w:rPr>
          <w:rFonts w:eastAsia="Malgun Gothic" w:cs="Times New Roman"/>
          <w:kern w:val="22"/>
          <w:szCs w:val="22"/>
        </w:rPr>
        <w:t> </w:t>
      </w:r>
      <w:r w:rsidR="00E22D51" w:rsidRPr="003769A6">
        <w:rPr>
          <w:rFonts w:eastAsia="Malgun Gothic" w:cs="Times New Roman"/>
          <w:kern w:val="22"/>
          <w:szCs w:val="22"/>
        </w:rPr>
        <w:t>4.5 billion.</w:t>
      </w:r>
      <w:r w:rsidR="006E2E54" w:rsidRPr="003769A6">
        <w:rPr>
          <w:rStyle w:val="FootnoteReference"/>
          <w:rFonts w:eastAsia="Malgun Gothic" w:cs="Times New Roman"/>
          <w:kern w:val="22"/>
          <w:sz w:val="22"/>
          <w:szCs w:val="22"/>
        </w:rPr>
        <w:footnoteReference w:id="2"/>
      </w:r>
      <w:r w:rsidR="00E22D51" w:rsidRPr="00B747CF">
        <w:rPr>
          <w:rFonts w:eastAsia="Malgun Gothic" w:cs="Times New Roman"/>
          <w:kern w:val="22"/>
          <w:szCs w:val="22"/>
        </w:rPr>
        <w:t xml:space="preserve"> </w:t>
      </w:r>
      <w:r w:rsidRPr="00B747CF">
        <w:rPr>
          <w:rFonts w:eastAsia="Malgun Gothic" w:cs="Times New Roman"/>
          <w:kern w:val="22"/>
          <w:szCs w:val="22"/>
        </w:rPr>
        <w:t xml:space="preserve">In decision XIII/21, the Conference of the Parties </w:t>
      </w:r>
      <w:r w:rsidR="000A0D20" w:rsidRPr="00A030AA">
        <w:rPr>
          <w:rFonts w:eastAsia="Malgun Gothic" w:cs="Times New Roman"/>
          <w:kern w:val="22"/>
          <w:szCs w:val="22"/>
        </w:rPr>
        <w:t>discussed</w:t>
      </w:r>
      <w:r w:rsidR="00052283" w:rsidRPr="00455AB8">
        <w:rPr>
          <w:rFonts w:eastAsia="Malgun Gothic" w:cs="Times New Roman"/>
          <w:kern w:val="22"/>
          <w:szCs w:val="22"/>
        </w:rPr>
        <w:t xml:space="preserve"> the second determination of funding requirements, </w:t>
      </w:r>
      <w:r w:rsidRPr="00455AB8">
        <w:rPr>
          <w:rFonts w:eastAsia="Malgun Gothic" w:cs="Times New Roman"/>
          <w:kern w:val="22"/>
          <w:szCs w:val="22"/>
        </w:rPr>
        <w:t xml:space="preserve">and requested the Global Environment Facility to take the Strategic Plan </w:t>
      </w:r>
      <w:r w:rsidR="009A1DC0" w:rsidRPr="00455AB8">
        <w:rPr>
          <w:rFonts w:eastAsia="Malgun Gothic" w:cs="Times New Roman"/>
          <w:kern w:val="22"/>
          <w:szCs w:val="22"/>
        </w:rPr>
        <w:t xml:space="preserve">for Biodiversity 2011-2020 </w:t>
      </w:r>
      <w:r w:rsidRPr="00455AB8">
        <w:rPr>
          <w:rFonts w:eastAsia="Malgun Gothic" w:cs="Times New Roman"/>
          <w:kern w:val="22"/>
          <w:szCs w:val="22"/>
        </w:rPr>
        <w:t xml:space="preserve">and the Aichi Biodiversity Targets as well as the </w:t>
      </w:r>
      <w:r w:rsidR="00052283" w:rsidRPr="00455AB8">
        <w:rPr>
          <w:rFonts w:eastAsia="Malgun Gothic" w:cs="Times New Roman"/>
          <w:kern w:val="22"/>
          <w:szCs w:val="22"/>
        </w:rPr>
        <w:t xml:space="preserve">report </w:t>
      </w:r>
      <w:r w:rsidR="000A0D20" w:rsidRPr="00455AB8">
        <w:rPr>
          <w:rFonts w:eastAsia="Malgun Gothic" w:cs="Times New Roman"/>
          <w:kern w:val="22"/>
          <w:szCs w:val="22"/>
        </w:rPr>
        <w:t xml:space="preserve">prepared by the expert team </w:t>
      </w:r>
      <w:r w:rsidR="00052283" w:rsidRPr="00455AB8">
        <w:rPr>
          <w:rFonts w:eastAsia="Malgun Gothic" w:cs="Times New Roman"/>
          <w:kern w:val="22"/>
          <w:szCs w:val="22"/>
        </w:rPr>
        <w:t xml:space="preserve">on a full assessment of the amount of funds needed for the implementation of </w:t>
      </w:r>
      <w:r w:rsidR="00052283" w:rsidRPr="00E733CD">
        <w:rPr>
          <w:rFonts w:eastAsia="Times New Roman" w:cs="Times New Roman"/>
          <w:iCs/>
          <w:kern w:val="22"/>
          <w:szCs w:val="22"/>
        </w:rPr>
        <w:t>the</w:t>
      </w:r>
      <w:r w:rsidR="00052283" w:rsidRPr="00455AB8">
        <w:rPr>
          <w:rFonts w:eastAsia="Malgun Gothic" w:cs="Times New Roman"/>
          <w:kern w:val="22"/>
          <w:szCs w:val="22"/>
        </w:rPr>
        <w:t xml:space="preserve"> Convention and its Protocols for the seventh replenishment period of the Global Environmen</w:t>
      </w:r>
      <w:r w:rsidR="00052283" w:rsidRPr="00E039F4">
        <w:rPr>
          <w:rFonts w:eastAsia="Malgun Gothic" w:cs="Times New Roman"/>
          <w:kern w:val="22"/>
          <w:szCs w:val="22"/>
        </w:rPr>
        <w:t xml:space="preserve">t Facility </w:t>
      </w:r>
      <w:r w:rsidRPr="00E039F4">
        <w:rPr>
          <w:rFonts w:eastAsia="Malgun Gothic" w:cs="Times New Roman"/>
          <w:kern w:val="22"/>
          <w:szCs w:val="22"/>
        </w:rPr>
        <w:t>into consideration in the process of the seventh period of replenishment of the Global Environment Facility Trust Fund but also noting the limitations identified by the expert team</w:t>
      </w:r>
      <w:r w:rsidR="003A6D03" w:rsidRPr="00E039F4">
        <w:rPr>
          <w:rFonts w:eastAsia="Malgun Gothic" w:cs="Times New Roman"/>
          <w:kern w:val="22"/>
          <w:szCs w:val="22"/>
        </w:rPr>
        <w:t>. It also invited the Global Environment Facility to indicate, in</w:t>
      </w:r>
      <w:r w:rsidR="003A6D03" w:rsidRPr="00545E01">
        <w:rPr>
          <w:rFonts w:eastAsia="Malgun Gothic" w:cs="Times New Roman"/>
          <w:kern w:val="22"/>
          <w:szCs w:val="22"/>
        </w:rPr>
        <w:t xml:space="preserve"> its regular report to the Conference of Parties, how it has responded during the replenishment cycle to this assessment</w:t>
      </w:r>
      <w:r w:rsidRPr="003769A6">
        <w:rPr>
          <w:rFonts w:eastAsia="Malgun Gothic" w:cs="Times New Roman"/>
          <w:kern w:val="22"/>
          <w:szCs w:val="22"/>
        </w:rPr>
        <w:t>.</w:t>
      </w:r>
    </w:p>
    <w:p w:rsidR="00EF22E8" w:rsidRPr="00040CD4" w:rsidRDefault="008D6A20" w:rsidP="00040CD4">
      <w:pPr>
        <w:pStyle w:val="Para1"/>
        <w:numPr>
          <w:ilvl w:val="0"/>
          <w:numId w:val="14"/>
        </w:numPr>
        <w:suppressLineNumbers/>
        <w:tabs>
          <w:tab w:val="num" w:pos="720"/>
        </w:tabs>
        <w:suppressAutoHyphens/>
        <w:ind w:left="0" w:firstLine="0"/>
        <w:rPr>
          <w:rFonts w:eastAsia="Malgun Gothic" w:cs="Times New Roman"/>
          <w:kern w:val="22"/>
          <w:szCs w:val="22"/>
        </w:rPr>
      </w:pPr>
      <w:r w:rsidRPr="004A78D9">
        <w:rPr>
          <w:rFonts w:eastAsia="Malgun Gothic" w:cs="Times New Roman"/>
          <w:kern w:val="22"/>
          <w:szCs w:val="22"/>
        </w:rPr>
        <w:t xml:space="preserve">In its preliminary report, </w:t>
      </w:r>
      <w:r w:rsidRPr="00156FC6">
        <w:rPr>
          <w:rFonts w:eastAsia="Malgun Gothic" w:cs="Times New Roman"/>
          <w:kern w:val="22"/>
          <w:szCs w:val="22"/>
        </w:rPr>
        <w:t>GEF notes that</w:t>
      </w:r>
      <w:r w:rsidR="00CE34BF" w:rsidRPr="006A3516">
        <w:rPr>
          <w:rFonts w:eastAsia="Malgun Gothic" w:cs="Times New Roman"/>
          <w:kern w:val="22"/>
          <w:szCs w:val="22"/>
        </w:rPr>
        <w:t>, d</w:t>
      </w:r>
      <w:r w:rsidRPr="00971584">
        <w:rPr>
          <w:rFonts w:eastAsia="Malgun Gothic" w:cs="Times New Roman"/>
          <w:kern w:val="22"/>
          <w:szCs w:val="22"/>
        </w:rPr>
        <w:t>uring the GEF-7 replenishment process, th</w:t>
      </w:r>
      <w:r w:rsidR="00CE34BF" w:rsidRPr="00392DED">
        <w:rPr>
          <w:rFonts w:eastAsia="Malgun Gothic" w:cs="Times New Roman"/>
          <w:kern w:val="22"/>
          <w:szCs w:val="22"/>
        </w:rPr>
        <w:t xml:space="preserve">e above </w:t>
      </w:r>
      <w:r w:rsidRPr="00392DED">
        <w:rPr>
          <w:rFonts w:eastAsia="Malgun Gothic" w:cs="Times New Roman"/>
          <w:kern w:val="22"/>
          <w:szCs w:val="22"/>
        </w:rPr>
        <w:t xml:space="preserve">has been taken into consideration by </w:t>
      </w:r>
      <w:r w:rsidRPr="00040CD4">
        <w:rPr>
          <w:rFonts w:eastAsia="Malgun Gothic" w:cs="Times New Roman"/>
          <w:kern w:val="22"/>
          <w:szCs w:val="22"/>
        </w:rPr>
        <w:t>the replenishment participants. The proposed GEF-7 biodiversity strategy and the aforementioned impact program</w:t>
      </w:r>
      <w:r w:rsidR="00CE34BF" w:rsidRPr="004A78D9">
        <w:rPr>
          <w:rFonts w:eastAsia="Malgun Gothic" w:cs="Times New Roman"/>
          <w:kern w:val="22"/>
          <w:szCs w:val="22"/>
        </w:rPr>
        <w:t>me</w:t>
      </w:r>
      <w:r w:rsidRPr="004A78D9">
        <w:rPr>
          <w:rFonts w:eastAsia="Malgun Gothic" w:cs="Times New Roman"/>
          <w:kern w:val="22"/>
          <w:szCs w:val="22"/>
        </w:rPr>
        <w:t>s all map their objectives and outcomes to their contributions to achieving the Aichi Biodiversity Targets</w:t>
      </w:r>
      <w:r w:rsidR="00CE34BF" w:rsidRPr="004A78D9">
        <w:rPr>
          <w:rFonts w:eastAsia="Malgun Gothic" w:cs="Times New Roman"/>
          <w:kern w:val="22"/>
          <w:szCs w:val="22"/>
        </w:rPr>
        <w:t>.</w:t>
      </w:r>
      <w:r w:rsidR="00CE34BF" w:rsidRPr="00E733CD">
        <w:rPr>
          <w:rStyle w:val="FootnoteReference"/>
          <w:rFonts w:eastAsia="Malgun Gothic" w:cs="Times New Roman"/>
          <w:kern w:val="22"/>
          <w:sz w:val="22"/>
          <w:szCs w:val="22"/>
        </w:rPr>
        <w:footnoteReference w:id="3"/>
      </w:r>
      <w:r w:rsidR="00E22D51" w:rsidRPr="004A78D9">
        <w:rPr>
          <w:rFonts w:eastAsia="Malgun Gothic" w:cs="Times New Roman"/>
          <w:kern w:val="22"/>
          <w:szCs w:val="22"/>
        </w:rPr>
        <w:t xml:space="preserve"> </w:t>
      </w:r>
      <w:r w:rsidR="00F94661" w:rsidRPr="004A78D9">
        <w:rPr>
          <w:rFonts w:eastAsia="Malgun Gothic" w:cs="Times New Roman"/>
          <w:kern w:val="22"/>
          <w:szCs w:val="22"/>
        </w:rPr>
        <w:t>According to</w:t>
      </w:r>
      <w:r w:rsidR="00F94661" w:rsidRPr="004A78D9">
        <w:rPr>
          <w:rFonts w:cs="Times New Roman"/>
          <w:kern w:val="22"/>
          <w:szCs w:val="22"/>
        </w:rPr>
        <w:t xml:space="preserve"> </w:t>
      </w:r>
      <w:r w:rsidR="00494431" w:rsidRPr="004A78D9">
        <w:rPr>
          <w:rFonts w:eastAsia="Malgun Gothic" w:cs="Times New Roman"/>
          <w:kern w:val="22"/>
          <w:szCs w:val="22"/>
        </w:rPr>
        <w:t>t</w:t>
      </w:r>
      <w:r w:rsidR="00EF22E8" w:rsidRPr="004A78D9">
        <w:rPr>
          <w:rFonts w:eastAsia="Malgun Gothic" w:cs="Times New Roman"/>
          <w:kern w:val="22"/>
          <w:szCs w:val="22"/>
        </w:rPr>
        <w:t>he GEF-7 replenishment document on resource allocation scenarios and global environmental benefits targets (GEF/R.7/22, 2 April 2018)</w:t>
      </w:r>
      <w:r w:rsidR="00F94661" w:rsidRPr="004A78D9">
        <w:rPr>
          <w:rFonts w:eastAsia="Malgun Gothic" w:cs="Times New Roman"/>
          <w:kern w:val="22"/>
          <w:szCs w:val="22"/>
        </w:rPr>
        <w:t xml:space="preserve">, </w:t>
      </w:r>
      <w:r w:rsidR="00E22D51" w:rsidRPr="004A78D9">
        <w:rPr>
          <w:rFonts w:eastAsia="Malgun Gothic" w:cs="Times New Roman"/>
          <w:kern w:val="22"/>
          <w:szCs w:val="22"/>
        </w:rPr>
        <w:t xml:space="preserve">the GEF planned to increase funding share for the biodiversity focal area </w:t>
      </w:r>
      <w:r w:rsidR="00535D4C" w:rsidRPr="004A78D9">
        <w:rPr>
          <w:rFonts w:eastAsia="Malgun Gothic" w:cs="Times New Roman"/>
          <w:kern w:val="22"/>
          <w:szCs w:val="22"/>
        </w:rPr>
        <w:t>from 29.2</w:t>
      </w:r>
      <w:r w:rsidR="00040CD4">
        <w:rPr>
          <w:rFonts w:eastAsia="Malgun Gothic" w:cs="Times New Roman"/>
          <w:kern w:val="22"/>
          <w:szCs w:val="22"/>
        </w:rPr>
        <w:t> per cent</w:t>
      </w:r>
      <w:r w:rsidR="00535D4C" w:rsidRPr="00040CD4">
        <w:rPr>
          <w:rFonts w:eastAsia="Malgun Gothic" w:cs="Times New Roman"/>
          <w:kern w:val="22"/>
          <w:szCs w:val="22"/>
        </w:rPr>
        <w:t xml:space="preserve"> at GEF6 to 31.9</w:t>
      </w:r>
      <w:r w:rsidR="00040CD4">
        <w:rPr>
          <w:rFonts w:eastAsia="Malgun Gothic" w:cs="Times New Roman"/>
          <w:kern w:val="22"/>
          <w:szCs w:val="22"/>
        </w:rPr>
        <w:t> per cent</w:t>
      </w:r>
      <w:r w:rsidR="00535D4C" w:rsidRPr="00040CD4">
        <w:rPr>
          <w:rFonts w:eastAsia="Malgun Gothic" w:cs="Times New Roman"/>
          <w:kern w:val="22"/>
          <w:szCs w:val="22"/>
        </w:rPr>
        <w:t xml:space="preserve"> for GEF7, in order </w:t>
      </w:r>
      <w:r w:rsidR="00E22D51" w:rsidRPr="00040CD4">
        <w:rPr>
          <w:rFonts w:eastAsia="Malgun Gothic" w:cs="Times New Roman"/>
          <w:kern w:val="22"/>
          <w:szCs w:val="22"/>
        </w:rPr>
        <w:t xml:space="preserve">to further bolster the GEF’s ability to help combat the precipitous decline in global biodiversity by funding priority objectives identified in the four-year framework agreed </w:t>
      </w:r>
      <w:r w:rsidR="009A1DC0" w:rsidRPr="00040CD4">
        <w:rPr>
          <w:rFonts w:eastAsia="Malgun Gothic" w:cs="Times New Roman"/>
          <w:kern w:val="22"/>
          <w:szCs w:val="22"/>
        </w:rPr>
        <w:t>by the Conference of the Parties at its thirteenth meeting</w:t>
      </w:r>
      <w:r w:rsidR="00E22D51" w:rsidRPr="00040CD4">
        <w:rPr>
          <w:rFonts w:eastAsia="Malgun Gothic" w:cs="Times New Roman"/>
          <w:kern w:val="22"/>
          <w:szCs w:val="22"/>
        </w:rPr>
        <w:t xml:space="preserve">. Within the biodiversity focal area, more emphasis is given to the GEF’s work on wildlife, in view of the high demand in GEF-6, and guidance from the </w:t>
      </w:r>
      <w:r w:rsidR="002042A2" w:rsidRPr="00040CD4">
        <w:rPr>
          <w:rFonts w:eastAsia="Malgun Gothic" w:cs="Times New Roman"/>
          <w:kern w:val="22"/>
          <w:szCs w:val="22"/>
        </w:rPr>
        <w:t>Conference of the Parties</w:t>
      </w:r>
      <w:r w:rsidR="00E22D51" w:rsidRPr="00040CD4">
        <w:rPr>
          <w:rFonts w:eastAsia="Malgun Gothic" w:cs="Times New Roman"/>
          <w:kern w:val="22"/>
          <w:szCs w:val="22"/>
        </w:rPr>
        <w:t xml:space="preserve">. </w:t>
      </w:r>
      <w:r w:rsidR="00EF22E8" w:rsidRPr="00040CD4">
        <w:rPr>
          <w:rFonts w:eastAsia="Malgun Gothic" w:cs="Times New Roman"/>
          <w:kern w:val="22"/>
          <w:szCs w:val="22"/>
        </w:rPr>
        <w:t>The pattern of its indicative allocations may be summarized as follows:</w:t>
      </w:r>
    </w:p>
    <w:p w:rsidR="008D6A20" w:rsidRPr="00392DED" w:rsidRDefault="008D6A20" w:rsidP="00E733CD">
      <w:pPr>
        <w:pStyle w:val="Para1"/>
        <w:numPr>
          <w:ilvl w:val="0"/>
          <w:numId w:val="48"/>
        </w:numPr>
        <w:suppressLineNumbers/>
        <w:suppressAutoHyphens/>
        <w:kinsoku w:val="0"/>
        <w:overflowPunct w:val="0"/>
        <w:autoSpaceDE w:val="0"/>
        <w:autoSpaceDN w:val="0"/>
        <w:adjustRightInd w:val="0"/>
        <w:snapToGrid w:val="0"/>
        <w:ind w:left="0" w:firstLine="720"/>
        <w:rPr>
          <w:rFonts w:eastAsia="Malgun Gothic" w:cs="Times New Roman"/>
          <w:kern w:val="22"/>
          <w:szCs w:val="22"/>
        </w:rPr>
      </w:pPr>
      <w:r w:rsidRPr="00040CD4">
        <w:rPr>
          <w:rFonts w:eastAsia="Malgun Gothic" w:cs="Times New Roman"/>
          <w:kern w:val="22"/>
          <w:szCs w:val="22"/>
        </w:rPr>
        <w:t>Two fifths (40</w:t>
      </w:r>
      <w:r w:rsidRPr="00392DED">
        <w:rPr>
          <w:rFonts w:eastAsia="Malgun Gothic" w:cs="Times New Roman"/>
          <w:kern w:val="22"/>
          <w:szCs w:val="22"/>
        </w:rPr>
        <w:t xml:space="preserve"> per cent) of its biodiversity funding will be targeted at programmes arguably aiming to achieve transformational change, including biodiversity mainstreaming in priorities sectors (19 per cent), impact programmes (19 per cent) and natural capital projects (2 per cent);</w:t>
      </w:r>
    </w:p>
    <w:p w:rsidR="008D6A20" w:rsidRPr="00392DED" w:rsidRDefault="008D6A20" w:rsidP="00E733CD">
      <w:pPr>
        <w:pStyle w:val="Para1"/>
        <w:numPr>
          <w:ilvl w:val="0"/>
          <w:numId w:val="48"/>
        </w:numPr>
        <w:suppressLineNumbers/>
        <w:suppressAutoHyphens/>
        <w:kinsoku w:val="0"/>
        <w:overflowPunct w:val="0"/>
        <w:autoSpaceDE w:val="0"/>
        <w:autoSpaceDN w:val="0"/>
        <w:adjustRightInd w:val="0"/>
        <w:snapToGrid w:val="0"/>
        <w:ind w:left="0" w:firstLine="720"/>
        <w:rPr>
          <w:rFonts w:eastAsia="Malgun Gothic" w:cs="Times New Roman"/>
          <w:kern w:val="22"/>
          <w:szCs w:val="22"/>
        </w:rPr>
      </w:pPr>
      <w:r w:rsidRPr="00392DED">
        <w:rPr>
          <w:rFonts w:eastAsia="Malgun Gothic" w:cs="Times New Roman"/>
          <w:kern w:val="22"/>
          <w:szCs w:val="22"/>
        </w:rPr>
        <w:t>One fifth of its biodiversity focal area funding will be allocated as set aside for enabling activities (4 per cent), integrated programming (12 per cent), and global and regional programmes (4 per cent);</w:t>
      </w:r>
    </w:p>
    <w:p w:rsidR="008D6A20" w:rsidRPr="00392DED" w:rsidRDefault="008D6A20" w:rsidP="00E733CD">
      <w:pPr>
        <w:pStyle w:val="Para1"/>
        <w:numPr>
          <w:ilvl w:val="0"/>
          <w:numId w:val="48"/>
        </w:numPr>
        <w:suppressLineNumbers/>
        <w:suppressAutoHyphens/>
        <w:kinsoku w:val="0"/>
        <w:overflowPunct w:val="0"/>
        <w:autoSpaceDE w:val="0"/>
        <w:autoSpaceDN w:val="0"/>
        <w:adjustRightInd w:val="0"/>
        <w:snapToGrid w:val="0"/>
        <w:ind w:left="0" w:firstLine="720"/>
        <w:rPr>
          <w:rFonts w:eastAsia="Malgun Gothic" w:cs="Times New Roman"/>
          <w:kern w:val="22"/>
          <w:szCs w:val="22"/>
        </w:rPr>
      </w:pPr>
      <w:r w:rsidRPr="00392DED">
        <w:rPr>
          <w:rFonts w:eastAsia="Malgun Gothic" w:cs="Times New Roman"/>
          <w:kern w:val="22"/>
          <w:szCs w:val="22"/>
        </w:rPr>
        <w:t>Protected areas will be allocated with 17 per cent;</w:t>
      </w:r>
    </w:p>
    <w:p w:rsidR="008D6A20" w:rsidRPr="00392DED" w:rsidRDefault="008D6A20" w:rsidP="00E733CD">
      <w:pPr>
        <w:pStyle w:val="Para1"/>
        <w:numPr>
          <w:ilvl w:val="0"/>
          <w:numId w:val="48"/>
        </w:numPr>
        <w:suppressLineNumbers/>
        <w:suppressAutoHyphens/>
        <w:kinsoku w:val="0"/>
        <w:overflowPunct w:val="0"/>
        <w:autoSpaceDE w:val="0"/>
        <w:autoSpaceDN w:val="0"/>
        <w:adjustRightInd w:val="0"/>
        <w:snapToGrid w:val="0"/>
        <w:ind w:left="0" w:firstLine="720"/>
        <w:rPr>
          <w:rFonts w:eastAsia="Malgun Gothic" w:cs="Times New Roman"/>
          <w:kern w:val="22"/>
          <w:szCs w:val="22"/>
        </w:rPr>
      </w:pPr>
      <w:r w:rsidRPr="00392DED">
        <w:rPr>
          <w:rFonts w:eastAsia="Malgun Gothic" w:cs="Times New Roman"/>
          <w:kern w:val="22"/>
          <w:szCs w:val="22"/>
        </w:rPr>
        <w:t>Species management will benefit from 16 per cent of its biodiversity funding, including global wildlife programme (13 per cent), and prevention, control and management of invasive alien species (3 per cent);</w:t>
      </w:r>
    </w:p>
    <w:p w:rsidR="008D6A20" w:rsidRPr="00392DED" w:rsidRDefault="008D6A20" w:rsidP="00E733CD">
      <w:pPr>
        <w:pStyle w:val="Para1"/>
        <w:numPr>
          <w:ilvl w:val="0"/>
          <w:numId w:val="48"/>
        </w:numPr>
        <w:suppressLineNumbers/>
        <w:suppressAutoHyphens/>
        <w:kinsoku w:val="0"/>
        <w:overflowPunct w:val="0"/>
        <w:autoSpaceDE w:val="0"/>
        <w:autoSpaceDN w:val="0"/>
        <w:adjustRightInd w:val="0"/>
        <w:snapToGrid w:val="0"/>
        <w:ind w:left="0" w:firstLine="720"/>
        <w:rPr>
          <w:rFonts w:eastAsia="Malgun Gothic" w:cs="Times New Roman"/>
          <w:kern w:val="22"/>
          <w:szCs w:val="22"/>
        </w:rPr>
      </w:pPr>
      <w:r w:rsidRPr="00392DED">
        <w:rPr>
          <w:rFonts w:eastAsia="Malgun Gothic" w:cs="Times New Roman"/>
          <w:kern w:val="22"/>
          <w:szCs w:val="22"/>
        </w:rPr>
        <w:t>A total of 7 per</w:t>
      </w:r>
      <w:r w:rsidR="006A3927">
        <w:rPr>
          <w:rFonts w:eastAsia="Malgun Gothic" w:cs="Times New Roman"/>
          <w:kern w:val="22"/>
          <w:szCs w:val="22"/>
        </w:rPr>
        <w:t xml:space="preserve"> </w:t>
      </w:r>
      <w:r w:rsidRPr="00392DED">
        <w:rPr>
          <w:rFonts w:eastAsia="Malgun Gothic" w:cs="Times New Roman"/>
          <w:kern w:val="22"/>
          <w:szCs w:val="22"/>
        </w:rPr>
        <w:t>cent of its biodiversity focal area funding will support projects related to genetic resources, including sustainable use of genetic resources (3 per cent), implementation of the Nagoya Protocol on Access and Benefit Sharing (3 per cent), and of the Cartagena Protocol on Biosafety (1 per cent).</w:t>
      </w:r>
    </w:p>
    <w:p w:rsidR="00D36E3F" w:rsidRPr="00E733CD" w:rsidRDefault="00D612B8" w:rsidP="00E733CD">
      <w:pPr>
        <w:pStyle w:val="Heading1"/>
        <w:suppressLineNumbers/>
        <w:tabs>
          <w:tab w:val="clear" w:pos="720"/>
          <w:tab w:val="left" w:pos="360"/>
        </w:tabs>
        <w:suppressAutoHyphens/>
        <w:kinsoku w:val="0"/>
        <w:overflowPunct w:val="0"/>
        <w:autoSpaceDE w:val="0"/>
        <w:autoSpaceDN w:val="0"/>
        <w:adjustRightInd w:val="0"/>
        <w:snapToGrid w:val="0"/>
        <w:spacing w:before="120"/>
        <w:rPr>
          <w:rFonts w:ascii="Times New Roman Bold" w:hAnsi="Times New Roman Bold" w:cs="Times New Roman Bold"/>
          <w:snapToGrid w:val="0"/>
          <w:kern w:val="22"/>
          <w:szCs w:val="22"/>
        </w:rPr>
      </w:pPr>
      <w:r w:rsidRPr="00E733CD">
        <w:rPr>
          <w:rFonts w:ascii="Times New Roman Bold" w:hAnsi="Times New Roman Bold" w:cs="Times New Roman Bold"/>
          <w:bCs/>
          <w:snapToGrid w:val="0"/>
          <w:kern w:val="22"/>
          <w:szCs w:val="22"/>
        </w:rPr>
        <w:t>V</w:t>
      </w:r>
      <w:r w:rsidR="0081660B" w:rsidRPr="00E733CD">
        <w:rPr>
          <w:rFonts w:ascii="Times New Roman Bold" w:hAnsi="Times New Roman Bold" w:cs="Times New Roman Bold"/>
          <w:bCs/>
          <w:snapToGrid w:val="0"/>
          <w:kern w:val="22"/>
          <w:szCs w:val="22"/>
        </w:rPr>
        <w:t>.</w:t>
      </w:r>
      <w:r w:rsidR="0081660B" w:rsidRPr="00E733CD">
        <w:rPr>
          <w:rFonts w:ascii="Times New Roman Bold" w:hAnsi="Times New Roman Bold" w:cs="Times New Roman Bold"/>
          <w:bCs/>
          <w:snapToGrid w:val="0"/>
          <w:kern w:val="22"/>
          <w:szCs w:val="22"/>
        </w:rPr>
        <w:tab/>
      </w:r>
      <w:r w:rsidR="000E0D1D" w:rsidRPr="00E733CD">
        <w:rPr>
          <w:rFonts w:ascii="Times New Roman Bold" w:hAnsi="Times New Roman Bold" w:cs="Times New Roman Bold"/>
          <w:bCs/>
          <w:snapToGrid w:val="0"/>
          <w:kern w:val="22"/>
          <w:szCs w:val="22"/>
        </w:rPr>
        <w:t>P</w:t>
      </w:r>
      <w:r w:rsidR="008D6A20" w:rsidRPr="00E733CD">
        <w:rPr>
          <w:rFonts w:ascii="Times New Roman Bold" w:hAnsi="Times New Roman Bold" w:cs="Times New Roman Bold"/>
          <w:bCs/>
          <w:snapToGrid w:val="0"/>
          <w:kern w:val="22"/>
          <w:szCs w:val="22"/>
        </w:rPr>
        <w:t>ost-2020</w:t>
      </w:r>
      <w:r w:rsidR="000E0D1D" w:rsidRPr="00E733CD">
        <w:rPr>
          <w:rFonts w:ascii="Times New Roman Bold" w:hAnsi="Times New Roman Bold" w:cs="Times New Roman Bold"/>
          <w:bCs/>
          <w:snapToGrid w:val="0"/>
          <w:kern w:val="22"/>
          <w:szCs w:val="22"/>
        </w:rPr>
        <w:t xml:space="preserve"> </w:t>
      </w:r>
      <w:r w:rsidR="00B747CF" w:rsidRPr="00E733CD">
        <w:rPr>
          <w:rFonts w:ascii="Times New Roman Bold" w:hAnsi="Times New Roman Bold" w:cs="Times New Roman Bold"/>
          <w:bCs/>
          <w:snapToGrid w:val="0"/>
          <w:kern w:val="22"/>
          <w:szCs w:val="22"/>
        </w:rPr>
        <w:t>i</w:t>
      </w:r>
      <w:r w:rsidR="008D6A20" w:rsidRPr="00E733CD">
        <w:rPr>
          <w:rFonts w:ascii="Times New Roman Bold" w:hAnsi="Times New Roman Bold" w:cs="Times New Roman Bold"/>
          <w:bCs/>
          <w:snapToGrid w:val="0"/>
          <w:kern w:val="22"/>
          <w:szCs w:val="22"/>
        </w:rPr>
        <w:t>mplementation of</w:t>
      </w:r>
      <w:r w:rsidR="000E0D1D" w:rsidRPr="00E733CD">
        <w:rPr>
          <w:rFonts w:ascii="Times New Roman Bold" w:hAnsi="Times New Roman Bold" w:cs="Times New Roman Bold"/>
          <w:bCs/>
          <w:snapToGrid w:val="0"/>
          <w:kern w:val="22"/>
          <w:szCs w:val="22"/>
        </w:rPr>
        <w:t xml:space="preserve"> </w:t>
      </w:r>
      <w:r w:rsidR="008D6A20" w:rsidRPr="00E733CD">
        <w:rPr>
          <w:rFonts w:ascii="Times New Roman Bold" w:hAnsi="Times New Roman Bold" w:cs="Times New Roman Bold"/>
          <w:bCs/>
          <w:snapToGrid w:val="0"/>
          <w:kern w:val="22"/>
          <w:szCs w:val="22"/>
        </w:rPr>
        <w:t xml:space="preserve">Article </w:t>
      </w:r>
      <w:r w:rsidR="000E0D1D" w:rsidRPr="00E733CD">
        <w:rPr>
          <w:rFonts w:ascii="Times New Roman Bold" w:hAnsi="Times New Roman Bold" w:cs="Times New Roman Bold"/>
          <w:bCs/>
          <w:snapToGrid w:val="0"/>
          <w:kern w:val="22"/>
          <w:szCs w:val="22"/>
        </w:rPr>
        <w:t>21</w:t>
      </w:r>
    </w:p>
    <w:p w:rsidR="004267F6" w:rsidRPr="00E733CD" w:rsidRDefault="004267F6" w:rsidP="00E733CD">
      <w:pPr>
        <w:pStyle w:val="Para1"/>
        <w:numPr>
          <w:ilvl w:val="0"/>
          <w:numId w:val="14"/>
        </w:numPr>
        <w:suppressLineNumbers/>
        <w:suppressAutoHyphens/>
        <w:kinsoku w:val="0"/>
        <w:overflowPunct w:val="0"/>
        <w:autoSpaceDE w:val="0"/>
        <w:autoSpaceDN w:val="0"/>
        <w:adjustRightInd w:val="0"/>
        <w:snapToGrid w:val="0"/>
        <w:ind w:left="0" w:firstLine="0"/>
        <w:rPr>
          <w:rFonts w:cs="Times New Roman"/>
          <w:kern w:val="22"/>
          <w:szCs w:val="22"/>
        </w:rPr>
      </w:pPr>
      <w:r w:rsidRPr="00E733CD">
        <w:rPr>
          <w:rFonts w:cs="Times New Roman"/>
          <w:kern w:val="22"/>
          <w:szCs w:val="22"/>
        </w:rPr>
        <w:t xml:space="preserve">Article 21 of the Convention sets out the institutional provisions to address the need for predictability, adequacy and timely flow of funds referred to in Article 20. In the past two decades, the Conference of the Parties </w:t>
      </w:r>
      <w:r w:rsidR="007462D4" w:rsidRPr="00E733CD">
        <w:rPr>
          <w:rFonts w:cs="Times New Roman"/>
          <w:kern w:val="22"/>
          <w:szCs w:val="22"/>
        </w:rPr>
        <w:t xml:space="preserve">has </w:t>
      </w:r>
      <w:r w:rsidR="005D10C4" w:rsidRPr="00E733CD">
        <w:rPr>
          <w:rFonts w:cs="Times New Roman"/>
          <w:kern w:val="22"/>
          <w:szCs w:val="22"/>
        </w:rPr>
        <w:t xml:space="preserve">continued to utilize </w:t>
      </w:r>
      <w:r w:rsidRPr="00E733CD">
        <w:rPr>
          <w:rFonts w:cs="Times New Roman"/>
          <w:kern w:val="22"/>
          <w:szCs w:val="22"/>
        </w:rPr>
        <w:t xml:space="preserve">the Global Environment Facility </w:t>
      </w:r>
      <w:r w:rsidR="005D10C4" w:rsidRPr="00E733CD">
        <w:rPr>
          <w:rFonts w:cs="Times New Roman"/>
          <w:kern w:val="22"/>
          <w:szCs w:val="22"/>
        </w:rPr>
        <w:t xml:space="preserve">as the financial mechanism for the Convention, </w:t>
      </w:r>
      <w:r w:rsidRPr="00E733CD">
        <w:rPr>
          <w:rFonts w:cs="Times New Roman"/>
          <w:kern w:val="22"/>
          <w:szCs w:val="22"/>
        </w:rPr>
        <w:t xml:space="preserve">to finance incremental costs of implementing the Convention in accordance with the provisions of </w:t>
      </w:r>
      <w:r w:rsidR="003B4C00" w:rsidRPr="00E733CD">
        <w:rPr>
          <w:rFonts w:cs="Times New Roman"/>
          <w:kern w:val="22"/>
          <w:szCs w:val="22"/>
        </w:rPr>
        <w:t xml:space="preserve">the Memorandum of </w:t>
      </w:r>
      <w:r w:rsidR="007E354A" w:rsidRPr="00E733CD">
        <w:rPr>
          <w:rFonts w:cs="Times New Roman"/>
          <w:kern w:val="22"/>
          <w:szCs w:val="22"/>
        </w:rPr>
        <w:t>U</w:t>
      </w:r>
      <w:r w:rsidR="003B4C00" w:rsidRPr="00E733CD">
        <w:rPr>
          <w:rFonts w:cs="Times New Roman"/>
          <w:kern w:val="22"/>
          <w:szCs w:val="22"/>
        </w:rPr>
        <w:t>nderstanding between the Conference of the Parties to the Convention on Biological Diversity and the Council of the Global Environment Facility, adopted in decision</w:t>
      </w:r>
      <w:r w:rsidRPr="00E733CD">
        <w:rPr>
          <w:rFonts w:cs="Times New Roman"/>
          <w:kern w:val="22"/>
          <w:szCs w:val="22"/>
        </w:rPr>
        <w:t xml:space="preserve"> III/8. </w:t>
      </w:r>
      <w:r w:rsidR="007462D4" w:rsidRPr="00E733CD">
        <w:rPr>
          <w:rFonts w:cs="Times New Roman"/>
          <w:kern w:val="22"/>
          <w:szCs w:val="22"/>
        </w:rPr>
        <w:t>GEF has evolved significantly, shifting its programming to a more integrated approach. T</w:t>
      </w:r>
      <w:r w:rsidR="00ED7773" w:rsidRPr="00E733CD">
        <w:rPr>
          <w:rFonts w:cs="Times New Roman"/>
          <w:kern w:val="22"/>
          <w:szCs w:val="22"/>
        </w:rPr>
        <w:t xml:space="preserve">he international financial system has also evolved </w:t>
      </w:r>
      <w:r w:rsidR="0058027C" w:rsidRPr="00E733CD">
        <w:rPr>
          <w:rFonts w:cs="Times New Roman"/>
          <w:kern w:val="22"/>
          <w:szCs w:val="22"/>
        </w:rPr>
        <w:t>significantly</w:t>
      </w:r>
      <w:r w:rsidR="00ED7773" w:rsidRPr="00E733CD">
        <w:rPr>
          <w:rFonts w:cs="Times New Roman"/>
          <w:kern w:val="22"/>
          <w:szCs w:val="22"/>
        </w:rPr>
        <w:t xml:space="preserve">, with </w:t>
      </w:r>
      <w:r w:rsidR="00531F95" w:rsidRPr="00E733CD">
        <w:rPr>
          <w:rFonts w:cs="Times New Roman"/>
          <w:kern w:val="22"/>
          <w:szCs w:val="22"/>
        </w:rPr>
        <w:t xml:space="preserve">increasing </w:t>
      </w:r>
      <w:r w:rsidR="000A0D20" w:rsidRPr="00E733CD">
        <w:rPr>
          <w:rFonts w:cs="Times New Roman"/>
          <w:kern w:val="22"/>
          <w:szCs w:val="22"/>
        </w:rPr>
        <w:t xml:space="preserve">diversity of </w:t>
      </w:r>
      <w:r w:rsidR="00ED7773" w:rsidRPr="00E733CD">
        <w:rPr>
          <w:rFonts w:cs="Times New Roman"/>
          <w:kern w:val="22"/>
          <w:szCs w:val="22"/>
        </w:rPr>
        <w:t xml:space="preserve">funding </w:t>
      </w:r>
      <w:r w:rsidR="0058027C" w:rsidRPr="00E733CD">
        <w:rPr>
          <w:rFonts w:cs="Times New Roman"/>
          <w:kern w:val="22"/>
          <w:szCs w:val="22"/>
        </w:rPr>
        <w:t xml:space="preserve">instruments and </w:t>
      </w:r>
      <w:r w:rsidR="00ED7773" w:rsidRPr="00E733CD">
        <w:rPr>
          <w:rFonts w:cs="Times New Roman"/>
          <w:kern w:val="22"/>
          <w:szCs w:val="22"/>
        </w:rPr>
        <w:t>sources</w:t>
      </w:r>
      <w:r w:rsidR="007E5B4D" w:rsidRPr="00E733CD">
        <w:rPr>
          <w:rFonts w:cs="Times New Roman"/>
          <w:kern w:val="22"/>
          <w:szCs w:val="22"/>
        </w:rPr>
        <w:t xml:space="preserve">. The development of new institutions, for instance, the Green Climate Fund, is </w:t>
      </w:r>
      <w:r w:rsidR="005F1A25" w:rsidRPr="00E733CD">
        <w:rPr>
          <w:rFonts w:cs="Times New Roman"/>
          <w:kern w:val="22"/>
          <w:szCs w:val="22"/>
        </w:rPr>
        <w:t xml:space="preserve">also </w:t>
      </w:r>
      <w:r w:rsidR="007E5B4D" w:rsidRPr="00E733CD">
        <w:rPr>
          <w:rFonts w:cs="Times New Roman"/>
          <w:kern w:val="22"/>
          <w:szCs w:val="22"/>
        </w:rPr>
        <w:t xml:space="preserve">of relevance for </w:t>
      </w:r>
      <w:r w:rsidR="007E354A" w:rsidRPr="00E733CD">
        <w:rPr>
          <w:rFonts w:cs="Times New Roman"/>
          <w:kern w:val="22"/>
          <w:szCs w:val="22"/>
        </w:rPr>
        <w:t>the Convention on Biological Diversity</w:t>
      </w:r>
      <w:r w:rsidR="007E5B4D" w:rsidRPr="00E733CD">
        <w:rPr>
          <w:rFonts w:cs="Times New Roman"/>
          <w:kern w:val="22"/>
          <w:szCs w:val="22"/>
        </w:rPr>
        <w:t>.</w:t>
      </w:r>
      <w:r w:rsidR="000343CD" w:rsidRPr="00E733CD">
        <w:rPr>
          <w:rFonts w:cs="Times New Roman"/>
          <w:kern w:val="22"/>
          <w:szCs w:val="22"/>
        </w:rPr>
        <w:t xml:space="preserve"> The post-2020 implementation of Article 21 thus needs to be </w:t>
      </w:r>
      <w:r w:rsidR="00897A7E" w:rsidRPr="00E733CD">
        <w:rPr>
          <w:rFonts w:cs="Times New Roman"/>
          <w:kern w:val="22"/>
          <w:szCs w:val="22"/>
        </w:rPr>
        <w:t xml:space="preserve">addressed </w:t>
      </w:r>
      <w:r w:rsidR="000343CD" w:rsidRPr="00E733CD">
        <w:rPr>
          <w:rFonts w:cs="Times New Roman"/>
          <w:kern w:val="22"/>
          <w:szCs w:val="22"/>
        </w:rPr>
        <w:t>with an appropriate consideration of the</w:t>
      </w:r>
      <w:r w:rsidR="005F1A25" w:rsidRPr="00E733CD">
        <w:rPr>
          <w:rFonts w:cs="Times New Roman"/>
          <w:kern w:val="22"/>
          <w:szCs w:val="22"/>
        </w:rPr>
        <w:t>se</w:t>
      </w:r>
      <w:r w:rsidR="000343CD" w:rsidRPr="00E733CD">
        <w:rPr>
          <w:rFonts w:cs="Times New Roman"/>
          <w:kern w:val="22"/>
          <w:szCs w:val="22"/>
        </w:rPr>
        <w:t xml:space="preserve"> broad </w:t>
      </w:r>
      <w:r w:rsidR="00627B19" w:rsidRPr="00E733CD">
        <w:rPr>
          <w:rFonts w:cs="Times New Roman"/>
          <w:kern w:val="22"/>
          <w:szCs w:val="22"/>
        </w:rPr>
        <w:t>trends</w:t>
      </w:r>
      <w:r w:rsidR="005F1A25" w:rsidRPr="00E733CD">
        <w:rPr>
          <w:rFonts w:cs="Times New Roman"/>
          <w:kern w:val="22"/>
          <w:szCs w:val="22"/>
        </w:rPr>
        <w:t xml:space="preserve"> in the financing landscape and architecture</w:t>
      </w:r>
      <w:r w:rsidR="00627B19" w:rsidRPr="00E733CD">
        <w:rPr>
          <w:rFonts w:cs="Times New Roman"/>
          <w:kern w:val="22"/>
          <w:szCs w:val="22"/>
        </w:rPr>
        <w:t>, which are briefly summarized below.</w:t>
      </w:r>
    </w:p>
    <w:p w:rsidR="00116BDB" w:rsidRPr="00E733CD" w:rsidRDefault="00A717C3" w:rsidP="00E733CD">
      <w:pPr>
        <w:pStyle w:val="Heading2"/>
        <w:suppressLineNumbers/>
        <w:tabs>
          <w:tab w:val="clear" w:pos="720"/>
          <w:tab w:val="left" w:pos="360"/>
        </w:tabs>
        <w:suppressAutoHyphens/>
        <w:kinsoku w:val="0"/>
        <w:overflowPunct w:val="0"/>
        <w:autoSpaceDE w:val="0"/>
        <w:autoSpaceDN w:val="0"/>
        <w:adjustRightInd w:val="0"/>
        <w:snapToGrid w:val="0"/>
        <w:rPr>
          <w:rFonts w:cs="Times New Roman"/>
          <w:snapToGrid w:val="0"/>
          <w:kern w:val="22"/>
          <w:szCs w:val="22"/>
        </w:rPr>
      </w:pPr>
      <w:r w:rsidRPr="00E733CD">
        <w:rPr>
          <w:rFonts w:cs="Times New Roman"/>
          <w:snapToGrid w:val="0"/>
          <w:kern w:val="22"/>
          <w:szCs w:val="22"/>
        </w:rPr>
        <w:t>A.</w:t>
      </w:r>
      <w:r w:rsidRPr="00E733CD">
        <w:rPr>
          <w:rFonts w:cs="Times New Roman"/>
          <w:i/>
          <w:snapToGrid w:val="0"/>
          <w:kern w:val="22"/>
          <w:szCs w:val="22"/>
        </w:rPr>
        <w:tab/>
      </w:r>
      <w:r w:rsidR="00396F94" w:rsidRPr="00E733CD">
        <w:rPr>
          <w:rFonts w:cs="Times New Roman"/>
          <w:snapToGrid w:val="0"/>
          <w:kern w:val="22"/>
          <w:szCs w:val="22"/>
        </w:rPr>
        <w:t xml:space="preserve">Funding </w:t>
      </w:r>
      <w:r w:rsidR="00627B19" w:rsidRPr="00E733CD">
        <w:rPr>
          <w:rFonts w:cs="Times New Roman"/>
          <w:snapToGrid w:val="0"/>
          <w:kern w:val="22"/>
          <w:szCs w:val="22"/>
        </w:rPr>
        <w:t>needs and sources</w:t>
      </w:r>
    </w:p>
    <w:p w:rsidR="00CC137C" w:rsidRPr="00E733CD" w:rsidRDefault="00396F94" w:rsidP="00E733CD">
      <w:pPr>
        <w:pStyle w:val="Para1"/>
        <w:numPr>
          <w:ilvl w:val="0"/>
          <w:numId w:val="14"/>
        </w:numPr>
        <w:suppressLineNumbers/>
        <w:suppressAutoHyphens/>
        <w:kinsoku w:val="0"/>
        <w:overflowPunct w:val="0"/>
        <w:autoSpaceDE w:val="0"/>
        <w:autoSpaceDN w:val="0"/>
        <w:adjustRightInd w:val="0"/>
        <w:snapToGrid w:val="0"/>
        <w:ind w:left="0" w:firstLine="0"/>
        <w:rPr>
          <w:rFonts w:cs="Times New Roman"/>
          <w:kern w:val="22"/>
          <w:szCs w:val="22"/>
        </w:rPr>
      </w:pPr>
      <w:r w:rsidRPr="00E733CD">
        <w:rPr>
          <w:rFonts w:cs="Times New Roman"/>
          <w:kern w:val="22"/>
          <w:szCs w:val="22"/>
        </w:rPr>
        <w:t xml:space="preserve">The post-2020 </w:t>
      </w:r>
      <w:r w:rsidR="00174E49" w:rsidRPr="00E733CD">
        <w:rPr>
          <w:rFonts w:cs="Times New Roman"/>
          <w:kern w:val="22"/>
          <w:szCs w:val="22"/>
        </w:rPr>
        <w:t>global framework for biodiversity</w:t>
      </w:r>
      <w:r w:rsidRPr="00E733CD">
        <w:rPr>
          <w:rFonts w:cs="Times New Roman"/>
          <w:kern w:val="22"/>
          <w:szCs w:val="22"/>
        </w:rPr>
        <w:t xml:space="preserve"> will be </w:t>
      </w:r>
      <w:r w:rsidR="00174E49" w:rsidRPr="00E733CD">
        <w:rPr>
          <w:rFonts w:cs="Times New Roman"/>
          <w:kern w:val="22"/>
          <w:szCs w:val="22"/>
        </w:rPr>
        <w:t xml:space="preserve">developed </w:t>
      </w:r>
      <w:r w:rsidRPr="00E733CD">
        <w:rPr>
          <w:rFonts w:cs="Times New Roman"/>
          <w:kern w:val="22"/>
          <w:szCs w:val="22"/>
        </w:rPr>
        <w:t xml:space="preserve">within the context of </w:t>
      </w:r>
      <w:r w:rsidR="00174E49" w:rsidRPr="00E733CD">
        <w:rPr>
          <w:rFonts w:cs="Times New Roman"/>
          <w:kern w:val="22"/>
          <w:szCs w:val="22"/>
        </w:rPr>
        <w:t xml:space="preserve">other relevant international processes, in particular, </w:t>
      </w:r>
      <w:r w:rsidRPr="00E733CD">
        <w:rPr>
          <w:rFonts w:cs="Times New Roman"/>
          <w:kern w:val="22"/>
          <w:szCs w:val="22"/>
        </w:rPr>
        <w:t>the 2030 Agenda for Sustainable Development, and the Paris Agreement.</w:t>
      </w:r>
      <w:r w:rsidR="007E354A" w:rsidRPr="00E733CD">
        <w:rPr>
          <w:rStyle w:val="FootnoteReference"/>
          <w:rFonts w:cs="Times New Roman"/>
          <w:kern w:val="22"/>
          <w:sz w:val="22"/>
          <w:szCs w:val="22"/>
        </w:rPr>
        <w:footnoteReference w:id="4"/>
      </w:r>
      <w:r w:rsidRPr="00E733CD">
        <w:rPr>
          <w:rFonts w:cs="Times New Roman"/>
          <w:kern w:val="22"/>
          <w:szCs w:val="22"/>
        </w:rPr>
        <w:t xml:space="preserve"> </w:t>
      </w:r>
      <w:r w:rsidR="00CC137C" w:rsidRPr="00E733CD">
        <w:rPr>
          <w:rFonts w:cs="Times New Roman"/>
          <w:kern w:val="22"/>
          <w:szCs w:val="22"/>
        </w:rPr>
        <w:t>The U</w:t>
      </w:r>
      <w:r w:rsidR="006B5870" w:rsidRPr="00E733CD">
        <w:rPr>
          <w:rFonts w:cs="Times New Roman"/>
          <w:kern w:val="22"/>
          <w:szCs w:val="22"/>
        </w:rPr>
        <w:t xml:space="preserve">nited </w:t>
      </w:r>
      <w:r w:rsidR="00CC137C" w:rsidRPr="00E733CD">
        <w:rPr>
          <w:rFonts w:cs="Times New Roman"/>
          <w:kern w:val="22"/>
          <w:szCs w:val="22"/>
        </w:rPr>
        <w:t>N</w:t>
      </w:r>
      <w:r w:rsidR="006B5870" w:rsidRPr="00E733CD">
        <w:rPr>
          <w:rFonts w:cs="Times New Roman"/>
          <w:kern w:val="22"/>
          <w:szCs w:val="22"/>
        </w:rPr>
        <w:t>ations</w:t>
      </w:r>
      <w:r w:rsidR="00CC137C" w:rsidRPr="00E733CD">
        <w:rPr>
          <w:rFonts w:cs="Times New Roman"/>
          <w:kern w:val="22"/>
          <w:szCs w:val="22"/>
        </w:rPr>
        <w:t xml:space="preserve"> Task Team Working Group on Sustainable Development Financing gathered cost estimates of </w:t>
      </w:r>
      <w:r w:rsidR="002570CC" w:rsidRPr="00E733CD">
        <w:rPr>
          <w:rFonts w:cs="Times New Roman"/>
          <w:kern w:val="22"/>
          <w:szCs w:val="22"/>
        </w:rPr>
        <w:t xml:space="preserve">the </w:t>
      </w:r>
      <w:r w:rsidR="00CC137C" w:rsidRPr="00E733CD">
        <w:rPr>
          <w:rFonts w:cs="Times New Roman"/>
          <w:kern w:val="22"/>
          <w:szCs w:val="22"/>
        </w:rPr>
        <w:t xml:space="preserve">different dimensions of </w:t>
      </w:r>
      <w:r w:rsidR="002570CC" w:rsidRPr="00E733CD">
        <w:rPr>
          <w:rFonts w:cs="Times New Roman"/>
          <w:kern w:val="22"/>
          <w:szCs w:val="22"/>
        </w:rPr>
        <w:t xml:space="preserve">achieving </w:t>
      </w:r>
      <w:r w:rsidR="00864D08" w:rsidRPr="00E733CD">
        <w:rPr>
          <w:rFonts w:cs="Times New Roman"/>
          <w:kern w:val="22"/>
          <w:szCs w:val="22"/>
        </w:rPr>
        <w:t>the 2030 Agenda</w:t>
      </w:r>
      <w:r w:rsidR="00116BDB" w:rsidRPr="00E733CD">
        <w:rPr>
          <w:rFonts w:cs="Times New Roman"/>
          <w:kern w:val="22"/>
          <w:szCs w:val="22"/>
        </w:rPr>
        <w:t>, a</w:t>
      </w:r>
      <w:r w:rsidR="00627B19" w:rsidRPr="00E733CD">
        <w:rPr>
          <w:rFonts w:cs="Times New Roman"/>
          <w:kern w:val="22"/>
          <w:szCs w:val="22"/>
        </w:rPr>
        <w:t>s</w:t>
      </w:r>
      <w:r w:rsidR="00AF28A1" w:rsidRPr="00E733CD">
        <w:rPr>
          <w:rFonts w:cs="Times New Roman"/>
          <w:kern w:val="22"/>
          <w:szCs w:val="22"/>
        </w:rPr>
        <w:t xml:space="preserve"> </w:t>
      </w:r>
      <w:r w:rsidR="00627B19" w:rsidRPr="00E733CD">
        <w:rPr>
          <w:rFonts w:cs="Times New Roman"/>
          <w:kern w:val="22"/>
          <w:szCs w:val="22"/>
        </w:rPr>
        <w:t>depicted below</w:t>
      </w:r>
      <w:r w:rsidR="00826BDC" w:rsidRPr="00E733CD">
        <w:rPr>
          <w:rFonts w:cs="Times New Roman"/>
          <w:kern w:val="22"/>
          <w:szCs w:val="22"/>
        </w:rPr>
        <w:t>. This includes the funding needs of implementing the Strategic Plan for Biodiversity 2011-2020 as identified by the High-level Panel on Resource Mobilization</w:t>
      </w:r>
      <w:r w:rsidR="006B5870" w:rsidRPr="00E733CD">
        <w:rPr>
          <w:rFonts w:cs="Times New Roman"/>
          <w:kern w:val="22"/>
          <w:szCs w:val="22"/>
        </w:rPr>
        <w:t>.</w:t>
      </w:r>
      <w:r w:rsidR="00826BDC" w:rsidRPr="00E733CD">
        <w:rPr>
          <w:rStyle w:val="FootnoteReference"/>
          <w:rFonts w:cs="Times New Roman"/>
          <w:kern w:val="22"/>
          <w:sz w:val="22"/>
          <w:szCs w:val="22"/>
        </w:rPr>
        <w:footnoteReference w:id="5"/>
      </w:r>
      <w:r w:rsidR="00C747D8" w:rsidRPr="00E733CD">
        <w:rPr>
          <w:rFonts w:cs="Times New Roman"/>
          <w:kern w:val="22"/>
          <w:szCs w:val="22"/>
        </w:rPr>
        <w:t xml:space="preserve"> Given the interlinkages between the 2030 Agenda and achieving the objectives of the Convention and its Protocols, the estimated funding requirements are relevant in considering the post-2020 implementation of Article 21.</w:t>
      </w:r>
    </w:p>
    <w:p w:rsidR="00CC137C" w:rsidRPr="00E733CD" w:rsidRDefault="00415C0F" w:rsidP="00E733CD">
      <w:pPr>
        <w:pStyle w:val="Para1"/>
        <w:suppressLineNumbers/>
        <w:suppressAutoHyphens/>
        <w:kinsoku w:val="0"/>
        <w:overflowPunct w:val="0"/>
        <w:autoSpaceDE w:val="0"/>
        <w:autoSpaceDN w:val="0"/>
        <w:adjustRightInd w:val="0"/>
        <w:snapToGrid w:val="0"/>
        <w:jc w:val="center"/>
        <w:rPr>
          <w:rFonts w:cs="Times New Roman"/>
          <w:kern w:val="22"/>
          <w:szCs w:val="22"/>
        </w:rPr>
      </w:pPr>
      <w:r w:rsidRPr="00E733CD">
        <w:rPr>
          <w:rFonts w:cs="Times New Roman"/>
          <w:noProof/>
          <w:kern w:val="22"/>
          <w:szCs w:val="22"/>
          <w:lang w:eastAsia="zh-CN"/>
        </w:rPr>
        <w:drawing>
          <wp:inline distT="0" distB="0" distL="0" distR="0" wp14:anchorId="27BB7946" wp14:editId="5E28315E">
            <wp:extent cx="3124200" cy="2247900"/>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124200" cy="2247900"/>
                    </a:xfrm>
                    <a:prstGeom prst="rect">
                      <a:avLst/>
                    </a:prstGeom>
                    <a:noFill/>
                    <a:ln>
                      <a:noFill/>
                    </a:ln>
                  </pic:spPr>
                </pic:pic>
              </a:graphicData>
            </a:graphic>
          </wp:inline>
        </w:drawing>
      </w:r>
    </w:p>
    <w:p w:rsidR="009975EB" w:rsidRPr="00E733CD" w:rsidRDefault="00A717C3" w:rsidP="00E733CD">
      <w:pPr>
        <w:pStyle w:val="Heading2"/>
        <w:keepNext w:val="0"/>
        <w:suppressLineNumbers/>
        <w:suppressAutoHyphens/>
        <w:kinsoku w:val="0"/>
        <w:overflowPunct w:val="0"/>
        <w:autoSpaceDE w:val="0"/>
        <w:autoSpaceDN w:val="0"/>
        <w:adjustRightInd w:val="0"/>
        <w:snapToGrid w:val="0"/>
        <w:rPr>
          <w:rFonts w:cs="Times New Roman"/>
          <w:snapToGrid w:val="0"/>
          <w:kern w:val="22"/>
          <w:szCs w:val="22"/>
        </w:rPr>
      </w:pPr>
      <w:r w:rsidRPr="00E733CD">
        <w:rPr>
          <w:rFonts w:cs="Times New Roman"/>
          <w:snapToGrid w:val="0"/>
          <w:kern w:val="22"/>
          <w:szCs w:val="22"/>
        </w:rPr>
        <w:t>B.</w:t>
      </w:r>
      <w:r w:rsidRPr="00E733CD">
        <w:rPr>
          <w:rFonts w:cs="Times New Roman"/>
          <w:i/>
          <w:snapToGrid w:val="0"/>
          <w:kern w:val="22"/>
          <w:szCs w:val="22"/>
        </w:rPr>
        <w:tab/>
      </w:r>
      <w:r w:rsidR="009975EB" w:rsidRPr="00E733CD">
        <w:rPr>
          <w:rFonts w:cs="Times New Roman"/>
          <w:snapToGrid w:val="0"/>
          <w:kern w:val="22"/>
          <w:szCs w:val="22"/>
        </w:rPr>
        <w:t>Blended finance</w:t>
      </w:r>
    </w:p>
    <w:p w:rsidR="00783852" w:rsidRPr="00E733CD" w:rsidRDefault="00783852" w:rsidP="00E733CD">
      <w:pPr>
        <w:pStyle w:val="Para1"/>
        <w:numPr>
          <w:ilvl w:val="0"/>
          <w:numId w:val="14"/>
        </w:numPr>
        <w:suppressLineNumbers/>
        <w:tabs>
          <w:tab w:val="num" w:pos="720"/>
        </w:tabs>
        <w:suppressAutoHyphens/>
        <w:kinsoku w:val="0"/>
        <w:overflowPunct w:val="0"/>
        <w:autoSpaceDE w:val="0"/>
        <w:autoSpaceDN w:val="0"/>
        <w:adjustRightInd w:val="0"/>
        <w:snapToGrid w:val="0"/>
        <w:ind w:left="0" w:firstLine="0"/>
        <w:rPr>
          <w:rFonts w:cs="Times New Roman"/>
          <w:kern w:val="22"/>
          <w:szCs w:val="22"/>
        </w:rPr>
      </w:pPr>
      <w:r w:rsidRPr="00E733CD">
        <w:rPr>
          <w:rFonts w:cs="Times New Roman"/>
          <w:kern w:val="22"/>
          <w:szCs w:val="22"/>
        </w:rPr>
        <w:t>According to the Blended Finance Taskforce of the Business &amp; Sustainable Development Commission, the blended finance market double</w:t>
      </w:r>
      <w:r w:rsidR="00531F95" w:rsidRPr="00E733CD">
        <w:rPr>
          <w:rFonts w:cs="Times New Roman"/>
          <w:kern w:val="22"/>
          <w:szCs w:val="22"/>
        </w:rPr>
        <w:t>d</w:t>
      </w:r>
      <w:r w:rsidRPr="00E733CD">
        <w:rPr>
          <w:rFonts w:cs="Times New Roman"/>
          <w:kern w:val="22"/>
          <w:szCs w:val="22"/>
        </w:rPr>
        <w:t xml:space="preserve"> in size</w:t>
      </w:r>
      <w:r w:rsidR="00531F95" w:rsidRPr="00E733CD">
        <w:rPr>
          <w:rFonts w:cs="Times New Roman"/>
          <w:kern w:val="22"/>
          <w:szCs w:val="22"/>
        </w:rPr>
        <w:t xml:space="preserve"> in the last </w:t>
      </w:r>
      <w:r w:rsidR="00847D3A" w:rsidRPr="00E733CD">
        <w:rPr>
          <w:rFonts w:cs="Times New Roman"/>
          <w:kern w:val="22"/>
          <w:szCs w:val="22"/>
        </w:rPr>
        <w:t>five</w:t>
      </w:r>
      <w:r w:rsidR="00531F95" w:rsidRPr="00E733CD">
        <w:rPr>
          <w:rFonts w:cs="Times New Roman"/>
          <w:kern w:val="22"/>
          <w:szCs w:val="22"/>
        </w:rPr>
        <w:t xml:space="preserve"> years</w:t>
      </w:r>
      <w:r w:rsidRPr="00E733CD">
        <w:rPr>
          <w:rFonts w:cs="Times New Roman"/>
          <w:kern w:val="22"/>
          <w:szCs w:val="22"/>
        </w:rPr>
        <w:t xml:space="preserve">, and </w:t>
      </w:r>
      <w:r w:rsidR="00531F95" w:rsidRPr="00E733CD">
        <w:rPr>
          <w:rFonts w:cs="Times New Roman"/>
          <w:kern w:val="22"/>
          <w:szCs w:val="22"/>
        </w:rPr>
        <w:t>i</w:t>
      </w:r>
      <w:r w:rsidRPr="00E733CD">
        <w:rPr>
          <w:rFonts w:cs="Times New Roman"/>
          <w:kern w:val="22"/>
          <w:szCs w:val="22"/>
        </w:rPr>
        <w:t xml:space="preserve">t could double again in the next </w:t>
      </w:r>
      <w:r w:rsidR="00847D3A" w:rsidRPr="00E733CD">
        <w:rPr>
          <w:rFonts w:cs="Times New Roman"/>
          <w:kern w:val="22"/>
          <w:szCs w:val="22"/>
        </w:rPr>
        <w:t>three</w:t>
      </w:r>
      <w:r w:rsidR="007E354A" w:rsidRPr="00E733CD">
        <w:rPr>
          <w:rFonts w:cs="Times New Roman"/>
          <w:kern w:val="22"/>
          <w:szCs w:val="22"/>
        </w:rPr>
        <w:t xml:space="preserve"> or </w:t>
      </w:r>
      <w:r w:rsidR="00847D3A" w:rsidRPr="00E733CD">
        <w:rPr>
          <w:rFonts w:cs="Times New Roman"/>
          <w:kern w:val="22"/>
          <w:szCs w:val="22"/>
        </w:rPr>
        <w:t>four</w:t>
      </w:r>
      <w:r w:rsidRPr="00E733CD">
        <w:rPr>
          <w:rFonts w:cs="Times New Roman"/>
          <w:kern w:val="22"/>
          <w:szCs w:val="22"/>
        </w:rPr>
        <w:t xml:space="preserve"> years as providers of concessional and other forms of development capital earmark more money to be used for blending. </w:t>
      </w:r>
      <w:r w:rsidR="00836501" w:rsidRPr="00E733CD">
        <w:rPr>
          <w:rFonts w:cs="Times New Roman"/>
          <w:kern w:val="22"/>
          <w:szCs w:val="22"/>
        </w:rPr>
        <w:t>Currently dominated by the focus on climate change, the enormous institutional investment markets could benefit from the unprecedented opportunity to increase portfolio exposure to biodiversity asset class as biodiversity equity and debt funds tend to provide portfolio diversification benefits, stronger long-term global returns, and lower default rates and better downside protection provided through blended finance. It is projected that international development cooperation could ramp up the mobili</w:t>
      </w:r>
      <w:r w:rsidR="007E354A" w:rsidRPr="00E733CD">
        <w:rPr>
          <w:rFonts w:cs="Times New Roman"/>
          <w:kern w:val="22"/>
          <w:szCs w:val="22"/>
        </w:rPr>
        <w:t>z</w:t>
      </w:r>
      <w:r w:rsidR="00836501" w:rsidRPr="00E733CD">
        <w:rPr>
          <w:rFonts w:cs="Times New Roman"/>
          <w:kern w:val="22"/>
          <w:szCs w:val="22"/>
        </w:rPr>
        <w:t>ation ratios of their private sector arms from less than 2:1 to closer to 4:1 (or more) in the coming years.</w:t>
      </w:r>
    </w:p>
    <w:p w:rsidR="001837AE" w:rsidRPr="00E733CD" w:rsidRDefault="00A717C3" w:rsidP="00E733CD">
      <w:pPr>
        <w:pStyle w:val="Heading2"/>
        <w:keepNext w:val="0"/>
        <w:suppressLineNumbers/>
        <w:suppressAutoHyphens/>
        <w:kinsoku w:val="0"/>
        <w:overflowPunct w:val="0"/>
        <w:autoSpaceDE w:val="0"/>
        <w:autoSpaceDN w:val="0"/>
        <w:adjustRightInd w:val="0"/>
        <w:snapToGrid w:val="0"/>
        <w:rPr>
          <w:rFonts w:cs="Times New Roman"/>
          <w:snapToGrid w:val="0"/>
          <w:kern w:val="22"/>
          <w:szCs w:val="22"/>
        </w:rPr>
      </w:pPr>
      <w:r w:rsidRPr="00E733CD">
        <w:rPr>
          <w:rFonts w:cs="Times New Roman"/>
          <w:snapToGrid w:val="0"/>
          <w:kern w:val="22"/>
          <w:szCs w:val="22"/>
        </w:rPr>
        <w:t>C.</w:t>
      </w:r>
      <w:r w:rsidRPr="00E733CD">
        <w:rPr>
          <w:rFonts w:cs="Times New Roman"/>
          <w:snapToGrid w:val="0"/>
          <w:kern w:val="22"/>
          <w:szCs w:val="22"/>
        </w:rPr>
        <w:tab/>
      </w:r>
      <w:r w:rsidR="001837AE" w:rsidRPr="00E733CD">
        <w:rPr>
          <w:rFonts w:cs="Times New Roman"/>
          <w:snapToGrid w:val="0"/>
          <w:kern w:val="22"/>
          <w:szCs w:val="22"/>
        </w:rPr>
        <w:t>Green bonds</w:t>
      </w:r>
    </w:p>
    <w:p w:rsidR="00836501" w:rsidRPr="00E733CD" w:rsidRDefault="00E3298C" w:rsidP="00E733CD">
      <w:pPr>
        <w:pStyle w:val="Para1"/>
        <w:numPr>
          <w:ilvl w:val="0"/>
          <w:numId w:val="14"/>
        </w:numPr>
        <w:suppressLineNumbers/>
        <w:tabs>
          <w:tab w:val="num" w:pos="720"/>
        </w:tabs>
        <w:suppressAutoHyphens/>
        <w:kinsoku w:val="0"/>
        <w:overflowPunct w:val="0"/>
        <w:autoSpaceDE w:val="0"/>
        <w:autoSpaceDN w:val="0"/>
        <w:adjustRightInd w:val="0"/>
        <w:snapToGrid w:val="0"/>
        <w:spacing w:before="120"/>
        <w:ind w:left="0" w:firstLine="0"/>
        <w:rPr>
          <w:rFonts w:cs="Times New Roman"/>
          <w:kern w:val="22"/>
          <w:szCs w:val="22"/>
        </w:rPr>
      </w:pPr>
      <w:r w:rsidRPr="00E733CD">
        <w:rPr>
          <w:rFonts w:cs="Times New Roman"/>
          <w:kern w:val="22"/>
          <w:szCs w:val="22"/>
        </w:rPr>
        <w:t xml:space="preserve">Driven largely by the climate change concerns, the green bond market has grown </w:t>
      </w:r>
      <w:r w:rsidR="009975EB" w:rsidRPr="00E733CD">
        <w:rPr>
          <w:rFonts w:cs="Times New Roman"/>
          <w:kern w:val="22"/>
          <w:szCs w:val="22"/>
        </w:rPr>
        <w:t>significantly</w:t>
      </w:r>
      <w:r w:rsidRPr="00E733CD">
        <w:rPr>
          <w:rFonts w:cs="Times New Roman"/>
          <w:kern w:val="22"/>
          <w:szCs w:val="22"/>
        </w:rPr>
        <w:t xml:space="preserve"> in the past few years</w:t>
      </w:r>
      <w:r w:rsidR="009975EB" w:rsidRPr="00E733CD">
        <w:rPr>
          <w:rFonts w:cs="Times New Roman"/>
          <w:kern w:val="22"/>
          <w:szCs w:val="22"/>
        </w:rPr>
        <w:t xml:space="preserve">, </w:t>
      </w:r>
      <w:r w:rsidRPr="00E733CD">
        <w:rPr>
          <w:rFonts w:cs="Times New Roman"/>
          <w:kern w:val="22"/>
          <w:szCs w:val="22"/>
        </w:rPr>
        <w:t>tripl</w:t>
      </w:r>
      <w:r w:rsidR="009975EB" w:rsidRPr="00E733CD">
        <w:rPr>
          <w:rFonts w:cs="Times New Roman"/>
          <w:kern w:val="22"/>
          <w:szCs w:val="22"/>
        </w:rPr>
        <w:t>ing</w:t>
      </w:r>
      <w:r w:rsidRPr="00E733CD">
        <w:rPr>
          <w:rFonts w:cs="Times New Roman"/>
          <w:kern w:val="22"/>
          <w:szCs w:val="22"/>
        </w:rPr>
        <w:t xml:space="preserve"> to </w:t>
      </w:r>
      <w:r w:rsidR="006A3516">
        <w:rPr>
          <w:rFonts w:cs="Times New Roman"/>
          <w:kern w:val="22"/>
          <w:szCs w:val="22"/>
        </w:rPr>
        <w:t>about</w:t>
      </w:r>
      <w:r w:rsidR="006A3516" w:rsidRPr="00E733CD">
        <w:rPr>
          <w:rFonts w:cs="Times New Roman"/>
          <w:kern w:val="22"/>
          <w:szCs w:val="22"/>
        </w:rPr>
        <w:t xml:space="preserve"> </w:t>
      </w:r>
      <w:r w:rsidRPr="00E733CD">
        <w:rPr>
          <w:rFonts w:cs="Times New Roman"/>
          <w:kern w:val="22"/>
          <w:szCs w:val="22"/>
        </w:rPr>
        <w:t>US</w:t>
      </w:r>
      <w:r w:rsidR="006A3516">
        <w:rPr>
          <w:rFonts w:cs="Times New Roman"/>
          <w:kern w:val="22"/>
          <w:szCs w:val="22"/>
        </w:rPr>
        <w:t>$</w:t>
      </w:r>
      <w:r w:rsidR="00A821D5" w:rsidRPr="00E733CD">
        <w:rPr>
          <w:rFonts w:cs="Times New Roman"/>
          <w:kern w:val="22"/>
          <w:szCs w:val="22"/>
        </w:rPr>
        <w:t> </w:t>
      </w:r>
      <w:r w:rsidRPr="00E733CD">
        <w:rPr>
          <w:rFonts w:cs="Times New Roman"/>
          <w:kern w:val="22"/>
          <w:szCs w:val="22"/>
        </w:rPr>
        <w:t xml:space="preserve">38 billion </w:t>
      </w:r>
      <w:r w:rsidR="009975EB" w:rsidRPr="00E733CD">
        <w:rPr>
          <w:rFonts w:cs="Times New Roman"/>
          <w:kern w:val="22"/>
          <w:szCs w:val="22"/>
        </w:rPr>
        <w:t>from 2008 to</w:t>
      </w:r>
      <w:r w:rsidRPr="00E733CD">
        <w:rPr>
          <w:rFonts w:cs="Times New Roman"/>
          <w:kern w:val="22"/>
          <w:szCs w:val="22"/>
        </w:rPr>
        <w:t xml:space="preserve"> 2014, and reached </w:t>
      </w:r>
      <w:r w:rsidR="006A3516">
        <w:rPr>
          <w:rFonts w:cs="Times New Roman"/>
          <w:kern w:val="22"/>
          <w:szCs w:val="22"/>
        </w:rPr>
        <w:t>about</w:t>
      </w:r>
      <w:r w:rsidR="006A3516" w:rsidRPr="00E733CD">
        <w:rPr>
          <w:rFonts w:cs="Times New Roman"/>
          <w:kern w:val="22"/>
          <w:szCs w:val="22"/>
        </w:rPr>
        <w:t xml:space="preserve"> </w:t>
      </w:r>
      <w:r w:rsidRPr="00E733CD">
        <w:rPr>
          <w:rFonts w:cs="Times New Roman"/>
          <w:kern w:val="22"/>
          <w:szCs w:val="22"/>
        </w:rPr>
        <w:t>US</w:t>
      </w:r>
      <w:r w:rsidR="006A3516">
        <w:rPr>
          <w:rFonts w:cs="Times New Roman"/>
          <w:kern w:val="22"/>
          <w:szCs w:val="22"/>
        </w:rPr>
        <w:t>$</w:t>
      </w:r>
      <w:r w:rsidR="00A821D5" w:rsidRPr="00E733CD">
        <w:rPr>
          <w:rFonts w:cs="Times New Roman"/>
          <w:kern w:val="22"/>
          <w:szCs w:val="22"/>
        </w:rPr>
        <w:t> </w:t>
      </w:r>
      <w:r w:rsidRPr="00E733CD">
        <w:rPr>
          <w:rFonts w:cs="Times New Roman"/>
          <w:kern w:val="22"/>
          <w:szCs w:val="22"/>
        </w:rPr>
        <w:t xml:space="preserve">161 billion in 2017. 2017 has been marked as ‘the year of the sovereign’ in the green bond market, with inaugural issuances from Poland and France setting a precedent in late 2016 and early 2017, and Fiji and Nigeria becoming the first issuers among developing economies. </w:t>
      </w:r>
      <w:r w:rsidR="00836501" w:rsidRPr="00E733CD">
        <w:rPr>
          <w:rFonts w:cs="Times New Roman"/>
          <w:kern w:val="22"/>
          <w:szCs w:val="22"/>
        </w:rPr>
        <w:t xml:space="preserve">In the German </w:t>
      </w:r>
      <w:r w:rsidR="007A36CB">
        <w:rPr>
          <w:rFonts w:cs="Times New Roman"/>
          <w:kern w:val="22"/>
          <w:szCs w:val="22"/>
        </w:rPr>
        <w:t>s</w:t>
      </w:r>
      <w:r w:rsidR="00836501" w:rsidRPr="00E733CD">
        <w:rPr>
          <w:rFonts w:cs="Times New Roman"/>
          <w:kern w:val="22"/>
          <w:szCs w:val="22"/>
        </w:rPr>
        <w:t>tate of North Rhine Westphalia, 93</w:t>
      </w:r>
      <w:r w:rsidR="006A3516">
        <w:rPr>
          <w:rFonts w:cs="Times New Roman"/>
          <w:kern w:val="22"/>
          <w:szCs w:val="22"/>
        </w:rPr>
        <w:t> </w:t>
      </w:r>
      <w:r w:rsidR="00836501" w:rsidRPr="00E733CD">
        <w:rPr>
          <w:rFonts w:cs="Times New Roman"/>
          <w:kern w:val="22"/>
          <w:szCs w:val="22"/>
        </w:rPr>
        <w:t>per</w:t>
      </w:r>
      <w:r w:rsidR="006A3516">
        <w:rPr>
          <w:rFonts w:cs="Times New Roman"/>
          <w:kern w:val="22"/>
          <w:szCs w:val="22"/>
        </w:rPr>
        <w:t xml:space="preserve"> </w:t>
      </w:r>
      <w:r w:rsidR="00836501" w:rsidRPr="00E733CD">
        <w:rPr>
          <w:rFonts w:cs="Times New Roman"/>
          <w:kern w:val="22"/>
          <w:szCs w:val="22"/>
        </w:rPr>
        <w:t xml:space="preserve">cent of its budget for protection of natural resources was considered eligible for bond financing. </w:t>
      </w:r>
      <w:r w:rsidRPr="00E733CD">
        <w:rPr>
          <w:rFonts w:cs="Times New Roman"/>
          <w:kern w:val="22"/>
          <w:szCs w:val="22"/>
        </w:rPr>
        <w:t>Globally, biodiversity conservation received 4</w:t>
      </w:r>
      <w:r w:rsidR="004453AF">
        <w:rPr>
          <w:rFonts w:cs="Times New Roman"/>
          <w:kern w:val="22"/>
          <w:szCs w:val="22"/>
        </w:rPr>
        <w:t> per cent</w:t>
      </w:r>
      <w:r w:rsidRPr="00E733CD">
        <w:rPr>
          <w:rFonts w:cs="Times New Roman"/>
          <w:kern w:val="22"/>
          <w:szCs w:val="22"/>
        </w:rPr>
        <w:t xml:space="preserve"> of bond proceeds, and sustainable land use benefited 2</w:t>
      </w:r>
      <w:r w:rsidR="008F7DD5">
        <w:rPr>
          <w:rFonts w:cs="Times New Roman"/>
          <w:kern w:val="22"/>
          <w:szCs w:val="22"/>
        </w:rPr>
        <w:t> per cent</w:t>
      </w:r>
      <w:r w:rsidRPr="00E733CD">
        <w:rPr>
          <w:rFonts w:cs="Times New Roman"/>
          <w:kern w:val="22"/>
          <w:szCs w:val="22"/>
        </w:rPr>
        <w:t>.</w:t>
      </w:r>
      <w:r w:rsidR="00836501" w:rsidRPr="00E733CD">
        <w:rPr>
          <w:rFonts w:cs="Times New Roman"/>
          <w:kern w:val="22"/>
          <w:szCs w:val="22"/>
        </w:rPr>
        <w:t xml:space="preserve"> According to the projections by the Climate Bonds Initiative, global green bond issuance can reach US$</w:t>
      </w:r>
      <w:r w:rsidR="00156FC6" w:rsidRPr="00156FC6">
        <w:rPr>
          <w:rFonts w:cs="Times New Roman"/>
          <w:kern w:val="22"/>
          <w:szCs w:val="22"/>
        </w:rPr>
        <w:t> </w:t>
      </w:r>
      <w:r w:rsidR="00836501" w:rsidRPr="00E733CD">
        <w:rPr>
          <w:rFonts w:cs="Times New Roman"/>
          <w:kern w:val="22"/>
          <w:szCs w:val="22"/>
        </w:rPr>
        <w:t>1 trillion in 2020.</w:t>
      </w:r>
    </w:p>
    <w:p w:rsidR="00116BDB" w:rsidRPr="00E733CD" w:rsidRDefault="00A717C3" w:rsidP="00E733CD">
      <w:pPr>
        <w:pStyle w:val="Heading2"/>
        <w:suppressLineNumbers/>
        <w:tabs>
          <w:tab w:val="clear" w:pos="720"/>
          <w:tab w:val="left" w:pos="360"/>
        </w:tabs>
        <w:suppressAutoHyphens/>
        <w:kinsoku w:val="0"/>
        <w:overflowPunct w:val="0"/>
        <w:autoSpaceDE w:val="0"/>
        <w:autoSpaceDN w:val="0"/>
        <w:adjustRightInd w:val="0"/>
        <w:snapToGrid w:val="0"/>
        <w:rPr>
          <w:rFonts w:cs="Times New Roman"/>
          <w:snapToGrid w:val="0"/>
          <w:kern w:val="22"/>
          <w:szCs w:val="22"/>
        </w:rPr>
      </w:pPr>
      <w:r w:rsidRPr="00E733CD">
        <w:rPr>
          <w:rFonts w:cs="Times New Roman"/>
          <w:snapToGrid w:val="0"/>
          <w:kern w:val="22"/>
          <w:szCs w:val="22"/>
        </w:rPr>
        <w:t>D.</w:t>
      </w:r>
      <w:r w:rsidRPr="00E733CD">
        <w:rPr>
          <w:rFonts w:cs="Times New Roman"/>
          <w:snapToGrid w:val="0"/>
          <w:kern w:val="22"/>
          <w:szCs w:val="22"/>
        </w:rPr>
        <w:tab/>
      </w:r>
      <w:r w:rsidR="00847D3A" w:rsidRPr="00E733CD">
        <w:rPr>
          <w:rFonts w:cs="Times New Roman"/>
          <w:snapToGrid w:val="0"/>
          <w:kern w:val="22"/>
          <w:szCs w:val="22"/>
        </w:rPr>
        <w:t>N</w:t>
      </w:r>
      <w:r w:rsidR="00C50CF7" w:rsidRPr="00E733CD">
        <w:rPr>
          <w:rFonts w:cs="Times New Roman"/>
          <w:snapToGrid w:val="0"/>
          <w:kern w:val="22"/>
          <w:szCs w:val="22"/>
        </w:rPr>
        <w:t>ew funds</w:t>
      </w:r>
    </w:p>
    <w:p w:rsidR="002F7B38" w:rsidRPr="00E733CD" w:rsidRDefault="00831E09" w:rsidP="00E733CD">
      <w:pPr>
        <w:pStyle w:val="Para1"/>
        <w:numPr>
          <w:ilvl w:val="0"/>
          <w:numId w:val="14"/>
        </w:numPr>
        <w:suppressLineNumbers/>
        <w:tabs>
          <w:tab w:val="num" w:pos="720"/>
        </w:tabs>
        <w:suppressAutoHyphens/>
        <w:kinsoku w:val="0"/>
        <w:overflowPunct w:val="0"/>
        <w:autoSpaceDE w:val="0"/>
        <w:autoSpaceDN w:val="0"/>
        <w:adjustRightInd w:val="0"/>
        <w:snapToGrid w:val="0"/>
        <w:ind w:left="0" w:firstLine="0"/>
        <w:rPr>
          <w:rFonts w:eastAsia="Times New Roman" w:cs="Times New Roman"/>
          <w:iCs/>
          <w:kern w:val="22"/>
          <w:szCs w:val="22"/>
        </w:rPr>
      </w:pPr>
      <w:r w:rsidRPr="00E733CD">
        <w:rPr>
          <w:rFonts w:eastAsia="Times New Roman" w:cs="Times New Roman"/>
          <w:iCs/>
          <w:kern w:val="22"/>
          <w:szCs w:val="22"/>
        </w:rPr>
        <w:t xml:space="preserve">In response to </w:t>
      </w:r>
      <w:r w:rsidR="006E4C50" w:rsidRPr="00E733CD">
        <w:rPr>
          <w:rFonts w:eastAsia="Times New Roman" w:cs="Times New Roman"/>
          <w:iCs/>
          <w:kern w:val="22"/>
          <w:szCs w:val="22"/>
        </w:rPr>
        <w:t xml:space="preserve">growing demands, new </w:t>
      </w:r>
      <w:r w:rsidR="00847D3A" w:rsidRPr="00E733CD">
        <w:rPr>
          <w:rFonts w:eastAsia="Times New Roman" w:cs="Times New Roman"/>
          <w:iCs/>
          <w:kern w:val="22"/>
          <w:szCs w:val="22"/>
        </w:rPr>
        <w:t>funds</w:t>
      </w:r>
      <w:r w:rsidR="000A0D20" w:rsidRPr="00E733CD">
        <w:rPr>
          <w:rFonts w:eastAsia="Times New Roman" w:cs="Times New Roman"/>
          <w:iCs/>
          <w:kern w:val="22"/>
          <w:szCs w:val="22"/>
        </w:rPr>
        <w:t xml:space="preserve"> </w:t>
      </w:r>
      <w:r w:rsidR="00847D3A" w:rsidRPr="00E733CD">
        <w:rPr>
          <w:rFonts w:eastAsia="Times New Roman" w:cs="Times New Roman"/>
          <w:iCs/>
          <w:kern w:val="22"/>
          <w:szCs w:val="22"/>
        </w:rPr>
        <w:t>have been</w:t>
      </w:r>
      <w:r w:rsidR="009975EB" w:rsidRPr="00E733CD">
        <w:rPr>
          <w:rFonts w:eastAsia="Times New Roman" w:cs="Times New Roman"/>
          <w:iCs/>
          <w:kern w:val="22"/>
          <w:szCs w:val="22"/>
        </w:rPr>
        <w:t xml:space="preserve"> recently established </w:t>
      </w:r>
      <w:r w:rsidR="00F05B36" w:rsidRPr="00E733CD">
        <w:rPr>
          <w:rFonts w:eastAsia="Times New Roman" w:cs="Times New Roman"/>
          <w:iCs/>
          <w:kern w:val="22"/>
          <w:szCs w:val="22"/>
        </w:rPr>
        <w:t>in the desertification and climate change contexts</w:t>
      </w:r>
      <w:r w:rsidRPr="00E733CD">
        <w:rPr>
          <w:rFonts w:eastAsia="Times New Roman" w:cs="Times New Roman"/>
          <w:iCs/>
          <w:kern w:val="22"/>
          <w:szCs w:val="22"/>
        </w:rPr>
        <w:t xml:space="preserve">. </w:t>
      </w:r>
      <w:r w:rsidR="009975EB" w:rsidRPr="00E733CD">
        <w:rPr>
          <w:rFonts w:eastAsia="Times New Roman" w:cs="Times New Roman"/>
          <w:iCs/>
          <w:kern w:val="22"/>
          <w:szCs w:val="22"/>
        </w:rPr>
        <w:t>In order t</w:t>
      </w:r>
      <w:r w:rsidRPr="00E733CD">
        <w:rPr>
          <w:rFonts w:eastAsia="Times New Roman" w:cs="Times New Roman"/>
          <w:iCs/>
          <w:kern w:val="22"/>
          <w:szCs w:val="22"/>
        </w:rPr>
        <w:t xml:space="preserve">o support sustainable land use, the Land Degradation Neutrality Fund, with the target size of </w:t>
      </w:r>
      <w:r w:rsidR="005C4651">
        <w:rPr>
          <w:rFonts w:eastAsia="Times New Roman" w:cs="Times New Roman"/>
          <w:iCs/>
          <w:kern w:val="22"/>
          <w:szCs w:val="22"/>
        </w:rPr>
        <w:t>US</w:t>
      </w:r>
      <w:r w:rsidRPr="00E733CD">
        <w:rPr>
          <w:rFonts w:eastAsia="Times New Roman" w:cs="Times New Roman"/>
          <w:iCs/>
          <w:kern w:val="22"/>
          <w:szCs w:val="22"/>
        </w:rPr>
        <w:t>$</w:t>
      </w:r>
      <w:r w:rsidR="005C4651">
        <w:rPr>
          <w:rFonts w:eastAsia="Times New Roman" w:cs="Times New Roman"/>
          <w:iCs/>
          <w:kern w:val="22"/>
          <w:szCs w:val="22"/>
        </w:rPr>
        <w:t> </w:t>
      </w:r>
      <w:r w:rsidRPr="00E733CD">
        <w:rPr>
          <w:rFonts w:eastAsia="Times New Roman" w:cs="Times New Roman"/>
          <w:iCs/>
          <w:kern w:val="22"/>
          <w:szCs w:val="22"/>
        </w:rPr>
        <w:t xml:space="preserve">300 million, was launched in 2017 at </w:t>
      </w:r>
      <w:r w:rsidRPr="00E733CD">
        <w:rPr>
          <w:rFonts w:cs="Times New Roman"/>
          <w:kern w:val="22"/>
          <w:szCs w:val="22"/>
        </w:rPr>
        <w:t>the</w:t>
      </w:r>
      <w:r w:rsidRPr="00E733CD">
        <w:rPr>
          <w:rFonts w:eastAsia="Times New Roman" w:cs="Times New Roman"/>
          <w:iCs/>
          <w:kern w:val="22"/>
          <w:szCs w:val="22"/>
        </w:rPr>
        <w:t xml:space="preserve"> thirteenth session of the Conference of the Parties of the United Nations Convention to </w:t>
      </w:r>
      <w:r w:rsidR="0077532B" w:rsidRPr="00E733CD">
        <w:rPr>
          <w:rFonts w:eastAsia="Times New Roman" w:cs="Times New Roman"/>
          <w:iCs/>
          <w:kern w:val="22"/>
          <w:szCs w:val="22"/>
        </w:rPr>
        <w:t xml:space="preserve">Combat Desertification. </w:t>
      </w:r>
      <w:r w:rsidR="00F05B36" w:rsidRPr="00E733CD">
        <w:rPr>
          <w:rFonts w:eastAsia="Times New Roman" w:cs="Times New Roman"/>
          <w:iCs/>
          <w:kern w:val="22"/>
          <w:szCs w:val="22"/>
        </w:rPr>
        <w:t>In the climate change context</w:t>
      </w:r>
      <w:r w:rsidR="0077532B" w:rsidRPr="00E733CD">
        <w:rPr>
          <w:rFonts w:eastAsia="Times New Roman" w:cs="Times New Roman"/>
          <w:iCs/>
          <w:kern w:val="22"/>
          <w:szCs w:val="22"/>
        </w:rPr>
        <w:t>, the Green Climate Fund</w:t>
      </w:r>
      <w:r w:rsidR="006E4C50" w:rsidRPr="00E733CD">
        <w:rPr>
          <w:rFonts w:eastAsia="Times New Roman" w:cs="Times New Roman"/>
          <w:iCs/>
          <w:kern w:val="22"/>
          <w:szCs w:val="22"/>
        </w:rPr>
        <w:t xml:space="preserve">, </w:t>
      </w:r>
      <w:r w:rsidR="002F7B38" w:rsidRPr="00E733CD">
        <w:rPr>
          <w:rFonts w:eastAsia="Times New Roman" w:cs="Times New Roman"/>
          <w:iCs/>
          <w:kern w:val="22"/>
          <w:szCs w:val="22"/>
        </w:rPr>
        <w:t xml:space="preserve">initiated by the fifteenth meeting of the Conference of the Parties to the United Nations Framework Convention on Climate Change (UNFCCC) in Copenhagen, and </w:t>
      </w:r>
      <w:r w:rsidR="006E4C50" w:rsidRPr="00E733CD">
        <w:rPr>
          <w:rFonts w:eastAsia="Times New Roman" w:cs="Times New Roman"/>
          <w:iCs/>
          <w:kern w:val="22"/>
          <w:szCs w:val="22"/>
        </w:rPr>
        <w:t xml:space="preserve">established </w:t>
      </w:r>
      <w:r w:rsidR="002F7B38" w:rsidRPr="00E733CD">
        <w:rPr>
          <w:rFonts w:eastAsia="Times New Roman" w:cs="Times New Roman"/>
          <w:iCs/>
          <w:kern w:val="22"/>
          <w:szCs w:val="22"/>
        </w:rPr>
        <w:t xml:space="preserve">by the sixteenth </w:t>
      </w:r>
      <w:r w:rsidR="00A75D93">
        <w:rPr>
          <w:rFonts w:eastAsia="Times New Roman" w:cs="Times New Roman"/>
          <w:iCs/>
          <w:kern w:val="22"/>
          <w:szCs w:val="22"/>
        </w:rPr>
        <w:t>session</w:t>
      </w:r>
      <w:r w:rsidR="00A75D93" w:rsidRPr="00E733CD">
        <w:rPr>
          <w:rFonts w:eastAsia="Times New Roman" w:cs="Times New Roman"/>
          <w:iCs/>
          <w:kern w:val="22"/>
          <w:szCs w:val="22"/>
        </w:rPr>
        <w:t xml:space="preserve"> </w:t>
      </w:r>
      <w:r w:rsidR="002F7B38" w:rsidRPr="00E733CD">
        <w:rPr>
          <w:rFonts w:eastAsia="Times New Roman" w:cs="Times New Roman"/>
          <w:iCs/>
          <w:kern w:val="22"/>
          <w:szCs w:val="22"/>
        </w:rPr>
        <w:t>of the UNFCCC Conference of the Parties in Cancun, Mexico</w:t>
      </w:r>
      <w:r w:rsidR="006E4C50" w:rsidRPr="00E733CD">
        <w:rPr>
          <w:rFonts w:eastAsia="Times New Roman" w:cs="Times New Roman"/>
          <w:iCs/>
          <w:kern w:val="22"/>
          <w:szCs w:val="22"/>
        </w:rPr>
        <w:t xml:space="preserve">, </w:t>
      </w:r>
      <w:r w:rsidR="0077532B" w:rsidRPr="00E733CD">
        <w:rPr>
          <w:rFonts w:eastAsia="Times New Roman" w:cs="Times New Roman"/>
          <w:iCs/>
          <w:kern w:val="22"/>
          <w:szCs w:val="22"/>
        </w:rPr>
        <w:t>has attracted pledges of over US$</w:t>
      </w:r>
      <w:r w:rsidR="00156FC6" w:rsidRPr="00156FC6">
        <w:rPr>
          <w:rFonts w:eastAsia="Times New Roman" w:cs="Times New Roman"/>
          <w:iCs/>
          <w:kern w:val="22"/>
          <w:szCs w:val="22"/>
        </w:rPr>
        <w:t> </w:t>
      </w:r>
      <w:r w:rsidR="0077532B" w:rsidRPr="00E733CD">
        <w:rPr>
          <w:rFonts w:eastAsia="Times New Roman" w:cs="Times New Roman"/>
          <w:iCs/>
          <w:kern w:val="22"/>
          <w:szCs w:val="22"/>
        </w:rPr>
        <w:t>10 billion</w:t>
      </w:r>
      <w:r w:rsidR="00E415D3" w:rsidRPr="00E733CD">
        <w:rPr>
          <w:rFonts w:eastAsia="Times New Roman" w:cs="Times New Roman"/>
          <w:iCs/>
          <w:kern w:val="22"/>
          <w:szCs w:val="22"/>
        </w:rPr>
        <w:t xml:space="preserve">, adding to the already considerable landscape </w:t>
      </w:r>
      <w:r w:rsidR="0077532B" w:rsidRPr="00E733CD">
        <w:rPr>
          <w:rFonts w:eastAsia="Times New Roman" w:cs="Times New Roman"/>
          <w:iCs/>
          <w:kern w:val="22"/>
          <w:szCs w:val="22"/>
        </w:rPr>
        <w:t>of multilateral climate funds</w:t>
      </w:r>
      <w:r w:rsidR="0077532B" w:rsidRPr="00E733CD">
        <w:rPr>
          <w:rFonts w:cs="Times New Roman"/>
          <w:kern w:val="22"/>
          <w:szCs w:val="22"/>
        </w:rPr>
        <w:t>.</w:t>
      </w:r>
      <w:r w:rsidR="00E415D3" w:rsidRPr="00E733CD">
        <w:rPr>
          <w:rStyle w:val="FootnoteReference"/>
          <w:rFonts w:cs="Times New Roman"/>
          <w:kern w:val="22"/>
          <w:sz w:val="22"/>
          <w:szCs w:val="22"/>
        </w:rPr>
        <w:footnoteReference w:id="6"/>
      </w:r>
      <w:r w:rsidR="002F7B38" w:rsidRPr="00E733CD">
        <w:rPr>
          <w:rFonts w:cs="Times New Roman"/>
          <w:kern w:val="22"/>
          <w:szCs w:val="22"/>
        </w:rPr>
        <w:t xml:space="preserve"> </w:t>
      </w:r>
      <w:r w:rsidR="00847D3A" w:rsidRPr="00E733CD">
        <w:rPr>
          <w:rFonts w:cs="Times New Roman"/>
          <w:kern w:val="22"/>
          <w:szCs w:val="22"/>
        </w:rPr>
        <w:t>Meanwhile, t</w:t>
      </w:r>
      <w:r w:rsidR="002F7B38" w:rsidRPr="00E733CD">
        <w:rPr>
          <w:rFonts w:cs="Times New Roman"/>
          <w:kern w:val="22"/>
          <w:szCs w:val="22"/>
        </w:rPr>
        <w:t>he ratio of GEF biodiversity focal area allocations to official development assistance marked for biodiversity, as shown in the following graph, declined considerably in the past two decades, from nearly 10 per cent in the early 2000s to under 4 per cent in recent years.</w:t>
      </w:r>
      <w:r w:rsidR="0035144F" w:rsidRPr="00E733CD">
        <w:rPr>
          <w:rStyle w:val="FootnoteReference"/>
          <w:rFonts w:cs="Times New Roman"/>
          <w:kern w:val="22"/>
          <w:sz w:val="22"/>
          <w:szCs w:val="22"/>
        </w:rPr>
        <w:footnoteReference w:id="7"/>
      </w:r>
    </w:p>
    <w:p w:rsidR="00831E09" w:rsidRPr="00E733CD" w:rsidRDefault="00415C0F" w:rsidP="00E733CD">
      <w:pPr>
        <w:pStyle w:val="Para1"/>
        <w:suppressLineNumbers/>
        <w:suppressAutoHyphens/>
        <w:kinsoku w:val="0"/>
        <w:overflowPunct w:val="0"/>
        <w:autoSpaceDE w:val="0"/>
        <w:autoSpaceDN w:val="0"/>
        <w:adjustRightInd w:val="0"/>
        <w:snapToGrid w:val="0"/>
        <w:jc w:val="center"/>
        <w:rPr>
          <w:rFonts w:cs="Times New Roman"/>
          <w:b/>
          <w:kern w:val="22"/>
          <w:szCs w:val="22"/>
        </w:rPr>
      </w:pPr>
      <w:r w:rsidRPr="00E733CD">
        <w:rPr>
          <w:rFonts w:cs="Times New Roman"/>
          <w:noProof/>
          <w:kern w:val="22"/>
          <w:szCs w:val="22"/>
          <w:lang w:eastAsia="zh-CN"/>
        </w:rPr>
        <w:drawing>
          <wp:inline distT="0" distB="0" distL="0" distR="0" wp14:anchorId="50C247B0" wp14:editId="48451AF5">
            <wp:extent cx="2983230" cy="1809115"/>
            <wp:effectExtent l="0" t="0" r="0" b="0"/>
            <wp:docPr id="5" name="Chart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E93448" w:rsidRPr="00E733CD" w:rsidRDefault="00A717C3" w:rsidP="00E733CD">
      <w:pPr>
        <w:pStyle w:val="Heading2"/>
        <w:keepNext w:val="0"/>
        <w:suppressLineNumbers/>
        <w:suppressAutoHyphens/>
        <w:kinsoku w:val="0"/>
        <w:overflowPunct w:val="0"/>
        <w:autoSpaceDE w:val="0"/>
        <w:autoSpaceDN w:val="0"/>
        <w:adjustRightInd w:val="0"/>
        <w:snapToGrid w:val="0"/>
        <w:rPr>
          <w:rFonts w:cs="Times New Roman"/>
          <w:snapToGrid w:val="0"/>
          <w:kern w:val="22"/>
          <w:szCs w:val="22"/>
        </w:rPr>
      </w:pPr>
      <w:r w:rsidRPr="00E733CD">
        <w:rPr>
          <w:rFonts w:cs="Times New Roman"/>
          <w:snapToGrid w:val="0"/>
          <w:kern w:val="22"/>
          <w:szCs w:val="22"/>
        </w:rPr>
        <w:t>E.</w:t>
      </w:r>
      <w:r w:rsidRPr="00E733CD">
        <w:rPr>
          <w:rFonts w:cs="Times New Roman"/>
          <w:snapToGrid w:val="0"/>
          <w:kern w:val="22"/>
          <w:szCs w:val="22"/>
        </w:rPr>
        <w:tab/>
      </w:r>
      <w:r w:rsidR="00300669" w:rsidRPr="00E733CD">
        <w:rPr>
          <w:rFonts w:cs="Times New Roman"/>
          <w:snapToGrid w:val="0"/>
          <w:kern w:val="22"/>
          <w:szCs w:val="22"/>
        </w:rPr>
        <w:t>Bilateral and multilateral</w:t>
      </w:r>
      <w:r w:rsidR="005B5CCF" w:rsidRPr="00E733CD">
        <w:rPr>
          <w:rFonts w:cs="Times New Roman"/>
          <w:snapToGrid w:val="0"/>
          <w:kern w:val="22"/>
          <w:szCs w:val="22"/>
        </w:rPr>
        <w:t xml:space="preserve"> </w:t>
      </w:r>
      <w:r w:rsidR="00300669" w:rsidRPr="00E733CD">
        <w:rPr>
          <w:rFonts w:cs="Times New Roman"/>
          <w:snapToGrid w:val="0"/>
          <w:kern w:val="22"/>
          <w:szCs w:val="22"/>
        </w:rPr>
        <w:t>financing</w:t>
      </w:r>
    </w:p>
    <w:p w:rsidR="00E93448" w:rsidRPr="00E733CD" w:rsidRDefault="00300669" w:rsidP="00E733CD">
      <w:pPr>
        <w:pStyle w:val="Para1"/>
        <w:numPr>
          <w:ilvl w:val="0"/>
          <w:numId w:val="14"/>
        </w:numPr>
        <w:suppressLineNumbers/>
        <w:tabs>
          <w:tab w:val="num" w:pos="720"/>
        </w:tabs>
        <w:suppressAutoHyphens/>
        <w:kinsoku w:val="0"/>
        <w:overflowPunct w:val="0"/>
        <w:autoSpaceDE w:val="0"/>
        <w:autoSpaceDN w:val="0"/>
        <w:adjustRightInd w:val="0"/>
        <w:snapToGrid w:val="0"/>
        <w:ind w:left="0" w:firstLine="0"/>
        <w:rPr>
          <w:rFonts w:cs="Times New Roman"/>
          <w:kern w:val="22"/>
          <w:szCs w:val="22"/>
        </w:rPr>
      </w:pPr>
      <w:r w:rsidRPr="00E733CD">
        <w:rPr>
          <w:rFonts w:cs="Times New Roman"/>
          <w:kern w:val="22"/>
          <w:szCs w:val="22"/>
        </w:rPr>
        <w:t xml:space="preserve">According to the </w:t>
      </w:r>
      <w:r w:rsidR="00E54701" w:rsidRPr="00E733CD">
        <w:rPr>
          <w:rFonts w:cs="Times New Roman"/>
          <w:kern w:val="22"/>
          <w:szCs w:val="22"/>
        </w:rPr>
        <w:t xml:space="preserve">2018 report of the Inter-agency Task Force on Financing for Development, official development assistance </w:t>
      </w:r>
      <w:r w:rsidRPr="00E733CD">
        <w:rPr>
          <w:rFonts w:cs="Times New Roman"/>
          <w:kern w:val="22"/>
          <w:szCs w:val="22"/>
        </w:rPr>
        <w:t>provided by members of the Organi</w:t>
      </w:r>
      <w:r w:rsidR="00A821D5" w:rsidRPr="00E733CD">
        <w:rPr>
          <w:rFonts w:cs="Times New Roman"/>
          <w:kern w:val="22"/>
          <w:szCs w:val="22"/>
        </w:rPr>
        <w:t>s</w:t>
      </w:r>
      <w:r w:rsidRPr="00E733CD">
        <w:rPr>
          <w:rFonts w:cs="Times New Roman"/>
          <w:kern w:val="22"/>
          <w:szCs w:val="22"/>
        </w:rPr>
        <w:t>ation</w:t>
      </w:r>
      <w:r w:rsidR="00E54701" w:rsidRPr="00E733CD">
        <w:rPr>
          <w:rFonts w:cs="Times New Roman"/>
          <w:kern w:val="22"/>
          <w:szCs w:val="22"/>
        </w:rPr>
        <w:t xml:space="preserve"> </w:t>
      </w:r>
      <w:r w:rsidRPr="00E733CD">
        <w:rPr>
          <w:rFonts w:cs="Times New Roman"/>
          <w:kern w:val="22"/>
          <w:szCs w:val="22"/>
        </w:rPr>
        <w:t>for Economic Cooperation and Development</w:t>
      </w:r>
      <w:r w:rsidR="00E54701" w:rsidRPr="00E733CD">
        <w:rPr>
          <w:rFonts w:cs="Times New Roman"/>
          <w:kern w:val="22"/>
          <w:szCs w:val="22"/>
        </w:rPr>
        <w:t xml:space="preserve"> </w:t>
      </w:r>
      <w:r w:rsidRPr="00E733CD">
        <w:rPr>
          <w:rFonts w:cs="Times New Roman"/>
          <w:kern w:val="22"/>
          <w:szCs w:val="22"/>
        </w:rPr>
        <w:t>(OECD) Development Assistance Committee</w:t>
      </w:r>
      <w:r w:rsidR="00E54701" w:rsidRPr="00E733CD">
        <w:rPr>
          <w:rFonts w:cs="Times New Roman"/>
          <w:kern w:val="22"/>
          <w:szCs w:val="22"/>
        </w:rPr>
        <w:t xml:space="preserve"> </w:t>
      </w:r>
      <w:r w:rsidRPr="00E733CD">
        <w:rPr>
          <w:rFonts w:cs="Times New Roman"/>
          <w:kern w:val="22"/>
          <w:szCs w:val="22"/>
        </w:rPr>
        <w:t xml:space="preserve">(DAC) amounted to </w:t>
      </w:r>
      <w:r w:rsidR="005C4651">
        <w:rPr>
          <w:rFonts w:cs="Times New Roman"/>
          <w:kern w:val="22"/>
          <w:szCs w:val="22"/>
        </w:rPr>
        <w:t>US</w:t>
      </w:r>
      <w:r w:rsidRPr="00E733CD">
        <w:rPr>
          <w:rFonts w:cs="Times New Roman"/>
          <w:kern w:val="22"/>
          <w:szCs w:val="22"/>
        </w:rPr>
        <w:t>$</w:t>
      </w:r>
      <w:r w:rsidR="005C4651">
        <w:rPr>
          <w:rFonts w:cs="Times New Roman"/>
          <w:kern w:val="22"/>
          <w:szCs w:val="22"/>
        </w:rPr>
        <w:t> </w:t>
      </w:r>
      <w:r w:rsidRPr="00E733CD">
        <w:rPr>
          <w:rFonts w:cs="Times New Roman"/>
          <w:kern w:val="22"/>
          <w:szCs w:val="22"/>
        </w:rPr>
        <w:t>145.7 billion</w:t>
      </w:r>
      <w:r w:rsidR="00E54701" w:rsidRPr="00E733CD">
        <w:rPr>
          <w:rFonts w:cs="Times New Roman"/>
          <w:kern w:val="22"/>
          <w:szCs w:val="22"/>
        </w:rPr>
        <w:t xml:space="preserve"> in 2016, while </w:t>
      </w:r>
      <w:r w:rsidRPr="00E733CD">
        <w:rPr>
          <w:rFonts w:cs="Times New Roman"/>
          <w:kern w:val="22"/>
          <w:szCs w:val="22"/>
        </w:rPr>
        <w:t>annual disbursements of non-grant</w:t>
      </w:r>
      <w:r w:rsidR="00E54701" w:rsidRPr="00E733CD">
        <w:rPr>
          <w:rFonts w:cs="Times New Roman"/>
          <w:kern w:val="22"/>
          <w:szCs w:val="22"/>
        </w:rPr>
        <w:t xml:space="preserve"> </w:t>
      </w:r>
      <w:r w:rsidRPr="00E733CD">
        <w:rPr>
          <w:rFonts w:cs="Times New Roman"/>
          <w:kern w:val="22"/>
          <w:szCs w:val="22"/>
        </w:rPr>
        <w:t xml:space="preserve">subsidized finance from the seven </w:t>
      </w:r>
      <w:r w:rsidR="00E54701" w:rsidRPr="00E733CD">
        <w:rPr>
          <w:rFonts w:cs="Times New Roman"/>
          <w:kern w:val="22"/>
          <w:szCs w:val="22"/>
        </w:rPr>
        <w:t xml:space="preserve">multilateral development banks </w:t>
      </w:r>
      <w:r w:rsidRPr="00E733CD">
        <w:rPr>
          <w:rFonts w:cs="Times New Roman"/>
          <w:kern w:val="22"/>
          <w:szCs w:val="22"/>
        </w:rPr>
        <w:t>reached</w:t>
      </w:r>
      <w:r w:rsidR="00E54701" w:rsidRPr="00E733CD">
        <w:rPr>
          <w:rFonts w:cs="Times New Roman"/>
          <w:kern w:val="22"/>
          <w:szCs w:val="22"/>
        </w:rPr>
        <w:t xml:space="preserve"> </w:t>
      </w:r>
      <w:r w:rsidR="005C4651">
        <w:rPr>
          <w:rFonts w:cs="Times New Roman"/>
          <w:kern w:val="22"/>
          <w:szCs w:val="22"/>
        </w:rPr>
        <w:t>US</w:t>
      </w:r>
      <w:r w:rsidRPr="00E733CD">
        <w:rPr>
          <w:rFonts w:cs="Times New Roman"/>
          <w:kern w:val="22"/>
          <w:szCs w:val="22"/>
        </w:rPr>
        <w:t>$</w:t>
      </w:r>
      <w:r w:rsidR="005C4651">
        <w:rPr>
          <w:rFonts w:cs="Times New Roman"/>
          <w:kern w:val="22"/>
          <w:szCs w:val="22"/>
        </w:rPr>
        <w:t> </w:t>
      </w:r>
      <w:r w:rsidRPr="00E733CD">
        <w:rPr>
          <w:rFonts w:cs="Times New Roman"/>
          <w:kern w:val="22"/>
          <w:szCs w:val="22"/>
        </w:rPr>
        <w:t xml:space="preserve">65.8 billion, </w:t>
      </w:r>
      <w:r w:rsidR="00E54701" w:rsidRPr="00E733CD">
        <w:rPr>
          <w:rFonts w:cs="Times New Roman"/>
          <w:kern w:val="22"/>
          <w:szCs w:val="22"/>
        </w:rPr>
        <w:t>with t</w:t>
      </w:r>
      <w:r w:rsidRPr="00E733CD">
        <w:rPr>
          <w:rFonts w:cs="Times New Roman"/>
          <w:kern w:val="22"/>
          <w:szCs w:val="22"/>
        </w:rPr>
        <w:t xml:space="preserve">wo new multilateral institutions founded </w:t>
      </w:r>
      <w:r w:rsidR="00E54701" w:rsidRPr="00E733CD">
        <w:rPr>
          <w:rFonts w:cs="Times New Roman"/>
          <w:kern w:val="22"/>
          <w:szCs w:val="22"/>
        </w:rPr>
        <w:t>to</w:t>
      </w:r>
      <w:r w:rsidRPr="00E733CD">
        <w:rPr>
          <w:rFonts w:cs="Times New Roman"/>
          <w:kern w:val="22"/>
          <w:szCs w:val="22"/>
        </w:rPr>
        <w:t xml:space="preserve"> provide additional financing. </w:t>
      </w:r>
      <w:r w:rsidR="00E54701" w:rsidRPr="00E733CD">
        <w:rPr>
          <w:rFonts w:cs="Times New Roman"/>
          <w:kern w:val="22"/>
          <w:szCs w:val="22"/>
        </w:rPr>
        <w:t>The following diagrams demonstrate the increasing trend of bilateral and multilateral financing since the beginning of this century.</w:t>
      </w:r>
    </w:p>
    <w:p w:rsidR="00E93448" w:rsidRPr="00E733CD" w:rsidRDefault="00415C0F" w:rsidP="00E733CD">
      <w:pPr>
        <w:suppressLineNumbers/>
        <w:suppressAutoHyphens/>
        <w:kinsoku w:val="0"/>
        <w:overflowPunct w:val="0"/>
        <w:autoSpaceDE w:val="0"/>
        <w:autoSpaceDN w:val="0"/>
        <w:adjustRightInd w:val="0"/>
        <w:snapToGrid w:val="0"/>
        <w:spacing w:after="120"/>
        <w:rPr>
          <w:rFonts w:cs="Times New Roman"/>
          <w:snapToGrid w:val="0"/>
          <w:kern w:val="22"/>
          <w:szCs w:val="22"/>
        </w:rPr>
      </w:pPr>
      <w:r w:rsidRPr="00E733CD">
        <w:rPr>
          <w:rFonts w:cs="Times New Roman"/>
          <w:noProof/>
          <w:snapToGrid w:val="0"/>
          <w:kern w:val="22"/>
          <w:szCs w:val="22"/>
          <w:lang w:eastAsia="zh-CN"/>
        </w:rPr>
        <w:drawing>
          <wp:inline distT="0" distB="0" distL="0" distR="0" wp14:anchorId="6C8806C4" wp14:editId="3978871D">
            <wp:extent cx="2781300" cy="1800225"/>
            <wp:effectExtent l="0" t="0" r="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781300" cy="1800225"/>
                    </a:xfrm>
                    <a:prstGeom prst="rect">
                      <a:avLst/>
                    </a:prstGeom>
                    <a:noFill/>
                    <a:ln>
                      <a:noFill/>
                    </a:ln>
                  </pic:spPr>
                </pic:pic>
              </a:graphicData>
            </a:graphic>
          </wp:inline>
        </w:drawing>
      </w:r>
      <w:r w:rsidR="00E93448" w:rsidRPr="00E733CD">
        <w:rPr>
          <w:rFonts w:cs="Times New Roman"/>
          <w:snapToGrid w:val="0"/>
          <w:kern w:val="22"/>
          <w:szCs w:val="22"/>
          <w:lang w:eastAsia="zh-CN"/>
        </w:rPr>
        <w:t xml:space="preserve"> </w:t>
      </w:r>
      <w:r w:rsidRPr="00E733CD">
        <w:rPr>
          <w:rFonts w:cs="Times New Roman"/>
          <w:noProof/>
          <w:snapToGrid w:val="0"/>
          <w:kern w:val="22"/>
          <w:szCs w:val="22"/>
          <w:lang w:eastAsia="zh-CN"/>
        </w:rPr>
        <w:drawing>
          <wp:inline distT="0" distB="0" distL="0" distR="0" wp14:anchorId="69F5577D" wp14:editId="042A3DD1">
            <wp:extent cx="2867025" cy="1800225"/>
            <wp:effectExtent l="0" t="0" r="0"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867025" cy="1800225"/>
                    </a:xfrm>
                    <a:prstGeom prst="rect">
                      <a:avLst/>
                    </a:prstGeom>
                    <a:noFill/>
                    <a:ln>
                      <a:noFill/>
                    </a:ln>
                  </pic:spPr>
                </pic:pic>
              </a:graphicData>
            </a:graphic>
          </wp:inline>
        </w:drawing>
      </w:r>
    </w:p>
    <w:p w:rsidR="00300669" w:rsidRPr="00E733CD" w:rsidRDefault="00A717C3" w:rsidP="00E733CD">
      <w:pPr>
        <w:pStyle w:val="Heading2"/>
        <w:keepNext w:val="0"/>
        <w:suppressLineNumbers/>
        <w:suppressAutoHyphens/>
        <w:kinsoku w:val="0"/>
        <w:overflowPunct w:val="0"/>
        <w:autoSpaceDE w:val="0"/>
        <w:autoSpaceDN w:val="0"/>
        <w:adjustRightInd w:val="0"/>
        <w:snapToGrid w:val="0"/>
        <w:rPr>
          <w:rFonts w:cs="Times New Roman"/>
          <w:snapToGrid w:val="0"/>
          <w:kern w:val="22"/>
          <w:szCs w:val="22"/>
        </w:rPr>
      </w:pPr>
      <w:r w:rsidRPr="00E733CD">
        <w:rPr>
          <w:rFonts w:cs="Times New Roman"/>
          <w:snapToGrid w:val="0"/>
          <w:kern w:val="22"/>
          <w:szCs w:val="22"/>
        </w:rPr>
        <w:t>F.</w:t>
      </w:r>
      <w:r w:rsidRPr="00E733CD">
        <w:rPr>
          <w:rFonts w:cs="Times New Roman"/>
          <w:snapToGrid w:val="0"/>
          <w:kern w:val="22"/>
          <w:szCs w:val="22"/>
        </w:rPr>
        <w:tab/>
      </w:r>
      <w:r w:rsidR="00300669" w:rsidRPr="00E733CD">
        <w:rPr>
          <w:rFonts w:cs="Times New Roman"/>
          <w:snapToGrid w:val="0"/>
          <w:kern w:val="22"/>
          <w:szCs w:val="22"/>
        </w:rPr>
        <w:t>New development partners</w:t>
      </w:r>
    </w:p>
    <w:p w:rsidR="00300669" w:rsidRPr="00E733CD" w:rsidRDefault="00642506" w:rsidP="00E733CD">
      <w:pPr>
        <w:pStyle w:val="Para1"/>
        <w:numPr>
          <w:ilvl w:val="0"/>
          <w:numId w:val="14"/>
        </w:numPr>
        <w:suppressLineNumbers/>
        <w:tabs>
          <w:tab w:val="num" w:pos="720"/>
        </w:tabs>
        <w:suppressAutoHyphens/>
        <w:kinsoku w:val="0"/>
        <w:overflowPunct w:val="0"/>
        <w:autoSpaceDE w:val="0"/>
        <w:autoSpaceDN w:val="0"/>
        <w:adjustRightInd w:val="0"/>
        <w:snapToGrid w:val="0"/>
        <w:ind w:left="0" w:firstLine="0"/>
        <w:rPr>
          <w:rFonts w:cs="Times New Roman"/>
          <w:kern w:val="22"/>
          <w:szCs w:val="22"/>
        </w:rPr>
      </w:pPr>
      <w:r w:rsidRPr="00E733CD">
        <w:rPr>
          <w:rFonts w:cs="Times New Roman"/>
          <w:kern w:val="22"/>
          <w:szCs w:val="22"/>
        </w:rPr>
        <w:t>Estimates from t</w:t>
      </w:r>
      <w:r w:rsidR="00300669" w:rsidRPr="00E733CD">
        <w:rPr>
          <w:rFonts w:cs="Times New Roman"/>
          <w:kern w:val="22"/>
          <w:szCs w:val="22"/>
        </w:rPr>
        <w:t>he United</w:t>
      </w:r>
      <w:r w:rsidRPr="00E733CD">
        <w:rPr>
          <w:rFonts w:cs="Times New Roman"/>
          <w:kern w:val="22"/>
          <w:szCs w:val="22"/>
        </w:rPr>
        <w:t xml:space="preserve"> </w:t>
      </w:r>
      <w:r w:rsidR="00300669" w:rsidRPr="00E733CD">
        <w:rPr>
          <w:rFonts w:cs="Times New Roman"/>
          <w:kern w:val="22"/>
          <w:szCs w:val="22"/>
        </w:rPr>
        <w:t xml:space="preserve">Nations Department </w:t>
      </w:r>
      <w:r w:rsidR="00AE4A02">
        <w:rPr>
          <w:rFonts w:cs="Times New Roman"/>
          <w:kern w:val="22"/>
          <w:szCs w:val="22"/>
        </w:rPr>
        <w:t>of</w:t>
      </w:r>
      <w:r w:rsidR="00AE4A02" w:rsidRPr="00E733CD">
        <w:rPr>
          <w:rFonts w:cs="Times New Roman"/>
          <w:kern w:val="22"/>
          <w:szCs w:val="22"/>
        </w:rPr>
        <w:t xml:space="preserve"> </w:t>
      </w:r>
      <w:r w:rsidR="00300669" w:rsidRPr="00E733CD">
        <w:rPr>
          <w:rFonts w:cs="Times New Roman"/>
          <w:kern w:val="22"/>
          <w:szCs w:val="22"/>
        </w:rPr>
        <w:t>Economic and Social</w:t>
      </w:r>
      <w:r w:rsidRPr="00E733CD">
        <w:rPr>
          <w:rFonts w:cs="Times New Roman"/>
          <w:kern w:val="22"/>
          <w:szCs w:val="22"/>
        </w:rPr>
        <w:t xml:space="preserve"> </w:t>
      </w:r>
      <w:r w:rsidR="00300669" w:rsidRPr="00E733CD">
        <w:rPr>
          <w:rFonts w:cs="Times New Roman"/>
          <w:kern w:val="22"/>
          <w:szCs w:val="22"/>
        </w:rPr>
        <w:t>Affairs</w:t>
      </w:r>
      <w:r w:rsidRPr="00E733CD">
        <w:rPr>
          <w:rFonts w:cs="Times New Roman"/>
          <w:kern w:val="22"/>
          <w:szCs w:val="22"/>
        </w:rPr>
        <w:t xml:space="preserve"> suggest the financial component of South-South development cooperation, by considering official concessional resources (concessional loans and grants, debt relief and technical cooperation) provided by developing countries for development purposes, may have grown to reach </w:t>
      </w:r>
      <w:r w:rsidR="005C4651">
        <w:rPr>
          <w:rFonts w:cs="Times New Roman"/>
          <w:kern w:val="22"/>
          <w:szCs w:val="22"/>
        </w:rPr>
        <w:t>US</w:t>
      </w:r>
      <w:r w:rsidRPr="00E733CD">
        <w:rPr>
          <w:rFonts w:cs="Times New Roman"/>
          <w:kern w:val="22"/>
          <w:szCs w:val="22"/>
        </w:rPr>
        <w:t>$</w:t>
      </w:r>
      <w:r w:rsidR="005C4651">
        <w:rPr>
          <w:rFonts w:cs="Times New Roman"/>
          <w:kern w:val="22"/>
          <w:szCs w:val="22"/>
        </w:rPr>
        <w:t> </w:t>
      </w:r>
      <w:r w:rsidRPr="00E733CD">
        <w:rPr>
          <w:rFonts w:cs="Times New Roman"/>
          <w:kern w:val="22"/>
          <w:szCs w:val="22"/>
        </w:rPr>
        <w:t>26 billion in 2015. As shown below, southern partners’ non-core external contributions to the United Nations operational activities considerably more than doubled over 2010-2016.</w:t>
      </w:r>
    </w:p>
    <w:p w:rsidR="00300669" w:rsidRPr="00E733CD" w:rsidRDefault="00300669" w:rsidP="00E733CD">
      <w:pPr>
        <w:suppressLineNumbers/>
        <w:suppressAutoHyphens/>
        <w:kinsoku w:val="0"/>
        <w:overflowPunct w:val="0"/>
        <w:autoSpaceDE w:val="0"/>
        <w:autoSpaceDN w:val="0"/>
        <w:adjustRightInd w:val="0"/>
        <w:snapToGrid w:val="0"/>
        <w:spacing w:after="120"/>
        <w:jc w:val="left"/>
        <w:rPr>
          <w:rFonts w:cs="Times New Roman"/>
          <w:snapToGrid w:val="0"/>
          <w:color w:val="000000"/>
          <w:kern w:val="22"/>
          <w:szCs w:val="22"/>
          <w:lang w:eastAsia="zh-CN"/>
        </w:rPr>
      </w:pPr>
    </w:p>
    <w:p w:rsidR="00300669" w:rsidRPr="00E733CD" w:rsidRDefault="00415C0F" w:rsidP="00E733CD">
      <w:pPr>
        <w:suppressLineNumbers/>
        <w:suppressAutoHyphens/>
        <w:kinsoku w:val="0"/>
        <w:overflowPunct w:val="0"/>
        <w:autoSpaceDE w:val="0"/>
        <w:autoSpaceDN w:val="0"/>
        <w:adjustRightInd w:val="0"/>
        <w:snapToGrid w:val="0"/>
        <w:spacing w:after="120"/>
        <w:jc w:val="center"/>
        <w:rPr>
          <w:rFonts w:cs="Times New Roman"/>
          <w:snapToGrid w:val="0"/>
          <w:kern w:val="22"/>
          <w:szCs w:val="22"/>
          <w:lang w:eastAsia="zh-CN"/>
        </w:rPr>
      </w:pPr>
      <w:r w:rsidRPr="00E733CD">
        <w:rPr>
          <w:rFonts w:cs="Times New Roman"/>
          <w:noProof/>
          <w:snapToGrid w:val="0"/>
          <w:kern w:val="22"/>
          <w:szCs w:val="22"/>
          <w:lang w:eastAsia="zh-CN"/>
        </w:rPr>
        <w:drawing>
          <wp:inline distT="0" distB="0" distL="0" distR="0" wp14:anchorId="6EE3795D" wp14:editId="27B3E297">
            <wp:extent cx="4133850" cy="2381250"/>
            <wp:effectExtent l="0" t="0" r="0"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133850" cy="2381250"/>
                    </a:xfrm>
                    <a:prstGeom prst="rect">
                      <a:avLst/>
                    </a:prstGeom>
                    <a:noFill/>
                    <a:ln>
                      <a:noFill/>
                    </a:ln>
                  </pic:spPr>
                </pic:pic>
              </a:graphicData>
            </a:graphic>
          </wp:inline>
        </w:drawing>
      </w:r>
    </w:p>
    <w:p w:rsidR="0016517D" w:rsidRPr="00E733CD" w:rsidRDefault="00A717C3" w:rsidP="00E733CD">
      <w:pPr>
        <w:pStyle w:val="Heading2"/>
        <w:keepNext w:val="0"/>
        <w:suppressLineNumbers/>
        <w:suppressAutoHyphens/>
        <w:kinsoku w:val="0"/>
        <w:overflowPunct w:val="0"/>
        <w:autoSpaceDE w:val="0"/>
        <w:autoSpaceDN w:val="0"/>
        <w:adjustRightInd w:val="0"/>
        <w:snapToGrid w:val="0"/>
        <w:rPr>
          <w:rFonts w:cs="Times New Roman"/>
          <w:snapToGrid w:val="0"/>
          <w:kern w:val="22"/>
          <w:szCs w:val="22"/>
        </w:rPr>
      </w:pPr>
      <w:r w:rsidRPr="00E733CD">
        <w:rPr>
          <w:rFonts w:cs="Times New Roman"/>
          <w:snapToGrid w:val="0"/>
          <w:kern w:val="22"/>
          <w:szCs w:val="22"/>
        </w:rPr>
        <w:t>F.</w:t>
      </w:r>
      <w:r w:rsidRPr="00E733CD">
        <w:rPr>
          <w:rFonts w:cs="Times New Roman"/>
          <w:snapToGrid w:val="0"/>
          <w:kern w:val="22"/>
          <w:szCs w:val="22"/>
        </w:rPr>
        <w:tab/>
      </w:r>
      <w:r w:rsidR="0016517D" w:rsidRPr="00E733CD">
        <w:rPr>
          <w:rFonts w:cs="Times New Roman"/>
          <w:snapToGrid w:val="0"/>
          <w:kern w:val="22"/>
          <w:szCs w:val="22"/>
        </w:rPr>
        <w:t>Philanthropy</w:t>
      </w:r>
    </w:p>
    <w:p w:rsidR="00E54F89" w:rsidRPr="00E733CD" w:rsidRDefault="00521A3B" w:rsidP="00E733CD">
      <w:pPr>
        <w:pStyle w:val="Para1"/>
        <w:numPr>
          <w:ilvl w:val="0"/>
          <w:numId w:val="14"/>
        </w:numPr>
        <w:suppressLineNumbers/>
        <w:tabs>
          <w:tab w:val="num" w:pos="720"/>
        </w:tabs>
        <w:suppressAutoHyphens/>
        <w:kinsoku w:val="0"/>
        <w:overflowPunct w:val="0"/>
        <w:autoSpaceDE w:val="0"/>
        <w:autoSpaceDN w:val="0"/>
        <w:adjustRightInd w:val="0"/>
        <w:snapToGrid w:val="0"/>
        <w:ind w:left="0" w:firstLine="0"/>
        <w:rPr>
          <w:rFonts w:cs="Times New Roman"/>
          <w:kern w:val="22"/>
          <w:sz w:val="24"/>
          <w:szCs w:val="24"/>
        </w:rPr>
      </w:pPr>
      <w:r w:rsidRPr="00E733CD">
        <w:rPr>
          <w:rFonts w:cs="Times New Roman"/>
          <w:kern w:val="22"/>
          <w:sz w:val="24"/>
          <w:szCs w:val="24"/>
        </w:rPr>
        <w:t>With rising wealth over the last 15 years, philanthropic giving and the number of foundations contributing to development have been rising around the world.</w:t>
      </w:r>
      <w:r w:rsidR="002F7B38" w:rsidRPr="00E733CD">
        <w:rPr>
          <w:rFonts w:cs="Times New Roman"/>
          <w:kern w:val="22"/>
          <w:sz w:val="24"/>
          <w:szCs w:val="24"/>
        </w:rPr>
        <w:t xml:space="preserve"> P</w:t>
      </w:r>
      <w:r w:rsidR="002269E2" w:rsidRPr="00E733CD">
        <w:rPr>
          <w:rFonts w:cs="Times New Roman"/>
          <w:kern w:val="22"/>
          <w:sz w:val="24"/>
          <w:szCs w:val="24"/>
        </w:rPr>
        <w:t>hilanthropic flows from donor countries to developing countries have increased to US$ 64 billion.</w:t>
      </w:r>
      <w:r w:rsidR="00111492" w:rsidRPr="00E733CD">
        <w:rPr>
          <w:rStyle w:val="FootnoteReference"/>
          <w:rFonts w:cs="Times New Roman"/>
          <w:kern w:val="22"/>
          <w:sz w:val="24"/>
          <w:szCs w:val="24"/>
        </w:rPr>
        <w:footnoteReference w:id="8"/>
      </w:r>
      <w:r w:rsidR="005B5CCF" w:rsidRPr="00E733CD">
        <w:rPr>
          <w:rFonts w:cs="Times New Roman"/>
          <w:kern w:val="22"/>
          <w:sz w:val="24"/>
          <w:szCs w:val="24"/>
        </w:rPr>
        <w:t xml:space="preserve"> Philanthropic</w:t>
      </w:r>
      <w:r w:rsidR="003D277B" w:rsidRPr="00E733CD">
        <w:rPr>
          <w:rFonts w:cs="Times New Roman"/>
          <w:kern w:val="22"/>
          <w:sz w:val="24"/>
          <w:szCs w:val="24"/>
        </w:rPr>
        <w:t xml:space="preserve"> </w:t>
      </w:r>
      <w:r w:rsidRPr="00E733CD">
        <w:rPr>
          <w:rFonts w:cs="Times New Roman"/>
          <w:kern w:val="22"/>
          <w:sz w:val="24"/>
          <w:szCs w:val="24"/>
        </w:rPr>
        <w:t>foundations based in developing countries operate to a large extent domestically. Domestic philanthropic flows represent 83 per</w:t>
      </w:r>
      <w:r w:rsidR="00F808EB" w:rsidRPr="00E733CD">
        <w:rPr>
          <w:rFonts w:cs="Times New Roman"/>
          <w:kern w:val="22"/>
          <w:sz w:val="24"/>
          <w:szCs w:val="24"/>
        </w:rPr>
        <w:t xml:space="preserve"> </w:t>
      </w:r>
      <w:r w:rsidRPr="00E733CD">
        <w:rPr>
          <w:rFonts w:cs="Times New Roman"/>
          <w:kern w:val="22"/>
          <w:sz w:val="24"/>
          <w:szCs w:val="24"/>
        </w:rPr>
        <w:t>cent in Turkey, 60 per</w:t>
      </w:r>
      <w:r w:rsidR="00F808EB" w:rsidRPr="00E733CD">
        <w:rPr>
          <w:rFonts w:cs="Times New Roman"/>
          <w:kern w:val="22"/>
          <w:sz w:val="24"/>
          <w:szCs w:val="24"/>
        </w:rPr>
        <w:t xml:space="preserve"> </w:t>
      </w:r>
      <w:r w:rsidRPr="00E733CD">
        <w:rPr>
          <w:rFonts w:cs="Times New Roman"/>
          <w:kern w:val="22"/>
          <w:sz w:val="24"/>
          <w:szCs w:val="24"/>
        </w:rPr>
        <w:t>cent in Mexico and 35 per</w:t>
      </w:r>
      <w:r w:rsidR="00F808EB" w:rsidRPr="00E733CD">
        <w:rPr>
          <w:rFonts w:cs="Times New Roman"/>
          <w:kern w:val="22"/>
          <w:sz w:val="24"/>
          <w:szCs w:val="24"/>
        </w:rPr>
        <w:t xml:space="preserve"> </w:t>
      </w:r>
      <w:r w:rsidRPr="00E733CD">
        <w:rPr>
          <w:rFonts w:cs="Times New Roman"/>
          <w:kern w:val="22"/>
          <w:sz w:val="24"/>
          <w:szCs w:val="24"/>
        </w:rPr>
        <w:t>cent in China.</w:t>
      </w:r>
      <w:r w:rsidR="002269E2" w:rsidRPr="00E733CD">
        <w:rPr>
          <w:rFonts w:cs="Times New Roman"/>
          <w:kern w:val="22"/>
          <w:sz w:val="24"/>
          <w:szCs w:val="24"/>
        </w:rPr>
        <w:t xml:space="preserve"> Chinese foundations have increased from fewer than 200 in 2012 to 5,454 in 2016</w:t>
      </w:r>
      <w:r w:rsidR="000D5303" w:rsidRPr="00E733CD">
        <w:rPr>
          <w:rFonts w:cs="Times New Roman"/>
          <w:kern w:val="22"/>
          <w:sz w:val="24"/>
          <w:szCs w:val="24"/>
        </w:rPr>
        <w:t>, and the top 75 Chinese foundations reported total expenditures of US$</w:t>
      </w:r>
      <w:r w:rsidR="009E0F13" w:rsidRPr="00E733CD">
        <w:rPr>
          <w:rFonts w:cs="Times New Roman"/>
          <w:kern w:val="22"/>
          <w:sz w:val="24"/>
          <w:szCs w:val="24"/>
        </w:rPr>
        <w:t> </w:t>
      </w:r>
      <w:r w:rsidR="000D5303" w:rsidRPr="00E733CD">
        <w:rPr>
          <w:rFonts w:cs="Times New Roman"/>
          <w:kern w:val="22"/>
          <w:sz w:val="24"/>
          <w:szCs w:val="24"/>
        </w:rPr>
        <w:t>2.8 billion.</w:t>
      </w:r>
    </w:p>
    <w:p w:rsidR="00847D3A" w:rsidRPr="00E733CD" w:rsidRDefault="00A717C3" w:rsidP="00E733CD">
      <w:pPr>
        <w:pStyle w:val="Heading2"/>
        <w:keepNext w:val="0"/>
        <w:suppressLineNumbers/>
        <w:suppressAutoHyphens/>
        <w:kinsoku w:val="0"/>
        <w:overflowPunct w:val="0"/>
        <w:autoSpaceDE w:val="0"/>
        <w:autoSpaceDN w:val="0"/>
        <w:adjustRightInd w:val="0"/>
        <w:snapToGrid w:val="0"/>
        <w:rPr>
          <w:rFonts w:cs="Times New Roman"/>
          <w:snapToGrid w:val="0"/>
          <w:kern w:val="22"/>
          <w:szCs w:val="22"/>
        </w:rPr>
      </w:pPr>
      <w:r w:rsidRPr="00E733CD">
        <w:rPr>
          <w:rFonts w:cs="Times New Roman"/>
          <w:snapToGrid w:val="0"/>
          <w:kern w:val="22"/>
          <w:szCs w:val="22"/>
        </w:rPr>
        <w:t>G.</w:t>
      </w:r>
      <w:r w:rsidRPr="00E733CD">
        <w:rPr>
          <w:rFonts w:cs="Times New Roman"/>
          <w:snapToGrid w:val="0"/>
          <w:kern w:val="22"/>
          <w:szCs w:val="22"/>
        </w:rPr>
        <w:tab/>
      </w:r>
      <w:r w:rsidR="00847D3A" w:rsidRPr="00E733CD">
        <w:rPr>
          <w:rFonts w:cs="Times New Roman"/>
          <w:snapToGrid w:val="0"/>
          <w:kern w:val="22"/>
          <w:szCs w:val="22"/>
        </w:rPr>
        <w:t>Conclusion</w:t>
      </w:r>
    </w:p>
    <w:p w:rsidR="005262AD" w:rsidRPr="00E733CD" w:rsidRDefault="005262AD" w:rsidP="00E733CD">
      <w:pPr>
        <w:pStyle w:val="Para1"/>
        <w:numPr>
          <w:ilvl w:val="0"/>
          <w:numId w:val="14"/>
        </w:numPr>
        <w:suppressLineNumbers/>
        <w:tabs>
          <w:tab w:val="num" w:pos="720"/>
        </w:tabs>
        <w:suppressAutoHyphens/>
        <w:kinsoku w:val="0"/>
        <w:overflowPunct w:val="0"/>
        <w:autoSpaceDE w:val="0"/>
        <w:autoSpaceDN w:val="0"/>
        <w:adjustRightInd w:val="0"/>
        <w:snapToGrid w:val="0"/>
        <w:ind w:left="0" w:firstLine="0"/>
        <w:rPr>
          <w:rFonts w:cs="Times New Roman"/>
          <w:kern w:val="22"/>
          <w:szCs w:val="22"/>
        </w:rPr>
      </w:pPr>
      <w:r w:rsidRPr="00E733CD">
        <w:rPr>
          <w:rFonts w:cs="Times New Roman"/>
          <w:kern w:val="22"/>
          <w:szCs w:val="22"/>
        </w:rPr>
        <w:t xml:space="preserve">The current arrangement for implementing Article 21 on financial mechanism of the Convention has been instrumental in financing the incremental costs of implementing the Convention by developing country Parties and </w:t>
      </w:r>
      <w:r w:rsidRPr="00E733CD">
        <w:rPr>
          <w:rFonts w:eastAsia="Times New Roman" w:cs="Times New Roman"/>
          <w:iCs/>
          <w:kern w:val="22"/>
          <w:szCs w:val="22"/>
        </w:rPr>
        <w:t>Parties</w:t>
      </w:r>
      <w:r w:rsidRPr="00E733CD">
        <w:rPr>
          <w:rFonts w:cs="Times New Roman"/>
          <w:kern w:val="22"/>
          <w:szCs w:val="22"/>
        </w:rPr>
        <w:t xml:space="preserve"> with economies in transition in the past </w:t>
      </w:r>
      <w:r w:rsidR="00643A73">
        <w:rPr>
          <w:rFonts w:cs="Times New Roman"/>
          <w:kern w:val="22"/>
          <w:szCs w:val="22"/>
        </w:rPr>
        <w:t>25</w:t>
      </w:r>
      <w:r w:rsidRPr="00E733CD">
        <w:rPr>
          <w:rFonts w:cs="Times New Roman"/>
          <w:kern w:val="22"/>
          <w:szCs w:val="22"/>
        </w:rPr>
        <w:t xml:space="preserve"> years. </w:t>
      </w:r>
      <w:r w:rsidR="002F7B38" w:rsidRPr="00E733CD">
        <w:rPr>
          <w:rFonts w:cs="Times New Roman"/>
          <w:kern w:val="22"/>
          <w:szCs w:val="22"/>
        </w:rPr>
        <w:t>While GEF will likely continue to evolve in its approaches, the post-2020 implementation of Article 21 of the Convention needs to take these other developments into account in order to secure funding needed for the full implementation of the Convention.</w:t>
      </w:r>
      <w:r w:rsidRPr="00E733CD">
        <w:rPr>
          <w:rFonts w:cs="Times New Roman"/>
          <w:kern w:val="22"/>
          <w:szCs w:val="22"/>
        </w:rPr>
        <w:t xml:space="preserve"> Meanwhile the post-2020 implementation of Article 21 of the Convention needs to further adapt to the broad global socioeconomic and financial context and align with the </w:t>
      </w:r>
      <w:r w:rsidR="000A0D20" w:rsidRPr="00E733CD">
        <w:rPr>
          <w:rFonts w:cs="Times New Roman"/>
          <w:kern w:val="22"/>
          <w:szCs w:val="22"/>
        </w:rPr>
        <w:t>funding</w:t>
      </w:r>
      <w:r w:rsidRPr="00E733CD">
        <w:rPr>
          <w:rFonts w:cs="Times New Roman"/>
          <w:kern w:val="22"/>
          <w:szCs w:val="22"/>
        </w:rPr>
        <w:t xml:space="preserve"> needs and opportunities arising out of the overall post-2020 implementation framework for the Convention and its Protocols.</w:t>
      </w:r>
    </w:p>
    <w:p w:rsidR="0098127B" w:rsidRPr="00E733CD" w:rsidRDefault="00FA05D9" w:rsidP="00E733CD">
      <w:pPr>
        <w:pStyle w:val="Heading1"/>
        <w:suppressLineNumbers/>
        <w:suppressAutoHyphens/>
        <w:kinsoku w:val="0"/>
        <w:overflowPunct w:val="0"/>
        <w:autoSpaceDE w:val="0"/>
        <w:autoSpaceDN w:val="0"/>
        <w:adjustRightInd w:val="0"/>
        <w:snapToGrid w:val="0"/>
        <w:spacing w:before="120"/>
        <w:rPr>
          <w:rFonts w:ascii="Times New Roman Bold" w:hAnsi="Times New Roman Bold" w:cs="Times New Roman Bold"/>
          <w:snapToGrid w:val="0"/>
          <w:kern w:val="22"/>
          <w:szCs w:val="22"/>
        </w:rPr>
      </w:pPr>
      <w:r w:rsidRPr="00FA05D9">
        <w:rPr>
          <w:rFonts w:ascii="Times New Roman Bold" w:hAnsi="Times New Roman Bold" w:cs="Times New Roman Bold"/>
          <w:caps w:val="0"/>
          <w:snapToGrid w:val="0"/>
          <w:kern w:val="22"/>
          <w:szCs w:val="22"/>
        </w:rPr>
        <w:t>VI.</w:t>
      </w:r>
      <w:r w:rsidRPr="00FA05D9">
        <w:rPr>
          <w:rFonts w:ascii="Times New Roman Bold" w:hAnsi="Times New Roman Bold" w:cs="Times New Roman Bold"/>
          <w:caps w:val="0"/>
          <w:snapToGrid w:val="0"/>
          <w:kern w:val="22"/>
          <w:szCs w:val="22"/>
        </w:rPr>
        <w:tab/>
        <w:t>SUGGESTED RECOMMENDATIONS</w:t>
      </w:r>
    </w:p>
    <w:p w:rsidR="00AE7A38" w:rsidRPr="00E733CD" w:rsidRDefault="00127761" w:rsidP="00E733CD">
      <w:pPr>
        <w:pStyle w:val="Para1"/>
        <w:numPr>
          <w:ilvl w:val="0"/>
          <w:numId w:val="14"/>
        </w:numPr>
        <w:suppressLineNumbers/>
        <w:tabs>
          <w:tab w:val="num" w:pos="720"/>
        </w:tabs>
        <w:suppressAutoHyphens/>
        <w:kinsoku w:val="0"/>
        <w:overflowPunct w:val="0"/>
        <w:autoSpaceDE w:val="0"/>
        <w:autoSpaceDN w:val="0"/>
        <w:adjustRightInd w:val="0"/>
        <w:snapToGrid w:val="0"/>
        <w:ind w:left="0" w:firstLine="0"/>
        <w:rPr>
          <w:rFonts w:eastAsia="Times New Roman" w:cs="Times New Roman"/>
          <w:iCs/>
          <w:kern w:val="22"/>
          <w:szCs w:val="22"/>
        </w:rPr>
      </w:pPr>
      <w:r w:rsidRPr="00E733CD">
        <w:rPr>
          <w:rFonts w:cs="Times New Roman"/>
          <w:kern w:val="22"/>
          <w:szCs w:val="22"/>
        </w:rPr>
        <w:t>In the light of the above information, t</w:t>
      </w:r>
      <w:r w:rsidRPr="00E733CD">
        <w:rPr>
          <w:rFonts w:eastAsia="Times New Roman" w:cs="Times New Roman"/>
          <w:iCs/>
          <w:kern w:val="22"/>
          <w:szCs w:val="22"/>
        </w:rPr>
        <w:t xml:space="preserve">he Subsidiary Body on Implementation </w:t>
      </w:r>
      <w:r w:rsidR="00FA05D9">
        <w:rPr>
          <w:rFonts w:eastAsia="Times New Roman" w:cs="Times New Roman"/>
          <w:iCs/>
          <w:kern w:val="22"/>
          <w:szCs w:val="22"/>
        </w:rPr>
        <w:t>may wish</w:t>
      </w:r>
      <w:r w:rsidRPr="00E733CD">
        <w:rPr>
          <w:rFonts w:eastAsia="Times New Roman" w:cs="Times New Roman"/>
          <w:iCs/>
          <w:kern w:val="22"/>
          <w:szCs w:val="22"/>
        </w:rPr>
        <w:t xml:space="preserve"> to consider </w:t>
      </w:r>
      <w:r w:rsidR="00F5652F">
        <w:rPr>
          <w:rFonts w:eastAsia="Times New Roman" w:cs="Times New Roman"/>
          <w:iCs/>
          <w:kern w:val="22"/>
          <w:szCs w:val="22"/>
        </w:rPr>
        <w:t>adopting a</w:t>
      </w:r>
      <w:r w:rsidRPr="00E733CD">
        <w:rPr>
          <w:rFonts w:eastAsia="Times New Roman" w:cs="Times New Roman"/>
          <w:iCs/>
          <w:kern w:val="22"/>
          <w:szCs w:val="22"/>
        </w:rPr>
        <w:t xml:space="preserve"> recommendation </w:t>
      </w:r>
      <w:r w:rsidR="00F5652F">
        <w:rPr>
          <w:rFonts w:eastAsia="Times New Roman" w:cs="Times New Roman"/>
          <w:iCs/>
          <w:kern w:val="22"/>
          <w:szCs w:val="22"/>
        </w:rPr>
        <w:t>along the following lines:</w:t>
      </w:r>
    </w:p>
    <w:p w:rsidR="00A717C3" w:rsidRPr="00E733CD" w:rsidRDefault="00A717C3" w:rsidP="00E733CD">
      <w:pPr>
        <w:pStyle w:val="Para1"/>
        <w:suppressLineNumbers/>
        <w:suppressAutoHyphens/>
        <w:kinsoku w:val="0"/>
        <w:overflowPunct w:val="0"/>
        <w:autoSpaceDE w:val="0"/>
        <w:autoSpaceDN w:val="0"/>
        <w:adjustRightInd w:val="0"/>
        <w:snapToGrid w:val="0"/>
        <w:ind w:left="720"/>
        <w:rPr>
          <w:rFonts w:eastAsia="Times New Roman" w:cs="Times New Roman"/>
          <w:i/>
          <w:iCs/>
          <w:kern w:val="22"/>
          <w:szCs w:val="22"/>
        </w:rPr>
      </w:pPr>
      <w:r w:rsidRPr="00E733CD">
        <w:rPr>
          <w:rFonts w:eastAsia="Times New Roman" w:cs="Times New Roman"/>
          <w:i/>
          <w:iCs/>
          <w:kern w:val="22"/>
          <w:szCs w:val="22"/>
        </w:rPr>
        <w:t>The Subsidiary Body on Implementation,</w:t>
      </w:r>
    </w:p>
    <w:p w:rsidR="005C4DE4" w:rsidRPr="00E733CD" w:rsidRDefault="005C4DE4" w:rsidP="00E733CD">
      <w:pPr>
        <w:pStyle w:val="Para1"/>
        <w:suppressLineNumbers/>
        <w:suppressAutoHyphens/>
        <w:kinsoku w:val="0"/>
        <w:overflowPunct w:val="0"/>
        <w:autoSpaceDE w:val="0"/>
        <w:autoSpaceDN w:val="0"/>
        <w:adjustRightInd w:val="0"/>
        <w:snapToGrid w:val="0"/>
        <w:ind w:firstLine="720"/>
        <w:rPr>
          <w:rFonts w:eastAsia="Times New Roman" w:cs="Times New Roman"/>
          <w:kern w:val="22"/>
          <w:szCs w:val="22"/>
        </w:rPr>
      </w:pPr>
      <w:r w:rsidRPr="00E733CD">
        <w:rPr>
          <w:rFonts w:eastAsia="Times New Roman" w:cs="Times New Roman"/>
          <w:i/>
          <w:iCs/>
          <w:kern w:val="22"/>
          <w:szCs w:val="22"/>
        </w:rPr>
        <w:t>N</w:t>
      </w:r>
      <w:r w:rsidR="00127761" w:rsidRPr="00E733CD">
        <w:rPr>
          <w:rFonts w:eastAsia="Times New Roman" w:cs="Times New Roman"/>
          <w:i/>
          <w:iCs/>
          <w:kern w:val="22"/>
          <w:szCs w:val="22"/>
        </w:rPr>
        <w:t xml:space="preserve">oting </w:t>
      </w:r>
      <w:r w:rsidR="002B25C5" w:rsidRPr="00E733CD">
        <w:rPr>
          <w:rFonts w:eastAsia="Times New Roman" w:cs="Times New Roman"/>
          <w:i/>
          <w:iCs/>
          <w:kern w:val="22"/>
          <w:szCs w:val="22"/>
        </w:rPr>
        <w:t>with appreciation</w:t>
      </w:r>
      <w:r w:rsidR="002B25C5" w:rsidRPr="00E733CD">
        <w:rPr>
          <w:rFonts w:eastAsia="Times New Roman" w:cs="Times New Roman"/>
          <w:kern w:val="22"/>
          <w:szCs w:val="22"/>
        </w:rPr>
        <w:t xml:space="preserve"> </w:t>
      </w:r>
      <w:r w:rsidR="00127761" w:rsidRPr="00E733CD">
        <w:rPr>
          <w:rFonts w:eastAsia="Times New Roman" w:cs="Times New Roman"/>
          <w:kern w:val="22"/>
          <w:szCs w:val="22"/>
        </w:rPr>
        <w:t xml:space="preserve">the preliminary report </w:t>
      </w:r>
      <w:r w:rsidR="00975C21" w:rsidRPr="00E733CD">
        <w:rPr>
          <w:rFonts w:eastAsia="Times New Roman" w:cs="Times New Roman"/>
          <w:kern w:val="22"/>
          <w:szCs w:val="22"/>
        </w:rPr>
        <w:t xml:space="preserve">of </w:t>
      </w:r>
      <w:r w:rsidR="00127761" w:rsidRPr="00E733CD">
        <w:rPr>
          <w:rFonts w:eastAsia="Times New Roman" w:cs="Times New Roman"/>
          <w:kern w:val="22"/>
          <w:szCs w:val="22"/>
        </w:rPr>
        <w:t>the Global Environment Facility,</w:t>
      </w:r>
      <w:r w:rsidR="00975C21" w:rsidRPr="00E733CD">
        <w:rPr>
          <w:rStyle w:val="FootnoteReference"/>
          <w:rFonts w:eastAsia="Times New Roman" w:cs="Times New Roman"/>
          <w:kern w:val="22"/>
          <w:sz w:val="22"/>
          <w:szCs w:val="22"/>
        </w:rPr>
        <w:footnoteReference w:id="9"/>
      </w:r>
      <w:r w:rsidR="00127761" w:rsidRPr="00E733CD">
        <w:rPr>
          <w:rFonts w:eastAsia="Times New Roman" w:cs="Times New Roman"/>
          <w:kern w:val="22"/>
          <w:szCs w:val="22"/>
        </w:rPr>
        <w:t xml:space="preserve"> as well as the sixth overall performance study of the Independent Evaluation Office of the Global Environment Facility</w:t>
      </w:r>
      <w:r w:rsidR="00975C21" w:rsidRPr="00975C21">
        <w:rPr>
          <w:rFonts w:eastAsia="Times New Roman" w:cs="Times New Roman"/>
          <w:kern w:val="22"/>
          <w:szCs w:val="22"/>
        </w:rPr>
        <w:t>,</w:t>
      </w:r>
      <w:r w:rsidR="00975C21" w:rsidRPr="00E733CD">
        <w:rPr>
          <w:rStyle w:val="FootnoteReference"/>
          <w:rFonts w:eastAsia="Times New Roman" w:cs="Times New Roman"/>
          <w:kern w:val="22"/>
          <w:sz w:val="22"/>
          <w:szCs w:val="22"/>
        </w:rPr>
        <w:footnoteReference w:id="10"/>
      </w:r>
    </w:p>
    <w:p w:rsidR="005C4DE4" w:rsidRPr="00E733CD" w:rsidRDefault="000C5BB9" w:rsidP="00E733CD">
      <w:pPr>
        <w:pStyle w:val="Para1"/>
        <w:suppressLineNumbers/>
        <w:suppressAutoHyphens/>
        <w:kinsoku w:val="0"/>
        <w:overflowPunct w:val="0"/>
        <w:autoSpaceDE w:val="0"/>
        <w:autoSpaceDN w:val="0"/>
        <w:adjustRightInd w:val="0"/>
        <w:snapToGrid w:val="0"/>
        <w:ind w:firstLine="720"/>
        <w:rPr>
          <w:rFonts w:eastAsia="Times New Roman" w:cs="Times New Roman"/>
          <w:iCs/>
          <w:kern w:val="22"/>
          <w:szCs w:val="22"/>
        </w:rPr>
      </w:pPr>
      <w:r w:rsidRPr="000C5BB9">
        <w:rPr>
          <w:rFonts w:eastAsia="Times New Roman" w:cs="Times New Roman"/>
          <w:i/>
          <w:iCs/>
          <w:kern w:val="22"/>
          <w:szCs w:val="22"/>
        </w:rPr>
        <w:t>T</w:t>
      </w:r>
      <w:r w:rsidR="005C4DE4" w:rsidRPr="00E733CD">
        <w:rPr>
          <w:rFonts w:eastAsia="Times New Roman" w:cs="Times New Roman"/>
          <w:i/>
          <w:iCs/>
          <w:kern w:val="22"/>
          <w:szCs w:val="22"/>
        </w:rPr>
        <w:t xml:space="preserve">aking note </w:t>
      </w:r>
      <w:r w:rsidR="005C4DE4" w:rsidRPr="00E733CD">
        <w:rPr>
          <w:rFonts w:eastAsia="Times New Roman" w:cs="Times New Roman"/>
          <w:iCs/>
          <w:kern w:val="22"/>
          <w:szCs w:val="22"/>
        </w:rPr>
        <w:t>of</w:t>
      </w:r>
      <w:r w:rsidR="005C4DE4" w:rsidRPr="00E733CD">
        <w:rPr>
          <w:rFonts w:eastAsia="Times New Roman" w:cs="Times New Roman"/>
          <w:i/>
          <w:iCs/>
          <w:kern w:val="22"/>
          <w:szCs w:val="22"/>
        </w:rPr>
        <w:t xml:space="preserve"> </w:t>
      </w:r>
      <w:r w:rsidR="005C4DE4" w:rsidRPr="00E733CD">
        <w:rPr>
          <w:rFonts w:eastAsia="Times New Roman" w:cs="Times New Roman"/>
          <w:iCs/>
          <w:kern w:val="22"/>
          <w:szCs w:val="22"/>
        </w:rPr>
        <w:t xml:space="preserve">the information regarding </w:t>
      </w:r>
      <w:r w:rsidR="00A821D5" w:rsidRPr="00E733CD">
        <w:rPr>
          <w:rFonts w:eastAsia="Times New Roman" w:cs="Times New Roman"/>
          <w:iCs/>
          <w:kern w:val="22"/>
          <w:szCs w:val="22"/>
        </w:rPr>
        <w:t xml:space="preserve">the </w:t>
      </w:r>
      <w:r w:rsidR="005C4DE4" w:rsidRPr="00E733CD">
        <w:rPr>
          <w:rFonts w:eastAsia="Times New Roman" w:cs="Times New Roman"/>
          <w:iCs/>
          <w:kern w:val="22"/>
          <w:szCs w:val="22"/>
        </w:rPr>
        <w:t xml:space="preserve">implementation of Article 21 of the Convention contained in </w:t>
      </w:r>
      <w:r w:rsidR="00A7704A">
        <w:rPr>
          <w:rFonts w:eastAsia="Times New Roman" w:cs="Times New Roman"/>
          <w:iCs/>
          <w:kern w:val="22"/>
          <w:szCs w:val="22"/>
        </w:rPr>
        <w:t xml:space="preserve">the </w:t>
      </w:r>
      <w:r w:rsidRPr="000C5BB9">
        <w:rPr>
          <w:rFonts w:eastAsia="Times New Roman" w:cs="Times New Roman"/>
          <w:iCs/>
          <w:kern w:val="22"/>
          <w:szCs w:val="22"/>
        </w:rPr>
        <w:t>note by the Executive Secretary on</w:t>
      </w:r>
      <w:r w:rsidR="00A821D5" w:rsidRPr="00E733CD">
        <w:rPr>
          <w:rFonts w:eastAsia="Times New Roman" w:cs="Times New Roman"/>
          <w:iCs/>
          <w:kern w:val="22"/>
          <w:szCs w:val="22"/>
        </w:rPr>
        <w:t xml:space="preserve"> the financial mechanism</w:t>
      </w:r>
      <w:r w:rsidR="005C4DE4" w:rsidRPr="00E733CD">
        <w:rPr>
          <w:rFonts w:eastAsia="Times New Roman" w:cs="Times New Roman"/>
          <w:iCs/>
          <w:kern w:val="22"/>
          <w:szCs w:val="22"/>
        </w:rPr>
        <w:t>,</w:t>
      </w:r>
      <w:r w:rsidRPr="00E733CD">
        <w:rPr>
          <w:rStyle w:val="FootnoteReference"/>
          <w:rFonts w:eastAsia="Times New Roman" w:cs="Times New Roman"/>
          <w:iCs/>
          <w:kern w:val="22"/>
          <w:sz w:val="22"/>
          <w:szCs w:val="22"/>
        </w:rPr>
        <w:footnoteReference w:id="11"/>
      </w:r>
    </w:p>
    <w:p w:rsidR="00873B66" w:rsidRPr="00455AB8" w:rsidRDefault="007D4D6E" w:rsidP="00E733CD">
      <w:pPr>
        <w:pStyle w:val="Para1"/>
        <w:suppressLineNumbers/>
        <w:suppressAutoHyphens/>
        <w:kinsoku w:val="0"/>
        <w:overflowPunct w:val="0"/>
        <w:autoSpaceDE w:val="0"/>
        <w:autoSpaceDN w:val="0"/>
        <w:adjustRightInd w:val="0"/>
        <w:snapToGrid w:val="0"/>
        <w:ind w:firstLine="720"/>
        <w:rPr>
          <w:rFonts w:cs="Times New Roman"/>
          <w:kern w:val="22"/>
          <w:szCs w:val="22"/>
        </w:rPr>
      </w:pPr>
      <w:r w:rsidRPr="00455AB8">
        <w:rPr>
          <w:rFonts w:cs="Times New Roman"/>
          <w:i/>
          <w:kern w:val="22"/>
          <w:szCs w:val="22"/>
        </w:rPr>
        <w:t>R</w:t>
      </w:r>
      <w:r w:rsidR="00873B66" w:rsidRPr="00AE4A02">
        <w:rPr>
          <w:rFonts w:cs="Times New Roman"/>
          <w:i/>
          <w:kern w:val="22"/>
          <w:szCs w:val="22"/>
        </w:rPr>
        <w:t>ecommends</w:t>
      </w:r>
      <w:r w:rsidR="00873B66" w:rsidRPr="00392DED">
        <w:rPr>
          <w:rFonts w:cs="Times New Roman"/>
          <w:kern w:val="22"/>
          <w:szCs w:val="22"/>
        </w:rPr>
        <w:t xml:space="preserve"> that the Conference of the Parties at its fourteenth meeting adopt</w:t>
      </w:r>
      <w:r w:rsidR="00873B66" w:rsidRPr="00F808EB">
        <w:rPr>
          <w:rFonts w:cs="Times New Roman"/>
          <w:kern w:val="22"/>
          <w:szCs w:val="22"/>
        </w:rPr>
        <w:t xml:space="preserve"> a decision along the following lines:</w:t>
      </w:r>
    </w:p>
    <w:p w:rsidR="00873B66" w:rsidRPr="00455AB8" w:rsidRDefault="00873B66" w:rsidP="00E733CD">
      <w:pPr>
        <w:suppressLineNumbers/>
        <w:suppressAutoHyphens/>
        <w:kinsoku w:val="0"/>
        <w:overflowPunct w:val="0"/>
        <w:autoSpaceDE w:val="0"/>
        <w:autoSpaceDN w:val="0"/>
        <w:adjustRightInd w:val="0"/>
        <w:snapToGrid w:val="0"/>
        <w:spacing w:after="120"/>
        <w:ind w:left="720" w:firstLine="720"/>
        <w:rPr>
          <w:rFonts w:cs="Times New Roman"/>
          <w:i/>
          <w:snapToGrid w:val="0"/>
          <w:kern w:val="22"/>
          <w:szCs w:val="22"/>
        </w:rPr>
      </w:pPr>
      <w:r w:rsidRPr="00455AB8">
        <w:rPr>
          <w:rFonts w:cs="Times New Roman"/>
          <w:i/>
          <w:snapToGrid w:val="0"/>
          <w:kern w:val="22"/>
          <w:szCs w:val="22"/>
        </w:rPr>
        <w:t>The Conference of the Parties</w:t>
      </w:r>
    </w:p>
    <w:p w:rsidR="002B25C5" w:rsidRPr="00E733CD" w:rsidRDefault="00873B66" w:rsidP="00E733CD">
      <w:pPr>
        <w:pStyle w:val="Para1"/>
        <w:suppressLineNumbers/>
        <w:suppressAutoHyphens/>
        <w:kinsoku w:val="0"/>
        <w:overflowPunct w:val="0"/>
        <w:autoSpaceDE w:val="0"/>
        <w:autoSpaceDN w:val="0"/>
        <w:adjustRightInd w:val="0"/>
        <w:snapToGrid w:val="0"/>
        <w:ind w:left="720" w:firstLine="720"/>
        <w:rPr>
          <w:rFonts w:eastAsia="Times New Roman" w:cs="Times New Roman"/>
          <w:iCs/>
          <w:kern w:val="22"/>
          <w:szCs w:val="22"/>
        </w:rPr>
      </w:pPr>
      <w:r w:rsidRPr="00E733CD">
        <w:rPr>
          <w:rFonts w:eastAsia="Times New Roman" w:cs="Times New Roman"/>
          <w:iCs/>
          <w:kern w:val="22"/>
          <w:szCs w:val="22"/>
        </w:rPr>
        <w:t>1.</w:t>
      </w:r>
      <w:r w:rsidRPr="00E733CD">
        <w:rPr>
          <w:rFonts w:eastAsia="Times New Roman" w:cs="Times New Roman"/>
          <w:iCs/>
          <w:kern w:val="22"/>
          <w:szCs w:val="22"/>
        </w:rPr>
        <w:tab/>
      </w:r>
      <w:r w:rsidR="002B25C5" w:rsidRPr="00E733CD">
        <w:rPr>
          <w:rFonts w:eastAsia="Times New Roman" w:cs="Times New Roman"/>
          <w:i/>
          <w:iCs/>
          <w:kern w:val="22"/>
          <w:szCs w:val="22"/>
        </w:rPr>
        <w:t xml:space="preserve">Welcomes </w:t>
      </w:r>
      <w:r w:rsidR="002B25C5" w:rsidRPr="00E733CD">
        <w:rPr>
          <w:rFonts w:eastAsia="Times New Roman" w:cs="Times New Roman"/>
          <w:iCs/>
          <w:kern w:val="22"/>
          <w:szCs w:val="22"/>
        </w:rPr>
        <w:t xml:space="preserve">the successful conclusion of the seventh replenishment of the Global Environment Facility Trust Fund, and </w:t>
      </w:r>
      <w:r w:rsidR="004D21CF">
        <w:rPr>
          <w:rFonts w:eastAsia="Times New Roman" w:cs="Times New Roman"/>
          <w:i/>
          <w:iCs/>
          <w:kern w:val="22"/>
          <w:szCs w:val="22"/>
        </w:rPr>
        <w:t>expresses its appreciation</w:t>
      </w:r>
      <w:r w:rsidR="004D21CF" w:rsidRPr="00E733CD">
        <w:rPr>
          <w:rFonts w:eastAsia="Times New Roman" w:cs="Times New Roman"/>
          <w:kern w:val="22"/>
          <w:szCs w:val="22"/>
        </w:rPr>
        <w:t xml:space="preserve"> for </w:t>
      </w:r>
      <w:r w:rsidR="002B25C5" w:rsidRPr="00E733CD">
        <w:rPr>
          <w:rFonts w:eastAsia="Times New Roman" w:cs="Times New Roman"/>
          <w:iCs/>
          <w:kern w:val="22"/>
          <w:szCs w:val="22"/>
        </w:rPr>
        <w:t xml:space="preserve">the continuing financial support </w:t>
      </w:r>
      <w:r w:rsidR="00E377F2">
        <w:rPr>
          <w:rFonts w:eastAsia="Times New Roman" w:cs="Times New Roman"/>
          <w:iCs/>
          <w:kern w:val="22"/>
          <w:szCs w:val="22"/>
        </w:rPr>
        <w:t>from</w:t>
      </w:r>
      <w:r w:rsidR="00E377F2" w:rsidRPr="00E733CD">
        <w:rPr>
          <w:rFonts w:eastAsia="Times New Roman" w:cs="Times New Roman"/>
          <w:iCs/>
          <w:kern w:val="22"/>
          <w:szCs w:val="22"/>
        </w:rPr>
        <w:t xml:space="preserve"> </w:t>
      </w:r>
      <w:r w:rsidR="002B25C5" w:rsidRPr="00E733CD">
        <w:rPr>
          <w:rFonts w:eastAsia="Times New Roman" w:cs="Times New Roman"/>
          <w:iCs/>
          <w:kern w:val="22"/>
          <w:szCs w:val="22"/>
        </w:rPr>
        <w:t xml:space="preserve">Parties and Governments </w:t>
      </w:r>
      <w:r w:rsidR="00E377F2">
        <w:rPr>
          <w:rFonts w:eastAsia="Times New Roman" w:cs="Times New Roman"/>
          <w:iCs/>
          <w:kern w:val="22"/>
          <w:szCs w:val="22"/>
        </w:rPr>
        <w:t>for</w:t>
      </w:r>
      <w:r w:rsidR="00E377F2" w:rsidRPr="00E733CD">
        <w:rPr>
          <w:rFonts w:eastAsia="Times New Roman" w:cs="Times New Roman"/>
          <w:iCs/>
          <w:kern w:val="22"/>
          <w:szCs w:val="22"/>
        </w:rPr>
        <w:t xml:space="preserve"> </w:t>
      </w:r>
      <w:r w:rsidR="00E377F2">
        <w:rPr>
          <w:rFonts w:eastAsia="Times New Roman" w:cs="Times New Roman"/>
          <w:iCs/>
          <w:kern w:val="22"/>
          <w:szCs w:val="22"/>
        </w:rPr>
        <w:t>carrying out</w:t>
      </w:r>
      <w:r w:rsidR="00E377F2" w:rsidRPr="00E733CD">
        <w:rPr>
          <w:rFonts w:eastAsia="Times New Roman" w:cs="Times New Roman"/>
          <w:iCs/>
          <w:kern w:val="22"/>
          <w:szCs w:val="22"/>
        </w:rPr>
        <w:t xml:space="preserve"> </w:t>
      </w:r>
      <w:r w:rsidR="002B25C5" w:rsidRPr="00E733CD">
        <w:rPr>
          <w:rFonts w:eastAsia="Times New Roman" w:cs="Times New Roman"/>
          <w:iCs/>
          <w:kern w:val="22"/>
          <w:szCs w:val="22"/>
        </w:rPr>
        <w:t>the tasks under the global Strategic Plan for Biodiversity 201</w:t>
      </w:r>
      <w:r w:rsidR="007C5958">
        <w:rPr>
          <w:rFonts w:eastAsia="Times New Roman" w:cs="Times New Roman"/>
          <w:iCs/>
          <w:kern w:val="22"/>
          <w:szCs w:val="22"/>
        </w:rPr>
        <w:t>1</w:t>
      </w:r>
      <w:r w:rsidR="002B25C5" w:rsidRPr="00E733CD">
        <w:rPr>
          <w:rFonts w:eastAsia="Times New Roman" w:cs="Times New Roman"/>
          <w:iCs/>
          <w:kern w:val="22"/>
          <w:szCs w:val="22"/>
        </w:rPr>
        <w:t>-2020 in its</w:t>
      </w:r>
      <w:r w:rsidR="00AE60A8" w:rsidRPr="00E733CD">
        <w:rPr>
          <w:rFonts w:eastAsia="Times New Roman" w:cs="Times New Roman"/>
          <w:iCs/>
          <w:kern w:val="22"/>
          <w:szCs w:val="22"/>
        </w:rPr>
        <w:t xml:space="preserve"> </w:t>
      </w:r>
      <w:r w:rsidR="002B25C5" w:rsidRPr="00E733CD">
        <w:rPr>
          <w:rFonts w:eastAsia="Times New Roman" w:cs="Times New Roman"/>
          <w:iCs/>
          <w:kern w:val="22"/>
          <w:szCs w:val="22"/>
        </w:rPr>
        <w:t xml:space="preserve">remaining years, and </w:t>
      </w:r>
      <w:r w:rsidR="00641217" w:rsidRPr="00E733CD">
        <w:rPr>
          <w:rFonts w:eastAsia="Times New Roman" w:cs="Times New Roman"/>
          <w:iCs/>
          <w:kern w:val="22"/>
          <w:szCs w:val="22"/>
        </w:rPr>
        <w:t xml:space="preserve">supporting the </w:t>
      </w:r>
      <w:r w:rsidR="002B25C5" w:rsidRPr="00E733CD">
        <w:rPr>
          <w:rFonts w:eastAsia="Times New Roman" w:cs="Times New Roman"/>
          <w:iCs/>
          <w:kern w:val="22"/>
          <w:szCs w:val="22"/>
        </w:rPr>
        <w:t xml:space="preserve">implementation of the </w:t>
      </w:r>
      <w:r w:rsidR="00641217" w:rsidRPr="00E733CD">
        <w:rPr>
          <w:rFonts w:eastAsia="Times New Roman" w:cs="Times New Roman"/>
          <w:iCs/>
          <w:kern w:val="22"/>
          <w:szCs w:val="22"/>
        </w:rPr>
        <w:t xml:space="preserve">post-2020 </w:t>
      </w:r>
      <w:r w:rsidR="002B25C5" w:rsidRPr="00E733CD">
        <w:rPr>
          <w:rFonts w:eastAsia="Times New Roman" w:cs="Times New Roman"/>
          <w:iCs/>
          <w:kern w:val="22"/>
          <w:szCs w:val="22"/>
        </w:rPr>
        <w:t xml:space="preserve">global </w:t>
      </w:r>
      <w:r w:rsidR="00641217" w:rsidRPr="00E733CD">
        <w:rPr>
          <w:rFonts w:eastAsia="Times New Roman" w:cs="Times New Roman"/>
          <w:iCs/>
          <w:kern w:val="22"/>
          <w:szCs w:val="22"/>
        </w:rPr>
        <w:t xml:space="preserve">biodiversity </w:t>
      </w:r>
      <w:r w:rsidR="002B25C5" w:rsidRPr="00E733CD">
        <w:rPr>
          <w:rFonts w:eastAsia="Times New Roman" w:cs="Times New Roman"/>
          <w:iCs/>
          <w:kern w:val="22"/>
          <w:szCs w:val="22"/>
        </w:rPr>
        <w:t xml:space="preserve">framework </w:t>
      </w:r>
      <w:r w:rsidR="00AE60A8" w:rsidRPr="00E733CD">
        <w:rPr>
          <w:rFonts w:eastAsia="Times New Roman" w:cs="Times New Roman"/>
          <w:iCs/>
          <w:kern w:val="22"/>
          <w:szCs w:val="22"/>
        </w:rPr>
        <w:t xml:space="preserve">in </w:t>
      </w:r>
      <w:r w:rsidR="00641217" w:rsidRPr="00E733CD">
        <w:rPr>
          <w:rFonts w:eastAsia="Times New Roman" w:cs="Times New Roman"/>
          <w:iCs/>
          <w:kern w:val="22"/>
          <w:szCs w:val="22"/>
        </w:rPr>
        <w:t xml:space="preserve">its </w:t>
      </w:r>
      <w:r w:rsidR="00AE60A8" w:rsidRPr="00E733CD">
        <w:rPr>
          <w:rFonts w:eastAsia="Times New Roman" w:cs="Times New Roman"/>
          <w:iCs/>
          <w:kern w:val="22"/>
          <w:szCs w:val="22"/>
        </w:rPr>
        <w:t>first two years</w:t>
      </w:r>
      <w:r w:rsidR="0035144F" w:rsidRPr="00E733CD">
        <w:rPr>
          <w:rFonts w:eastAsia="Times New Roman" w:cs="Times New Roman"/>
          <w:iCs/>
          <w:kern w:val="22"/>
          <w:szCs w:val="22"/>
        </w:rPr>
        <w:t>;</w:t>
      </w:r>
    </w:p>
    <w:p w:rsidR="00AE60A8" w:rsidRPr="00E733CD" w:rsidRDefault="00873B66" w:rsidP="00E733CD">
      <w:pPr>
        <w:pStyle w:val="Para1"/>
        <w:suppressLineNumbers/>
        <w:suppressAutoHyphens/>
        <w:kinsoku w:val="0"/>
        <w:overflowPunct w:val="0"/>
        <w:autoSpaceDE w:val="0"/>
        <w:autoSpaceDN w:val="0"/>
        <w:adjustRightInd w:val="0"/>
        <w:snapToGrid w:val="0"/>
        <w:ind w:left="720" w:firstLine="720"/>
        <w:rPr>
          <w:rFonts w:eastAsia="Times New Roman" w:cs="Times New Roman"/>
          <w:iCs/>
          <w:kern w:val="22"/>
          <w:szCs w:val="22"/>
        </w:rPr>
      </w:pPr>
      <w:r w:rsidRPr="00E733CD">
        <w:rPr>
          <w:rFonts w:eastAsia="Times New Roman" w:cs="Times New Roman"/>
          <w:iCs/>
          <w:kern w:val="22"/>
          <w:szCs w:val="22"/>
        </w:rPr>
        <w:t>2.</w:t>
      </w:r>
      <w:r w:rsidRPr="00E733CD">
        <w:rPr>
          <w:rFonts w:eastAsia="Times New Roman" w:cs="Times New Roman"/>
          <w:iCs/>
          <w:kern w:val="22"/>
          <w:szCs w:val="22"/>
        </w:rPr>
        <w:tab/>
      </w:r>
      <w:r w:rsidR="00AE60A8" w:rsidRPr="00E733CD">
        <w:rPr>
          <w:rFonts w:eastAsia="Times New Roman" w:cs="Times New Roman"/>
          <w:i/>
          <w:iCs/>
          <w:kern w:val="22"/>
          <w:szCs w:val="22"/>
        </w:rPr>
        <w:t>Notes</w:t>
      </w:r>
      <w:r w:rsidR="00AE60A8" w:rsidRPr="00E733CD">
        <w:rPr>
          <w:rFonts w:eastAsia="Times New Roman" w:cs="Times New Roman"/>
          <w:iCs/>
          <w:kern w:val="22"/>
          <w:szCs w:val="22"/>
        </w:rPr>
        <w:t xml:space="preserve"> that t</w:t>
      </w:r>
      <w:r w:rsidR="002B25C5" w:rsidRPr="00E733CD">
        <w:rPr>
          <w:rFonts w:eastAsia="Times New Roman" w:cs="Times New Roman"/>
          <w:iCs/>
          <w:kern w:val="22"/>
          <w:szCs w:val="22"/>
        </w:rPr>
        <w:t xml:space="preserve">he biodiversity programming directions for </w:t>
      </w:r>
      <w:r w:rsidR="00EE5494">
        <w:rPr>
          <w:rFonts w:eastAsia="Times New Roman" w:cs="Times New Roman"/>
          <w:iCs/>
          <w:kern w:val="22"/>
          <w:szCs w:val="22"/>
        </w:rPr>
        <w:t>the seventh replenishment of the Trust Fund</w:t>
      </w:r>
      <w:r w:rsidR="00E92DA5" w:rsidRPr="00E733CD">
        <w:rPr>
          <w:rFonts w:eastAsia="Times New Roman" w:cs="Times New Roman"/>
          <w:iCs/>
          <w:kern w:val="22"/>
          <w:szCs w:val="22"/>
        </w:rPr>
        <w:t xml:space="preserve"> reflect the guidance adopted by the Conference of the Parties at its thirteenth meeting</w:t>
      </w:r>
      <w:r w:rsidR="00EE5494">
        <w:rPr>
          <w:rFonts w:eastAsia="Times New Roman" w:cs="Times New Roman"/>
          <w:iCs/>
          <w:kern w:val="22"/>
          <w:szCs w:val="22"/>
        </w:rPr>
        <w:t>,</w:t>
      </w:r>
      <w:r w:rsidR="00E92DA5" w:rsidRPr="00E733CD">
        <w:rPr>
          <w:rFonts w:eastAsia="Times New Roman" w:cs="Times New Roman"/>
          <w:iCs/>
          <w:kern w:val="22"/>
          <w:szCs w:val="22"/>
        </w:rPr>
        <w:t xml:space="preserve"> which includes the consolidated guidance to the financial mechanism </w:t>
      </w:r>
      <w:r w:rsidR="00A31253">
        <w:rPr>
          <w:rFonts w:eastAsia="Times New Roman" w:cs="Times New Roman"/>
          <w:iCs/>
          <w:kern w:val="22"/>
          <w:szCs w:val="22"/>
        </w:rPr>
        <w:t>and</w:t>
      </w:r>
      <w:r w:rsidR="00A31253" w:rsidRPr="00E733CD">
        <w:rPr>
          <w:rFonts w:eastAsia="Times New Roman" w:cs="Times New Roman"/>
          <w:iCs/>
          <w:kern w:val="22"/>
          <w:szCs w:val="22"/>
        </w:rPr>
        <w:t xml:space="preserve"> </w:t>
      </w:r>
      <w:r w:rsidR="00E92DA5" w:rsidRPr="00E733CD">
        <w:rPr>
          <w:rFonts w:eastAsia="Times New Roman" w:cs="Times New Roman"/>
          <w:iCs/>
          <w:kern w:val="22"/>
          <w:szCs w:val="22"/>
        </w:rPr>
        <w:t>the four-year framework of programme priorities (2018-2022), as well as further guidance</w:t>
      </w:r>
      <w:r w:rsidR="0035144F" w:rsidRPr="00E733CD">
        <w:rPr>
          <w:rFonts w:eastAsia="Times New Roman" w:cs="Times New Roman"/>
          <w:iCs/>
          <w:kern w:val="22"/>
          <w:szCs w:val="22"/>
        </w:rPr>
        <w:t>;</w:t>
      </w:r>
    </w:p>
    <w:p w:rsidR="00F475E1" w:rsidRPr="00E733CD" w:rsidRDefault="00873B66" w:rsidP="00E733CD">
      <w:pPr>
        <w:pStyle w:val="Para1"/>
        <w:suppressLineNumbers/>
        <w:suppressAutoHyphens/>
        <w:kinsoku w:val="0"/>
        <w:overflowPunct w:val="0"/>
        <w:autoSpaceDE w:val="0"/>
        <w:autoSpaceDN w:val="0"/>
        <w:adjustRightInd w:val="0"/>
        <w:snapToGrid w:val="0"/>
        <w:ind w:left="720" w:firstLine="720"/>
        <w:rPr>
          <w:rFonts w:eastAsia="Times New Roman" w:cs="Times New Roman"/>
          <w:iCs/>
          <w:kern w:val="22"/>
          <w:szCs w:val="22"/>
        </w:rPr>
      </w:pPr>
      <w:r w:rsidRPr="00E733CD">
        <w:rPr>
          <w:rFonts w:eastAsia="Times New Roman" w:cs="Times New Roman"/>
          <w:iCs/>
          <w:kern w:val="22"/>
          <w:szCs w:val="22"/>
        </w:rPr>
        <w:t>3.</w:t>
      </w:r>
      <w:r w:rsidRPr="00E733CD">
        <w:rPr>
          <w:rFonts w:eastAsia="Times New Roman" w:cs="Times New Roman"/>
          <w:iCs/>
          <w:kern w:val="22"/>
          <w:szCs w:val="22"/>
        </w:rPr>
        <w:tab/>
      </w:r>
      <w:r w:rsidR="00AE60A8" w:rsidRPr="00E733CD">
        <w:rPr>
          <w:rFonts w:eastAsia="Times New Roman" w:cs="Times New Roman"/>
          <w:i/>
          <w:iCs/>
          <w:kern w:val="22"/>
          <w:szCs w:val="22"/>
        </w:rPr>
        <w:t>Encourages</w:t>
      </w:r>
      <w:r w:rsidR="00AE60A8" w:rsidRPr="00E733CD">
        <w:rPr>
          <w:rFonts w:eastAsia="Times New Roman" w:cs="Times New Roman"/>
          <w:iCs/>
          <w:kern w:val="22"/>
          <w:szCs w:val="22"/>
        </w:rPr>
        <w:t xml:space="preserve"> the Executive Secretary</w:t>
      </w:r>
      <w:r w:rsidR="00E35DD5" w:rsidRPr="00E733CD">
        <w:rPr>
          <w:rFonts w:eastAsia="Times New Roman" w:cs="Times New Roman"/>
          <w:iCs/>
          <w:kern w:val="22"/>
          <w:szCs w:val="22"/>
        </w:rPr>
        <w:t xml:space="preserve"> </w:t>
      </w:r>
      <w:r w:rsidR="00AE60A8" w:rsidRPr="00E733CD">
        <w:rPr>
          <w:rFonts w:eastAsia="Times New Roman" w:cs="Times New Roman"/>
          <w:iCs/>
          <w:kern w:val="22"/>
          <w:szCs w:val="22"/>
        </w:rPr>
        <w:t xml:space="preserve">to </w:t>
      </w:r>
      <w:r w:rsidR="002B25C5" w:rsidRPr="00E733CD">
        <w:rPr>
          <w:rFonts w:eastAsia="Times New Roman" w:cs="Times New Roman"/>
          <w:iCs/>
          <w:kern w:val="22"/>
          <w:szCs w:val="22"/>
        </w:rPr>
        <w:t xml:space="preserve">work </w:t>
      </w:r>
      <w:r w:rsidR="00A31253" w:rsidRPr="00C93388">
        <w:rPr>
          <w:rFonts w:eastAsia="Times New Roman" w:cs="Times New Roman"/>
          <w:iCs/>
          <w:kern w:val="22"/>
          <w:szCs w:val="22"/>
        </w:rPr>
        <w:t xml:space="preserve">closely </w:t>
      </w:r>
      <w:r w:rsidR="002B25C5" w:rsidRPr="00E733CD">
        <w:rPr>
          <w:rFonts w:eastAsia="Times New Roman" w:cs="Times New Roman"/>
          <w:iCs/>
          <w:kern w:val="22"/>
          <w:szCs w:val="22"/>
        </w:rPr>
        <w:t xml:space="preserve">with </w:t>
      </w:r>
      <w:r w:rsidR="00535D4C" w:rsidRPr="00E733CD">
        <w:rPr>
          <w:rFonts w:eastAsia="Times New Roman" w:cs="Times New Roman"/>
          <w:iCs/>
          <w:kern w:val="22"/>
          <w:szCs w:val="22"/>
        </w:rPr>
        <w:t xml:space="preserve">and </w:t>
      </w:r>
      <w:r w:rsidR="0035144F" w:rsidRPr="00E733CD">
        <w:rPr>
          <w:rFonts w:eastAsia="Times New Roman" w:cs="Times New Roman"/>
          <w:iCs/>
          <w:kern w:val="22"/>
          <w:szCs w:val="22"/>
        </w:rPr>
        <w:t>the Global</w:t>
      </w:r>
      <w:r w:rsidR="00535D4C" w:rsidRPr="00E733CD">
        <w:rPr>
          <w:rFonts w:eastAsia="Times New Roman" w:cs="Times New Roman"/>
          <w:iCs/>
          <w:kern w:val="22"/>
          <w:szCs w:val="22"/>
        </w:rPr>
        <w:t xml:space="preserve"> Environment Facility </w:t>
      </w:r>
      <w:r w:rsidR="002B25C5" w:rsidRPr="00E733CD">
        <w:rPr>
          <w:rFonts w:eastAsia="Times New Roman" w:cs="Times New Roman"/>
          <w:iCs/>
          <w:kern w:val="22"/>
          <w:szCs w:val="22"/>
        </w:rPr>
        <w:t>Partnership in the transition</w:t>
      </w:r>
      <w:r w:rsidR="00AE60A8" w:rsidRPr="00E733CD">
        <w:rPr>
          <w:rFonts w:eastAsia="Times New Roman" w:cs="Times New Roman"/>
          <w:iCs/>
          <w:kern w:val="22"/>
          <w:szCs w:val="22"/>
        </w:rPr>
        <w:t xml:space="preserve"> </w:t>
      </w:r>
      <w:r w:rsidR="002B25C5" w:rsidRPr="00E733CD">
        <w:rPr>
          <w:rFonts w:eastAsia="Times New Roman" w:cs="Times New Roman"/>
          <w:iCs/>
          <w:kern w:val="22"/>
          <w:szCs w:val="22"/>
        </w:rPr>
        <w:t>to the post-2020 global biodiversity framework</w:t>
      </w:r>
      <w:r w:rsidR="00D56E8B" w:rsidRPr="00E733CD">
        <w:rPr>
          <w:rFonts w:eastAsia="Times New Roman" w:cs="Times New Roman"/>
          <w:iCs/>
          <w:kern w:val="22"/>
          <w:szCs w:val="22"/>
        </w:rPr>
        <w:t>.</w:t>
      </w:r>
    </w:p>
    <w:p w:rsidR="009D0FEB" w:rsidRPr="00685A77" w:rsidRDefault="007D4D6E" w:rsidP="00E733CD">
      <w:pPr>
        <w:pStyle w:val="Para1"/>
        <w:suppressLineNumbers/>
        <w:suppressAutoHyphens/>
        <w:kinsoku w:val="0"/>
        <w:overflowPunct w:val="0"/>
        <w:autoSpaceDE w:val="0"/>
        <w:autoSpaceDN w:val="0"/>
        <w:adjustRightInd w:val="0"/>
        <w:snapToGrid w:val="0"/>
        <w:jc w:val="center"/>
        <w:rPr>
          <w:rFonts w:cs="Times New Roman"/>
          <w:kern w:val="22"/>
          <w:szCs w:val="22"/>
        </w:rPr>
      </w:pPr>
      <w:r w:rsidRPr="00E733CD">
        <w:rPr>
          <w:rFonts w:eastAsia="Times New Roman" w:cs="Times New Roman"/>
          <w:iCs/>
          <w:kern w:val="22"/>
          <w:szCs w:val="22"/>
        </w:rPr>
        <w:t>_____</w:t>
      </w:r>
      <w:r w:rsidR="00074D8A" w:rsidRPr="00455AB8">
        <w:rPr>
          <w:rFonts w:eastAsia="Times New Roman" w:cs="Times New Roman"/>
          <w:iCs/>
          <w:kern w:val="22"/>
          <w:szCs w:val="22"/>
        </w:rPr>
        <w:t>_____</w:t>
      </w:r>
    </w:p>
    <w:sectPr w:rsidR="009D0FEB" w:rsidRPr="00685A77" w:rsidSect="006F4060">
      <w:headerReference w:type="even" r:id="rId20"/>
      <w:headerReference w:type="default" r:id="rId21"/>
      <w:footerReference w:type="even" r:id="rId22"/>
      <w:footerReference w:type="first" r:id="rId23"/>
      <w:type w:val="continuous"/>
      <w:pgSz w:w="12240" w:h="15840" w:code="1"/>
      <w:pgMar w:top="567" w:right="1440" w:bottom="851" w:left="1440" w:header="461"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025AF" w:rsidRDefault="00C025AF">
      <w:r>
        <w:separator/>
      </w:r>
    </w:p>
  </w:endnote>
  <w:endnote w:type="continuationSeparator" w:id="0">
    <w:p w:rsidR="00C025AF" w:rsidRDefault="00C025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ngsana New">
    <w:panose1 w:val="02020603050405020304"/>
    <w:charset w:val="00"/>
    <w:family w:val="roman"/>
    <w:pitch w:val="variable"/>
    <w:sig w:usb0="81000003" w:usb1="00000000" w:usb2="00000000" w:usb3="00000000" w:csb0="00010001" w:csb1="00000000"/>
  </w:font>
  <w:font w:name="Times New Roman Bold">
    <w:altName w:val="Times New Roman"/>
    <w:panose1 w:val="02020803070505020304"/>
    <w:charset w:val="00"/>
    <w:family w:val="auto"/>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Univers">
    <w:altName w:val="Univers"/>
    <w:charset w:val="00"/>
    <w:family w:val="swiss"/>
    <w:pitch w:val="variable"/>
    <w:sig w:usb0="80000287" w:usb1="00000000" w:usb2="00000000" w:usb3="00000000" w:csb0="0000000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lgun Gothic">
    <w:altName w:val="맑은 고딕"/>
    <w:panose1 w:val="020B0503020000020004"/>
    <w:charset w:val="81"/>
    <w:family w:val="swiss"/>
    <w:pitch w:val="variable"/>
    <w:sig w:usb0="9000002F" w:usb1="29D77CFB" w:usb2="00000012" w:usb3="00000000" w:csb0="00080001" w:csb1="00000000"/>
  </w:font>
  <w:font w:name="Lucida Grande">
    <w:altName w:val="Segoe UI"/>
    <w:charset w:val="00"/>
    <w:family w:val="auto"/>
    <w:pitch w:val="variable"/>
    <w:sig w:usb0="E1000AEF" w:usb1="5000A1FF" w:usb2="00000000" w:usb3="00000000" w:csb0="000001BF" w:csb1="00000000"/>
  </w:font>
  <w:font w:name="DengXian Light">
    <w:altName w:val="等线 Light"/>
    <w:charset w:val="86"/>
    <w:family w:val="auto"/>
    <w:pitch w:val="variable"/>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auto"/>
    <w:pitch w:val="variable"/>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1EA0" w:rsidRDefault="00E21EA0" w:rsidP="006F4060">
    <w:pPr>
      <w:pStyle w:val="Footer"/>
      <w:tabs>
        <w:tab w:val="clear" w:pos="4320"/>
        <w:tab w:val="clear" w:pos="8640"/>
      </w:tabs>
      <w:ind w:firstLine="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1EA0" w:rsidRPr="009F11A4" w:rsidRDefault="00E21EA0" w:rsidP="009F11A4">
    <w:pPr>
      <w:pStyle w:val="Footer"/>
      <w:tabs>
        <w:tab w:val="clear" w:pos="4320"/>
        <w:tab w:val="clear" w:pos="8640"/>
      </w:tabs>
      <w:jc w:val="center"/>
      <w:rPr>
        <w:noProof/>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025AF" w:rsidRDefault="00C025AF">
      <w:r>
        <w:separator/>
      </w:r>
    </w:p>
  </w:footnote>
  <w:footnote w:type="continuationSeparator" w:id="0">
    <w:p w:rsidR="00C025AF" w:rsidRDefault="00C025AF">
      <w:r>
        <w:continuationSeparator/>
      </w:r>
    </w:p>
  </w:footnote>
  <w:footnote w:id="1">
    <w:p w:rsidR="00033DAA" w:rsidRPr="00E733CD" w:rsidRDefault="00033DAA" w:rsidP="00E733CD">
      <w:pPr>
        <w:pStyle w:val="FootnoteText"/>
        <w:kinsoku w:val="0"/>
        <w:overflowPunct w:val="0"/>
        <w:autoSpaceDE w:val="0"/>
        <w:autoSpaceDN w:val="0"/>
        <w:adjustRightInd w:val="0"/>
        <w:snapToGrid w:val="0"/>
        <w:ind w:firstLine="0"/>
        <w:jc w:val="left"/>
        <w:rPr>
          <w:snapToGrid w:val="0"/>
          <w:kern w:val="18"/>
          <w:szCs w:val="18"/>
        </w:rPr>
      </w:pPr>
      <w:r w:rsidRPr="00E733CD">
        <w:rPr>
          <w:rStyle w:val="FootnoteReference"/>
          <w:snapToGrid w:val="0"/>
          <w:kern w:val="18"/>
          <w:szCs w:val="18"/>
        </w:rPr>
        <w:footnoteRef/>
      </w:r>
      <w:r w:rsidRPr="00E733CD">
        <w:rPr>
          <w:snapToGrid w:val="0"/>
          <w:kern w:val="18"/>
          <w:szCs w:val="18"/>
        </w:rPr>
        <w:t xml:space="preserve"> CBD/SBI/2/INF/25.</w:t>
      </w:r>
    </w:p>
  </w:footnote>
  <w:footnote w:id="2">
    <w:p w:rsidR="006E2E54" w:rsidRPr="00E733CD" w:rsidRDefault="006E2E54" w:rsidP="00E733CD">
      <w:pPr>
        <w:pStyle w:val="FootnoteText"/>
        <w:kinsoku w:val="0"/>
        <w:overflowPunct w:val="0"/>
        <w:autoSpaceDE w:val="0"/>
        <w:autoSpaceDN w:val="0"/>
        <w:adjustRightInd w:val="0"/>
        <w:snapToGrid w:val="0"/>
        <w:ind w:firstLine="0"/>
        <w:jc w:val="left"/>
        <w:rPr>
          <w:snapToGrid w:val="0"/>
          <w:kern w:val="18"/>
          <w:szCs w:val="18"/>
        </w:rPr>
      </w:pPr>
      <w:r w:rsidRPr="00E733CD">
        <w:rPr>
          <w:rStyle w:val="FootnoteReference"/>
          <w:snapToGrid w:val="0"/>
          <w:kern w:val="18"/>
          <w:szCs w:val="18"/>
        </w:rPr>
        <w:footnoteRef/>
      </w:r>
      <w:r w:rsidRPr="00E733CD">
        <w:rPr>
          <w:snapToGrid w:val="0"/>
          <w:kern w:val="18"/>
          <w:szCs w:val="18"/>
        </w:rPr>
        <w:t xml:space="preserve"> UNEP/CBD/COP/13/12/Add.2</w:t>
      </w:r>
      <w:r w:rsidR="009A1DC0" w:rsidRPr="00E733CD">
        <w:rPr>
          <w:snapToGrid w:val="0"/>
          <w:kern w:val="18"/>
          <w:szCs w:val="18"/>
        </w:rPr>
        <w:t>.</w:t>
      </w:r>
    </w:p>
  </w:footnote>
  <w:footnote w:id="3">
    <w:p w:rsidR="00E21EA0" w:rsidRPr="00E733CD" w:rsidRDefault="00E21EA0" w:rsidP="00E733CD">
      <w:pPr>
        <w:pStyle w:val="FootnoteText"/>
        <w:kinsoku w:val="0"/>
        <w:overflowPunct w:val="0"/>
        <w:autoSpaceDE w:val="0"/>
        <w:autoSpaceDN w:val="0"/>
        <w:adjustRightInd w:val="0"/>
        <w:snapToGrid w:val="0"/>
        <w:ind w:firstLine="0"/>
        <w:jc w:val="left"/>
        <w:rPr>
          <w:snapToGrid w:val="0"/>
          <w:kern w:val="18"/>
          <w:szCs w:val="18"/>
        </w:rPr>
      </w:pPr>
      <w:r w:rsidRPr="00E733CD">
        <w:rPr>
          <w:rStyle w:val="FootnoteReference"/>
          <w:snapToGrid w:val="0"/>
          <w:kern w:val="18"/>
          <w:szCs w:val="18"/>
        </w:rPr>
        <w:footnoteRef/>
      </w:r>
      <w:r w:rsidR="0007070D" w:rsidRPr="00E733CD">
        <w:rPr>
          <w:snapToGrid w:val="0"/>
          <w:kern w:val="18"/>
          <w:szCs w:val="18"/>
        </w:rPr>
        <w:t xml:space="preserve"> </w:t>
      </w:r>
      <w:r w:rsidRPr="00E733CD">
        <w:rPr>
          <w:snapToGrid w:val="0"/>
          <w:kern w:val="18"/>
          <w:szCs w:val="18"/>
        </w:rPr>
        <w:t>CBD/SBI/2/8/Add.1.</w:t>
      </w:r>
    </w:p>
  </w:footnote>
  <w:footnote w:id="4">
    <w:p w:rsidR="007E354A" w:rsidRPr="00E733CD" w:rsidRDefault="007E354A" w:rsidP="00E733CD">
      <w:pPr>
        <w:pStyle w:val="FootnoteText"/>
        <w:kinsoku w:val="0"/>
        <w:overflowPunct w:val="0"/>
        <w:autoSpaceDE w:val="0"/>
        <w:autoSpaceDN w:val="0"/>
        <w:adjustRightInd w:val="0"/>
        <w:snapToGrid w:val="0"/>
        <w:ind w:firstLine="0"/>
        <w:jc w:val="left"/>
        <w:rPr>
          <w:snapToGrid w:val="0"/>
          <w:kern w:val="18"/>
          <w:szCs w:val="18"/>
        </w:rPr>
      </w:pPr>
      <w:r w:rsidRPr="00E733CD">
        <w:rPr>
          <w:rStyle w:val="FootnoteReference"/>
          <w:snapToGrid w:val="0"/>
          <w:kern w:val="18"/>
          <w:szCs w:val="18"/>
        </w:rPr>
        <w:footnoteRef/>
      </w:r>
      <w:r w:rsidRPr="00E733CD">
        <w:rPr>
          <w:snapToGrid w:val="0"/>
          <w:kern w:val="18"/>
          <w:szCs w:val="18"/>
        </w:rPr>
        <w:t xml:space="preserve"> United Nations, </w:t>
      </w:r>
      <w:r w:rsidRPr="00E733CD">
        <w:rPr>
          <w:i/>
          <w:iCs/>
          <w:snapToGrid w:val="0"/>
          <w:kern w:val="18"/>
          <w:szCs w:val="18"/>
        </w:rPr>
        <w:t>Treaty Series</w:t>
      </w:r>
      <w:r w:rsidRPr="00E733CD">
        <w:rPr>
          <w:snapToGrid w:val="0"/>
          <w:kern w:val="18"/>
          <w:szCs w:val="18"/>
        </w:rPr>
        <w:t>, Registration No. I-54113.</w:t>
      </w:r>
    </w:p>
  </w:footnote>
  <w:footnote w:id="5">
    <w:p w:rsidR="00826BDC" w:rsidRPr="00E733CD" w:rsidRDefault="00826BDC" w:rsidP="00E733CD">
      <w:pPr>
        <w:pStyle w:val="FootnoteText"/>
        <w:kinsoku w:val="0"/>
        <w:overflowPunct w:val="0"/>
        <w:autoSpaceDE w:val="0"/>
        <w:autoSpaceDN w:val="0"/>
        <w:adjustRightInd w:val="0"/>
        <w:snapToGrid w:val="0"/>
        <w:ind w:firstLine="0"/>
        <w:jc w:val="left"/>
        <w:rPr>
          <w:snapToGrid w:val="0"/>
          <w:kern w:val="18"/>
          <w:szCs w:val="18"/>
        </w:rPr>
      </w:pPr>
      <w:r w:rsidRPr="00E733CD">
        <w:rPr>
          <w:rStyle w:val="FootnoteReference"/>
          <w:snapToGrid w:val="0"/>
          <w:kern w:val="18"/>
          <w:szCs w:val="18"/>
        </w:rPr>
        <w:footnoteRef/>
      </w:r>
      <w:r w:rsidR="00A717C3" w:rsidRPr="00E733CD">
        <w:rPr>
          <w:snapToGrid w:val="0"/>
          <w:kern w:val="18"/>
          <w:szCs w:val="18"/>
        </w:rPr>
        <w:t xml:space="preserve"> </w:t>
      </w:r>
      <w:hyperlink r:id="rId1" w:history="1">
        <w:r w:rsidRPr="00E733CD">
          <w:rPr>
            <w:rStyle w:val="Hyperlink"/>
            <w:snapToGrid w:val="0"/>
            <w:kern w:val="18"/>
            <w:szCs w:val="18"/>
          </w:rPr>
          <w:t>https://www.cbd.int/doc/meetings/cop/cop-11/information/cop-11-inf-20-en.pdf</w:t>
        </w:r>
      </w:hyperlink>
    </w:p>
  </w:footnote>
  <w:footnote w:id="6">
    <w:p w:rsidR="00E21EA0" w:rsidRPr="00E733CD" w:rsidRDefault="00E21EA0" w:rsidP="00E733CD">
      <w:pPr>
        <w:pStyle w:val="FootnoteText"/>
        <w:kinsoku w:val="0"/>
        <w:overflowPunct w:val="0"/>
        <w:autoSpaceDE w:val="0"/>
        <w:autoSpaceDN w:val="0"/>
        <w:adjustRightInd w:val="0"/>
        <w:snapToGrid w:val="0"/>
        <w:ind w:firstLine="0"/>
        <w:jc w:val="left"/>
        <w:rPr>
          <w:snapToGrid w:val="0"/>
          <w:kern w:val="18"/>
          <w:szCs w:val="18"/>
        </w:rPr>
      </w:pPr>
      <w:r w:rsidRPr="00E733CD">
        <w:rPr>
          <w:rStyle w:val="FootnoteReference"/>
          <w:snapToGrid w:val="0"/>
          <w:kern w:val="18"/>
          <w:szCs w:val="18"/>
        </w:rPr>
        <w:footnoteRef/>
      </w:r>
      <w:r w:rsidR="00A717C3" w:rsidRPr="00E733CD">
        <w:rPr>
          <w:snapToGrid w:val="0"/>
          <w:kern w:val="18"/>
          <w:szCs w:val="18"/>
        </w:rPr>
        <w:t xml:space="preserve"> </w:t>
      </w:r>
      <w:r w:rsidRPr="00E733CD">
        <w:rPr>
          <w:snapToGrid w:val="0"/>
          <w:kern w:val="18"/>
          <w:szCs w:val="18"/>
        </w:rPr>
        <w:t>See the</w:t>
      </w:r>
      <w:r w:rsidRPr="00E733CD">
        <w:rPr>
          <w:rFonts w:eastAsia="Times New Roman"/>
          <w:iCs/>
          <w:snapToGrid w:val="0"/>
          <w:kern w:val="18"/>
          <w:szCs w:val="18"/>
        </w:rPr>
        <w:t xml:space="preserve"> data dashboard of </w:t>
      </w:r>
      <w:r w:rsidRPr="00E733CD">
        <w:rPr>
          <w:snapToGrid w:val="0"/>
          <w:kern w:val="18"/>
          <w:szCs w:val="18"/>
        </w:rPr>
        <w:t xml:space="preserve">Climate Funds Update (March 2018), at </w:t>
      </w:r>
      <w:hyperlink r:id="rId2" w:history="1">
        <w:r w:rsidRPr="00E733CD">
          <w:rPr>
            <w:rStyle w:val="Hyperlink"/>
            <w:snapToGrid w:val="0"/>
            <w:kern w:val="18"/>
            <w:szCs w:val="18"/>
          </w:rPr>
          <w:t>https://climatefundsupdate.org/the-funds/</w:t>
        </w:r>
      </w:hyperlink>
      <w:r w:rsidRPr="00E733CD">
        <w:rPr>
          <w:snapToGrid w:val="0"/>
          <w:kern w:val="18"/>
          <w:szCs w:val="18"/>
        </w:rPr>
        <w:t xml:space="preserve"> </w:t>
      </w:r>
    </w:p>
  </w:footnote>
  <w:footnote w:id="7">
    <w:p w:rsidR="0035144F" w:rsidRPr="00E733CD" w:rsidRDefault="0035144F" w:rsidP="00E733CD">
      <w:pPr>
        <w:pStyle w:val="FootnoteText"/>
        <w:kinsoku w:val="0"/>
        <w:overflowPunct w:val="0"/>
        <w:autoSpaceDE w:val="0"/>
        <w:autoSpaceDN w:val="0"/>
        <w:adjustRightInd w:val="0"/>
        <w:snapToGrid w:val="0"/>
        <w:ind w:firstLine="0"/>
        <w:jc w:val="left"/>
        <w:rPr>
          <w:snapToGrid w:val="0"/>
          <w:kern w:val="18"/>
          <w:szCs w:val="18"/>
        </w:rPr>
      </w:pPr>
      <w:r w:rsidRPr="00E733CD">
        <w:rPr>
          <w:rStyle w:val="FootnoteReference"/>
          <w:snapToGrid w:val="0"/>
          <w:kern w:val="18"/>
          <w:szCs w:val="18"/>
        </w:rPr>
        <w:footnoteRef/>
      </w:r>
      <w:r w:rsidR="00A821D5" w:rsidRPr="00E733CD">
        <w:rPr>
          <w:snapToGrid w:val="0"/>
          <w:kern w:val="18"/>
          <w:szCs w:val="18"/>
        </w:rPr>
        <w:t xml:space="preserve"> </w:t>
      </w:r>
      <w:r w:rsidRPr="00E733CD">
        <w:rPr>
          <w:rStyle w:val="FootnoteReference"/>
          <w:snapToGrid w:val="0"/>
          <w:kern w:val="18"/>
          <w:szCs w:val="18"/>
          <w:vertAlign w:val="baseline"/>
        </w:rPr>
        <w:t xml:space="preserve">The data regarding official development assistance is taken from: </w:t>
      </w:r>
      <w:hyperlink r:id="rId3" w:history="1">
        <w:r w:rsidRPr="00E733CD">
          <w:rPr>
            <w:rStyle w:val="Hyperlink"/>
            <w:snapToGrid w:val="0"/>
            <w:kern w:val="18"/>
            <w:szCs w:val="18"/>
          </w:rPr>
          <w:t>http://stats.oecd.org/viewhtml.aspx?datasetcode=RIOMARKERS&amp;lang=en</w:t>
        </w:r>
      </w:hyperlink>
      <w:r w:rsidRPr="00E733CD">
        <w:rPr>
          <w:rStyle w:val="FootnoteReference"/>
          <w:snapToGrid w:val="0"/>
          <w:kern w:val="18"/>
          <w:szCs w:val="18"/>
          <w:vertAlign w:val="baseline"/>
        </w:rPr>
        <w:t>, and the GEF data is from various replenishment</w:t>
      </w:r>
      <w:r w:rsidRPr="00E733CD">
        <w:rPr>
          <w:snapToGrid w:val="0"/>
          <w:kern w:val="18"/>
          <w:szCs w:val="18"/>
        </w:rPr>
        <w:t xml:space="preserve"> summary documents</w:t>
      </w:r>
      <w:r w:rsidR="00AE4A02" w:rsidRPr="00E733CD">
        <w:rPr>
          <w:snapToGrid w:val="0"/>
          <w:kern w:val="18"/>
          <w:szCs w:val="18"/>
        </w:rPr>
        <w:t>.</w:t>
      </w:r>
    </w:p>
  </w:footnote>
  <w:footnote w:id="8">
    <w:p w:rsidR="00111492" w:rsidRPr="00E733CD" w:rsidRDefault="00111492" w:rsidP="00E733CD">
      <w:pPr>
        <w:keepLines/>
        <w:kinsoku w:val="0"/>
        <w:overflowPunct w:val="0"/>
        <w:autoSpaceDE w:val="0"/>
        <w:autoSpaceDN w:val="0"/>
        <w:adjustRightInd w:val="0"/>
        <w:snapToGrid w:val="0"/>
        <w:spacing w:after="60"/>
        <w:jc w:val="left"/>
        <w:rPr>
          <w:snapToGrid w:val="0"/>
          <w:color w:val="1F497D"/>
          <w:kern w:val="18"/>
          <w:sz w:val="18"/>
          <w:szCs w:val="18"/>
          <w:lang w:val="en-US"/>
        </w:rPr>
      </w:pPr>
      <w:r w:rsidRPr="00E733CD">
        <w:rPr>
          <w:rStyle w:val="FootnoteReference"/>
          <w:snapToGrid w:val="0"/>
          <w:kern w:val="18"/>
          <w:szCs w:val="18"/>
        </w:rPr>
        <w:footnoteRef/>
      </w:r>
      <w:r w:rsidRPr="00E733CD">
        <w:rPr>
          <w:snapToGrid w:val="0"/>
          <w:kern w:val="18"/>
          <w:sz w:val="18"/>
          <w:szCs w:val="18"/>
        </w:rPr>
        <w:t xml:space="preserve"> </w:t>
      </w:r>
      <w:r w:rsidRPr="00E733CD">
        <w:rPr>
          <w:snapToGrid w:val="0"/>
          <w:kern w:val="18"/>
          <w:sz w:val="18"/>
          <w:szCs w:val="18"/>
          <w:lang w:val="en-CA"/>
        </w:rPr>
        <w:t xml:space="preserve">Hudson Institute (2017). </w:t>
      </w:r>
      <w:r w:rsidRPr="00E733CD">
        <w:rPr>
          <w:i/>
          <w:iCs/>
          <w:snapToGrid w:val="0"/>
          <w:kern w:val="18"/>
          <w:sz w:val="18"/>
          <w:szCs w:val="18"/>
          <w:lang w:val="en-CA"/>
        </w:rPr>
        <w:t>The Index of Global Philanthropy and Remittances 2016</w:t>
      </w:r>
      <w:r w:rsidRPr="00E733CD">
        <w:rPr>
          <w:snapToGrid w:val="0"/>
          <w:kern w:val="18"/>
          <w:sz w:val="18"/>
          <w:szCs w:val="18"/>
          <w:lang w:val="en-CA"/>
        </w:rPr>
        <w:t xml:space="preserve">, Center for Global Prosperity, available at: </w:t>
      </w:r>
      <w:hyperlink r:id="rId4" w:history="1">
        <w:r w:rsidRPr="00E733CD">
          <w:rPr>
            <w:rStyle w:val="Hyperlink"/>
            <w:snapToGrid w:val="0"/>
            <w:kern w:val="18"/>
            <w:sz w:val="18"/>
            <w:szCs w:val="18"/>
            <w:lang w:val="en-US"/>
          </w:rPr>
          <w:t>www.hudson.org/cgp</w:t>
        </w:r>
      </w:hyperlink>
      <w:r w:rsidRPr="00E733CD">
        <w:rPr>
          <w:snapToGrid w:val="0"/>
          <w:color w:val="1F497D"/>
          <w:kern w:val="18"/>
          <w:sz w:val="18"/>
          <w:szCs w:val="18"/>
          <w:lang w:val="en-US"/>
        </w:rPr>
        <w:t>.</w:t>
      </w:r>
    </w:p>
  </w:footnote>
  <w:footnote w:id="9">
    <w:p w:rsidR="00975C21" w:rsidRPr="00E733CD" w:rsidRDefault="00975C21" w:rsidP="00E733CD">
      <w:pPr>
        <w:pStyle w:val="FootnoteText"/>
        <w:kinsoku w:val="0"/>
        <w:overflowPunct w:val="0"/>
        <w:autoSpaceDE w:val="0"/>
        <w:autoSpaceDN w:val="0"/>
        <w:adjustRightInd w:val="0"/>
        <w:snapToGrid w:val="0"/>
        <w:ind w:firstLine="0"/>
        <w:jc w:val="left"/>
        <w:rPr>
          <w:snapToGrid w:val="0"/>
          <w:kern w:val="18"/>
          <w:szCs w:val="18"/>
        </w:rPr>
      </w:pPr>
      <w:r w:rsidRPr="00E733CD">
        <w:rPr>
          <w:rStyle w:val="FootnoteReference"/>
          <w:snapToGrid w:val="0"/>
          <w:kern w:val="18"/>
          <w:szCs w:val="18"/>
        </w:rPr>
        <w:footnoteRef/>
      </w:r>
      <w:r w:rsidRPr="00E733CD">
        <w:rPr>
          <w:snapToGrid w:val="0"/>
          <w:kern w:val="18"/>
          <w:szCs w:val="18"/>
        </w:rPr>
        <w:t xml:space="preserve"> </w:t>
      </w:r>
      <w:r w:rsidRPr="00E733CD">
        <w:rPr>
          <w:rFonts w:eastAsia="Times New Roman"/>
          <w:snapToGrid w:val="0"/>
          <w:kern w:val="18"/>
          <w:szCs w:val="18"/>
        </w:rPr>
        <w:t>CBD/SBI/2/8/Add.1.</w:t>
      </w:r>
    </w:p>
  </w:footnote>
  <w:footnote w:id="10">
    <w:p w:rsidR="00975C21" w:rsidRPr="00E733CD" w:rsidRDefault="00975C21" w:rsidP="00E733CD">
      <w:pPr>
        <w:pStyle w:val="FootnoteText"/>
        <w:kinsoku w:val="0"/>
        <w:overflowPunct w:val="0"/>
        <w:autoSpaceDE w:val="0"/>
        <w:autoSpaceDN w:val="0"/>
        <w:adjustRightInd w:val="0"/>
        <w:snapToGrid w:val="0"/>
        <w:ind w:firstLine="0"/>
        <w:jc w:val="left"/>
        <w:rPr>
          <w:snapToGrid w:val="0"/>
          <w:kern w:val="18"/>
          <w:szCs w:val="18"/>
        </w:rPr>
      </w:pPr>
      <w:r w:rsidRPr="00E733CD">
        <w:rPr>
          <w:rStyle w:val="FootnoteReference"/>
          <w:snapToGrid w:val="0"/>
          <w:kern w:val="18"/>
          <w:szCs w:val="18"/>
        </w:rPr>
        <w:footnoteRef/>
      </w:r>
      <w:r w:rsidRPr="00E733CD">
        <w:rPr>
          <w:snapToGrid w:val="0"/>
          <w:kern w:val="18"/>
          <w:szCs w:val="18"/>
        </w:rPr>
        <w:t xml:space="preserve"> </w:t>
      </w:r>
      <w:r w:rsidRPr="00E733CD">
        <w:rPr>
          <w:rFonts w:eastAsia="Times New Roman"/>
          <w:snapToGrid w:val="0"/>
          <w:kern w:val="18"/>
          <w:szCs w:val="18"/>
        </w:rPr>
        <w:t>CBD/SBI/2/INF/25.</w:t>
      </w:r>
    </w:p>
  </w:footnote>
  <w:footnote w:id="11">
    <w:p w:rsidR="000C5BB9" w:rsidRPr="00E733CD" w:rsidRDefault="000C5BB9" w:rsidP="00E733CD">
      <w:pPr>
        <w:pStyle w:val="FootnoteText"/>
        <w:kinsoku w:val="0"/>
        <w:overflowPunct w:val="0"/>
        <w:autoSpaceDE w:val="0"/>
        <w:autoSpaceDN w:val="0"/>
        <w:adjustRightInd w:val="0"/>
        <w:snapToGrid w:val="0"/>
        <w:ind w:firstLine="0"/>
        <w:jc w:val="left"/>
        <w:rPr>
          <w:snapToGrid w:val="0"/>
          <w:kern w:val="18"/>
          <w:szCs w:val="18"/>
        </w:rPr>
      </w:pPr>
      <w:r w:rsidRPr="00E733CD">
        <w:rPr>
          <w:rStyle w:val="FootnoteReference"/>
          <w:snapToGrid w:val="0"/>
          <w:kern w:val="18"/>
          <w:szCs w:val="18"/>
        </w:rPr>
        <w:footnoteRef/>
      </w:r>
      <w:r w:rsidRPr="00E733CD">
        <w:rPr>
          <w:snapToGrid w:val="0"/>
          <w:kern w:val="18"/>
          <w:szCs w:val="18"/>
        </w:rPr>
        <w:t xml:space="preserve"> </w:t>
      </w:r>
      <w:r w:rsidRPr="00E733CD">
        <w:rPr>
          <w:rFonts w:eastAsia="Times New Roman"/>
          <w:iCs/>
          <w:snapToGrid w:val="0"/>
          <w:kern w:val="18"/>
          <w:szCs w:val="18"/>
        </w:rPr>
        <w:t>CBD/SBI/2/8.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1EA0" w:rsidRDefault="00E21EA0" w:rsidP="006F4060">
    <w:pPr>
      <w:pStyle w:val="Header"/>
      <w:tabs>
        <w:tab w:val="clear" w:pos="4320"/>
        <w:tab w:val="clear" w:pos="8640"/>
      </w:tabs>
      <w:jc w:val="left"/>
      <w:rPr>
        <w:noProof/>
        <w:kern w:val="22"/>
        <w:szCs w:val="22"/>
      </w:rPr>
    </w:pPr>
    <w:r w:rsidRPr="00C34607">
      <w:rPr>
        <w:noProof/>
        <w:kern w:val="22"/>
        <w:szCs w:val="22"/>
      </w:rPr>
      <w:t>C</w:t>
    </w:r>
    <w:r>
      <w:rPr>
        <w:noProof/>
        <w:kern w:val="22"/>
        <w:szCs w:val="22"/>
      </w:rPr>
      <w:t>BD/SBI/2/8</w:t>
    </w:r>
  </w:p>
  <w:p w:rsidR="00E21EA0" w:rsidRPr="006F4060" w:rsidRDefault="00E21EA0" w:rsidP="006F4060">
    <w:pPr>
      <w:pStyle w:val="Header"/>
      <w:tabs>
        <w:tab w:val="clear" w:pos="4320"/>
        <w:tab w:val="clear" w:pos="8640"/>
      </w:tabs>
      <w:jc w:val="left"/>
      <w:rPr>
        <w:noProof/>
        <w:kern w:val="22"/>
        <w:szCs w:val="22"/>
      </w:rPr>
    </w:pPr>
    <w:r w:rsidRPr="006F4060">
      <w:rPr>
        <w:noProof/>
        <w:kern w:val="22"/>
        <w:szCs w:val="22"/>
      </w:rPr>
      <w:t xml:space="preserve">Page </w:t>
    </w:r>
    <w:r w:rsidRPr="006F4060">
      <w:rPr>
        <w:bCs/>
        <w:noProof/>
        <w:kern w:val="22"/>
        <w:szCs w:val="22"/>
      </w:rPr>
      <w:fldChar w:fldCharType="begin"/>
    </w:r>
    <w:r w:rsidRPr="006F4060">
      <w:rPr>
        <w:bCs/>
        <w:noProof/>
        <w:kern w:val="22"/>
        <w:szCs w:val="22"/>
      </w:rPr>
      <w:instrText xml:space="preserve"> PAGE </w:instrText>
    </w:r>
    <w:r w:rsidRPr="006F4060">
      <w:rPr>
        <w:bCs/>
        <w:noProof/>
        <w:kern w:val="22"/>
        <w:szCs w:val="22"/>
      </w:rPr>
      <w:fldChar w:fldCharType="separate"/>
    </w:r>
    <w:r w:rsidR="0037796E">
      <w:rPr>
        <w:bCs/>
        <w:noProof/>
        <w:kern w:val="22"/>
        <w:szCs w:val="22"/>
      </w:rPr>
      <w:t>12</w:t>
    </w:r>
    <w:r w:rsidRPr="006F4060">
      <w:rPr>
        <w:bCs/>
        <w:noProof/>
        <w:kern w:val="22"/>
        <w:szCs w:val="22"/>
      </w:rPr>
      <w:fldChar w:fldCharType="end"/>
    </w:r>
  </w:p>
  <w:p w:rsidR="00E21EA0" w:rsidRPr="006F4060" w:rsidRDefault="00E21EA0" w:rsidP="009B2C93">
    <w:pPr>
      <w:pStyle w:val="Header"/>
      <w:tabs>
        <w:tab w:val="clear" w:pos="4320"/>
        <w:tab w:val="clear" w:pos="8640"/>
      </w:tabs>
      <w:jc w:val="left"/>
      <w:rPr>
        <w:noProof/>
        <w:kern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1EA0" w:rsidRDefault="00E21EA0" w:rsidP="006F4060">
    <w:pPr>
      <w:pStyle w:val="Header"/>
      <w:tabs>
        <w:tab w:val="clear" w:pos="4320"/>
        <w:tab w:val="clear" w:pos="8640"/>
      </w:tabs>
      <w:jc w:val="right"/>
      <w:rPr>
        <w:noProof/>
        <w:kern w:val="22"/>
        <w:szCs w:val="22"/>
      </w:rPr>
    </w:pPr>
    <w:r w:rsidRPr="00C34607">
      <w:rPr>
        <w:noProof/>
        <w:kern w:val="22"/>
        <w:szCs w:val="22"/>
      </w:rPr>
      <w:t>C</w:t>
    </w:r>
    <w:r>
      <w:rPr>
        <w:noProof/>
        <w:kern w:val="22"/>
        <w:szCs w:val="22"/>
      </w:rPr>
      <w:t>BD/SBI/2/8</w:t>
    </w:r>
  </w:p>
  <w:p w:rsidR="00E21EA0" w:rsidRPr="006F4060" w:rsidRDefault="00E21EA0" w:rsidP="006F4060">
    <w:pPr>
      <w:pStyle w:val="Header"/>
      <w:tabs>
        <w:tab w:val="clear" w:pos="4320"/>
        <w:tab w:val="clear" w:pos="8640"/>
      </w:tabs>
      <w:jc w:val="right"/>
      <w:rPr>
        <w:noProof/>
        <w:kern w:val="22"/>
        <w:szCs w:val="22"/>
      </w:rPr>
    </w:pPr>
    <w:r w:rsidRPr="006F4060">
      <w:rPr>
        <w:noProof/>
        <w:kern w:val="22"/>
        <w:szCs w:val="22"/>
      </w:rPr>
      <w:t xml:space="preserve">Page </w:t>
    </w:r>
    <w:r w:rsidRPr="006F4060">
      <w:rPr>
        <w:bCs/>
        <w:noProof/>
        <w:kern w:val="22"/>
        <w:szCs w:val="22"/>
      </w:rPr>
      <w:fldChar w:fldCharType="begin"/>
    </w:r>
    <w:r w:rsidRPr="006F4060">
      <w:rPr>
        <w:bCs/>
        <w:noProof/>
        <w:kern w:val="22"/>
        <w:szCs w:val="22"/>
      </w:rPr>
      <w:instrText xml:space="preserve"> PAGE </w:instrText>
    </w:r>
    <w:r w:rsidRPr="006F4060">
      <w:rPr>
        <w:bCs/>
        <w:noProof/>
        <w:kern w:val="22"/>
        <w:szCs w:val="22"/>
      </w:rPr>
      <w:fldChar w:fldCharType="separate"/>
    </w:r>
    <w:r w:rsidR="0037796E">
      <w:rPr>
        <w:bCs/>
        <w:noProof/>
        <w:kern w:val="22"/>
        <w:szCs w:val="22"/>
      </w:rPr>
      <w:t>11</w:t>
    </w:r>
    <w:r w:rsidRPr="006F4060">
      <w:rPr>
        <w:bCs/>
        <w:noProof/>
        <w:kern w:val="22"/>
        <w:szCs w:val="22"/>
      </w:rPr>
      <w:fldChar w:fldCharType="end"/>
    </w:r>
  </w:p>
  <w:p w:rsidR="00E21EA0" w:rsidRPr="006F4060" w:rsidRDefault="00E21EA0" w:rsidP="006F4060">
    <w:pPr>
      <w:pStyle w:val="Header"/>
      <w:tabs>
        <w:tab w:val="clear" w:pos="4320"/>
        <w:tab w:val="clear" w:pos="8640"/>
      </w:tabs>
      <w:jc w:val="right"/>
      <w:rPr>
        <w:noProof/>
        <w:kern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FEA0D3D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787571"/>
    <w:multiLevelType w:val="hybridMultilevel"/>
    <w:tmpl w:val="A33841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2C3A94"/>
    <w:multiLevelType w:val="multilevel"/>
    <w:tmpl w:val="EA429F06"/>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lvlText w:val="(%5)"/>
      <w:lvlJc w:val="righ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3" w15:restartNumberingAfterBreak="0">
    <w:nsid w:val="0B950AC6"/>
    <w:multiLevelType w:val="multilevel"/>
    <w:tmpl w:val="FF5C19E0"/>
    <w:lvl w:ilvl="0">
      <w:start w:val="1"/>
      <w:numFmt w:val="decimal"/>
      <w:pStyle w:val="Para1alternative"/>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2160"/>
        </w:tabs>
        <w:ind w:left="720" w:firstLine="720"/>
      </w:pPr>
      <w:rPr>
        <w:rFonts w:hint="default"/>
        <w:b w:val="0"/>
        <w:i w:val="0"/>
      </w:rPr>
    </w:lvl>
    <w:lvl w:ilvl="2">
      <w:start w:val="1"/>
      <w:numFmt w:val="lowerRoman"/>
      <w:lvlText w:val="(%3)"/>
      <w:lvlJc w:val="right"/>
      <w:pPr>
        <w:tabs>
          <w:tab w:val="num" w:pos="2160"/>
        </w:tabs>
        <w:ind w:left="2160" w:hanging="360"/>
      </w:pPr>
      <w:rPr>
        <w:rFonts w:hint="default"/>
      </w:rPr>
    </w:lvl>
    <w:lvl w:ilvl="3">
      <w:start w:val="1"/>
      <w:numFmt w:val="bullet"/>
      <w:lvlText w:val=""/>
      <w:lvlJc w:val="left"/>
      <w:pPr>
        <w:tabs>
          <w:tab w:val="num" w:pos="2880"/>
        </w:tabs>
        <w:ind w:left="2880" w:hanging="720"/>
      </w:pPr>
      <w:rPr>
        <w:rFonts w:ascii="Symbol" w:hAnsi="Symbol" w:hint="default"/>
        <w:color w:val="auto"/>
        <w:sz w:val="28"/>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4" w15:restartNumberingAfterBreak="0">
    <w:nsid w:val="0F666E41"/>
    <w:multiLevelType w:val="hybridMultilevel"/>
    <w:tmpl w:val="F7423BFE"/>
    <w:lvl w:ilvl="0" w:tplc="CAB40D4C">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A95F2B"/>
    <w:multiLevelType w:val="hybridMultilevel"/>
    <w:tmpl w:val="5970874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E27066"/>
    <w:multiLevelType w:val="hybridMultilevel"/>
    <w:tmpl w:val="F53C862E"/>
    <w:lvl w:ilvl="0" w:tplc="0409000F">
      <w:start w:val="1"/>
      <w:numFmt w:val="decimal"/>
      <w:lvlText w:val="%1."/>
      <w:lvlJc w:val="left"/>
      <w:pPr>
        <w:ind w:left="81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6F2C12"/>
    <w:multiLevelType w:val="hybridMultilevel"/>
    <w:tmpl w:val="D890C452"/>
    <w:lvl w:ilvl="0" w:tplc="CAB40D4C">
      <w:start w:val="1"/>
      <w:numFmt w:val="lowerLetter"/>
      <w:lvlText w:val="(%1)"/>
      <w:lvlJc w:val="left"/>
      <w:pPr>
        <w:ind w:left="720" w:hanging="360"/>
      </w:pPr>
      <w:rPr>
        <w:rFonts w:hint="default"/>
        <w:b w:val="0"/>
        <w:lang w:val="en-G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216FD1"/>
    <w:multiLevelType w:val="multilevel"/>
    <w:tmpl w:val="08AC1BD0"/>
    <w:styleLink w:val="Style2"/>
    <w:lvl w:ilvl="0">
      <w:start w:val="29"/>
      <w:numFmt w:val="lowerLetter"/>
      <w:pStyle w:val="StylePara1Before0pt"/>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upperLetter"/>
      <w:lvlText w:val="%3."/>
      <w:lvlJc w:val="left"/>
      <w:pPr>
        <w:tabs>
          <w:tab w:val="num" w:pos="928"/>
        </w:tabs>
        <w:ind w:left="928"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2A483CD1"/>
    <w:multiLevelType w:val="hybridMultilevel"/>
    <w:tmpl w:val="9C223A58"/>
    <w:lvl w:ilvl="0" w:tplc="CAB40D4C">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D171201"/>
    <w:multiLevelType w:val="multilevel"/>
    <w:tmpl w:val="DE7840AE"/>
    <w:lvl w:ilvl="0">
      <w:start w:val="1"/>
      <w:numFmt w:val="decimal"/>
      <w:pStyle w:val="Para"/>
      <w:lvlText w:val="%1."/>
      <w:lvlJc w:val="left"/>
      <w:pPr>
        <w:tabs>
          <w:tab w:val="num" w:pos="360"/>
        </w:tabs>
        <w:ind w:left="0" w:firstLine="0"/>
      </w:pPr>
    </w:lvl>
    <w:lvl w:ilvl="1">
      <w:start w:val="1"/>
      <w:numFmt w:val="lowerLetter"/>
      <w:lvlText w:val="(%2)"/>
      <w:lvlJc w:val="left"/>
      <w:pPr>
        <w:tabs>
          <w:tab w:val="num" w:pos="1080"/>
        </w:tabs>
        <w:ind w:left="720" w:firstLine="0"/>
      </w:pPr>
    </w:lvl>
    <w:lvl w:ilvl="2">
      <w:start w:val="1"/>
      <w:numFmt w:val="lowerRoman"/>
      <w:lvlText w:val="(%3)"/>
      <w:lvlJc w:val="left"/>
      <w:pPr>
        <w:tabs>
          <w:tab w:val="num" w:pos="2160"/>
        </w:tabs>
        <w:ind w:left="1440" w:firstLine="0"/>
      </w:pPr>
    </w:lvl>
    <w:lvl w:ilvl="3">
      <w:start w:val="1"/>
      <w:numFmt w:val="lowerLetter"/>
      <w:lvlText w:val="%4."/>
      <w:lvlJc w:val="left"/>
      <w:pPr>
        <w:tabs>
          <w:tab w:val="num" w:pos="2520"/>
        </w:tabs>
        <w:ind w:left="2160" w:firstLine="0"/>
      </w:pPr>
    </w:lvl>
    <w:lvl w:ilvl="4">
      <w:start w:val="1"/>
      <w:numFmt w:val="lowerRoman"/>
      <w:lvlText w:val="%5."/>
      <w:lvlJc w:val="left"/>
      <w:pPr>
        <w:tabs>
          <w:tab w:val="num" w:pos="3600"/>
        </w:tabs>
        <w:ind w:left="2880" w:firstLine="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2EDB318A"/>
    <w:multiLevelType w:val="hybridMultilevel"/>
    <w:tmpl w:val="632E4938"/>
    <w:lvl w:ilvl="0" w:tplc="611A9E6C">
      <w:start w:val="1"/>
      <w:numFmt w:val="lowerLetter"/>
      <w:pStyle w:val="Heading4"/>
      <w:lvlText w:val="(%1)"/>
      <w:lvlJc w:val="left"/>
      <w:pPr>
        <w:tabs>
          <w:tab w:val="num" w:pos="720"/>
        </w:tabs>
        <w:ind w:left="720" w:hanging="720"/>
      </w:pPr>
      <w:rPr>
        <w:rFonts w:ascii="Times New Roman" w:hAnsi="Times New Roman" w:cs="Times New Roman" w:hint="default"/>
        <w:b w:val="0"/>
        <w:i/>
        <w:sz w:val="22"/>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 w15:restartNumberingAfterBreak="0">
    <w:nsid w:val="2F0336B8"/>
    <w:multiLevelType w:val="multilevel"/>
    <w:tmpl w:val="A644F2E6"/>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3" w15:restartNumberingAfterBreak="0">
    <w:nsid w:val="30D63FD4"/>
    <w:multiLevelType w:val="multilevel"/>
    <w:tmpl w:val="A8AC4E46"/>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Letter"/>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4" w15:restartNumberingAfterBreak="0">
    <w:nsid w:val="31A54494"/>
    <w:multiLevelType w:val="hybridMultilevel"/>
    <w:tmpl w:val="2E3ACA98"/>
    <w:lvl w:ilvl="0" w:tplc="CAB40D4C">
      <w:start w:val="1"/>
      <w:numFmt w:val="lowerLetter"/>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6B77AF"/>
    <w:multiLevelType w:val="hybridMultilevel"/>
    <w:tmpl w:val="8E304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447337C"/>
    <w:multiLevelType w:val="multilevel"/>
    <w:tmpl w:val="EA429F06"/>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lvlText w:val="(%5)"/>
      <w:lvlJc w:val="righ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7" w15:restartNumberingAfterBreak="0">
    <w:nsid w:val="3AEB0B1E"/>
    <w:multiLevelType w:val="multilevel"/>
    <w:tmpl w:val="E07EC098"/>
    <w:lvl w:ilvl="0">
      <w:start w:val="1"/>
      <w:numFmt w:val="decimal"/>
      <w:pStyle w:val="para2"/>
      <w:lvlText w:val="%1."/>
      <w:lvlJc w:val="left"/>
      <w:pPr>
        <w:tabs>
          <w:tab w:val="num" w:pos="360"/>
        </w:tabs>
        <w:ind w:left="0" w:firstLine="0"/>
      </w:pPr>
      <w:rPr>
        <w:rFonts w:hint="default"/>
      </w:rPr>
    </w:lvl>
    <w:lvl w:ilvl="1">
      <w:start w:val="1"/>
      <w:numFmt w:val="lowerLetter"/>
      <w:lvlText w:val="(%2)"/>
      <w:lvlJc w:val="left"/>
      <w:pPr>
        <w:tabs>
          <w:tab w:val="num" w:pos="1080"/>
        </w:tabs>
        <w:ind w:left="0" w:firstLine="720"/>
      </w:pPr>
      <w:rPr>
        <w:rFonts w:hint="default"/>
      </w:rPr>
    </w:lvl>
    <w:lvl w:ilvl="2">
      <w:start w:val="1"/>
      <w:numFmt w:val="lowerRoman"/>
      <w:lvlText w:val="(%3)"/>
      <w:lvlJc w:val="right"/>
      <w:pPr>
        <w:tabs>
          <w:tab w:val="num" w:pos="2736"/>
        </w:tabs>
        <w:ind w:left="2736" w:hanging="432"/>
      </w:pPr>
      <w:rPr>
        <w:rFonts w:hint="default"/>
      </w:rPr>
    </w:lvl>
    <w:lvl w:ilvl="3">
      <w:start w:val="1"/>
      <w:numFmt w:val="decimal"/>
      <w:lvlText w:val="a."/>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8" w15:restartNumberingAfterBreak="0">
    <w:nsid w:val="3B2A0643"/>
    <w:multiLevelType w:val="hybridMultilevel"/>
    <w:tmpl w:val="2AE4F4DE"/>
    <w:lvl w:ilvl="0" w:tplc="703E8A0C">
      <w:start w:val="1"/>
      <w:numFmt w:val="bullet"/>
      <w:lvlText w:val=""/>
      <w:lvlJc w:val="left"/>
      <w:pPr>
        <w:ind w:left="720" w:hanging="360"/>
      </w:pPr>
      <w:rPr>
        <w:rFonts w:ascii="Symbol" w:hAnsi="Symbol" w:hint="default"/>
        <w:lang w:val="en-G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CE43C91"/>
    <w:multiLevelType w:val="singleLevel"/>
    <w:tmpl w:val="B36A8C58"/>
    <w:lvl w:ilvl="0">
      <w:start w:val="1"/>
      <w:numFmt w:val="decimal"/>
      <w:pStyle w:val="Paranum"/>
      <w:lvlText w:val="%1."/>
      <w:lvlJc w:val="left"/>
      <w:pPr>
        <w:tabs>
          <w:tab w:val="num" w:pos="360"/>
        </w:tabs>
        <w:ind w:left="0" w:firstLine="0"/>
      </w:pPr>
    </w:lvl>
  </w:abstractNum>
  <w:abstractNum w:abstractNumId="20" w15:restartNumberingAfterBreak="0">
    <w:nsid w:val="44CC7FBB"/>
    <w:multiLevelType w:val="hybridMultilevel"/>
    <w:tmpl w:val="80D60170"/>
    <w:lvl w:ilvl="0" w:tplc="1CECD010">
      <w:start w:val="1"/>
      <w:numFmt w:val="lowerLetter"/>
      <w:lvlRestart w:val="0"/>
      <w:pStyle w:val="aident"/>
      <w:lvlText w:val="(%1)"/>
      <w:lvlJc w:val="left"/>
      <w:pPr>
        <w:tabs>
          <w:tab w:val="num" w:pos="1077"/>
        </w:tabs>
        <w:ind w:left="1077" w:hanging="357"/>
      </w:pPr>
      <w:rPr>
        <w:rFonts w:ascii="Times New Roman" w:hAnsi="Times New Roman" w:hint="default"/>
        <w:b w:val="0"/>
        <w:i w:val="0"/>
        <w:sz w:val="22"/>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1" w15:restartNumberingAfterBreak="0">
    <w:nsid w:val="48E4287B"/>
    <w:multiLevelType w:val="multilevel"/>
    <w:tmpl w:val="DA489A90"/>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800"/>
        </w:tabs>
        <w:ind w:left="1800" w:hanging="720"/>
      </w:pPr>
    </w:lvl>
    <w:lvl w:ilvl="3">
      <w:start w:val="1"/>
      <w:numFmt w:val="decimal"/>
      <w:pStyle w:val="para4"/>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9E93595"/>
    <w:multiLevelType w:val="multilevel"/>
    <w:tmpl w:val="4E1C0192"/>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pStyle w:val="Style1"/>
      <w:lvlText w:val="(%2)"/>
      <w:lvlJc w:val="left"/>
      <w:pPr>
        <w:tabs>
          <w:tab w:val="num" w:pos="1800"/>
        </w:tabs>
        <w:ind w:left="0" w:firstLine="1440"/>
      </w:pPr>
      <w:rPr>
        <w:rFonts w:hint="default"/>
        <w:b w:val="0"/>
        <w:i w:val="0"/>
        <w:sz w:val="22"/>
      </w:rPr>
    </w:lvl>
    <w:lvl w:ilvl="2">
      <w:start w:val="1"/>
      <w:numFmt w:val="lowerRoman"/>
      <w:lvlText w:val="(%3)"/>
      <w:lvlJc w:val="right"/>
      <w:pPr>
        <w:tabs>
          <w:tab w:val="num" w:pos="2520"/>
        </w:tabs>
        <w:ind w:left="2520" w:hanging="360"/>
      </w:pPr>
      <w:rPr>
        <w:rFonts w:hint="default"/>
      </w:rPr>
    </w:lvl>
    <w:lvl w:ilvl="3">
      <w:start w:val="1"/>
      <w:numFmt w:val="bullet"/>
      <w:lvlText w:val=""/>
      <w:lvlJc w:val="left"/>
      <w:pPr>
        <w:tabs>
          <w:tab w:val="num" w:pos="2952"/>
        </w:tabs>
        <w:ind w:left="2952" w:hanging="432"/>
      </w:pPr>
      <w:rPr>
        <w:rFonts w:ascii="Symbol" w:hAnsi="Symbol" w:hint="default"/>
        <w:color w:val="auto"/>
        <w:sz w:val="28"/>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23" w15:restartNumberingAfterBreak="0">
    <w:nsid w:val="4B6A668C"/>
    <w:multiLevelType w:val="hybridMultilevel"/>
    <w:tmpl w:val="7DA6BAE6"/>
    <w:lvl w:ilvl="0" w:tplc="BAF00FD0">
      <w:start w:val="1"/>
      <w:numFmt w:val="decimal"/>
      <w:pStyle w:val="Numbering"/>
      <w:lvlText w:val="%1."/>
      <w:lvlJc w:val="left"/>
      <w:pPr>
        <w:tabs>
          <w:tab w:val="num" w:pos="720"/>
        </w:tabs>
      </w:pPr>
      <w:rPr>
        <w:rFonts w:cs="Times New Roman" w:hint="default"/>
      </w:rPr>
    </w:lvl>
    <w:lvl w:ilvl="1" w:tplc="A064BA8E">
      <w:start w:val="2"/>
      <w:numFmt w:val="upperRoman"/>
      <w:lvlText w:val="%2."/>
      <w:lvlJc w:val="left"/>
      <w:pPr>
        <w:tabs>
          <w:tab w:val="num" w:pos="1860"/>
        </w:tabs>
        <w:ind w:left="1860" w:hanging="78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4BFA6960"/>
    <w:multiLevelType w:val="hybridMultilevel"/>
    <w:tmpl w:val="AABC7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E0442B4"/>
    <w:multiLevelType w:val="multilevel"/>
    <w:tmpl w:val="6406B29E"/>
    <w:lvl w:ilvl="0">
      <w:start w:val="1"/>
      <w:numFmt w:val="decimal"/>
      <w:lvlText w:val="%1."/>
      <w:lvlJc w:val="left"/>
      <w:pPr>
        <w:tabs>
          <w:tab w:val="num" w:pos="360"/>
        </w:tabs>
        <w:ind w:left="0" w:firstLine="0"/>
      </w:pPr>
      <w:rPr>
        <w:rFonts w:ascii="Times New Roman" w:eastAsia="MS Mincho" w:hAnsi="Times New Roman" w:cs="Angsana New"/>
        <w:b w:val="0"/>
        <w:i w:val="0"/>
        <w:sz w:val="22"/>
        <w:szCs w:val="22"/>
      </w:rPr>
    </w:lvl>
    <w:lvl w:ilvl="1">
      <w:start w:val="1"/>
      <w:numFmt w:val="lowerLetter"/>
      <w:lvlText w:val="(%2)"/>
      <w:lvlJc w:val="left"/>
      <w:pPr>
        <w:tabs>
          <w:tab w:val="num" w:pos="1440"/>
        </w:tabs>
        <w:ind w:left="0" w:firstLine="720"/>
      </w:pPr>
      <w:rPr>
        <w:rFonts w:hint="default"/>
        <w:b w:val="0"/>
        <w:i w:val="0"/>
      </w:rPr>
    </w:lvl>
    <w:lvl w:ilvl="2">
      <w:start w:val="1"/>
      <w:numFmt w:val="lowerRoman"/>
      <w:pStyle w:val="Para3"/>
      <w:lvlText w:val="(%3)"/>
      <w:lvlJc w:val="right"/>
      <w:pPr>
        <w:tabs>
          <w:tab w:val="num" w:pos="1260"/>
        </w:tabs>
        <w:ind w:left="1260" w:hanging="360"/>
      </w:pPr>
      <w:rPr>
        <w:rFonts w:hint="default"/>
      </w:rPr>
    </w:lvl>
    <w:lvl w:ilvl="3">
      <w:start w:val="1"/>
      <w:numFmt w:val="lowerRoman"/>
      <w:lvlText w:val="%4."/>
      <w:lvlJc w:val="right"/>
      <w:pPr>
        <w:tabs>
          <w:tab w:val="num" w:pos="2160"/>
        </w:tabs>
        <w:ind w:left="2160" w:hanging="720"/>
      </w:pPr>
      <w:rPr>
        <w:rFonts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60"/>
        </w:tabs>
        <w:ind w:left="36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15:restartNumberingAfterBreak="0">
    <w:nsid w:val="51561892"/>
    <w:multiLevelType w:val="multilevel"/>
    <w:tmpl w:val="EA429F06"/>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lvlText w:val="(%5)"/>
      <w:lvlJc w:val="righ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7" w15:restartNumberingAfterBreak="0">
    <w:nsid w:val="52FA0D9A"/>
    <w:multiLevelType w:val="multilevel"/>
    <w:tmpl w:val="187822A4"/>
    <w:lvl w:ilvl="0">
      <w:start w:val="1"/>
      <w:numFmt w:val="decimal"/>
      <w:pStyle w:val="Para1-Annex"/>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15:restartNumberingAfterBreak="0">
    <w:nsid w:val="53E40D26"/>
    <w:multiLevelType w:val="multilevel"/>
    <w:tmpl w:val="A8AC4E46"/>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Letter"/>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9" w15:restartNumberingAfterBreak="0">
    <w:nsid w:val="590F6E7D"/>
    <w:multiLevelType w:val="multilevel"/>
    <w:tmpl w:val="10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0" w15:restartNumberingAfterBreak="0">
    <w:nsid w:val="607C4B96"/>
    <w:multiLevelType w:val="multilevel"/>
    <w:tmpl w:val="A8AC4E46"/>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Letter"/>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31" w15:restartNumberingAfterBreak="0">
    <w:nsid w:val="608F162D"/>
    <w:multiLevelType w:val="multilevel"/>
    <w:tmpl w:val="EA429F06"/>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lvlText w:val="(%5)"/>
      <w:lvlJc w:val="righ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32" w15:restartNumberingAfterBreak="0">
    <w:nsid w:val="64EE46A3"/>
    <w:multiLevelType w:val="hybridMultilevel"/>
    <w:tmpl w:val="8CEA9782"/>
    <w:lvl w:ilvl="0" w:tplc="CF940006">
      <w:start w:val="1"/>
      <w:numFmt w:val="decimal"/>
      <w:lvlText w:val="%1."/>
      <w:lvlJc w:val="left"/>
      <w:pPr>
        <w:ind w:left="1260" w:hanging="360"/>
      </w:pPr>
      <w:rPr>
        <w:b w:val="0"/>
        <w:i w:val="0"/>
        <w:sz w:val="22"/>
        <w:lang w:val="en-GB"/>
      </w:rPr>
    </w:lvl>
    <w:lvl w:ilvl="1" w:tplc="4BFC5A3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5357F78"/>
    <w:multiLevelType w:val="hybridMultilevel"/>
    <w:tmpl w:val="E59652FE"/>
    <w:lvl w:ilvl="0" w:tplc="FFFFFFFF">
      <w:start w:val="1"/>
      <w:numFmt w:val="decimal"/>
      <w:pStyle w:val="Paraofficial"/>
      <w:lvlText w:val="%1."/>
      <w:lvlJc w:val="left"/>
      <w:pPr>
        <w:tabs>
          <w:tab w:val="num" w:pos="1080"/>
        </w:tabs>
        <w:ind w:left="0" w:firstLine="720"/>
      </w:pPr>
      <w:rPr>
        <w:rFonts w:hint="default"/>
      </w:r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34" w15:restartNumberingAfterBreak="0">
    <w:nsid w:val="665110F8"/>
    <w:multiLevelType w:val="hybridMultilevel"/>
    <w:tmpl w:val="539CEA60"/>
    <w:lvl w:ilvl="0" w:tplc="94E6D710">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35308E7"/>
    <w:multiLevelType w:val="hybridMultilevel"/>
    <w:tmpl w:val="7334FF6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5840771"/>
    <w:multiLevelType w:val="multilevel"/>
    <w:tmpl w:val="3DEA8BC6"/>
    <w:lvl w:ilvl="0">
      <w:start w:val="1"/>
      <w:numFmt w:val="decimal"/>
      <w:lvlText w:val="%1."/>
      <w:lvlJc w:val="left"/>
      <w:pPr>
        <w:tabs>
          <w:tab w:val="num" w:pos="720"/>
        </w:tabs>
        <w:ind w:left="720" w:hanging="720"/>
      </w:pPr>
      <w:rPr>
        <w:rFonts w:cs="Times New Roman" w:hint="default"/>
      </w:rPr>
    </w:lvl>
    <w:lvl w:ilvl="1">
      <w:start w:val="1"/>
      <w:numFmt w:val="lowerLetter"/>
      <w:pStyle w:val="Activity"/>
      <w:lvlText w:val="(%2)"/>
      <w:lvlJc w:val="left"/>
      <w:pPr>
        <w:tabs>
          <w:tab w:val="num" w:pos="1440"/>
        </w:tabs>
        <w:ind w:left="1440" w:hanging="720"/>
      </w:pPr>
      <w:rPr>
        <w:rFonts w:cs="Times New Roman" w:hint="default"/>
        <w:b w:val="0"/>
        <w:i w:val="0"/>
        <w:caps w:val="0"/>
        <w:vanish w:val="0"/>
        <w:sz w:val="22"/>
      </w:rPr>
    </w:lvl>
    <w:lvl w:ilvl="2">
      <w:start w:val="1"/>
      <w:numFmt w:val="none"/>
      <w:isLgl/>
      <w:lvlText w:val="1."/>
      <w:lvlJc w:val="left"/>
      <w:pPr>
        <w:tabs>
          <w:tab w:val="num" w:pos="1440"/>
        </w:tabs>
        <w:ind w:left="1440" w:hanging="720"/>
      </w:pPr>
      <w:rPr>
        <w:rFonts w:cs="Times New Roman" w:hint="default"/>
      </w:rPr>
    </w:lvl>
    <w:lvl w:ilvl="3">
      <w:start w:val="1"/>
      <w:numFmt w:val="decimal"/>
      <w:isLgl/>
      <w:lvlText w:val="%1.%2.%3.%4"/>
      <w:lvlJc w:val="left"/>
      <w:pPr>
        <w:tabs>
          <w:tab w:val="num" w:pos="2160"/>
        </w:tabs>
        <w:ind w:left="2160" w:hanging="1080"/>
      </w:pPr>
      <w:rPr>
        <w:rFonts w:cs="Times New Roman" w:hint="default"/>
      </w:rPr>
    </w:lvl>
    <w:lvl w:ilvl="4">
      <w:start w:val="1"/>
      <w:numFmt w:val="decimal"/>
      <w:isLgl/>
      <w:lvlText w:val="%1.%2.%3.%4.%5"/>
      <w:lvlJc w:val="left"/>
      <w:pPr>
        <w:tabs>
          <w:tab w:val="num" w:pos="2520"/>
        </w:tabs>
        <w:ind w:left="2520" w:hanging="1080"/>
      </w:pPr>
      <w:rPr>
        <w:rFonts w:cs="Times New Roman" w:hint="default"/>
      </w:rPr>
    </w:lvl>
    <w:lvl w:ilvl="5">
      <w:start w:val="1"/>
      <w:numFmt w:val="decimal"/>
      <w:isLgl/>
      <w:lvlText w:val="%1.%2.%3.%4.%5.%6"/>
      <w:lvlJc w:val="left"/>
      <w:pPr>
        <w:tabs>
          <w:tab w:val="num" w:pos="3240"/>
        </w:tabs>
        <w:ind w:left="3240" w:hanging="1440"/>
      </w:pPr>
      <w:rPr>
        <w:rFonts w:cs="Times New Roman" w:hint="default"/>
      </w:rPr>
    </w:lvl>
    <w:lvl w:ilvl="6">
      <w:start w:val="1"/>
      <w:numFmt w:val="decimal"/>
      <w:isLgl/>
      <w:lvlText w:val="%1.%2.%3.%4.%5.%6.%7"/>
      <w:lvlJc w:val="left"/>
      <w:pPr>
        <w:tabs>
          <w:tab w:val="num" w:pos="3600"/>
        </w:tabs>
        <w:ind w:left="3600" w:hanging="1440"/>
      </w:pPr>
      <w:rPr>
        <w:rFonts w:cs="Times New Roman" w:hint="default"/>
      </w:rPr>
    </w:lvl>
    <w:lvl w:ilvl="7">
      <w:start w:val="1"/>
      <w:numFmt w:val="decimal"/>
      <w:isLgl/>
      <w:lvlText w:val="%1.%2.%3.%4.%5.%6.%7.%8"/>
      <w:lvlJc w:val="left"/>
      <w:pPr>
        <w:tabs>
          <w:tab w:val="num" w:pos="4320"/>
        </w:tabs>
        <w:ind w:left="4320" w:hanging="1800"/>
      </w:pPr>
      <w:rPr>
        <w:rFonts w:cs="Times New Roman" w:hint="default"/>
      </w:rPr>
    </w:lvl>
    <w:lvl w:ilvl="8">
      <w:start w:val="1"/>
      <w:numFmt w:val="decimal"/>
      <w:isLgl/>
      <w:lvlText w:val="%1.%2.%3.%4.%5.%6.%7.%8.%9"/>
      <w:lvlJc w:val="left"/>
      <w:pPr>
        <w:tabs>
          <w:tab w:val="num" w:pos="4680"/>
        </w:tabs>
        <w:ind w:left="4680" w:hanging="1800"/>
      </w:pPr>
      <w:rPr>
        <w:rFonts w:cs="Times New Roman" w:hint="default"/>
      </w:rPr>
    </w:lvl>
  </w:abstractNum>
  <w:abstractNum w:abstractNumId="37" w15:restartNumberingAfterBreak="0">
    <w:nsid w:val="7CBD3463"/>
    <w:multiLevelType w:val="hybridMultilevel"/>
    <w:tmpl w:val="DCD6AA54"/>
    <w:lvl w:ilvl="0" w:tplc="CAB40D4C">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DC952E0"/>
    <w:multiLevelType w:val="hybridMultilevel"/>
    <w:tmpl w:val="4C7C827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22"/>
  </w:num>
  <w:num w:numId="3">
    <w:abstractNumId w:val="20"/>
    <w:lvlOverride w:ilvl="0">
      <w:startOverride w:val="1"/>
    </w:lvlOverride>
  </w:num>
  <w:num w:numId="4">
    <w:abstractNumId w:val="3"/>
  </w:num>
  <w:num w:numId="5">
    <w:abstractNumId w:val="12"/>
  </w:num>
  <w:num w:numId="6">
    <w:abstractNumId w:val="33"/>
  </w:num>
  <w:num w:numId="7">
    <w:abstractNumId w:val="27"/>
  </w:num>
  <w:num w:numId="8">
    <w:abstractNumId w:val="17"/>
  </w:num>
  <w:num w:numId="9">
    <w:abstractNumId w:val="21"/>
  </w:num>
  <w:num w:numId="10">
    <w:abstractNumId w:val="19"/>
  </w:num>
  <w:num w:numId="11">
    <w:abstractNumId w:val="29"/>
  </w:num>
  <w:num w:numId="12">
    <w:abstractNumId w:val="8"/>
  </w:num>
  <w:num w:numId="13">
    <w:abstractNumId w:val="25"/>
  </w:num>
  <w:num w:numId="14">
    <w:abstractNumId w:val="32"/>
  </w:num>
  <w:num w:numId="15">
    <w:abstractNumId w:val="11"/>
  </w:num>
  <w:num w:numId="16">
    <w:abstractNumId w:val="36"/>
  </w:num>
  <w:num w:numId="17">
    <w:abstractNumId w:val="23"/>
  </w:num>
  <w:num w:numId="18">
    <w:abstractNumId w:val="0"/>
  </w:num>
  <w:num w:numId="19">
    <w:abstractNumId w:val="24"/>
  </w:num>
  <w:num w:numId="20">
    <w:abstractNumId w:val="5"/>
  </w:num>
  <w:num w:numId="21">
    <w:abstractNumId w:val="13"/>
  </w:num>
  <w:num w:numId="22">
    <w:abstractNumId w:val="28"/>
  </w:num>
  <w:num w:numId="23">
    <w:abstractNumId w:val="18"/>
  </w:num>
  <w:num w:numId="24">
    <w:abstractNumId w:val="15"/>
  </w:num>
  <w:num w:numId="25">
    <w:abstractNumId w:val="2"/>
  </w:num>
  <w:num w:numId="26">
    <w:abstractNumId w:val="1"/>
  </w:num>
  <w:num w:numId="27">
    <w:abstractNumId w:val="38"/>
  </w:num>
  <w:num w:numId="28">
    <w:abstractNumId w:val="30"/>
  </w:num>
  <w:num w:numId="29">
    <w:abstractNumId w:val="12"/>
  </w:num>
  <w:num w:numId="30">
    <w:abstractNumId w:val="31"/>
  </w:num>
  <w:num w:numId="31">
    <w:abstractNumId w:val="12"/>
  </w:num>
  <w:num w:numId="32">
    <w:abstractNumId w:val="12"/>
  </w:num>
  <w:num w:numId="33">
    <w:abstractNumId w:val="12"/>
  </w:num>
  <w:num w:numId="34">
    <w:abstractNumId w:val="12"/>
  </w:num>
  <w:num w:numId="35">
    <w:abstractNumId w:val="16"/>
  </w:num>
  <w:num w:numId="36">
    <w:abstractNumId w:val="12"/>
  </w:num>
  <w:num w:numId="37">
    <w:abstractNumId w:val="12"/>
  </w:num>
  <w:num w:numId="38">
    <w:abstractNumId w:val="12"/>
  </w:num>
  <w:num w:numId="39">
    <w:abstractNumId w:val="12"/>
  </w:num>
  <w:num w:numId="40">
    <w:abstractNumId w:val="26"/>
  </w:num>
  <w:num w:numId="41">
    <w:abstractNumId w:val="12"/>
  </w:num>
  <w:num w:numId="42">
    <w:abstractNumId w:val="34"/>
  </w:num>
  <w:num w:numId="43">
    <w:abstractNumId w:val="6"/>
  </w:num>
  <w:num w:numId="44">
    <w:abstractNumId w:val="9"/>
  </w:num>
  <w:num w:numId="45">
    <w:abstractNumId w:val="37"/>
  </w:num>
  <w:num w:numId="46">
    <w:abstractNumId w:val="4"/>
  </w:num>
  <w:num w:numId="47">
    <w:abstractNumId w:val="35"/>
  </w:num>
  <w:num w:numId="48">
    <w:abstractNumId w:val="14"/>
  </w:num>
  <w:num w:numId="49">
    <w:abstractNumId w:val="7"/>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5" w:nlCheck="1" w:checkStyle="1"/>
  <w:activeWritingStyle w:appName="MSWord" w:lang="en-US" w:vendorID="64" w:dllVersion="5" w:nlCheck="1" w:checkStyle="1"/>
  <w:activeWritingStyle w:appName="MSWord" w:lang="en-GB" w:vendorID="64" w:dllVersion="6" w:nlCheck="1" w:checkStyle="1"/>
  <w:activeWritingStyle w:appName="MSWord" w:lang="fr-CA" w:vendorID="64" w:dllVersion="6" w:nlCheck="1" w:checkStyle="1"/>
  <w:activeWritingStyle w:appName="MSWord" w:lang="en-US" w:vendorID="64" w:dllVersion="6" w:nlCheck="1" w:checkStyle="1"/>
  <w:activeWritingStyle w:appName="MSWord" w:lang="fr-FR" w:vendorID="64" w:dllVersion="6" w:nlCheck="1" w:checkStyle="1"/>
  <w:activeWritingStyle w:appName="MSWord" w:lang="es-ES_tradnl" w:vendorID="64" w:dllVersion="6" w:nlCheck="1" w:checkStyle="1"/>
  <w:activeWritingStyle w:appName="MSWord" w:lang="es-AR" w:vendorID="64" w:dllVersion="6" w:nlCheck="1" w:checkStyle="1"/>
  <w:activeWritingStyle w:appName="MSWord" w:lang="en-CA" w:vendorID="64" w:dllVersion="6" w:nlCheck="1" w:checkStyle="1"/>
  <w:activeWritingStyle w:appName="MSWord" w:lang="en-GB" w:vendorID="64" w:dllVersion="4096" w:nlCheck="1" w:checkStyle="0"/>
  <w:activeWritingStyle w:appName="MSWord" w:lang="en-CA" w:vendorID="64" w:dllVersion="4096" w:nlCheck="1" w:checkStyle="0"/>
  <w:activeWritingStyle w:appName="MSWord" w:lang="en-US" w:vendorID="64" w:dllVersion="4096" w:nlCheck="1" w:checkStyle="0"/>
  <w:activeWritingStyle w:appName="MSWord" w:lang="fr-FR" w:vendorID="64" w:dllVersion="4096" w:nlCheck="1" w:checkStyle="0"/>
  <w:activeWritingStyle w:appName="MSWord" w:lang="en-GB" w:vendorID="64" w:dllVersion="0" w:nlCheck="1" w:checkStyle="0"/>
  <w:activeWritingStyle w:appName="MSWord" w:lang="en-CA" w:vendorID="64" w:dllVersion="0" w:nlCheck="1" w:checkStyle="0"/>
  <w:activeWritingStyle w:appName="MSWord" w:lang="fr-FR" w:vendorID="64" w:dllVersion="0" w:nlCheck="1" w:checkStyle="0"/>
  <w:activeWritingStyle w:appName="MSWord" w:lang="en-U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10"/>
  <w:displayHorizontalDrawingGridEvery w:val="0"/>
  <w:displayVerticalDrawingGridEvery w:val="0"/>
  <w:noPunctuationKerning/>
  <w:characterSpacingControl w:val="doNotCompress"/>
  <w:hdrShapeDefaults>
    <o:shapedefaults v:ext="edit" spidmax="11265">
      <v:textbox inset="5.85pt,.7pt,5.85pt,.7pt"/>
    </o:shapedefaults>
  </w:hdrShapeDefaults>
  <w:footnotePr>
    <w:footnote w:id="-1"/>
    <w:footnote w:id="0"/>
  </w:footnotePr>
  <w:endnotePr>
    <w:endnote w:id="-1"/>
    <w:endnote w:id="0"/>
  </w:endnotePr>
  <w:compat>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4E0F"/>
    <w:rsid w:val="0000395C"/>
    <w:rsid w:val="00005724"/>
    <w:rsid w:val="00006A12"/>
    <w:rsid w:val="00006C15"/>
    <w:rsid w:val="00006E94"/>
    <w:rsid w:val="0000752C"/>
    <w:rsid w:val="0000799F"/>
    <w:rsid w:val="000106CB"/>
    <w:rsid w:val="00011546"/>
    <w:rsid w:val="00011D38"/>
    <w:rsid w:val="000130EE"/>
    <w:rsid w:val="000137DC"/>
    <w:rsid w:val="00013D92"/>
    <w:rsid w:val="000157BF"/>
    <w:rsid w:val="00015F50"/>
    <w:rsid w:val="0001785A"/>
    <w:rsid w:val="00017CA7"/>
    <w:rsid w:val="00023D05"/>
    <w:rsid w:val="00025298"/>
    <w:rsid w:val="0002569C"/>
    <w:rsid w:val="000261A5"/>
    <w:rsid w:val="00026D45"/>
    <w:rsid w:val="000270CE"/>
    <w:rsid w:val="000271F9"/>
    <w:rsid w:val="00030AFA"/>
    <w:rsid w:val="00031DFC"/>
    <w:rsid w:val="0003261C"/>
    <w:rsid w:val="000332D4"/>
    <w:rsid w:val="0003374F"/>
    <w:rsid w:val="00033DAA"/>
    <w:rsid w:val="000343CD"/>
    <w:rsid w:val="00036EC8"/>
    <w:rsid w:val="0003703A"/>
    <w:rsid w:val="000379C5"/>
    <w:rsid w:val="00037B77"/>
    <w:rsid w:val="00040CD4"/>
    <w:rsid w:val="00040D2C"/>
    <w:rsid w:val="00040DEC"/>
    <w:rsid w:val="0004131C"/>
    <w:rsid w:val="00043AD0"/>
    <w:rsid w:val="00044448"/>
    <w:rsid w:val="00045D03"/>
    <w:rsid w:val="00050FA5"/>
    <w:rsid w:val="000512DF"/>
    <w:rsid w:val="00051567"/>
    <w:rsid w:val="000521F3"/>
    <w:rsid w:val="00052283"/>
    <w:rsid w:val="00052C88"/>
    <w:rsid w:val="00053A1F"/>
    <w:rsid w:val="00056CCC"/>
    <w:rsid w:val="00057114"/>
    <w:rsid w:val="000577B0"/>
    <w:rsid w:val="00057950"/>
    <w:rsid w:val="000604C1"/>
    <w:rsid w:val="000609D1"/>
    <w:rsid w:val="000615F9"/>
    <w:rsid w:val="00062983"/>
    <w:rsid w:val="00062E18"/>
    <w:rsid w:val="00063203"/>
    <w:rsid w:val="00063619"/>
    <w:rsid w:val="000644E6"/>
    <w:rsid w:val="00065397"/>
    <w:rsid w:val="00065E05"/>
    <w:rsid w:val="0006714C"/>
    <w:rsid w:val="0007070D"/>
    <w:rsid w:val="00070E02"/>
    <w:rsid w:val="000719F5"/>
    <w:rsid w:val="00071E24"/>
    <w:rsid w:val="00073903"/>
    <w:rsid w:val="00074692"/>
    <w:rsid w:val="00074D8A"/>
    <w:rsid w:val="000754B6"/>
    <w:rsid w:val="000768AB"/>
    <w:rsid w:val="00076DAA"/>
    <w:rsid w:val="00077FE1"/>
    <w:rsid w:val="00081A12"/>
    <w:rsid w:val="000829BC"/>
    <w:rsid w:val="00082AF6"/>
    <w:rsid w:val="00082BF6"/>
    <w:rsid w:val="00083167"/>
    <w:rsid w:val="00083F57"/>
    <w:rsid w:val="00084DE7"/>
    <w:rsid w:val="00085304"/>
    <w:rsid w:val="000857B8"/>
    <w:rsid w:val="000857F4"/>
    <w:rsid w:val="0008586B"/>
    <w:rsid w:val="00090E40"/>
    <w:rsid w:val="000927B5"/>
    <w:rsid w:val="00093501"/>
    <w:rsid w:val="000937AA"/>
    <w:rsid w:val="000948E5"/>
    <w:rsid w:val="00094C9B"/>
    <w:rsid w:val="00095BBA"/>
    <w:rsid w:val="00095FB3"/>
    <w:rsid w:val="000962A9"/>
    <w:rsid w:val="0009645C"/>
    <w:rsid w:val="000A0D20"/>
    <w:rsid w:val="000A2EF5"/>
    <w:rsid w:val="000A37DF"/>
    <w:rsid w:val="000A3E0B"/>
    <w:rsid w:val="000A6299"/>
    <w:rsid w:val="000A6ED7"/>
    <w:rsid w:val="000B11A5"/>
    <w:rsid w:val="000B19BA"/>
    <w:rsid w:val="000B1F25"/>
    <w:rsid w:val="000B26B9"/>
    <w:rsid w:val="000B3673"/>
    <w:rsid w:val="000B371E"/>
    <w:rsid w:val="000B4303"/>
    <w:rsid w:val="000B4660"/>
    <w:rsid w:val="000B53BC"/>
    <w:rsid w:val="000C06F8"/>
    <w:rsid w:val="000C0DAE"/>
    <w:rsid w:val="000C24A8"/>
    <w:rsid w:val="000C29BC"/>
    <w:rsid w:val="000C56C5"/>
    <w:rsid w:val="000C5BB9"/>
    <w:rsid w:val="000C6CC1"/>
    <w:rsid w:val="000C7659"/>
    <w:rsid w:val="000C7AED"/>
    <w:rsid w:val="000D0625"/>
    <w:rsid w:val="000D0D11"/>
    <w:rsid w:val="000D1057"/>
    <w:rsid w:val="000D118D"/>
    <w:rsid w:val="000D178B"/>
    <w:rsid w:val="000D2531"/>
    <w:rsid w:val="000D5303"/>
    <w:rsid w:val="000D6963"/>
    <w:rsid w:val="000D6FD2"/>
    <w:rsid w:val="000D742A"/>
    <w:rsid w:val="000E0D1D"/>
    <w:rsid w:val="000E1262"/>
    <w:rsid w:val="000E44EB"/>
    <w:rsid w:val="000E4558"/>
    <w:rsid w:val="000E590C"/>
    <w:rsid w:val="000F20E2"/>
    <w:rsid w:val="000F3EA4"/>
    <w:rsid w:val="000F599B"/>
    <w:rsid w:val="000F6343"/>
    <w:rsid w:val="000F78FD"/>
    <w:rsid w:val="00101BF1"/>
    <w:rsid w:val="00101E91"/>
    <w:rsid w:val="00102DB3"/>
    <w:rsid w:val="0010379D"/>
    <w:rsid w:val="001048B5"/>
    <w:rsid w:val="00105750"/>
    <w:rsid w:val="00105819"/>
    <w:rsid w:val="0010594D"/>
    <w:rsid w:val="00105A40"/>
    <w:rsid w:val="00106A1E"/>
    <w:rsid w:val="001101D4"/>
    <w:rsid w:val="00110D4C"/>
    <w:rsid w:val="00111492"/>
    <w:rsid w:val="00111D6A"/>
    <w:rsid w:val="001122E9"/>
    <w:rsid w:val="00114F4F"/>
    <w:rsid w:val="001164AB"/>
    <w:rsid w:val="0011689E"/>
    <w:rsid w:val="00116BDB"/>
    <w:rsid w:val="001171E8"/>
    <w:rsid w:val="001178CC"/>
    <w:rsid w:val="001178F3"/>
    <w:rsid w:val="00120DAA"/>
    <w:rsid w:val="00120FCE"/>
    <w:rsid w:val="001221C3"/>
    <w:rsid w:val="00122AA3"/>
    <w:rsid w:val="00122DD5"/>
    <w:rsid w:val="00123CB5"/>
    <w:rsid w:val="00123E8C"/>
    <w:rsid w:val="00123EFB"/>
    <w:rsid w:val="00124153"/>
    <w:rsid w:val="00124821"/>
    <w:rsid w:val="00124F73"/>
    <w:rsid w:val="00125806"/>
    <w:rsid w:val="0012695E"/>
    <w:rsid w:val="00126960"/>
    <w:rsid w:val="00126993"/>
    <w:rsid w:val="00126AEA"/>
    <w:rsid w:val="001275BC"/>
    <w:rsid w:val="00127761"/>
    <w:rsid w:val="00130E9A"/>
    <w:rsid w:val="001313B4"/>
    <w:rsid w:val="00131414"/>
    <w:rsid w:val="001339C3"/>
    <w:rsid w:val="001343FE"/>
    <w:rsid w:val="00135171"/>
    <w:rsid w:val="0013524D"/>
    <w:rsid w:val="001352FA"/>
    <w:rsid w:val="001362E0"/>
    <w:rsid w:val="0013691E"/>
    <w:rsid w:val="00136C38"/>
    <w:rsid w:val="00137579"/>
    <w:rsid w:val="0013779D"/>
    <w:rsid w:val="00140BB8"/>
    <w:rsid w:val="001416C5"/>
    <w:rsid w:val="001423AD"/>
    <w:rsid w:val="00143C89"/>
    <w:rsid w:val="00144D88"/>
    <w:rsid w:val="00146C45"/>
    <w:rsid w:val="00146D8E"/>
    <w:rsid w:val="00147A01"/>
    <w:rsid w:val="00150BB2"/>
    <w:rsid w:val="00150D48"/>
    <w:rsid w:val="00152991"/>
    <w:rsid w:val="00154D78"/>
    <w:rsid w:val="00155616"/>
    <w:rsid w:val="0015620D"/>
    <w:rsid w:val="00156FC6"/>
    <w:rsid w:val="001573C5"/>
    <w:rsid w:val="0016130A"/>
    <w:rsid w:val="0016273C"/>
    <w:rsid w:val="0016296B"/>
    <w:rsid w:val="0016330A"/>
    <w:rsid w:val="00164124"/>
    <w:rsid w:val="001645D2"/>
    <w:rsid w:val="001647F0"/>
    <w:rsid w:val="00164832"/>
    <w:rsid w:val="0016517D"/>
    <w:rsid w:val="0016539C"/>
    <w:rsid w:val="0017060C"/>
    <w:rsid w:val="001721A7"/>
    <w:rsid w:val="00174E49"/>
    <w:rsid w:val="00176E77"/>
    <w:rsid w:val="00181849"/>
    <w:rsid w:val="001837AE"/>
    <w:rsid w:val="001841AA"/>
    <w:rsid w:val="001841C5"/>
    <w:rsid w:val="00184379"/>
    <w:rsid w:val="00186147"/>
    <w:rsid w:val="00187126"/>
    <w:rsid w:val="00191514"/>
    <w:rsid w:val="00191686"/>
    <w:rsid w:val="00193806"/>
    <w:rsid w:val="001938F6"/>
    <w:rsid w:val="00194CFA"/>
    <w:rsid w:val="00194FF2"/>
    <w:rsid w:val="00196278"/>
    <w:rsid w:val="001966DB"/>
    <w:rsid w:val="001972B8"/>
    <w:rsid w:val="0019744E"/>
    <w:rsid w:val="001A0585"/>
    <w:rsid w:val="001A08ED"/>
    <w:rsid w:val="001A13F6"/>
    <w:rsid w:val="001A1A8C"/>
    <w:rsid w:val="001A1B02"/>
    <w:rsid w:val="001A26E2"/>
    <w:rsid w:val="001A432F"/>
    <w:rsid w:val="001A7D5E"/>
    <w:rsid w:val="001B08C1"/>
    <w:rsid w:val="001B2F43"/>
    <w:rsid w:val="001B412D"/>
    <w:rsid w:val="001B6A4B"/>
    <w:rsid w:val="001B73B3"/>
    <w:rsid w:val="001C19F0"/>
    <w:rsid w:val="001C2D65"/>
    <w:rsid w:val="001C4823"/>
    <w:rsid w:val="001C600B"/>
    <w:rsid w:val="001C65AB"/>
    <w:rsid w:val="001C73C9"/>
    <w:rsid w:val="001C7D79"/>
    <w:rsid w:val="001C7EF2"/>
    <w:rsid w:val="001D188A"/>
    <w:rsid w:val="001D1B7B"/>
    <w:rsid w:val="001D1EDB"/>
    <w:rsid w:val="001D2209"/>
    <w:rsid w:val="001D2CD9"/>
    <w:rsid w:val="001D34E6"/>
    <w:rsid w:val="001D37AA"/>
    <w:rsid w:val="001D428D"/>
    <w:rsid w:val="001D4BA9"/>
    <w:rsid w:val="001D7193"/>
    <w:rsid w:val="001E03DA"/>
    <w:rsid w:val="001E17B8"/>
    <w:rsid w:val="001E199C"/>
    <w:rsid w:val="001E1F80"/>
    <w:rsid w:val="001E2445"/>
    <w:rsid w:val="001E36EA"/>
    <w:rsid w:val="001E41D1"/>
    <w:rsid w:val="001E41D6"/>
    <w:rsid w:val="001E5074"/>
    <w:rsid w:val="001E59C5"/>
    <w:rsid w:val="001E73B7"/>
    <w:rsid w:val="001E7FD2"/>
    <w:rsid w:val="001F0221"/>
    <w:rsid w:val="001F03A1"/>
    <w:rsid w:val="001F0A33"/>
    <w:rsid w:val="001F2A75"/>
    <w:rsid w:val="001F2B5D"/>
    <w:rsid w:val="001F3C18"/>
    <w:rsid w:val="001F4EAD"/>
    <w:rsid w:val="00200902"/>
    <w:rsid w:val="00201752"/>
    <w:rsid w:val="00201BCD"/>
    <w:rsid w:val="002023FB"/>
    <w:rsid w:val="002026FB"/>
    <w:rsid w:val="00202E66"/>
    <w:rsid w:val="00202E7F"/>
    <w:rsid w:val="002035EF"/>
    <w:rsid w:val="002042A2"/>
    <w:rsid w:val="00205FEB"/>
    <w:rsid w:val="00206DB0"/>
    <w:rsid w:val="00207D32"/>
    <w:rsid w:val="00210FDA"/>
    <w:rsid w:val="002112D1"/>
    <w:rsid w:val="00211618"/>
    <w:rsid w:val="00211795"/>
    <w:rsid w:val="002120F6"/>
    <w:rsid w:val="00212CC5"/>
    <w:rsid w:val="00214212"/>
    <w:rsid w:val="00214311"/>
    <w:rsid w:val="002145C7"/>
    <w:rsid w:val="002169EB"/>
    <w:rsid w:val="00220593"/>
    <w:rsid w:val="0022187B"/>
    <w:rsid w:val="00221A07"/>
    <w:rsid w:val="00222837"/>
    <w:rsid w:val="00223A6E"/>
    <w:rsid w:val="00224A1E"/>
    <w:rsid w:val="002268B2"/>
    <w:rsid w:val="002269E2"/>
    <w:rsid w:val="00226D95"/>
    <w:rsid w:val="00226DE9"/>
    <w:rsid w:val="002270DD"/>
    <w:rsid w:val="00227E6F"/>
    <w:rsid w:val="00230202"/>
    <w:rsid w:val="002309E1"/>
    <w:rsid w:val="00230D31"/>
    <w:rsid w:val="002311AB"/>
    <w:rsid w:val="00231453"/>
    <w:rsid w:val="0023272E"/>
    <w:rsid w:val="00233495"/>
    <w:rsid w:val="0023397D"/>
    <w:rsid w:val="00233CDF"/>
    <w:rsid w:val="00237CAC"/>
    <w:rsid w:val="00240C99"/>
    <w:rsid w:val="00243F6D"/>
    <w:rsid w:val="00244094"/>
    <w:rsid w:val="002447F9"/>
    <w:rsid w:val="00244B2E"/>
    <w:rsid w:val="00244BC1"/>
    <w:rsid w:val="00244FD7"/>
    <w:rsid w:val="00246471"/>
    <w:rsid w:val="00246FC4"/>
    <w:rsid w:val="00247254"/>
    <w:rsid w:val="0024794E"/>
    <w:rsid w:val="00250BA5"/>
    <w:rsid w:val="00252472"/>
    <w:rsid w:val="00254375"/>
    <w:rsid w:val="00254469"/>
    <w:rsid w:val="0025563A"/>
    <w:rsid w:val="00256451"/>
    <w:rsid w:val="00256F5C"/>
    <w:rsid w:val="002570CC"/>
    <w:rsid w:val="00257129"/>
    <w:rsid w:val="0026001D"/>
    <w:rsid w:val="00261C0D"/>
    <w:rsid w:val="00261DED"/>
    <w:rsid w:val="00263355"/>
    <w:rsid w:val="00263FF2"/>
    <w:rsid w:val="002643CD"/>
    <w:rsid w:val="00264E4F"/>
    <w:rsid w:val="002679C0"/>
    <w:rsid w:val="00267AA3"/>
    <w:rsid w:val="00267FBD"/>
    <w:rsid w:val="00270DFD"/>
    <w:rsid w:val="00271A0E"/>
    <w:rsid w:val="0027264C"/>
    <w:rsid w:val="00272811"/>
    <w:rsid w:val="00272BBD"/>
    <w:rsid w:val="00273199"/>
    <w:rsid w:val="002732EC"/>
    <w:rsid w:val="00273401"/>
    <w:rsid w:val="00273A99"/>
    <w:rsid w:val="0027698F"/>
    <w:rsid w:val="00276F6A"/>
    <w:rsid w:val="002771D7"/>
    <w:rsid w:val="002774B7"/>
    <w:rsid w:val="00277CE2"/>
    <w:rsid w:val="0028068B"/>
    <w:rsid w:val="00280753"/>
    <w:rsid w:val="0028080E"/>
    <w:rsid w:val="00280E97"/>
    <w:rsid w:val="002814CE"/>
    <w:rsid w:val="00283A57"/>
    <w:rsid w:val="00283D83"/>
    <w:rsid w:val="002843A6"/>
    <w:rsid w:val="002843E9"/>
    <w:rsid w:val="00285386"/>
    <w:rsid w:val="00286DF5"/>
    <w:rsid w:val="00290627"/>
    <w:rsid w:val="002907D1"/>
    <w:rsid w:val="002908C6"/>
    <w:rsid w:val="002909E7"/>
    <w:rsid w:val="00290A0E"/>
    <w:rsid w:val="00293265"/>
    <w:rsid w:val="00294C94"/>
    <w:rsid w:val="00295434"/>
    <w:rsid w:val="00295BC4"/>
    <w:rsid w:val="00296574"/>
    <w:rsid w:val="002975AD"/>
    <w:rsid w:val="002A0055"/>
    <w:rsid w:val="002A0D72"/>
    <w:rsid w:val="002A2C89"/>
    <w:rsid w:val="002A4825"/>
    <w:rsid w:val="002A4871"/>
    <w:rsid w:val="002A4C61"/>
    <w:rsid w:val="002A5095"/>
    <w:rsid w:val="002A5455"/>
    <w:rsid w:val="002B0078"/>
    <w:rsid w:val="002B0681"/>
    <w:rsid w:val="002B1D44"/>
    <w:rsid w:val="002B25C5"/>
    <w:rsid w:val="002B4108"/>
    <w:rsid w:val="002B4A08"/>
    <w:rsid w:val="002B4B31"/>
    <w:rsid w:val="002B657E"/>
    <w:rsid w:val="002B6732"/>
    <w:rsid w:val="002B674D"/>
    <w:rsid w:val="002C0A85"/>
    <w:rsid w:val="002C1BF8"/>
    <w:rsid w:val="002C248D"/>
    <w:rsid w:val="002C2490"/>
    <w:rsid w:val="002C509F"/>
    <w:rsid w:val="002D0326"/>
    <w:rsid w:val="002D2820"/>
    <w:rsid w:val="002D2A60"/>
    <w:rsid w:val="002D2C4D"/>
    <w:rsid w:val="002D3061"/>
    <w:rsid w:val="002D3270"/>
    <w:rsid w:val="002D4D05"/>
    <w:rsid w:val="002D4D7F"/>
    <w:rsid w:val="002D5AC4"/>
    <w:rsid w:val="002D6C9A"/>
    <w:rsid w:val="002E00FD"/>
    <w:rsid w:val="002E28DE"/>
    <w:rsid w:val="002E3B3A"/>
    <w:rsid w:val="002E3C03"/>
    <w:rsid w:val="002E4E67"/>
    <w:rsid w:val="002E552E"/>
    <w:rsid w:val="002F1751"/>
    <w:rsid w:val="002F21E7"/>
    <w:rsid w:val="002F308E"/>
    <w:rsid w:val="002F4F51"/>
    <w:rsid w:val="002F7B38"/>
    <w:rsid w:val="002F7F48"/>
    <w:rsid w:val="00300669"/>
    <w:rsid w:val="003032CB"/>
    <w:rsid w:val="00304B50"/>
    <w:rsid w:val="00304C23"/>
    <w:rsid w:val="0030546E"/>
    <w:rsid w:val="00306095"/>
    <w:rsid w:val="003061EF"/>
    <w:rsid w:val="00306310"/>
    <w:rsid w:val="003068CD"/>
    <w:rsid w:val="00306CF6"/>
    <w:rsid w:val="003077F6"/>
    <w:rsid w:val="00307F48"/>
    <w:rsid w:val="00310805"/>
    <w:rsid w:val="00311756"/>
    <w:rsid w:val="00312979"/>
    <w:rsid w:val="00313E42"/>
    <w:rsid w:val="00314994"/>
    <w:rsid w:val="00315211"/>
    <w:rsid w:val="00316C7D"/>
    <w:rsid w:val="003218FC"/>
    <w:rsid w:val="00321EAB"/>
    <w:rsid w:val="00321F5A"/>
    <w:rsid w:val="0032316C"/>
    <w:rsid w:val="00323CBF"/>
    <w:rsid w:val="00324DD2"/>
    <w:rsid w:val="0032636E"/>
    <w:rsid w:val="00330AC9"/>
    <w:rsid w:val="00331C98"/>
    <w:rsid w:val="00333D5A"/>
    <w:rsid w:val="00333D9F"/>
    <w:rsid w:val="003340AE"/>
    <w:rsid w:val="00334685"/>
    <w:rsid w:val="00336313"/>
    <w:rsid w:val="003367B6"/>
    <w:rsid w:val="00336F16"/>
    <w:rsid w:val="00337858"/>
    <w:rsid w:val="00337A08"/>
    <w:rsid w:val="00337AE6"/>
    <w:rsid w:val="003401FA"/>
    <w:rsid w:val="0034233F"/>
    <w:rsid w:val="00342BE1"/>
    <w:rsid w:val="00342C49"/>
    <w:rsid w:val="0034426C"/>
    <w:rsid w:val="0034599A"/>
    <w:rsid w:val="003476D0"/>
    <w:rsid w:val="00347AD4"/>
    <w:rsid w:val="00347E35"/>
    <w:rsid w:val="00350B80"/>
    <w:rsid w:val="00350DA8"/>
    <w:rsid w:val="0035144F"/>
    <w:rsid w:val="0035223B"/>
    <w:rsid w:val="00352D06"/>
    <w:rsid w:val="00354055"/>
    <w:rsid w:val="00361CB7"/>
    <w:rsid w:val="0036296B"/>
    <w:rsid w:val="00362CA3"/>
    <w:rsid w:val="00362FBA"/>
    <w:rsid w:val="0036336B"/>
    <w:rsid w:val="00365ABB"/>
    <w:rsid w:val="0036615B"/>
    <w:rsid w:val="00367054"/>
    <w:rsid w:val="00367421"/>
    <w:rsid w:val="00367A94"/>
    <w:rsid w:val="00373CEA"/>
    <w:rsid w:val="00373CEB"/>
    <w:rsid w:val="00374C17"/>
    <w:rsid w:val="00375350"/>
    <w:rsid w:val="00375E98"/>
    <w:rsid w:val="00375F94"/>
    <w:rsid w:val="00376218"/>
    <w:rsid w:val="003768B1"/>
    <w:rsid w:val="003768BF"/>
    <w:rsid w:val="003769A6"/>
    <w:rsid w:val="0037716D"/>
    <w:rsid w:val="0037796E"/>
    <w:rsid w:val="00380048"/>
    <w:rsid w:val="0038157F"/>
    <w:rsid w:val="00381F45"/>
    <w:rsid w:val="0038264F"/>
    <w:rsid w:val="00383CFD"/>
    <w:rsid w:val="003841D6"/>
    <w:rsid w:val="003845E5"/>
    <w:rsid w:val="00384759"/>
    <w:rsid w:val="00384B78"/>
    <w:rsid w:val="00384F1B"/>
    <w:rsid w:val="0038587E"/>
    <w:rsid w:val="00385E6E"/>
    <w:rsid w:val="00386947"/>
    <w:rsid w:val="003909CB"/>
    <w:rsid w:val="003923B1"/>
    <w:rsid w:val="00392DED"/>
    <w:rsid w:val="00394037"/>
    <w:rsid w:val="0039556E"/>
    <w:rsid w:val="00396487"/>
    <w:rsid w:val="00396F94"/>
    <w:rsid w:val="003970FB"/>
    <w:rsid w:val="003975A6"/>
    <w:rsid w:val="00397AD0"/>
    <w:rsid w:val="003A0459"/>
    <w:rsid w:val="003A11D9"/>
    <w:rsid w:val="003A219C"/>
    <w:rsid w:val="003A23C7"/>
    <w:rsid w:val="003A6D03"/>
    <w:rsid w:val="003A77B3"/>
    <w:rsid w:val="003B01B7"/>
    <w:rsid w:val="003B0FB0"/>
    <w:rsid w:val="003B1329"/>
    <w:rsid w:val="003B13D2"/>
    <w:rsid w:val="003B168F"/>
    <w:rsid w:val="003B384A"/>
    <w:rsid w:val="003B3F42"/>
    <w:rsid w:val="003B4583"/>
    <w:rsid w:val="003B4C00"/>
    <w:rsid w:val="003B4E13"/>
    <w:rsid w:val="003B56DC"/>
    <w:rsid w:val="003B5BC8"/>
    <w:rsid w:val="003B6F6F"/>
    <w:rsid w:val="003B6FF5"/>
    <w:rsid w:val="003B788F"/>
    <w:rsid w:val="003C00AA"/>
    <w:rsid w:val="003C06A1"/>
    <w:rsid w:val="003C0DF2"/>
    <w:rsid w:val="003C1770"/>
    <w:rsid w:val="003C1CF6"/>
    <w:rsid w:val="003C2EEF"/>
    <w:rsid w:val="003C3938"/>
    <w:rsid w:val="003C4714"/>
    <w:rsid w:val="003C4EFC"/>
    <w:rsid w:val="003C52EC"/>
    <w:rsid w:val="003C5BAD"/>
    <w:rsid w:val="003C6BDA"/>
    <w:rsid w:val="003C6F6E"/>
    <w:rsid w:val="003D1F6D"/>
    <w:rsid w:val="003D277B"/>
    <w:rsid w:val="003D3908"/>
    <w:rsid w:val="003D3A35"/>
    <w:rsid w:val="003D5A21"/>
    <w:rsid w:val="003D6417"/>
    <w:rsid w:val="003D713D"/>
    <w:rsid w:val="003D72E5"/>
    <w:rsid w:val="003D7EB4"/>
    <w:rsid w:val="003E22EE"/>
    <w:rsid w:val="003E28C0"/>
    <w:rsid w:val="003E2A02"/>
    <w:rsid w:val="003E317C"/>
    <w:rsid w:val="003E567A"/>
    <w:rsid w:val="003E6744"/>
    <w:rsid w:val="003E6F4E"/>
    <w:rsid w:val="003E6F57"/>
    <w:rsid w:val="003F04AB"/>
    <w:rsid w:val="003F07D0"/>
    <w:rsid w:val="003F0F0E"/>
    <w:rsid w:val="003F2E72"/>
    <w:rsid w:val="003F406C"/>
    <w:rsid w:val="003F4150"/>
    <w:rsid w:val="003F44A4"/>
    <w:rsid w:val="003F6494"/>
    <w:rsid w:val="003F6CEC"/>
    <w:rsid w:val="003F6D36"/>
    <w:rsid w:val="003F7302"/>
    <w:rsid w:val="003F7D97"/>
    <w:rsid w:val="00400144"/>
    <w:rsid w:val="00401FA0"/>
    <w:rsid w:val="00402146"/>
    <w:rsid w:val="004024BF"/>
    <w:rsid w:val="004028B6"/>
    <w:rsid w:val="00402E07"/>
    <w:rsid w:val="00403156"/>
    <w:rsid w:val="00403428"/>
    <w:rsid w:val="00406438"/>
    <w:rsid w:val="004066B8"/>
    <w:rsid w:val="00407C67"/>
    <w:rsid w:val="004101EA"/>
    <w:rsid w:val="004104C5"/>
    <w:rsid w:val="0041161B"/>
    <w:rsid w:val="00411F73"/>
    <w:rsid w:val="00412D1B"/>
    <w:rsid w:val="0041441C"/>
    <w:rsid w:val="00414977"/>
    <w:rsid w:val="00414E30"/>
    <w:rsid w:val="004155EC"/>
    <w:rsid w:val="00415C0F"/>
    <w:rsid w:val="004168FE"/>
    <w:rsid w:val="00416CCF"/>
    <w:rsid w:val="00420D90"/>
    <w:rsid w:val="00422087"/>
    <w:rsid w:val="00422DD0"/>
    <w:rsid w:val="004238BD"/>
    <w:rsid w:val="00423A16"/>
    <w:rsid w:val="00423AA3"/>
    <w:rsid w:val="004247F4"/>
    <w:rsid w:val="00424E0F"/>
    <w:rsid w:val="004267F6"/>
    <w:rsid w:val="00426E2C"/>
    <w:rsid w:val="004305AF"/>
    <w:rsid w:val="004329C9"/>
    <w:rsid w:val="00433B20"/>
    <w:rsid w:val="0043466F"/>
    <w:rsid w:val="004347F9"/>
    <w:rsid w:val="00435DB4"/>
    <w:rsid w:val="00436194"/>
    <w:rsid w:val="004367B7"/>
    <w:rsid w:val="00436C05"/>
    <w:rsid w:val="00437A9A"/>
    <w:rsid w:val="0044107D"/>
    <w:rsid w:val="0044183E"/>
    <w:rsid w:val="0044340B"/>
    <w:rsid w:val="00443BEC"/>
    <w:rsid w:val="00443C2E"/>
    <w:rsid w:val="0044424B"/>
    <w:rsid w:val="00444B04"/>
    <w:rsid w:val="004453AF"/>
    <w:rsid w:val="00445558"/>
    <w:rsid w:val="0045087F"/>
    <w:rsid w:val="00451B77"/>
    <w:rsid w:val="00451E1C"/>
    <w:rsid w:val="004521B2"/>
    <w:rsid w:val="00454923"/>
    <w:rsid w:val="00455AB8"/>
    <w:rsid w:val="0045666A"/>
    <w:rsid w:val="004577B0"/>
    <w:rsid w:val="00460186"/>
    <w:rsid w:val="0046037E"/>
    <w:rsid w:val="00460DEA"/>
    <w:rsid w:val="004616E3"/>
    <w:rsid w:val="00461A69"/>
    <w:rsid w:val="00463F0E"/>
    <w:rsid w:val="0046424B"/>
    <w:rsid w:val="004651BB"/>
    <w:rsid w:val="0046530B"/>
    <w:rsid w:val="004659AD"/>
    <w:rsid w:val="00465C9A"/>
    <w:rsid w:val="00466BE6"/>
    <w:rsid w:val="004670B8"/>
    <w:rsid w:val="00470DBE"/>
    <w:rsid w:val="004716A2"/>
    <w:rsid w:val="00473D34"/>
    <w:rsid w:val="00474126"/>
    <w:rsid w:val="004741F0"/>
    <w:rsid w:val="0047695A"/>
    <w:rsid w:val="00477F62"/>
    <w:rsid w:val="004804CD"/>
    <w:rsid w:val="004804E5"/>
    <w:rsid w:val="00480748"/>
    <w:rsid w:val="0048166C"/>
    <w:rsid w:val="00484FE8"/>
    <w:rsid w:val="00485352"/>
    <w:rsid w:val="0048598B"/>
    <w:rsid w:val="004877A6"/>
    <w:rsid w:val="00490622"/>
    <w:rsid w:val="00491628"/>
    <w:rsid w:val="00491825"/>
    <w:rsid w:val="00492099"/>
    <w:rsid w:val="00493B00"/>
    <w:rsid w:val="00494431"/>
    <w:rsid w:val="00497262"/>
    <w:rsid w:val="0049767B"/>
    <w:rsid w:val="004A05DC"/>
    <w:rsid w:val="004A0738"/>
    <w:rsid w:val="004A1C76"/>
    <w:rsid w:val="004A1D41"/>
    <w:rsid w:val="004A1EA5"/>
    <w:rsid w:val="004A36C3"/>
    <w:rsid w:val="004A3A78"/>
    <w:rsid w:val="004A3D7A"/>
    <w:rsid w:val="004A60C0"/>
    <w:rsid w:val="004A69CA"/>
    <w:rsid w:val="004A6BBF"/>
    <w:rsid w:val="004A78D9"/>
    <w:rsid w:val="004B0511"/>
    <w:rsid w:val="004B42A0"/>
    <w:rsid w:val="004B42C4"/>
    <w:rsid w:val="004B4799"/>
    <w:rsid w:val="004B5D26"/>
    <w:rsid w:val="004B65B0"/>
    <w:rsid w:val="004B6735"/>
    <w:rsid w:val="004B67FF"/>
    <w:rsid w:val="004C0098"/>
    <w:rsid w:val="004C16FB"/>
    <w:rsid w:val="004C1D73"/>
    <w:rsid w:val="004C41C9"/>
    <w:rsid w:val="004C54B3"/>
    <w:rsid w:val="004D13E7"/>
    <w:rsid w:val="004D198C"/>
    <w:rsid w:val="004D21CF"/>
    <w:rsid w:val="004D391D"/>
    <w:rsid w:val="004D3FDF"/>
    <w:rsid w:val="004D426E"/>
    <w:rsid w:val="004D4385"/>
    <w:rsid w:val="004D43EB"/>
    <w:rsid w:val="004D4C00"/>
    <w:rsid w:val="004D4DB7"/>
    <w:rsid w:val="004D581D"/>
    <w:rsid w:val="004E0918"/>
    <w:rsid w:val="004E0DFB"/>
    <w:rsid w:val="004E0E43"/>
    <w:rsid w:val="004E1FE3"/>
    <w:rsid w:val="004E3DBC"/>
    <w:rsid w:val="004E5720"/>
    <w:rsid w:val="004E5D67"/>
    <w:rsid w:val="004E6F42"/>
    <w:rsid w:val="004F1286"/>
    <w:rsid w:val="004F12DE"/>
    <w:rsid w:val="004F1A61"/>
    <w:rsid w:val="004F2918"/>
    <w:rsid w:val="004F63FF"/>
    <w:rsid w:val="004F6536"/>
    <w:rsid w:val="004F6BA1"/>
    <w:rsid w:val="004F74AC"/>
    <w:rsid w:val="004F7BB3"/>
    <w:rsid w:val="0050213C"/>
    <w:rsid w:val="00504339"/>
    <w:rsid w:val="00506086"/>
    <w:rsid w:val="00506615"/>
    <w:rsid w:val="005069F8"/>
    <w:rsid w:val="005074CE"/>
    <w:rsid w:val="00507DA0"/>
    <w:rsid w:val="00510463"/>
    <w:rsid w:val="00510B3B"/>
    <w:rsid w:val="00511B0D"/>
    <w:rsid w:val="00512F67"/>
    <w:rsid w:val="0051338E"/>
    <w:rsid w:val="00514EC9"/>
    <w:rsid w:val="0051593D"/>
    <w:rsid w:val="00516037"/>
    <w:rsid w:val="0051612C"/>
    <w:rsid w:val="00516301"/>
    <w:rsid w:val="00517CC8"/>
    <w:rsid w:val="00520FD9"/>
    <w:rsid w:val="00521A3B"/>
    <w:rsid w:val="0052265A"/>
    <w:rsid w:val="00523198"/>
    <w:rsid w:val="00523328"/>
    <w:rsid w:val="005236C8"/>
    <w:rsid w:val="005236ED"/>
    <w:rsid w:val="00523EB6"/>
    <w:rsid w:val="00524D8A"/>
    <w:rsid w:val="005262AD"/>
    <w:rsid w:val="00526968"/>
    <w:rsid w:val="00527411"/>
    <w:rsid w:val="00527E13"/>
    <w:rsid w:val="00531063"/>
    <w:rsid w:val="005310CA"/>
    <w:rsid w:val="00531F95"/>
    <w:rsid w:val="00532185"/>
    <w:rsid w:val="00533529"/>
    <w:rsid w:val="00535943"/>
    <w:rsid w:val="00535CFD"/>
    <w:rsid w:val="00535D4C"/>
    <w:rsid w:val="00537803"/>
    <w:rsid w:val="00540027"/>
    <w:rsid w:val="00540D69"/>
    <w:rsid w:val="00543E6D"/>
    <w:rsid w:val="005447D2"/>
    <w:rsid w:val="00545E01"/>
    <w:rsid w:val="00545FC1"/>
    <w:rsid w:val="00546911"/>
    <w:rsid w:val="005500AD"/>
    <w:rsid w:val="0055151A"/>
    <w:rsid w:val="00551A1E"/>
    <w:rsid w:val="005523FA"/>
    <w:rsid w:val="0055331E"/>
    <w:rsid w:val="00553CC6"/>
    <w:rsid w:val="0055459A"/>
    <w:rsid w:val="005552F3"/>
    <w:rsid w:val="00557A51"/>
    <w:rsid w:val="00560118"/>
    <w:rsid w:val="0056020A"/>
    <w:rsid w:val="00561738"/>
    <w:rsid w:val="00562255"/>
    <w:rsid w:val="00562CE2"/>
    <w:rsid w:val="00563080"/>
    <w:rsid w:val="00563469"/>
    <w:rsid w:val="00563B5C"/>
    <w:rsid w:val="00564E94"/>
    <w:rsid w:val="00564EEA"/>
    <w:rsid w:val="00565197"/>
    <w:rsid w:val="0056558E"/>
    <w:rsid w:val="00570015"/>
    <w:rsid w:val="00571158"/>
    <w:rsid w:val="0057128D"/>
    <w:rsid w:val="0057254C"/>
    <w:rsid w:val="00573E33"/>
    <w:rsid w:val="00575792"/>
    <w:rsid w:val="00576779"/>
    <w:rsid w:val="00576E4E"/>
    <w:rsid w:val="0058027C"/>
    <w:rsid w:val="0058034C"/>
    <w:rsid w:val="00581057"/>
    <w:rsid w:val="005811B2"/>
    <w:rsid w:val="005817A6"/>
    <w:rsid w:val="00581BBD"/>
    <w:rsid w:val="0058250A"/>
    <w:rsid w:val="00582542"/>
    <w:rsid w:val="00582865"/>
    <w:rsid w:val="0058374F"/>
    <w:rsid w:val="005844A6"/>
    <w:rsid w:val="0058476D"/>
    <w:rsid w:val="005864AE"/>
    <w:rsid w:val="00587BD9"/>
    <w:rsid w:val="00591FEE"/>
    <w:rsid w:val="00592101"/>
    <w:rsid w:val="00592322"/>
    <w:rsid w:val="00593EC9"/>
    <w:rsid w:val="00594176"/>
    <w:rsid w:val="005943E7"/>
    <w:rsid w:val="00594994"/>
    <w:rsid w:val="00595431"/>
    <w:rsid w:val="0059644A"/>
    <w:rsid w:val="00596E7F"/>
    <w:rsid w:val="00597E2E"/>
    <w:rsid w:val="005A1FBE"/>
    <w:rsid w:val="005A201E"/>
    <w:rsid w:val="005A2149"/>
    <w:rsid w:val="005A3577"/>
    <w:rsid w:val="005A41A8"/>
    <w:rsid w:val="005A442E"/>
    <w:rsid w:val="005A44EB"/>
    <w:rsid w:val="005A466F"/>
    <w:rsid w:val="005B0B25"/>
    <w:rsid w:val="005B2632"/>
    <w:rsid w:val="005B31F0"/>
    <w:rsid w:val="005B4A4A"/>
    <w:rsid w:val="005B4A7C"/>
    <w:rsid w:val="005B5B7A"/>
    <w:rsid w:val="005B5CCF"/>
    <w:rsid w:val="005B7A40"/>
    <w:rsid w:val="005C23C2"/>
    <w:rsid w:val="005C4651"/>
    <w:rsid w:val="005C48CC"/>
    <w:rsid w:val="005C4AA2"/>
    <w:rsid w:val="005C4DE4"/>
    <w:rsid w:val="005C5251"/>
    <w:rsid w:val="005C5B4A"/>
    <w:rsid w:val="005C63FB"/>
    <w:rsid w:val="005C6490"/>
    <w:rsid w:val="005C64BF"/>
    <w:rsid w:val="005C69B0"/>
    <w:rsid w:val="005C6A5B"/>
    <w:rsid w:val="005C6C31"/>
    <w:rsid w:val="005C78F7"/>
    <w:rsid w:val="005D10C4"/>
    <w:rsid w:val="005D2AB0"/>
    <w:rsid w:val="005D3370"/>
    <w:rsid w:val="005D3FD5"/>
    <w:rsid w:val="005D453E"/>
    <w:rsid w:val="005D46C0"/>
    <w:rsid w:val="005D6AC0"/>
    <w:rsid w:val="005E0090"/>
    <w:rsid w:val="005E13A7"/>
    <w:rsid w:val="005E15B0"/>
    <w:rsid w:val="005E15D4"/>
    <w:rsid w:val="005E2220"/>
    <w:rsid w:val="005E2CCF"/>
    <w:rsid w:val="005E2DAC"/>
    <w:rsid w:val="005E2E4D"/>
    <w:rsid w:val="005E5B5C"/>
    <w:rsid w:val="005E6D8A"/>
    <w:rsid w:val="005E76EB"/>
    <w:rsid w:val="005F09C1"/>
    <w:rsid w:val="005F14F4"/>
    <w:rsid w:val="005F1A25"/>
    <w:rsid w:val="005F3185"/>
    <w:rsid w:val="005F3291"/>
    <w:rsid w:val="005F32ED"/>
    <w:rsid w:val="005F44DD"/>
    <w:rsid w:val="005F49C6"/>
    <w:rsid w:val="005F4B5E"/>
    <w:rsid w:val="005F667B"/>
    <w:rsid w:val="005F6E06"/>
    <w:rsid w:val="00600525"/>
    <w:rsid w:val="00600F77"/>
    <w:rsid w:val="0060176C"/>
    <w:rsid w:val="00601F60"/>
    <w:rsid w:val="006029E2"/>
    <w:rsid w:val="006059C7"/>
    <w:rsid w:val="00606ACC"/>
    <w:rsid w:val="006102B1"/>
    <w:rsid w:val="00612E4B"/>
    <w:rsid w:val="00614212"/>
    <w:rsid w:val="00614BA5"/>
    <w:rsid w:val="00615783"/>
    <w:rsid w:val="00615954"/>
    <w:rsid w:val="00616614"/>
    <w:rsid w:val="00616CA9"/>
    <w:rsid w:val="0062170B"/>
    <w:rsid w:val="00622C91"/>
    <w:rsid w:val="00623240"/>
    <w:rsid w:val="0062384C"/>
    <w:rsid w:val="00623866"/>
    <w:rsid w:val="006271FC"/>
    <w:rsid w:val="00627B19"/>
    <w:rsid w:val="00631A79"/>
    <w:rsid w:val="00633E57"/>
    <w:rsid w:val="00634854"/>
    <w:rsid w:val="00634C2E"/>
    <w:rsid w:val="0063517C"/>
    <w:rsid w:val="00635C4C"/>
    <w:rsid w:val="00637080"/>
    <w:rsid w:val="006406D1"/>
    <w:rsid w:val="00641050"/>
    <w:rsid w:val="00641217"/>
    <w:rsid w:val="00642506"/>
    <w:rsid w:val="0064330C"/>
    <w:rsid w:val="006433C5"/>
    <w:rsid w:val="00643A73"/>
    <w:rsid w:val="00643E0D"/>
    <w:rsid w:val="0064413D"/>
    <w:rsid w:val="00644438"/>
    <w:rsid w:val="00646F61"/>
    <w:rsid w:val="00647852"/>
    <w:rsid w:val="0065108A"/>
    <w:rsid w:val="00651524"/>
    <w:rsid w:val="00652596"/>
    <w:rsid w:val="00652930"/>
    <w:rsid w:val="00652FFB"/>
    <w:rsid w:val="006530D0"/>
    <w:rsid w:val="006562FD"/>
    <w:rsid w:val="00656B1A"/>
    <w:rsid w:val="0065715F"/>
    <w:rsid w:val="00657358"/>
    <w:rsid w:val="0065784D"/>
    <w:rsid w:val="00657C43"/>
    <w:rsid w:val="00660521"/>
    <w:rsid w:val="006606AF"/>
    <w:rsid w:val="00660A26"/>
    <w:rsid w:val="006611FA"/>
    <w:rsid w:val="00661216"/>
    <w:rsid w:val="00664479"/>
    <w:rsid w:val="00664A03"/>
    <w:rsid w:val="00664BBF"/>
    <w:rsid w:val="006700D2"/>
    <w:rsid w:val="006708A8"/>
    <w:rsid w:val="00674C19"/>
    <w:rsid w:val="006765B8"/>
    <w:rsid w:val="006765FC"/>
    <w:rsid w:val="00677347"/>
    <w:rsid w:val="00680218"/>
    <w:rsid w:val="0068032F"/>
    <w:rsid w:val="00680BF7"/>
    <w:rsid w:val="00680D94"/>
    <w:rsid w:val="00681B8D"/>
    <w:rsid w:val="0068278C"/>
    <w:rsid w:val="006851AD"/>
    <w:rsid w:val="00685A77"/>
    <w:rsid w:val="00685C14"/>
    <w:rsid w:val="00685D20"/>
    <w:rsid w:val="00686137"/>
    <w:rsid w:val="006866F8"/>
    <w:rsid w:val="006871B9"/>
    <w:rsid w:val="006872FB"/>
    <w:rsid w:val="00690E28"/>
    <w:rsid w:val="00691315"/>
    <w:rsid w:val="00691969"/>
    <w:rsid w:val="00693172"/>
    <w:rsid w:val="00694382"/>
    <w:rsid w:val="00694B67"/>
    <w:rsid w:val="006968AD"/>
    <w:rsid w:val="00696DAE"/>
    <w:rsid w:val="006A01B1"/>
    <w:rsid w:val="006A09F2"/>
    <w:rsid w:val="006A1A94"/>
    <w:rsid w:val="006A218D"/>
    <w:rsid w:val="006A3516"/>
    <w:rsid w:val="006A3927"/>
    <w:rsid w:val="006A3AF8"/>
    <w:rsid w:val="006A74D4"/>
    <w:rsid w:val="006A7FB8"/>
    <w:rsid w:val="006B3B4B"/>
    <w:rsid w:val="006B4165"/>
    <w:rsid w:val="006B4406"/>
    <w:rsid w:val="006B5870"/>
    <w:rsid w:val="006B5F7D"/>
    <w:rsid w:val="006B6C79"/>
    <w:rsid w:val="006B6F3D"/>
    <w:rsid w:val="006B7196"/>
    <w:rsid w:val="006B76E4"/>
    <w:rsid w:val="006C0393"/>
    <w:rsid w:val="006C07F7"/>
    <w:rsid w:val="006C15D9"/>
    <w:rsid w:val="006C2076"/>
    <w:rsid w:val="006C22DF"/>
    <w:rsid w:val="006C25AE"/>
    <w:rsid w:val="006C2CC5"/>
    <w:rsid w:val="006C4C23"/>
    <w:rsid w:val="006C5AA3"/>
    <w:rsid w:val="006C5F25"/>
    <w:rsid w:val="006C68F4"/>
    <w:rsid w:val="006C7122"/>
    <w:rsid w:val="006D0293"/>
    <w:rsid w:val="006D1531"/>
    <w:rsid w:val="006D20F7"/>
    <w:rsid w:val="006D7697"/>
    <w:rsid w:val="006D77DF"/>
    <w:rsid w:val="006E04A6"/>
    <w:rsid w:val="006E1516"/>
    <w:rsid w:val="006E247D"/>
    <w:rsid w:val="006E2E54"/>
    <w:rsid w:val="006E43AD"/>
    <w:rsid w:val="006E4C50"/>
    <w:rsid w:val="006E51A7"/>
    <w:rsid w:val="006F2809"/>
    <w:rsid w:val="006F2CCB"/>
    <w:rsid w:val="006F3D0E"/>
    <w:rsid w:val="006F4060"/>
    <w:rsid w:val="006F4234"/>
    <w:rsid w:val="006F72DE"/>
    <w:rsid w:val="006F7BD2"/>
    <w:rsid w:val="006F7CAC"/>
    <w:rsid w:val="00701407"/>
    <w:rsid w:val="00701B01"/>
    <w:rsid w:val="007029F8"/>
    <w:rsid w:val="007054F3"/>
    <w:rsid w:val="007064A8"/>
    <w:rsid w:val="007065B0"/>
    <w:rsid w:val="00707300"/>
    <w:rsid w:val="00710375"/>
    <w:rsid w:val="0071255E"/>
    <w:rsid w:val="00712646"/>
    <w:rsid w:val="007128BA"/>
    <w:rsid w:val="00712AE2"/>
    <w:rsid w:val="00712BBB"/>
    <w:rsid w:val="00712FA1"/>
    <w:rsid w:val="0071318C"/>
    <w:rsid w:val="007153D8"/>
    <w:rsid w:val="00715C16"/>
    <w:rsid w:val="00716E00"/>
    <w:rsid w:val="00717723"/>
    <w:rsid w:val="00720FEE"/>
    <w:rsid w:val="007232C8"/>
    <w:rsid w:val="00723D0C"/>
    <w:rsid w:val="00724468"/>
    <w:rsid w:val="0072591D"/>
    <w:rsid w:val="00725C33"/>
    <w:rsid w:val="007270E8"/>
    <w:rsid w:val="007272BC"/>
    <w:rsid w:val="00727C4C"/>
    <w:rsid w:val="0073018C"/>
    <w:rsid w:val="00731045"/>
    <w:rsid w:val="007317D5"/>
    <w:rsid w:val="00733207"/>
    <w:rsid w:val="00733847"/>
    <w:rsid w:val="00733DC5"/>
    <w:rsid w:val="00734731"/>
    <w:rsid w:val="0073567B"/>
    <w:rsid w:val="007358A4"/>
    <w:rsid w:val="00735D50"/>
    <w:rsid w:val="00735F22"/>
    <w:rsid w:val="007369BB"/>
    <w:rsid w:val="00736C8F"/>
    <w:rsid w:val="00736F4C"/>
    <w:rsid w:val="00737EC0"/>
    <w:rsid w:val="00744168"/>
    <w:rsid w:val="007446CD"/>
    <w:rsid w:val="0074498D"/>
    <w:rsid w:val="00744D7B"/>
    <w:rsid w:val="00745211"/>
    <w:rsid w:val="00745CC8"/>
    <w:rsid w:val="007462D4"/>
    <w:rsid w:val="0074634A"/>
    <w:rsid w:val="00746AB2"/>
    <w:rsid w:val="0074727A"/>
    <w:rsid w:val="007475A3"/>
    <w:rsid w:val="0075093A"/>
    <w:rsid w:val="00752623"/>
    <w:rsid w:val="0075392E"/>
    <w:rsid w:val="00753DBA"/>
    <w:rsid w:val="0075579C"/>
    <w:rsid w:val="00757A0A"/>
    <w:rsid w:val="0076065A"/>
    <w:rsid w:val="00762098"/>
    <w:rsid w:val="0076209E"/>
    <w:rsid w:val="00763504"/>
    <w:rsid w:val="00764ABB"/>
    <w:rsid w:val="00764C56"/>
    <w:rsid w:val="00766B0C"/>
    <w:rsid w:val="00766F69"/>
    <w:rsid w:val="00770903"/>
    <w:rsid w:val="00774BF8"/>
    <w:rsid w:val="0077532B"/>
    <w:rsid w:val="0077622A"/>
    <w:rsid w:val="007766D6"/>
    <w:rsid w:val="0077697B"/>
    <w:rsid w:val="00776BC9"/>
    <w:rsid w:val="00777BE9"/>
    <w:rsid w:val="00777ECA"/>
    <w:rsid w:val="00781CC3"/>
    <w:rsid w:val="00782BEC"/>
    <w:rsid w:val="00783852"/>
    <w:rsid w:val="0078513B"/>
    <w:rsid w:val="007854EB"/>
    <w:rsid w:val="00785646"/>
    <w:rsid w:val="00786D26"/>
    <w:rsid w:val="0078783B"/>
    <w:rsid w:val="007904EE"/>
    <w:rsid w:val="00790BD7"/>
    <w:rsid w:val="00790F82"/>
    <w:rsid w:val="007921D8"/>
    <w:rsid w:val="00793E7F"/>
    <w:rsid w:val="0079470A"/>
    <w:rsid w:val="00794ABC"/>
    <w:rsid w:val="007950D5"/>
    <w:rsid w:val="00795821"/>
    <w:rsid w:val="00795830"/>
    <w:rsid w:val="00797DE5"/>
    <w:rsid w:val="007A0207"/>
    <w:rsid w:val="007A033C"/>
    <w:rsid w:val="007A2503"/>
    <w:rsid w:val="007A26C3"/>
    <w:rsid w:val="007A273C"/>
    <w:rsid w:val="007A2783"/>
    <w:rsid w:val="007A29EF"/>
    <w:rsid w:val="007A31F6"/>
    <w:rsid w:val="007A3449"/>
    <w:rsid w:val="007A36CB"/>
    <w:rsid w:val="007A3E93"/>
    <w:rsid w:val="007A4922"/>
    <w:rsid w:val="007A5541"/>
    <w:rsid w:val="007A6791"/>
    <w:rsid w:val="007A7DCE"/>
    <w:rsid w:val="007B07D9"/>
    <w:rsid w:val="007B0A9B"/>
    <w:rsid w:val="007B2944"/>
    <w:rsid w:val="007B2F69"/>
    <w:rsid w:val="007B344F"/>
    <w:rsid w:val="007B3D06"/>
    <w:rsid w:val="007B41CC"/>
    <w:rsid w:val="007B4D68"/>
    <w:rsid w:val="007B5030"/>
    <w:rsid w:val="007B5627"/>
    <w:rsid w:val="007B5CD9"/>
    <w:rsid w:val="007B683A"/>
    <w:rsid w:val="007B6CFF"/>
    <w:rsid w:val="007C07E1"/>
    <w:rsid w:val="007C0AD3"/>
    <w:rsid w:val="007C1D61"/>
    <w:rsid w:val="007C24CD"/>
    <w:rsid w:val="007C2BC5"/>
    <w:rsid w:val="007C3A72"/>
    <w:rsid w:val="007C4CAD"/>
    <w:rsid w:val="007C4FC1"/>
    <w:rsid w:val="007C5626"/>
    <w:rsid w:val="007C58D1"/>
    <w:rsid w:val="007C5958"/>
    <w:rsid w:val="007C5AA2"/>
    <w:rsid w:val="007C62BF"/>
    <w:rsid w:val="007C6812"/>
    <w:rsid w:val="007C6DDB"/>
    <w:rsid w:val="007D07CB"/>
    <w:rsid w:val="007D118B"/>
    <w:rsid w:val="007D194A"/>
    <w:rsid w:val="007D3209"/>
    <w:rsid w:val="007D4D6E"/>
    <w:rsid w:val="007D52DA"/>
    <w:rsid w:val="007D546F"/>
    <w:rsid w:val="007D5DB0"/>
    <w:rsid w:val="007D5FE5"/>
    <w:rsid w:val="007D702D"/>
    <w:rsid w:val="007E0582"/>
    <w:rsid w:val="007E0EFA"/>
    <w:rsid w:val="007E16CA"/>
    <w:rsid w:val="007E318B"/>
    <w:rsid w:val="007E354A"/>
    <w:rsid w:val="007E3B27"/>
    <w:rsid w:val="007E3D1F"/>
    <w:rsid w:val="007E4A58"/>
    <w:rsid w:val="007E4BAF"/>
    <w:rsid w:val="007E4FFD"/>
    <w:rsid w:val="007E50AC"/>
    <w:rsid w:val="007E5B4D"/>
    <w:rsid w:val="007E6EF3"/>
    <w:rsid w:val="007F09E9"/>
    <w:rsid w:val="007F0CD6"/>
    <w:rsid w:val="007F1595"/>
    <w:rsid w:val="007F56A8"/>
    <w:rsid w:val="007F7178"/>
    <w:rsid w:val="007F7CB8"/>
    <w:rsid w:val="00800262"/>
    <w:rsid w:val="00800D60"/>
    <w:rsid w:val="008016CE"/>
    <w:rsid w:val="00802B7D"/>
    <w:rsid w:val="008073F1"/>
    <w:rsid w:val="0080752B"/>
    <w:rsid w:val="008118DC"/>
    <w:rsid w:val="0081221F"/>
    <w:rsid w:val="008129F5"/>
    <w:rsid w:val="00813E7B"/>
    <w:rsid w:val="00813F77"/>
    <w:rsid w:val="00814158"/>
    <w:rsid w:val="00814B64"/>
    <w:rsid w:val="00815A1A"/>
    <w:rsid w:val="00815FBB"/>
    <w:rsid w:val="00815FD7"/>
    <w:rsid w:val="0081660B"/>
    <w:rsid w:val="00817C96"/>
    <w:rsid w:val="00821D90"/>
    <w:rsid w:val="00823CDA"/>
    <w:rsid w:val="00823EAA"/>
    <w:rsid w:val="00826454"/>
    <w:rsid w:val="00826BDC"/>
    <w:rsid w:val="00826CA7"/>
    <w:rsid w:val="00826D2D"/>
    <w:rsid w:val="00827DAE"/>
    <w:rsid w:val="00830DD4"/>
    <w:rsid w:val="008315DF"/>
    <w:rsid w:val="00831AD5"/>
    <w:rsid w:val="00831E09"/>
    <w:rsid w:val="00831E80"/>
    <w:rsid w:val="00832C0E"/>
    <w:rsid w:val="00833124"/>
    <w:rsid w:val="00833341"/>
    <w:rsid w:val="00833FCA"/>
    <w:rsid w:val="0083425D"/>
    <w:rsid w:val="00836501"/>
    <w:rsid w:val="00836E77"/>
    <w:rsid w:val="00841A13"/>
    <w:rsid w:val="00842B9E"/>
    <w:rsid w:val="008434B9"/>
    <w:rsid w:val="00843823"/>
    <w:rsid w:val="00844613"/>
    <w:rsid w:val="008447AD"/>
    <w:rsid w:val="00844A58"/>
    <w:rsid w:val="00846867"/>
    <w:rsid w:val="00847D3A"/>
    <w:rsid w:val="0085035E"/>
    <w:rsid w:val="00852786"/>
    <w:rsid w:val="00852BEC"/>
    <w:rsid w:val="0085431F"/>
    <w:rsid w:val="00854439"/>
    <w:rsid w:val="00854D24"/>
    <w:rsid w:val="0085701F"/>
    <w:rsid w:val="008621D4"/>
    <w:rsid w:val="0086259E"/>
    <w:rsid w:val="00862BD6"/>
    <w:rsid w:val="00862C7B"/>
    <w:rsid w:val="00863029"/>
    <w:rsid w:val="0086341D"/>
    <w:rsid w:val="0086345D"/>
    <w:rsid w:val="00863650"/>
    <w:rsid w:val="00863E4F"/>
    <w:rsid w:val="00864C63"/>
    <w:rsid w:val="00864D08"/>
    <w:rsid w:val="00866029"/>
    <w:rsid w:val="008702DA"/>
    <w:rsid w:val="00871B3C"/>
    <w:rsid w:val="00873B66"/>
    <w:rsid w:val="008743D4"/>
    <w:rsid w:val="00874404"/>
    <w:rsid w:val="00875C72"/>
    <w:rsid w:val="008802E6"/>
    <w:rsid w:val="008816BF"/>
    <w:rsid w:val="00883715"/>
    <w:rsid w:val="00883C30"/>
    <w:rsid w:val="00883C8C"/>
    <w:rsid w:val="00883F1C"/>
    <w:rsid w:val="00886145"/>
    <w:rsid w:val="00886B71"/>
    <w:rsid w:val="00887368"/>
    <w:rsid w:val="008879DB"/>
    <w:rsid w:val="008925C3"/>
    <w:rsid w:val="00892786"/>
    <w:rsid w:val="00892AB6"/>
    <w:rsid w:val="008937AD"/>
    <w:rsid w:val="00895092"/>
    <w:rsid w:val="00895DC5"/>
    <w:rsid w:val="00896550"/>
    <w:rsid w:val="00897085"/>
    <w:rsid w:val="00897A7E"/>
    <w:rsid w:val="008A0E57"/>
    <w:rsid w:val="008A0F03"/>
    <w:rsid w:val="008A144D"/>
    <w:rsid w:val="008A2FFC"/>
    <w:rsid w:val="008A3DB0"/>
    <w:rsid w:val="008A4186"/>
    <w:rsid w:val="008A4E32"/>
    <w:rsid w:val="008A5215"/>
    <w:rsid w:val="008A59DC"/>
    <w:rsid w:val="008A5E2A"/>
    <w:rsid w:val="008A7128"/>
    <w:rsid w:val="008B0393"/>
    <w:rsid w:val="008B0610"/>
    <w:rsid w:val="008B112D"/>
    <w:rsid w:val="008B15FE"/>
    <w:rsid w:val="008B19E9"/>
    <w:rsid w:val="008B1FED"/>
    <w:rsid w:val="008B2A2B"/>
    <w:rsid w:val="008B3673"/>
    <w:rsid w:val="008B42B6"/>
    <w:rsid w:val="008B70A8"/>
    <w:rsid w:val="008B7B1B"/>
    <w:rsid w:val="008C0AF9"/>
    <w:rsid w:val="008C12C3"/>
    <w:rsid w:val="008C2E31"/>
    <w:rsid w:val="008C3BBC"/>
    <w:rsid w:val="008C5288"/>
    <w:rsid w:val="008C5F9D"/>
    <w:rsid w:val="008C6D13"/>
    <w:rsid w:val="008D0054"/>
    <w:rsid w:val="008D0BB2"/>
    <w:rsid w:val="008D0FDB"/>
    <w:rsid w:val="008D14C3"/>
    <w:rsid w:val="008D1BA2"/>
    <w:rsid w:val="008D1EA6"/>
    <w:rsid w:val="008D1FB5"/>
    <w:rsid w:val="008D23F0"/>
    <w:rsid w:val="008D2A73"/>
    <w:rsid w:val="008D3318"/>
    <w:rsid w:val="008D3396"/>
    <w:rsid w:val="008D3E5A"/>
    <w:rsid w:val="008D46D4"/>
    <w:rsid w:val="008D58E0"/>
    <w:rsid w:val="008D5E67"/>
    <w:rsid w:val="008D6493"/>
    <w:rsid w:val="008D6A20"/>
    <w:rsid w:val="008D6E75"/>
    <w:rsid w:val="008D7998"/>
    <w:rsid w:val="008E147D"/>
    <w:rsid w:val="008E26B5"/>
    <w:rsid w:val="008E3111"/>
    <w:rsid w:val="008E66B7"/>
    <w:rsid w:val="008F2E3F"/>
    <w:rsid w:val="008F31E2"/>
    <w:rsid w:val="008F32AE"/>
    <w:rsid w:val="008F4C69"/>
    <w:rsid w:val="008F4FAA"/>
    <w:rsid w:val="008F65D7"/>
    <w:rsid w:val="008F78DC"/>
    <w:rsid w:val="008F7DD5"/>
    <w:rsid w:val="00900E5C"/>
    <w:rsid w:val="00900EE6"/>
    <w:rsid w:val="00901110"/>
    <w:rsid w:val="00901E93"/>
    <w:rsid w:val="00902726"/>
    <w:rsid w:val="00903163"/>
    <w:rsid w:val="00903660"/>
    <w:rsid w:val="009039C7"/>
    <w:rsid w:val="00905689"/>
    <w:rsid w:val="00906EE8"/>
    <w:rsid w:val="0090723A"/>
    <w:rsid w:val="00907949"/>
    <w:rsid w:val="0091075B"/>
    <w:rsid w:val="0091091B"/>
    <w:rsid w:val="00911740"/>
    <w:rsid w:val="0091281E"/>
    <w:rsid w:val="0091352A"/>
    <w:rsid w:val="00914CF7"/>
    <w:rsid w:val="00914E1A"/>
    <w:rsid w:val="0091511A"/>
    <w:rsid w:val="009166C2"/>
    <w:rsid w:val="009168A5"/>
    <w:rsid w:val="0091733E"/>
    <w:rsid w:val="00922175"/>
    <w:rsid w:val="009223B8"/>
    <w:rsid w:val="00922D13"/>
    <w:rsid w:val="00923C02"/>
    <w:rsid w:val="00923C1D"/>
    <w:rsid w:val="009252DF"/>
    <w:rsid w:val="0092636F"/>
    <w:rsid w:val="009264E6"/>
    <w:rsid w:val="0092734E"/>
    <w:rsid w:val="009310C2"/>
    <w:rsid w:val="00931AD9"/>
    <w:rsid w:val="00931CC2"/>
    <w:rsid w:val="0093225B"/>
    <w:rsid w:val="00933095"/>
    <w:rsid w:val="0093311C"/>
    <w:rsid w:val="00933138"/>
    <w:rsid w:val="00933415"/>
    <w:rsid w:val="00934AD2"/>
    <w:rsid w:val="00934D9E"/>
    <w:rsid w:val="009359AF"/>
    <w:rsid w:val="00935BC4"/>
    <w:rsid w:val="00936680"/>
    <w:rsid w:val="009369BA"/>
    <w:rsid w:val="009373E0"/>
    <w:rsid w:val="00937BF2"/>
    <w:rsid w:val="00937D2B"/>
    <w:rsid w:val="00940A7A"/>
    <w:rsid w:val="009416BA"/>
    <w:rsid w:val="00941840"/>
    <w:rsid w:val="0094199B"/>
    <w:rsid w:val="00942882"/>
    <w:rsid w:val="009443D0"/>
    <w:rsid w:val="00944983"/>
    <w:rsid w:val="0094539D"/>
    <w:rsid w:val="00945611"/>
    <w:rsid w:val="009462AE"/>
    <w:rsid w:val="00950BAA"/>
    <w:rsid w:val="00953C2E"/>
    <w:rsid w:val="009559B3"/>
    <w:rsid w:val="009564AF"/>
    <w:rsid w:val="00956A1F"/>
    <w:rsid w:val="00957826"/>
    <w:rsid w:val="009602C5"/>
    <w:rsid w:val="00960511"/>
    <w:rsid w:val="00960971"/>
    <w:rsid w:val="00960A52"/>
    <w:rsid w:val="00961438"/>
    <w:rsid w:val="009622AD"/>
    <w:rsid w:val="00962A63"/>
    <w:rsid w:val="00962D60"/>
    <w:rsid w:val="00963AD2"/>
    <w:rsid w:val="00963BEB"/>
    <w:rsid w:val="00965BFE"/>
    <w:rsid w:val="0097036C"/>
    <w:rsid w:val="00970B6E"/>
    <w:rsid w:val="00970CDA"/>
    <w:rsid w:val="00971584"/>
    <w:rsid w:val="009719DF"/>
    <w:rsid w:val="00972337"/>
    <w:rsid w:val="0097385A"/>
    <w:rsid w:val="00973FE0"/>
    <w:rsid w:val="009741A7"/>
    <w:rsid w:val="00975AEA"/>
    <w:rsid w:val="00975C21"/>
    <w:rsid w:val="009762BD"/>
    <w:rsid w:val="00976464"/>
    <w:rsid w:val="00976675"/>
    <w:rsid w:val="00976C6D"/>
    <w:rsid w:val="009775E1"/>
    <w:rsid w:val="009803BE"/>
    <w:rsid w:val="009808C2"/>
    <w:rsid w:val="0098127B"/>
    <w:rsid w:val="0098158A"/>
    <w:rsid w:val="009822C4"/>
    <w:rsid w:val="00982FD6"/>
    <w:rsid w:val="009830D3"/>
    <w:rsid w:val="00983467"/>
    <w:rsid w:val="0098413A"/>
    <w:rsid w:val="00984A99"/>
    <w:rsid w:val="009867A2"/>
    <w:rsid w:val="00987548"/>
    <w:rsid w:val="00987EFC"/>
    <w:rsid w:val="0099004B"/>
    <w:rsid w:val="0099030D"/>
    <w:rsid w:val="009905C4"/>
    <w:rsid w:val="00990795"/>
    <w:rsid w:val="00990D65"/>
    <w:rsid w:val="00990DC0"/>
    <w:rsid w:val="00991000"/>
    <w:rsid w:val="00991434"/>
    <w:rsid w:val="00992EAE"/>
    <w:rsid w:val="009958A7"/>
    <w:rsid w:val="009975EB"/>
    <w:rsid w:val="009A0E64"/>
    <w:rsid w:val="009A1AED"/>
    <w:rsid w:val="009A1DC0"/>
    <w:rsid w:val="009A28BD"/>
    <w:rsid w:val="009A2ABE"/>
    <w:rsid w:val="009A3805"/>
    <w:rsid w:val="009A471F"/>
    <w:rsid w:val="009A5C66"/>
    <w:rsid w:val="009A6CCA"/>
    <w:rsid w:val="009A6D02"/>
    <w:rsid w:val="009A7CCC"/>
    <w:rsid w:val="009A7FFC"/>
    <w:rsid w:val="009B0A05"/>
    <w:rsid w:val="009B1A9E"/>
    <w:rsid w:val="009B2066"/>
    <w:rsid w:val="009B27D1"/>
    <w:rsid w:val="009B2C93"/>
    <w:rsid w:val="009B5CFE"/>
    <w:rsid w:val="009B5FC5"/>
    <w:rsid w:val="009B6C32"/>
    <w:rsid w:val="009B72E7"/>
    <w:rsid w:val="009B7642"/>
    <w:rsid w:val="009C0E1B"/>
    <w:rsid w:val="009C21A9"/>
    <w:rsid w:val="009C3ED4"/>
    <w:rsid w:val="009D0129"/>
    <w:rsid w:val="009D0B63"/>
    <w:rsid w:val="009D0FEB"/>
    <w:rsid w:val="009D17D7"/>
    <w:rsid w:val="009D1889"/>
    <w:rsid w:val="009D18D4"/>
    <w:rsid w:val="009D3A6E"/>
    <w:rsid w:val="009D4A19"/>
    <w:rsid w:val="009E05C2"/>
    <w:rsid w:val="009E0F13"/>
    <w:rsid w:val="009E0FCF"/>
    <w:rsid w:val="009E1C4B"/>
    <w:rsid w:val="009E23F7"/>
    <w:rsid w:val="009E250C"/>
    <w:rsid w:val="009E32F4"/>
    <w:rsid w:val="009E361C"/>
    <w:rsid w:val="009E4386"/>
    <w:rsid w:val="009E5CDF"/>
    <w:rsid w:val="009E6803"/>
    <w:rsid w:val="009E7CAE"/>
    <w:rsid w:val="009F0853"/>
    <w:rsid w:val="009F0D00"/>
    <w:rsid w:val="009F11A4"/>
    <w:rsid w:val="009F18D6"/>
    <w:rsid w:val="009F4407"/>
    <w:rsid w:val="009F5373"/>
    <w:rsid w:val="009F614F"/>
    <w:rsid w:val="009F690B"/>
    <w:rsid w:val="009F6B78"/>
    <w:rsid w:val="00A0222A"/>
    <w:rsid w:val="00A030AA"/>
    <w:rsid w:val="00A0328D"/>
    <w:rsid w:val="00A04917"/>
    <w:rsid w:val="00A05347"/>
    <w:rsid w:val="00A06C66"/>
    <w:rsid w:val="00A07EA0"/>
    <w:rsid w:val="00A112AF"/>
    <w:rsid w:val="00A12C4D"/>
    <w:rsid w:val="00A166EC"/>
    <w:rsid w:val="00A17820"/>
    <w:rsid w:val="00A218C9"/>
    <w:rsid w:val="00A21EDC"/>
    <w:rsid w:val="00A2507C"/>
    <w:rsid w:val="00A25187"/>
    <w:rsid w:val="00A26D07"/>
    <w:rsid w:val="00A26E7B"/>
    <w:rsid w:val="00A311A0"/>
    <w:rsid w:val="00A31253"/>
    <w:rsid w:val="00A343FE"/>
    <w:rsid w:val="00A36429"/>
    <w:rsid w:val="00A36A2E"/>
    <w:rsid w:val="00A36DE7"/>
    <w:rsid w:val="00A372D4"/>
    <w:rsid w:val="00A430A8"/>
    <w:rsid w:val="00A459E0"/>
    <w:rsid w:val="00A46F37"/>
    <w:rsid w:val="00A47D8E"/>
    <w:rsid w:val="00A505AC"/>
    <w:rsid w:val="00A50A4E"/>
    <w:rsid w:val="00A52C2A"/>
    <w:rsid w:val="00A531A5"/>
    <w:rsid w:val="00A53784"/>
    <w:rsid w:val="00A55B8E"/>
    <w:rsid w:val="00A57787"/>
    <w:rsid w:val="00A57873"/>
    <w:rsid w:val="00A578FC"/>
    <w:rsid w:val="00A60583"/>
    <w:rsid w:val="00A61660"/>
    <w:rsid w:val="00A618D6"/>
    <w:rsid w:val="00A61B46"/>
    <w:rsid w:val="00A622AA"/>
    <w:rsid w:val="00A6285D"/>
    <w:rsid w:val="00A62B2E"/>
    <w:rsid w:val="00A632DF"/>
    <w:rsid w:val="00A65453"/>
    <w:rsid w:val="00A6689D"/>
    <w:rsid w:val="00A701C8"/>
    <w:rsid w:val="00A705B0"/>
    <w:rsid w:val="00A70714"/>
    <w:rsid w:val="00A711F9"/>
    <w:rsid w:val="00A717C3"/>
    <w:rsid w:val="00A727EE"/>
    <w:rsid w:val="00A730F0"/>
    <w:rsid w:val="00A737FF"/>
    <w:rsid w:val="00A75404"/>
    <w:rsid w:val="00A75D93"/>
    <w:rsid w:val="00A7704A"/>
    <w:rsid w:val="00A80179"/>
    <w:rsid w:val="00A8023F"/>
    <w:rsid w:val="00A818BB"/>
    <w:rsid w:val="00A81BDC"/>
    <w:rsid w:val="00A821D5"/>
    <w:rsid w:val="00A828F2"/>
    <w:rsid w:val="00A83E6D"/>
    <w:rsid w:val="00A83E6F"/>
    <w:rsid w:val="00A8604A"/>
    <w:rsid w:val="00A8779D"/>
    <w:rsid w:val="00A902E7"/>
    <w:rsid w:val="00A90F20"/>
    <w:rsid w:val="00A91332"/>
    <w:rsid w:val="00A92E93"/>
    <w:rsid w:val="00A9388F"/>
    <w:rsid w:val="00A947C1"/>
    <w:rsid w:val="00A950CD"/>
    <w:rsid w:val="00A963D8"/>
    <w:rsid w:val="00A97ADC"/>
    <w:rsid w:val="00AA0D1E"/>
    <w:rsid w:val="00AA2D50"/>
    <w:rsid w:val="00AA300B"/>
    <w:rsid w:val="00AA459C"/>
    <w:rsid w:val="00AA4682"/>
    <w:rsid w:val="00AA50D2"/>
    <w:rsid w:val="00AA61A3"/>
    <w:rsid w:val="00AA6757"/>
    <w:rsid w:val="00AA68AE"/>
    <w:rsid w:val="00AA6BCE"/>
    <w:rsid w:val="00AA6BEB"/>
    <w:rsid w:val="00AA7171"/>
    <w:rsid w:val="00AA7751"/>
    <w:rsid w:val="00AB1259"/>
    <w:rsid w:val="00AB1C60"/>
    <w:rsid w:val="00AB2497"/>
    <w:rsid w:val="00AB3B78"/>
    <w:rsid w:val="00AB419E"/>
    <w:rsid w:val="00AB6B37"/>
    <w:rsid w:val="00AB729E"/>
    <w:rsid w:val="00AC0154"/>
    <w:rsid w:val="00AC2CC0"/>
    <w:rsid w:val="00AC3461"/>
    <w:rsid w:val="00AC34AB"/>
    <w:rsid w:val="00AC415A"/>
    <w:rsid w:val="00AC4562"/>
    <w:rsid w:val="00AC5040"/>
    <w:rsid w:val="00AC7981"/>
    <w:rsid w:val="00AD09FA"/>
    <w:rsid w:val="00AD0A06"/>
    <w:rsid w:val="00AD145F"/>
    <w:rsid w:val="00AD1731"/>
    <w:rsid w:val="00AD19FF"/>
    <w:rsid w:val="00AD20DE"/>
    <w:rsid w:val="00AD5BCD"/>
    <w:rsid w:val="00AD6D65"/>
    <w:rsid w:val="00AD7C9A"/>
    <w:rsid w:val="00AD7F36"/>
    <w:rsid w:val="00AE0A8B"/>
    <w:rsid w:val="00AE0C3B"/>
    <w:rsid w:val="00AE1D67"/>
    <w:rsid w:val="00AE3526"/>
    <w:rsid w:val="00AE475D"/>
    <w:rsid w:val="00AE4A02"/>
    <w:rsid w:val="00AE60A8"/>
    <w:rsid w:val="00AE622F"/>
    <w:rsid w:val="00AE6B26"/>
    <w:rsid w:val="00AE6E6A"/>
    <w:rsid w:val="00AE7A38"/>
    <w:rsid w:val="00AF0ADF"/>
    <w:rsid w:val="00AF1916"/>
    <w:rsid w:val="00AF24F8"/>
    <w:rsid w:val="00AF26A8"/>
    <w:rsid w:val="00AF28A1"/>
    <w:rsid w:val="00AF2E75"/>
    <w:rsid w:val="00AF3B10"/>
    <w:rsid w:val="00AF3C74"/>
    <w:rsid w:val="00AF4686"/>
    <w:rsid w:val="00AF53CC"/>
    <w:rsid w:val="00AF7475"/>
    <w:rsid w:val="00AF7C12"/>
    <w:rsid w:val="00B01312"/>
    <w:rsid w:val="00B01D25"/>
    <w:rsid w:val="00B04CCC"/>
    <w:rsid w:val="00B07A0D"/>
    <w:rsid w:val="00B10C1C"/>
    <w:rsid w:val="00B10FDF"/>
    <w:rsid w:val="00B116E2"/>
    <w:rsid w:val="00B12679"/>
    <w:rsid w:val="00B144E7"/>
    <w:rsid w:val="00B14DDB"/>
    <w:rsid w:val="00B14E21"/>
    <w:rsid w:val="00B14E4D"/>
    <w:rsid w:val="00B153EE"/>
    <w:rsid w:val="00B16A35"/>
    <w:rsid w:val="00B1732A"/>
    <w:rsid w:val="00B2122E"/>
    <w:rsid w:val="00B22506"/>
    <w:rsid w:val="00B22797"/>
    <w:rsid w:val="00B22C9D"/>
    <w:rsid w:val="00B25945"/>
    <w:rsid w:val="00B25C5B"/>
    <w:rsid w:val="00B25F02"/>
    <w:rsid w:val="00B2697E"/>
    <w:rsid w:val="00B3154F"/>
    <w:rsid w:val="00B31B41"/>
    <w:rsid w:val="00B326C2"/>
    <w:rsid w:val="00B3320E"/>
    <w:rsid w:val="00B332E3"/>
    <w:rsid w:val="00B33900"/>
    <w:rsid w:val="00B35BED"/>
    <w:rsid w:val="00B361A1"/>
    <w:rsid w:val="00B37005"/>
    <w:rsid w:val="00B37718"/>
    <w:rsid w:val="00B378D7"/>
    <w:rsid w:val="00B37957"/>
    <w:rsid w:val="00B40F4D"/>
    <w:rsid w:val="00B41C3D"/>
    <w:rsid w:val="00B433D3"/>
    <w:rsid w:val="00B44AB3"/>
    <w:rsid w:val="00B53461"/>
    <w:rsid w:val="00B54072"/>
    <w:rsid w:val="00B5522A"/>
    <w:rsid w:val="00B55C3C"/>
    <w:rsid w:val="00B5607F"/>
    <w:rsid w:val="00B569FF"/>
    <w:rsid w:val="00B56E46"/>
    <w:rsid w:val="00B57EB9"/>
    <w:rsid w:val="00B610B6"/>
    <w:rsid w:val="00B61F90"/>
    <w:rsid w:val="00B635BD"/>
    <w:rsid w:val="00B655CC"/>
    <w:rsid w:val="00B66F31"/>
    <w:rsid w:val="00B67116"/>
    <w:rsid w:val="00B67B5C"/>
    <w:rsid w:val="00B747CF"/>
    <w:rsid w:val="00B7621F"/>
    <w:rsid w:val="00B76481"/>
    <w:rsid w:val="00B76917"/>
    <w:rsid w:val="00B76F25"/>
    <w:rsid w:val="00B77E06"/>
    <w:rsid w:val="00B80E46"/>
    <w:rsid w:val="00B81265"/>
    <w:rsid w:val="00B82916"/>
    <w:rsid w:val="00B8576E"/>
    <w:rsid w:val="00B86142"/>
    <w:rsid w:val="00B906C2"/>
    <w:rsid w:val="00B912B1"/>
    <w:rsid w:val="00B962D9"/>
    <w:rsid w:val="00B9693C"/>
    <w:rsid w:val="00B96E84"/>
    <w:rsid w:val="00B97F50"/>
    <w:rsid w:val="00BA1347"/>
    <w:rsid w:val="00BA25A8"/>
    <w:rsid w:val="00BA4E69"/>
    <w:rsid w:val="00BA5211"/>
    <w:rsid w:val="00BA680D"/>
    <w:rsid w:val="00BA691B"/>
    <w:rsid w:val="00BB39DF"/>
    <w:rsid w:val="00BB4A36"/>
    <w:rsid w:val="00BB512E"/>
    <w:rsid w:val="00BB5FB3"/>
    <w:rsid w:val="00BC0483"/>
    <w:rsid w:val="00BC06C5"/>
    <w:rsid w:val="00BC0CB4"/>
    <w:rsid w:val="00BC1B79"/>
    <w:rsid w:val="00BC3FD4"/>
    <w:rsid w:val="00BC53CC"/>
    <w:rsid w:val="00BC62B0"/>
    <w:rsid w:val="00BC6B23"/>
    <w:rsid w:val="00BC7DE5"/>
    <w:rsid w:val="00BD1437"/>
    <w:rsid w:val="00BD18CD"/>
    <w:rsid w:val="00BD199F"/>
    <w:rsid w:val="00BD2609"/>
    <w:rsid w:val="00BD28E2"/>
    <w:rsid w:val="00BD3372"/>
    <w:rsid w:val="00BD44E2"/>
    <w:rsid w:val="00BD49BA"/>
    <w:rsid w:val="00BD5EAE"/>
    <w:rsid w:val="00BE0329"/>
    <w:rsid w:val="00BE0749"/>
    <w:rsid w:val="00BE0B66"/>
    <w:rsid w:val="00BE11B6"/>
    <w:rsid w:val="00BE30D1"/>
    <w:rsid w:val="00BE4DEE"/>
    <w:rsid w:val="00BE4F4A"/>
    <w:rsid w:val="00BE517F"/>
    <w:rsid w:val="00BE5728"/>
    <w:rsid w:val="00BE57A8"/>
    <w:rsid w:val="00BE5B0B"/>
    <w:rsid w:val="00BE6193"/>
    <w:rsid w:val="00BE7ED0"/>
    <w:rsid w:val="00BF0356"/>
    <w:rsid w:val="00BF041F"/>
    <w:rsid w:val="00BF1056"/>
    <w:rsid w:val="00BF484E"/>
    <w:rsid w:val="00BF48EA"/>
    <w:rsid w:val="00BF53F1"/>
    <w:rsid w:val="00BF6717"/>
    <w:rsid w:val="00BF6A55"/>
    <w:rsid w:val="00BF7E4D"/>
    <w:rsid w:val="00C01AB2"/>
    <w:rsid w:val="00C01D4E"/>
    <w:rsid w:val="00C025AF"/>
    <w:rsid w:val="00C05DDF"/>
    <w:rsid w:val="00C05ECF"/>
    <w:rsid w:val="00C1112E"/>
    <w:rsid w:val="00C12B06"/>
    <w:rsid w:val="00C14968"/>
    <w:rsid w:val="00C14CEF"/>
    <w:rsid w:val="00C1569D"/>
    <w:rsid w:val="00C16188"/>
    <w:rsid w:val="00C166C3"/>
    <w:rsid w:val="00C17CE2"/>
    <w:rsid w:val="00C20799"/>
    <w:rsid w:val="00C22B55"/>
    <w:rsid w:val="00C24902"/>
    <w:rsid w:val="00C251EE"/>
    <w:rsid w:val="00C257B0"/>
    <w:rsid w:val="00C2620F"/>
    <w:rsid w:val="00C27152"/>
    <w:rsid w:val="00C2764F"/>
    <w:rsid w:val="00C27C83"/>
    <w:rsid w:val="00C31677"/>
    <w:rsid w:val="00C32284"/>
    <w:rsid w:val="00C3286A"/>
    <w:rsid w:val="00C3295E"/>
    <w:rsid w:val="00C335C4"/>
    <w:rsid w:val="00C34607"/>
    <w:rsid w:val="00C349C1"/>
    <w:rsid w:val="00C34C77"/>
    <w:rsid w:val="00C34F8A"/>
    <w:rsid w:val="00C36330"/>
    <w:rsid w:val="00C363A6"/>
    <w:rsid w:val="00C371C1"/>
    <w:rsid w:val="00C375C5"/>
    <w:rsid w:val="00C37656"/>
    <w:rsid w:val="00C44437"/>
    <w:rsid w:val="00C44B0B"/>
    <w:rsid w:val="00C4659E"/>
    <w:rsid w:val="00C4738A"/>
    <w:rsid w:val="00C50CF7"/>
    <w:rsid w:val="00C517EC"/>
    <w:rsid w:val="00C51F19"/>
    <w:rsid w:val="00C51F56"/>
    <w:rsid w:val="00C57A87"/>
    <w:rsid w:val="00C60226"/>
    <w:rsid w:val="00C60824"/>
    <w:rsid w:val="00C60AB3"/>
    <w:rsid w:val="00C60C5B"/>
    <w:rsid w:val="00C62778"/>
    <w:rsid w:val="00C627B2"/>
    <w:rsid w:val="00C62EFD"/>
    <w:rsid w:val="00C63D86"/>
    <w:rsid w:val="00C64C4C"/>
    <w:rsid w:val="00C64D69"/>
    <w:rsid w:val="00C64F3F"/>
    <w:rsid w:val="00C67549"/>
    <w:rsid w:val="00C70069"/>
    <w:rsid w:val="00C70828"/>
    <w:rsid w:val="00C708A7"/>
    <w:rsid w:val="00C7118C"/>
    <w:rsid w:val="00C7121F"/>
    <w:rsid w:val="00C722FE"/>
    <w:rsid w:val="00C72A87"/>
    <w:rsid w:val="00C745BB"/>
    <w:rsid w:val="00C747D8"/>
    <w:rsid w:val="00C74BEB"/>
    <w:rsid w:val="00C76C54"/>
    <w:rsid w:val="00C80C33"/>
    <w:rsid w:val="00C81A74"/>
    <w:rsid w:val="00C82ED6"/>
    <w:rsid w:val="00C84188"/>
    <w:rsid w:val="00C9127F"/>
    <w:rsid w:val="00C91A79"/>
    <w:rsid w:val="00C92250"/>
    <w:rsid w:val="00C928F0"/>
    <w:rsid w:val="00C93177"/>
    <w:rsid w:val="00C95BF2"/>
    <w:rsid w:val="00C96282"/>
    <w:rsid w:val="00C96343"/>
    <w:rsid w:val="00CA3FAE"/>
    <w:rsid w:val="00CA5177"/>
    <w:rsid w:val="00CA5307"/>
    <w:rsid w:val="00CA6A1A"/>
    <w:rsid w:val="00CA6A51"/>
    <w:rsid w:val="00CA6C20"/>
    <w:rsid w:val="00CA705E"/>
    <w:rsid w:val="00CA7383"/>
    <w:rsid w:val="00CB077A"/>
    <w:rsid w:val="00CB0F93"/>
    <w:rsid w:val="00CB5ACF"/>
    <w:rsid w:val="00CB645B"/>
    <w:rsid w:val="00CB65DD"/>
    <w:rsid w:val="00CB7ADB"/>
    <w:rsid w:val="00CC137C"/>
    <w:rsid w:val="00CC13E2"/>
    <w:rsid w:val="00CC19DC"/>
    <w:rsid w:val="00CC319E"/>
    <w:rsid w:val="00CC3638"/>
    <w:rsid w:val="00CC399C"/>
    <w:rsid w:val="00CC5907"/>
    <w:rsid w:val="00CC6056"/>
    <w:rsid w:val="00CC6405"/>
    <w:rsid w:val="00CC64E3"/>
    <w:rsid w:val="00CC6AF4"/>
    <w:rsid w:val="00CC7811"/>
    <w:rsid w:val="00CD1DC2"/>
    <w:rsid w:val="00CD2D05"/>
    <w:rsid w:val="00CD3C39"/>
    <w:rsid w:val="00CD46A4"/>
    <w:rsid w:val="00CD5A98"/>
    <w:rsid w:val="00CD5E1D"/>
    <w:rsid w:val="00CE0DE9"/>
    <w:rsid w:val="00CE295B"/>
    <w:rsid w:val="00CE34BF"/>
    <w:rsid w:val="00CE3A54"/>
    <w:rsid w:val="00CE44E0"/>
    <w:rsid w:val="00CE633E"/>
    <w:rsid w:val="00CE6B03"/>
    <w:rsid w:val="00CE7ADF"/>
    <w:rsid w:val="00CF08E1"/>
    <w:rsid w:val="00CF356D"/>
    <w:rsid w:val="00CF3969"/>
    <w:rsid w:val="00CF415F"/>
    <w:rsid w:val="00CF4426"/>
    <w:rsid w:val="00CF4D55"/>
    <w:rsid w:val="00CF5ABA"/>
    <w:rsid w:val="00CF5F12"/>
    <w:rsid w:val="00CF6C5F"/>
    <w:rsid w:val="00CF704E"/>
    <w:rsid w:val="00CF7A07"/>
    <w:rsid w:val="00CF7DD9"/>
    <w:rsid w:val="00D00793"/>
    <w:rsid w:val="00D009D7"/>
    <w:rsid w:val="00D00E34"/>
    <w:rsid w:val="00D01164"/>
    <w:rsid w:val="00D025DE"/>
    <w:rsid w:val="00D02CB0"/>
    <w:rsid w:val="00D031D0"/>
    <w:rsid w:val="00D04225"/>
    <w:rsid w:val="00D05168"/>
    <w:rsid w:val="00D05829"/>
    <w:rsid w:val="00D06429"/>
    <w:rsid w:val="00D072F0"/>
    <w:rsid w:val="00D07567"/>
    <w:rsid w:val="00D1082B"/>
    <w:rsid w:val="00D1099E"/>
    <w:rsid w:val="00D11024"/>
    <w:rsid w:val="00D1197D"/>
    <w:rsid w:val="00D1265C"/>
    <w:rsid w:val="00D1267F"/>
    <w:rsid w:val="00D1349A"/>
    <w:rsid w:val="00D1447F"/>
    <w:rsid w:val="00D153CD"/>
    <w:rsid w:val="00D1545D"/>
    <w:rsid w:val="00D15BE6"/>
    <w:rsid w:val="00D16003"/>
    <w:rsid w:val="00D16054"/>
    <w:rsid w:val="00D16F0A"/>
    <w:rsid w:val="00D17DB6"/>
    <w:rsid w:val="00D2059D"/>
    <w:rsid w:val="00D21D22"/>
    <w:rsid w:val="00D235C3"/>
    <w:rsid w:val="00D2529D"/>
    <w:rsid w:val="00D25FBF"/>
    <w:rsid w:val="00D260A1"/>
    <w:rsid w:val="00D268FD"/>
    <w:rsid w:val="00D272B0"/>
    <w:rsid w:val="00D2789C"/>
    <w:rsid w:val="00D27E70"/>
    <w:rsid w:val="00D27FAF"/>
    <w:rsid w:val="00D31533"/>
    <w:rsid w:val="00D33298"/>
    <w:rsid w:val="00D351B2"/>
    <w:rsid w:val="00D36E3F"/>
    <w:rsid w:val="00D37D98"/>
    <w:rsid w:val="00D37E13"/>
    <w:rsid w:val="00D407EF"/>
    <w:rsid w:val="00D424CE"/>
    <w:rsid w:val="00D44112"/>
    <w:rsid w:val="00D445E3"/>
    <w:rsid w:val="00D44683"/>
    <w:rsid w:val="00D4495B"/>
    <w:rsid w:val="00D44CC5"/>
    <w:rsid w:val="00D45B88"/>
    <w:rsid w:val="00D52505"/>
    <w:rsid w:val="00D54549"/>
    <w:rsid w:val="00D55028"/>
    <w:rsid w:val="00D556FC"/>
    <w:rsid w:val="00D56E8B"/>
    <w:rsid w:val="00D573DF"/>
    <w:rsid w:val="00D57B7E"/>
    <w:rsid w:val="00D607CE"/>
    <w:rsid w:val="00D60DC1"/>
    <w:rsid w:val="00D611D0"/>
    <w:rsid w:val="00D612B8"/>
    <w:rsid w:val="00D61890"/>
    <w:rsid w:val="00D61D0D"/>
    <w:rsid w:val="00D62039"/>
    <w:rsid w:val="00D644F1"/>
    <w:rsid w:val="00D64605"/>
    <w:rsid w:val="00D6538C"/>
    <w:rsid w:val="00D66600"/>
    <w:rsid w:val="00D666AC"/>
    <w:rsid w:val="00D6702A"/>
    <w:rsid w:val="00D67A9A"/>
    <w:rsid w:val="00D67B8B"/>
    <w:rsid w:val="00D71930"/>
    <w:rsid w:val="00D724DE"/>
    <w:rsid w:val="00D733A1"/>
    <w:rsid w:val="00D767AF"/>
    <w:rsid w:val="00D774B8"/>
    <w:rsid w:val="00D77E2C"/>
    <w:rsid w:val="00D8064C"/>
    <w:rsid w:val="00D84484"/>
    <w:rsid w:val="00D84D2B"/>
    <w:rsid w:val="00D85911"/>
    <w:rsid w:val="00D862B2"/>
    <w:rsid w:val="00D8761A"/>
    <w:rsid w:val="00D87FDD"/>
    <w:rsid w:val="00D913E2"/>
    <w:rsid w:val="00D92F4F"/>
    <w:rsid w:val="00D961D9"/>
    <w:rsid w:val="00D96702"/>
    <w:rsid w:val="00D96F22"/>
    <w:rsid w:val="00DA0C71"/>
    <w:rsid w:val="00DA0C9C"/>
    <w:rsid w:val="00DA2415"/>
    <w:rsid w:val="00DA26F1"/>
    <w:rsid w:val="00DA2FC0"/>
    <w:rsid w:val="00DA3E01"/>
    <w:rsid w:val="00DA512A"/>
    <w:rsid w:val="00DA59F8"/>
    <w:rsid w:val="00DA5D41"/>
    <w:rsid w:val="00DB0338"/>
    <w:rsid w:val="00DB1E00"/>
    <w:rsid w:val="00DB1FCA"/>
    <w:rsid w:val="00DB29BB"/>
    <w:rsid w:val="00DB332D"/>
    <w:rsid w:val="00DC10BC"/>
    <w:rsid w:val="00DC1D71"/>
    <w:rsid w:val="00DC3A2B"/>
    <w:rsid w:val="00DC41EA"/>
    <w:rsid w:val="00DC5424"/>
    <w:rsid w:val="00DC592C"/>
    <w:rsid w:val="00DD255F"/>
    <w:rsid w:val="00DD31F8"/>
    <w:rsid w:val="00DD5DB8"/>
    <w:rsid w:val="00DD6465"/>
    <w:rsid w:val="00DD674F"/>
    <w:rsid w:val="00DD7752"/>
    <w:rsid w:val="00DE0F80"/>
    <w:rsid w:val="00DE2996"/>
    <w:rsid w:val="00DE51AF"/>
    <w:rsid w:val="00DE7001"/>
    <w:rsid w:val="00DF0EB7"/>
    <w:rsid w:val="00DF187B"/>
    <w:rsid w:val="00DF1FAB"/>
    <w:rsid w:val="00DF24EE"/>
    <w:rsid w:val="00DF2B09"/>
    <w:rsid w:val="00DF6500"/>
    <w:rsid w:val="00DF7939"/>
    <w:rsid w:val="00E0055B"/>
    <w:rsid w:val="00E0133B"/>
    <w:rsid w:val="00E01363"/>
    <w:rsid w:val="00E017B6"/>
    <w:rsid w:val="00E039F4"/>
    <w:rsid w:val="00E053FE"/>
    <w:rsid w:val="00E057BF"/>
    <w:rsid w:val="00E0594C"/>
    <w:rsid w:val="00E05CF9"/>
    <w:rsid w:val="00E061F9"/>
    <w:rsid w:val="00E079F4"/>
    <w:rsid w:val="00E10932"/>
    <w:rsid w:val="00E117FA"/>
    <w:rsid w:val="00E11868"/>
    <w:rsid w:val="00E1187D"/>
    <w:rsid w:val="00E1209C"/>
    <w:rsid w:val="00E12615"/>
    <w:rsid w:val="00E13438"/>
    <w:rsid w:val="00E1381A"/>
    <w:rsid w:val="00E154C2"/>
    <w:rsid w:val="00E1698A"/>
    <w:rsid w:val="00E1745C"/>
    <w:rsid w:val="00E176EC"/>
    <w:rsid w:val="00E17966"/>
    <w:rsid w:val="00E17D44"/>
    <w:rsid w:val="00E17EFC"/>
    <w:rsid w:val="00E20DA1"/>
    <w:rsid w:val="00E21EA0"/>
    <w:rsid w:val="00E22D51"/>
    <w:rsid w:val="00E25AC4"/>
    <w:rsid w:val="00E26FDC"/>
    <w:rsid w:val="00E2725B"/>
    <w:rsid w:val="00E277CE"/>
    <w:rsid w:val="00E27F03"/>
    <w:rsid w:val="00E30975"/>
    <w:rsid w:val="00E31DB0"/>
    <w:rsid w:val="00E3298C"/>
    <w:rsid w:val="00E32B1F"/>
    <w:rsid w:val="00E3306E"/>
    <w:rsid w:val="00E3326E"/>
    <w:rsid w:val="00E33EDC"/>
    <w:rsid w:val="00E345AC"/>
    <w:rsid w:val="00E35DD5"/>
    <w:rsid w:val="00E35FCA"/>
    <w:rsid w:val="00E3605D"/>
    <w:rsid w:val="00E37477"/>
    <w:rsid w:val="00E3753E"/>
    <w:rsid w:val="00E377F2"/>
    <w:rsid w:val="00E37F8D"/>
    <w:rsid w:val="00E407A1"/>
    <w:rsid w:val="00E40F82"/>
    <w:rsid w:val="00E415D3"/>
    <w:rsid w:val="00E42C05"/>
    <w:rsid w:val="00E43990"/>
    <w:rsid w:val="00E45B42"/>
    <w:rsid w:val="00E45CD1"/>
    <w:rsid w:val="00E464C3"/>
    <w:rsid w:val="00E46BD2"/>
    <w:rsid w:val="00E51564"/>
    <w:rsid w:val="00E528F2"/>
    <w:rsid w:val="00E52A6C"/>
    <w:rsid w:val="00E54186"/>
    <w:rsid w:val="00E54701"/>
    <w:rsid w:val="00E54F89"/>
    <w:rsid w:val="00E564FF"/>
    <w:rsid w:val="00E60A4D"/>
    <w:rsid w:val="00E62189"/>
    <w:rsid w:val="00E63347"/>
    <w:rsid w:val="00E6502F"/>
    <w:rsid w:val="00E657EF"/>
    <w:rsid w:val="00E65C2C"/>
    <w:rsid w:val="00E66607"/>
    <w:rsid w:val="00E6777A"/>
    <w:rsid w:val="00E708B8"/>
    <w:rsid w:val="00E70B33"/>
    <w:rsid w:val="00E71BDB"/>
    <w:rsid w:val="00E73179"/>
    <w:rsid w:val="00E733CD"/>
    <w:rsid w:val="00E74130"/>
    <w:rsid w:val="00E74837"/>
    <w:rsid w:val="00E75481"/>
    <w:rsid w:val="00E7738D"/>
    <w:rsid w:val="00E7769E"/>
    <w:rsid w:val="00E77BB6"/>
    <w:rsid w:val="00E8104F"/>
    <w:rsid w:val="00E8336F"/>
    <w:rsid w:val="00E844CE"/>
    <w:rsid w:val="00E873D5"/>
    <w:rsid w:val="00E874C0"/>
    <w:rsid w:val="00E90ACA"/>
    <w:rsid w:val="00E91F17"/>
    <w:rsid w:val="00E92DA5"/>
    <w:rsid w:val="00E93448"/>
    <w:rsid w:val="00E94713"/>
    <w:rsid w:val="00E95123"/>
    <w:rsid w:val="00E95929"/>
    <w:rsid w:val="00E962F1"/>
    <w:rsid w:val="00EA0553"/>
    <w:rsid w:val="00EA214C"/>
    <w:rsid w:val="00EA2E55"/>
    <w:rsid w:val="00EA340C"/>
    <w:rsid w:val="00EA528C"/>
    <w:rsid w:val="00EA66D9"/>
    <w:rsid w:val="00EA6D5E"/>
    <w:rsid w:val="00EB0331"/>
    <w:rsid w:val="00EB1000"/>
    <w:rsid w:val="00EB3F93"/>
    <w:rsid w:val="00EB4B12"/>
    <w:rsid w:val="00EB660C"/>
    <w:rsid w:val="00EB7815"/>
    <w:rsid w:val="00EB7F55"/>
    <w:rsid w:val="00EC02C2"/>
    <w:rsid w:val="00EC0AFC"/>
    <w:rsid w:val="00EC316E"/>
    <w:rsid w:val="00EC4C0B"/>
    <w:rsid w:val="00EC5B43"/>
    <w:rsid w:val="00EC6BB0"/>
    <w:rsid w:val="00EC6C3B"/>
    <w:rsid w:val="00EC6FBB"/>
    <w:rsid w:val="00EC767B"/>
    <w:rsid w:val="00ED17DA"/>
    <w:rsid w:val="00ED1AAE"/>
    <w:rsid w:val="00ED1D50"/>
    <w:rsid w:val="00ED26E6"/>
    <w:rsid w:val="00ED372A"/>
    <w:rsid w:val="00ED406F"/>
    <w:rsid w:val="00ED4AE3"/>
    <w:rsid w:val="00ED5008"/>
    <w:rsid w:val="00ED7773"/>
    <w:rsid w:val="00EE0545"/>
    <w:rsid w:val="00EE0A26"/>
    <w:rsid w:val="00EE0D9B"/>
    <w:rsid w:val="00EE1EFC"/>
    <w:rsid w:val="00EE3054"/>
    <w:rsid w:val="00EE41DB"/>
    <w:rsid w:val="00EE4716"/>
    <w:rsid w:val="00EE4FC5"/>
    <w:rsid w:val="00EE5494"/>
    <w:rsid w:val="00EE61A4"/>
    <w:rsid w:val="00EE7B03"/>
    <w:rsid w:val="00EF076A"/>
    <w:rsid w:val="00EF1014"/>
    <w:rsid w:val="00EF22E8"/>
    <w:rsid w:val="00EF2340"/>
    <w:rsid w:val="00EF3FF7"/>
    <w:rsid w:val="00EF509C"/>
    <w:rsid w:val="00EF51FA"/>
    <w:rsid w:val="00EF6C70"/>
    <w:rsid w:val="00F00316"/>
    <w:rsid w:val="00F01019"/>
    <w:rsid w:val="00F01320"/>
    <w:rsid w:val="00F01540"/>
    <w:rsid w:val="00F01BD6"/>
    <w:rsid w:val="00F03BFD"/>
    <w:rsid w:val="00F049D3"/>
    <w:rsid w:val="00F05B36"/>
    <w:rsid w:val="00F0674A"/>
    <w:rsid w:val="00F07DCD"/>
    <w:rsid w:val="00F131D7"/>
    <w:rsid w:val="00F14B9B"/>
    <w:rsid w:val="00F176BE"/>
    <w:rsid w:val="00F17D71"/>
    <w:rsid w:val="00F21111"/>
    <w:rsid w:val="00F21307"/>
    <w:rsid w:val="00F221BA"/>
    <w:rsid w:val="00F2276E"/>
    <w:rsid w:val="00F23A9F"/>
    <w:rsid w:val="00F23B2E"/>
    <w:rsid w:val="00F23E43"/>
    <w:rsid w:val="00F23F73"/>
    <w:rsid w:val="00F2642D"/>
    <w:rsid w:val="00F27B51"/>
    <w:rsid w:val="00F30535"/>
    <w:rsid w:val="00F309A7"/>
    <w:rsid w:val="00F32597"/>
    <w:rsid w:val="00F33B40"/>
    <w:rsid w:val="00F33E85"/>
    <w:rsid w:val="00F37351"/>
    <w:rsid w:val="00F40291"/>
    <w:rsid w:val="00F410CD"/>
    <w:rsid w:val="00F444FA"/>
    <w:rsid w:val="00F44893"/>
    <w:rsid w:val="00F454D7"/>
    <w:rsid w:val="00F45563"/>
    <w:rsid w:val="00F45EC8"/>
    <w:rsid w:val="00F475E1"/>
    <w:rsid w:val="00F47F1B"/>
    <w:rsid w:val="00F50696"/>
    <w:rsid w:val="00F50708"/>
    <w:rsid w:val="00F51831"/>
    <w:rsid w:val="00F51BEF"/>
    <w:rsid w:val="00F53860"/>
    <w:rsid w:val="00F539B2"/>
    <w:rsid w:val="00F55F27"/>
    <w:rsid w:val="00F5652F"/>
    <w:rsid w:val="00F5682A"/>
    <w:rsid w:val="00F56D52"/>
    <w:rsid w:val="00F572F0"/>
    <w:rsid w:val="00F575BF"/>
    <w:rsid w:val="00F57731"/>
    <w:rsid w:val="00F616BF"/>
    <w:rsid w:val="00F62235"/>
    <w:rsid w:val="00F6253B"/>
    <w:rsid w:val="00F62773"/>
    <w:rsid w:val="00F64692"/>
    <w:rsid w:val="00F65E73"/>
    <w:rsid w:val="00F67948"/>
    <w:rsid w:val="00F7071F"/>
    <w:rsid w:val="00F71338"/>
    <w:rsid w:val="00F71C70"/>
    <w:rsid w:val="00F7247C"/>
    <w:rsid w:val="00F73958"/>
    <w:rsid w:val="00F73A9F"/>
    <w:rsid w:val="00F73EF3"/>
    <w:rsid w:val="00F74A64"/>
    <w:rsid w:val="00F75DE6"/>
    <w:rsid w:val="00F75DF2"/>
    <w:rsid w:val="00F77665"/>
    <w:rsid w:val="00F777BD"/>
    <w:rsid w:val="00F808EB"/>
    <w:rsid w:val="00F80A23"/>
    <w:rsid w:val="00F81D14"/>
    <w:rsid w:val="00F86645"/>
    <w:rsid w:val="00F86B0E"/>
    <w:rsid w:val="00F911F8"/>
    <w:rsid w:val="00F913E3"/>
    <w:rsid w:val="00F92B31"/>
    <w:rsid w:val="00F93866"/>
    <w:rsid w:val="00F93B0A"/>
    <w:rsid w:val="00F94113"/>
    <w:rsid w:val="00F94661"/>
    <w:rsid w:val="00F94EAF"/>
    <w:rsid w:val="00F96AD5"/>
    <w:rsid w:val="00F96BBC"/>
    <w:rsid w:val="00FA05D9"/>
    <w:rsid w:val="00FA096D"/>
    <w:rsid w:val="00FA162A"/>
    <w:rsid w:val="00FA34DA"/>
    <w:rsid w:val="00FA5924"/>
    <w:rsid w:val="00FA6311"/>
    <w:rsid w:val="00FA7F67"/>
    <w:rsid w:val="00FB208B"/>
    <w:rsid w:val="00FB4FD0"/>
    <w:rsid w:val="00FB5950"/>
    <w:rsid w:val="00FB6482"/>
    <w:rsid w:val="00FB6595"/>
    <w:rsid w:val="00FB69D6"/>
    <w:rsid w:val="00FB7580"/>
    <w:rsid w:val="00FB7826"/>
    <w:rsid w:val="00FC00FD"/>
    <w:rsid w:val="00FC0E29"/>
    <w:rsid w:val="00FC15C0"/>
    <w:rsid w:val="00FC1715"/>
    <w:rsid w:val="00FC17AA"/>
    <w:rsid w:val="00FC1EFB"/>
    <w:rsid w:val="00FC3D0C"/>
    <w:rsid w:val="00FC4E85"/>
    <w:rsid w:val="00FC4EB6"/>
    <w:rsid w:val="00FC614E"/>
    <w:rsid w:val="00FC642C"/>
    <w:rsid w:val="00FC6457"/>
    <w:rsid w:val="00FC6E94"/>
    <w:rsid w:val="00FD06C4"/>
    <w:rsid w:val="00FD1030"/>
    <w:rsid w:val="00FD2C25"/>
    <w:rsid w:val="00FD31F7"/>
    <w:rsid w:val="00FD3322"/>
    <w:rsid w:val="00FD43BE"/>
    <w:rsid w:val="00FD5D8A"/>
    <w:rsid w:val="00FD61DA"/>
    <w:rsid w:val="00FD7DF5"/>
    <w:rsid w:val="00FE12D2"/>
    <w:rsid w:val="00FE14DE"/>
    <w:rsid w:val="00FE1ECE"/>
    <w:rsid w:val="00FE2CE8"/>
    <w:rsid w:val="00FE665E"/>
    <w:rsid w:val="00FE67B4"/>
    <w:rsid w:val="00FF048B"/>
    <w:rsid w:val="00FF0521"/>
    <w:rsid w:val="00FF063F"/>
    <w:rsid w:val="00FF10BE"/>
    <w:rsid w:val="00FF3797"/>
    <w:rsid w:val="00FF444A"/>
    <w:rsid w:val="00FF5492"/>
    <w:rsid w:val="00FF6DCE"/>
    <w:rsid w:val="00FF6E42"/>
    <w:rsid w:val="00FF75BD"/>
    <w:rsid w:val="00FF797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4:docId w14:val="34317D65"/>
  <w15:docId w15:val="{7DCB1615-E2E0-425A-ACFB-EDF1D2538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9"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66600"/>
    <w:pPr>
      <w:jc w:val="both"/>
    </w:pPr>
    <w:rPr>
      <w:rFonts w:cs="Angsana New"/>
      <w:sz w:val="22"/>
      <w:szCs w:val="24"/>
      <w:lang w:val="en-GB"/>
    </w:rPr>
  </w:style>
  <w:style w:type="paragraph" w:styleId="Heading1">
    <w:name w:val="heading 1"/>
    <w:basedOn w:val="Normal"/>
    <w:next w:val="Heading2"/>
    <w:link w:val="Heading1Char"/>
    <w:qFormat/>
    <w:rsid w:val="00424E0F"/>
    <w:pPr>
      <w:keepNext/>
      <w:tabs>
        <w:tab w:val="left" w:pos="720"/>
      </w:tabs>
      <w:spacing w:before="240" w:after="120"/>
      <w:jc w:val="center"/>
      <w:outlineLvl w:val="0"/>
    </w:pPr>
    <w:rPr>
      <w:b/>
      <w:caps/>
    </w:rPr>
  </w:style>
  <w:style w:type="paragraph" w:styleId="Heading2">
    <w:name w:val="heading 2"/>
    <w:basedOn w:val="Normal"/>
    <w:qFormat/>
    <w:rsid w:val="00A717C3"/>
    <w:pPr>
      <w:keepNext/>
      <w:tabs>
        <w:tab w:val="left" w:pos="720"/>
      </w:tabs>
      <w:spacing w:before="120" w:after="120"/>
      <w:jc w:val="center"/>
      <w:outlineLvl w:val="1"/>
    </w:pPr>
    <w:rPr>
      <w:b/>
      <w:bCs/>
      <w:iCs/>
    </w:rPr>
  </w:style>
  <w:style w:type="paragraph" w:styleId="Heading3">
    <w:name w:val="heading 3"/>
    <w:basedOn w:val="Normal"/>
    <w:next w:val="Normal"/>
    <w:qFormat/>
    <w:rsid w:val="00424E0F"/>
    <w:pPr>
      <w:keepNext/>
      <w:tabs>
        <w:tab w:val="left" w:pos="567"/>
      </w:tabs>
      <w:spacing w:before="120" w:after="120"/>
      <w:jc w:val="center"/>
      <w:outlineLvl w:val="2"/>
    </w:pPr>
    <w:rPr>
      <w:i/>
      <w:iCs/>
    </w:rPr>
  </w:style>
  <w:style w:type="paragraph" w:styleId="Heading40">
    <w:name w:val="heading 4"/>
    <w:basedOn w:val="Normal"/>
    <w:qFormat/>
    <w:rsid w:val="00424E0F"/>
    <w:pPr>
      <w:keepNext/>
      <w:spacing w:before="120" w:after="120"/>
      <w:outlineLvl w:val="3"/>
    </w:pPr>
    <w:rPr>
      <w:rFonts w:ascii="Times New Roman Bold" w:eastAsia="Arial Unicode MS" w:hAnsi="Times New Roman Bold" w:cs="Arial"/>
      <w:b/>
      <w:bCs/>
      <w:i/>
      <w:iCs/>
    </w:rPr>
  </w:style>
  <w:style w:type="paragraph" w:styleId="Heading5">
    <w:name w:val="heading 5"/>
    <w:aliases w:val="Heading 5 - GTI"/>
    <w:basedOn w:val="Normal"/>
    <w:next w:val="Normal"/>
    <w:qFormat/>
    <w:rsid w:val="00424E0F"/>
    <w:pPr>
      <w:keepNext/>
      <w:numPr>
        <w:ilvl w:val="4"/>
        <w:numId w:val="5"/>
      </w:numPr>
      <w:spacing w:before="120" w:after="120"/>
      <w:jc w:val="left"/>
      <w:outlineLvl w:val="4"/>
    </w:pPr>
    <w:rPr>
      <w:bCs/>
      <w:i/>
      <w:szCs w:val="26"/>
      <w:lang w:val="en-CA"/>
    </w:rPr>
  </w:style>
  <w:style w:type="paragraph" w:styleId="Heading6">
    <w:name w:val="heading 6"/>
    <w:basedOn w:val="Normal"/>
    <w:next w:val="Normal"/>
    <w:link w:val="Heading6Char"/>
    <w:qFormat/>
    <w:rsid w:val="00424E0F"/>
    <w:pPr>
      <w:keepNext/>
      <w:spacing w:after="240" w:line="240" w:lineRule="exact"/>
      <w:ind w:left="720"/>
      <w:outlineLvl w:val="5"/>
    </w:pPr>
    <w:rPr>
      <w:u w:val="single"/>
    </w:rPr>
  </w:style>
  <w:style w:type="paragraph" w:styleId="Heading7">
    <w:name w:val="heading 7"/>
    <w:basedOn w:val="Normal"/>
    <w:next w:val="Normal"/>
    <w:qFormat/>
    <w:rsid w:val="00424E0F"/>
    <w:pPr>
      <w:keepNext/>
      <w:jc w:val="right"/>
      <w:outlineLvl w:val="6"/>
    </w:pPr>
    <w:rPr>
      <w:rFonts w:ascii="Univers" w:hAnsi="Univers"/>
      <w:b/>
      <w:sz w:val="28"/>
    </w:rPr>
  </w:style>
  <w:style w:type="paragraph" w:styleId="Heading8">
    <w:name w:val="heading 8"/>
    <w:basedOn w:val="Normal"/>
    <w:next w:val="Normal"/>
    <w:qFormat/>
    <w:rsid w:val="00424E0F"/>
    <w:pPr>
      <w:keepNext/>
      <w:jc w:val="right"/>
      <w:outlineLvl w:val="7"/>
    </w:pPr>
    <w:rPr>
      <w:rFonts w:ascii="Univers" w:hAnsi="Univers"/>
      <w:b/>
      <w:sz w:val="32"/>
    </w:rPr>
  </w:style>
  <w:style w:type="paragraph" w:styleId="Heading9">
    <w:name w:val="heading 9"/>
    <w:basedOn w:val="Normal"/>
    <w:next w:val="Normal"/>
    <w:link w:val="Heading9Char"/>
    <w:qFormat/>
    <w:rsid w:val="00424E0F"/>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uiPriority w:val="99"/>
    <w:qFormat/>
    <w:rsid w:val="00A717C3"/>
    <w:rPr>
      <w:sz w:val="18"/>
      <w:u w:val="none"/>
      <w:vertAlign w:val="superscript"/>
    </w:rPr>
  </w:style>
  <w:style w:type="character" w:styleId="PageNumber">
    <w:name w:val="page number"/>
    <w:rsid w:val="00424E0F"/>
    <w:rPr>
      <w:rFonts w:ascii="Times New Roman" w:hAnsi="Times New Roman"/>
      <w:sz w:val="22"/>
    </w:rPr>
  </w:style>
  <w:style w:type="paragraph" w:styleId="BodyText">
    <w:name w:val="Body Text"/>
    <w:basedOn w:val="Normal"/>
    <w:rsid w:val="00424E0F"/>
    <w:pPr>
      <w:spacing w:before="120" w:after="120"/>
      <w:ind w:firstLine="720"/>
    </w:pPr>
    <w:rPr>
      <w:iCs/>
    </w:rPr>
  </w:style>
  <w:style w:type="paragraph" w:styleId="Caption">
    <w:name w:val="caption"/>
    <w:basedOn w:val="Normal"/>
    <w:next w:val="Normal"/>
    <w:qFormat/>
    <w:pPr>
      <w:widowControl w:val="0"/>
    </w:pPr>
    <w:rPr>
      <w:rFonts w:ascii="Courier New" w:hAnsi="Courier New"/>
    </w:rPr>
  </w:style>
  <w:style w:type="paragraph" w:styleId="Header">
    <w:name w:val="header"/>
    <w:basedOn w:val="Normal"/>
    <w:link w:val="HeaderChar"/>
    <w:rsid w:val="00424E0F"/>
    <w:pPr>
      <w:tabs>
        <w:tab w:val="center" w:pos="4320"/>
        <w:tab w:val="right" w:pos="8640"/>
      </w:tabs>
    </w:pPr>
    <w:rPr>
      <w:rFonts w:cs="Times New Roman"/>
    </w:rPr>
  </w:style>
  <w:style w:type="paragraph" w:styleId="Footer">
    <w:name w:val="footer"/>
    <w:basedOn w:val="Normal"/>
    <w:link w:val="FooterChar"/>
    <w:uiPriority w:val="99"/>
    <w:rsid w:val="00424E0F"/>
    <w:pPr>
      <w:tabs>
        <w:tab w:val="center" w:pos="4320"/>
        <w:tab w:val="right" w:pos="8640"/>
      </w:tabs>
      <w:ind w:firstLine="720"/>
      <w:jc w:val="right"/>
    </w:pPr>
    <w:rPr>
      <w:rFonts w:cs="Times New Roman"/>
      <w:lang w:val="x-none"/>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ootnote text3,fn3"/>
    <w:basedOn w:val="Normal"/>
    <w:link w:val="FootnoteTextChar"/>
    <w:uiPriority w:val="99"/>
    <w:qFormat/>
    <w:rsid w:val="00424E0F"/>
    <w:pPr>
      <w:keepLines/>
      <w:spacing w:after="60"/>
      <w:ind w:firstLine="720"/>
    </w:pPr>
    <w:rPr>
      <w:rFonts w:cs="Times New Roman"/>
      <w:sz w:val="18"/>
      <w:lang w:eastAsia="x-none"/>
    </w:rPr>
  </w:style>
  <w:style w:type="paragraph" w:styleId="BodyText2">
    <w:name w:val="Body Text 2"/>
    <w:basedOn w:val="Normal"/>
    <w:rsid w:val="00424E0F"/>
    <w:rPr>
      <w:i/>
      <w:iCs/>
    </w:rPr>
  </w:style>
  <w:style w:type="paragraph" w:styleId="BodyText3">
    <w:name w:val="Body Text 3"/>
    <w:basedOn w:val="Normal"/>
    <w:rsid w:val="00424E0F"/>
    <w:pPr>
      <w:jc w:val="center"/>
    </w:pPr>
    <w:rPr>
      <w:sz w:val="28"/>
    </w:rPr>
  </w:style>
  <w:style w:type="paragraph" w:styleId="BodyTextIndent2">
    <w:name w:val="Body Text Indent 2"/>
    <w:basedOn w:val="Normal"/>
    <w:rsid w:val="00424E0F"/>
    <w:pPr>
      <w:ind w:firstLine="720"/>
    </w:pPr>
  </w:style>
  <w:style w:type="paragraph" w:styleId="BodyTextIndent3">
    <w:name w:val="Body Text Indent 3"/>
    <w:basedOn w:val="Normal"/>
    <w:pPr>
      <w:ind w:left="1080" w:hanging="360"/>
    </w:pPr>
    <w:rPr>
      <w:rFonts w:ascii="Courier" w:hAnsi="Courier"/>
      <w:sz w:val="20"/>
    </w:rPr>
  </w:style>
  <w:style w:type="paragraph" w:customStyle="1" w:styleId="BodyText21">
    <w:name w:val="Body Text 21"/>
    <w:basedOn w:val="Normal"/>
  </w:style>
  <w:style w:type="paragraph" w:styleId="BlockText">
    <w:name w:val="Block Text"/>
    <w:basedOn w:val="Normal"/>
    <w:pPr>
      <w:tabs>
        <w:tab w:val="left" w:leader="dot" w:pos="8100"/>
        <w:tab w:val="left" w:pos="8370"/>
      </w:tabs>
      <w:suppressAutoHyphens/>
      <w:ind w:left="720" w:right="1440" w:hanging="720"/>
    </w:pPr>
    <w:rPr>
      <w:rFonts w:ascii="Courier New" w:hAnsi="Courier New"/>
      <w:sz w:val="20"/>
    </w:rPr>
  </w:style>
  <w:style w:type="paragraph" w:customStyle="1" w:styleId="Para">
    <w:name w:val="Para"/>
    <w:basedOn w:val="Normal"/>
    <w:pPr>
      <w:numPr>
        <w:numId w:val="1"/>
      </w:numPr>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style>
  <w:style w:type="paragraph" w:styleId="BodyTextIndent">
    <w:name w:val="Body Text Indent"/>
    <w:basedOn w:val="Normal"/>
    <w:rsid w:val="00424E0F"/>
    <w:pPr>
      <w:spacing w:before="120" w:after="120"/>
      <w:ind w:left="1440" w:hanging="720"/>
      <w:jc w:val="left"/>
    </w:pPr>
  </w:style>
  <w:style w:type="character" w:styleId="EndnoteReference">
    <w:name w:val="endnote reference"/>
    <w:semiHidden/>
    <w:rsid w:val="00424E0F"/>
    <w:rPr>
      <w:vertAlign w:val="superscript"/>
    </w:rPr>
  </w:style>
  <w:style w:type="paragraph" w:styleId="Title">
    <w:name w:val="Title"/>
    <w:basedOn w:val="Normal"/>
    <w:qFormat/>
    <w:rsid w:val="00424E0F"/>
    <w:pPr>
      <w:jc w:val="center"/>
    </w:pPr>
    <w:rPr>
      <w:i/>
      <w:iCs/>
    </w:rPr>
  </w:style>
  <w:style w:type="character" w:styleId="Hyperlink">
    <w:name w:val="Hyperlink"/>
    <w:rsid w:val="00424E0F"/>
    <w:rPr>
      <w:color w:val="0000FF"/>
      <w:u w:val="single"/>
    </w:rPr>
  </w:style>
  <w:style w:type="paragraph" w:styleId="DocumentMap">
    <w:name w:val="Document Map"/>
    <w:basedOn w:val="Normal"/>
    <w:semiHidden/>
    <w:pPr>
      <w:shd w:val="clear" w:color="auto" w:fill="000080"/>
    </w:pPr>
    <w:rPr>
      <w:rFonts w:ascii="Tahoma" w:hAnsi="Tahoma"/>
    </w:rPr>
  </w:style>
  <w:style w:type="paragraph" w:customStyle="1" w:styleId="HEADING">
    <w:name w:val="HEADING"/>
    <w:basedOn w:val="Normal"/>
    <w:rsid w:val="00424E0F"/>
    <w:pPr>
      <w:keepNext/>
      <w:tabs>
        <w:tab w:val="left" w:pos="426"/>
      </w:tabs>
      <w:spacing w:before="120" w:after="120"/>
      <w:jc w:val="center"/>
    </w:pPr>
    <w:rPr>
      <w:rFonts w:ascii="Times New Roman Bold" w:hAnsi="Times New Roman Bold" w:cs="Times New Roman"/>
      <w:b/>
      <w:bCs/>
      <w:caps/>
    </w:rPr>
  </w:style>
  <w:style w:type="paragraph" w:customStyle="1" w:styleId="Cornernotation">
    <w:name w:val="Corner notation"/>
    <w:basedOn w:val="Normal"/>
    <w:rsid w:val="00424E0F"/>
    <w:pPr>
      <w:ind w:left="284" w:right="4398" w:hanging="284"/>
      <w:jc w:val="left"/>
    </w:pPr>
  </w:style>
  <w:style w:type="paragraph" w:customStyle="1" w:styleId="Para1">
    <w:name w:val="Para1"/>
    <w:basedOn w:val="Normal"/>
    <w:rsid w:val="00424E0F"/>
    <w:pPr>
      <w:spacing w:after="120"/>
    </w:pPr>
    <w:rPr>
      <w:snapToGrid w:val="0"/>
      <w:szCs w:val="18"/>
    </w:rPr>
  </w:style>
  <w:style w:type="paragraph" w:customStyle="1" w:styleId="para2">
    <w:name w:val="para2"/>
    <w:basedOn w:val="Normal"/>
    <w:rsid w:val="00424E0F"/>
    <w:pPr>
      <w:numPr>
        <w:numId w:val="8"/>
      </w:numPr>
      <w:spacing w:before="120" w:after="120"/>
    </w:pPr>
    <w:rPr>
      <w:szCs w:val="20"/>
    </w:rPr>
  </w:style>
  <w:style w:type="paragraph" w:customStyle="1" w:styleId="Para3">
    <w:name w:val="Para3"/>
    <w:basedOn w:val="Normal"/>
    <w:rsid w:val="00424E0F"/>
    <w:pPr>
      <w:numPr>
        <w:ilvl w:val="2"/>
        <w:numId w:val="13"/>
      </w:numPr>
      <w:tabs>
        <w:tab w:val="left" w:pos="1980"/>
      </w:tabs>
      <w:spacing w:before="80" w:after="80"/>
    </w:pPr>
    <w:rPr>
      <w:szCs w:val="20"/>
    </w:rPr>
  </w:style>
  <w:style w:type="paragraph" w:customStyle="1" w:styleId="para4">
    <w:name w:val="para4"/>
    <w:basedOn w:val="Normal"/>
    <w:rsid w:val="00424E0F"/>
    <w:pPr>
      <w:numPr>
        <w:ilvl w:val="3"/>
        <w:numId w:val="9"/>
      </w:num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Heading2-center">
    <w:name w:val="Heading 2-center"/>
    <w:basedOn w:val="Heading2"/>
  </w:style>
  <w:style w:type="paragraph" w:customStyle="1" w:styleId="Heading4indent">
    <w:name w:val="Heading 4 indent"/>
    <w:basedOn w:val="Heading40"/>
    <w:pPr>
      <w:ind w:left="720"/>
    </w:pPr>
  </w:style>
  <w:style w:type="paragraph" w:styleId="PlainText">
    <w:name w:val="Plain Text"/>
    <w:basedOn w:val="Normal"/>
    <w:link w:val="PlainTextChar"/>
    <w:uiPriority w:val="99"/>
    <w:rPr>
      <w:rFonts w:ascii="Courier New" w:hAnsi="Courier New" w:cs="Times New Roman"/>
      <w:sz w:val="20"/>
      <w:lang w:val="x-none"/>
    </w:rPr>
  </w:style>
  <w:style w:type="paragraph" w:customStyle="1" w:styleId="xl24">
    <w:name w:val="xl24"/>
    <w:basedOn w:val="Normal"/>
    <w:pPr>
      <w:spacing w:before="100" w:beforeAutospacing="1" w:after="100" w:afterAutospacing="1"/>
    </w:pPr>
    <w:rPr>
      <w:rFonts w:eastAsia="Arial Unicode MS"/>
      <w:b/>
      <w:bCs/>
      <w:szCs w:val="22"/>
    </w:rPr>
  </w:style>
  <w:style w:type="paragraph" w:customStyle="1" w:styleId="xl25">
    <w:name w:val="xl25"/>
    <w:basedOn w:val="Normal"/>
    <w:pPr>
      <w:spacing w:before="100" w:beforeAutospacing="1" w:after="100" w:afterAutospacing="1"/>
    </w:pPr>
    <w:rPr>
      <w:rFonts w:eastAsia="Arial Unicode MS"/>
      <w:b/>
      <w:bCs/>
      <w:szCs w:val="22"/>
    </w:rPr>
  </w:style>
  <w:style w:type="paragraph" w:customStyle="1" w:styleId="xl26">
    <w:name w:val="xl26"/>
    <w:basedOn w:val="Normal"/>
    <w:pPr>
      <w:spacing w:before="100" w:beforeAutospacing="1" w:after="100" w:afterAutospacing="1"/>
      <w:jc w:val="center"/>
    </w:pPr>
    <w:rPr>
      <w:rFonts w:eastAsia="Arial Unicode MS"/>
      <w:b/>
      <w:bCs/>
      <w:szCs w:val="22"/>
    </w:rPr>
  </w:style>
  <w:style w:type="paragraph" w:customStyle="1" w:styleId="xl27">
    <w:name w:val="xl27"/>
    <w:basedOn w:val="Normal"/>
    <w:pPr>
      <w:pBdr>
        <w:left w:val="single" w:sz="8" w:space="0" w:color="auto"/>
      </w:pBdr>
      <w:spacing w:before="100" w:beforeAutospacing="1" w:after="100" w:afterAutospacing="1"/>
    </w:pPr>
    <w:rPr>
      <w:rFonts w:eastAsia="Arial Unicode MS"/>
      <w:b/>
      <w:bCs/>
      <w:szCs w:val="22"/>
    </w:rPr>
  </w:style>
  <w:style w:type="paragraph" w:customStyle="1" w:styleId="xl28">
    <w:name w:val="xl28"/>
    <w:basedOn w:val="Normal"/>
    <w:pPr>
      <w:pBdr>
        <w:left w:val="single" w:sz="8" w:space="0" w:color="auto"/>
        <w:right w:val="single" w:sz="8" w:space="0" w:color="auto"/>
      </w:pBdr>
      <w:spacing w:before="100" w:beforeAutospacing="1" w:after="100" w:afterAutospacing="1"/>
      <w:jc w:val="center"/>
    </w:pPr>
    <w:rPr>
      <w:rFonts w:eastAsia="Arial Unicode MS"/>
      <w:b/>
      <w:bCs/>
      <w:szCs w:val="22"/>
    </w:rPr>
  </w:style>
  <w:style w:type="paragraph" w:customStyle="1" w:styleId="xl29">
    <w:name w:val="xl29"/>
    <w:basedOn w:val="Normal"/>
    <w:pPr>
      <w:pBdr>
        <w:left w:val="single" w:sz="8" w:space="0" w:color="auto"/>
      </w:pBdr>
      <w:spacing w:before="100" w:beforeAutospacing="1" w:after="100" w:afterAutospacing="1"/>
    </w:pPr>
    <w:rPr>
      <w:rFonts w:eastAsia="Arial Unicode MS"/>
      <w:szCs w:val="22"/>
    </w:rPr>
  </w:style>
  <w:style w:type="paragraph" w:customStyle="1" w:styleId="xl30">
    <w:name w:val="xl30"/>
    <w:basedOn w:val="Normal"/>
    <w:pPr>
      <w:pBdr>
        <w:left w:val="single" w:sz="4" w:space="0" w:color="auto"/>
        <w:right w:val="single" w:sz="4" w:space="0" w:color="auto"/>
      </w:pBdr>
      <w:spacing w:before="100" w:beforeAutospacing="1" w:after="100" w:afterAutospacing="1"/>
      <w:jc w:val="center"/>
    </w:pPr>
    <w:rPr>
      <w:rFonts w:eastAsia="Arial Unicode MS"/>
      <w:szCs w:val="22"/>
    </w:rPr>
  </w:style>
  <w:style w:type="paragraph" w:customStyle="1" w:styleId="xl31">
    <w:name w:val="xl31"/>
    <w:basedOn w:val="Normal"/>
    <w:pPr>
      <w:pBdr>
        <w:left w:val="single" w:sz="4" w:space="0" w:color="auto"/>
        <w:right w:val="single" w:sz="8" w:space="0" w:color="auto"/>
      </w:pBdr>
      <w:spacing w:before="100" w:beforeAutospacing="1" w:after="100" w:afterAutospacing="1"/>
    </w:pPr>
    <w:rPr>
      <w:rFonts w:eastAsia="Arial Unicode MS"/>
      <w:szCs w:val="22"/>
    </w:rPr>
  </w:style>
  <w:style w:type="paragraph" w:customStyle="1" w:styleId="xl32">
    <w:name w:val="xl32"/>
    <w:basedOn w:val="Normal"/>
    <w:pPr>
      <w:pBdr>
        <w:left w:val="single" w:sz="4" w:space="0" w:color="auto"/>
        <w:right w:val="single" w:sz="8" w:space="0" w:color="auto"/>
      </w:pBdr>
      <w:spacing w:before="100" w:beforeAutospacing="1" w:after="100" w:afterAutospacing="1"/>
    </w:pPr>
    <w:rPr>
      <w:rFonts w:eastAsia="Arial Unicode MS"/>
      <w:szCs w:val="22"/>
    </w:rPr>
  </w:style>
  <w:style w:type="paragraph" w:customStyle="1" w:styleId="xl33">
    <w:name w:val="xl33"/>
    <w:basedOn w:val="Normal"/>
    <w:pPr>
      <w:pBdr>
        <w:right w:val="single" w:sz="8" w:space="0" w:color="auto"/>
      </w:pBdr>
      <w:spacing w:before="100" w:beforeAutospacing="1" w:after="100" w:afterAutospacing="1"/>
    </w:pPr>
    <w:rPr>
      <w:rFonts w:eastAsia="Arial Unicode MS"/>
      <w:szCs w:val="22"/>
    </w:rPr>
  </w:style>
  <w:style w:type="paragraph" w:customStyle="1" w:styleId="xl34">
    <w:name w:val="xl34"/>
    <w:basedOn w:val="Normal"/>
    <w:pPr>
      <w:pBdr>
        <w:left w:val="single" w:sz="8" w:space="0" w:color="auto"/>
      </w:pBdr>
      <w:spacing w:before="100" w:beforeAutospacing="1" w:after="100" w:afterAutospacing="1"/>
      <w:textAlignment w:val="top"/>
    </w:pPr>
    <w:rPr>
      <w:rFonts w:eastAsia="Arial Unicode MS"/>
      <w:szCs w:val="22"/>
    </w:rPr>
  </w:style>
  <w:style w:type="paragraph" w:customStyle="1" w:styleId="xl35">
    <w:name w:val="xl35"/>
    <w:basedOn w:val="Normal"/>
    <w:pPr>
      <w:pBdr>
        <w:left w:val="single" w:sz="4" w:space="0" w:color="auto"/>
        <w:right w:val="single" w:sz="4" w:space="0" w:color="auto"/>
      </w:pBdr>
      <w:spacing w:before="100" w:beforeAutospacing="1" w:after="100" w:afterAutospacing="1"/>
      <w:jc w:val="center"/>
      <w:textAlignment w:val="top"/>
    </w:pPr>
    <w:rPr>
      <w:rFonts w:eastAsia="Arial Unicode MS"/>
      <w:szCs w:val="22"/>
    </w:rPr>
  </w:style>
  <w:style w:type="paragraph" w:customStyle="1" w:styleId="xl36">
    <w:name w:val="xl36"/>
    <w:basedOn w:val="Normal"/>
    <w:pPr>
      <w:pBdr>
        <w:left w:val="single" w:sz="4" w:space="0" w:color="auto"/>
        <w:right w:val="single" w:sz="8" w:space="0" w:color="auto"/>
      </w:pBdr>
      <w:spacing w:before="100" w:beforeAutospacing="1" w:after="100" w:afterAutospacing="1"/>
      <w:textAlignment w:val="top"/>
    </w:pPr>
    <w:rPr>
      <w:rFonts w:eastAsia="Arial Unicode MS"/>
      <w:szCs w:val="22"/>
    </w:rPr>
  </w:style>
  <w:style w:type="paragraph" w:customStyle="1" w:styleId="xl37">
    <w:name w:val="xl37"/>
    <w:basedOn w:val="Normal"/>
    <w:pPr>
      <w:pBdr>
        <w:left w:val="single" w:sz="8" w:space="0" w:color="auto"/>
        <w:bottom w:val="single" w:sz="4" w:space="0" w:color="auto"/>
      </w:pBdr>
      <w:spacing w:before="100" w:beforeAutospacing="1" w:after="100" w:afterAutospacing="1"/>
      <w:textAlignment w:val="top"/>
    </w:pPr>
    <w:rPr>
      <w:rFonts w:eastAsia="Arial Unicode MS"/>
      <w:szCs w:val="22"/>
    </w:rPr>
  </w:style>
  <w:style w:type="paragraph" w:customStyle="1" w:styleId="xl38">
    <w:name w:val="xl38"/>
    <w:basedOn w:val="Normal"/>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szCs w:val="22"/>
    </w:rPr>
  </w:style>
  <w:style w:type="paragraph" w:customStyle="1" w:styleId="xl39">
    <w:name w:val="xl39"/>
    <w:basedOn w:val="Normal"/>
    <w:pPr>
      <w:pBdr>
        <w:left w:val="single" w:sz="4" w:space="0" w:color="auto"/>
        <w:bottom w:val="single" w:sz="4" w:space="0" w:color="auto"/>
        <w:right w:val="single" w:sz="8" w:space="0" w:color="auto"/>
      </w:pBdr>
      <w:spacing w:before="100" w:beforeAutospacing="1" w:after="100" w:afterAutospacing="1"/>
      <w:textAlignment w:val="top"/>
    </w:pPr>
    <w:rPr>
      <w:rFonts w:eastAsia="Arial Unicode MS"/>
      <w:szCs w:val="22"/>
    </w:rPr>
  </w:style>
  <w:style w:type="paragraph" w:customStyle="1" w:styleId="xl40">
    <w:name w:val="xl40"/>
    <w:basedOn w:val="Normal"/>
    <w:pPr>
      <w:spacing w:before="100" w:beforeAutospacing="1" w:after="100" w:afterAutospacing="1"/>
      <w:jc w:val="center"/>
      <w:textAlignment w:val="top"/>
    </w:pPr>
    <w:rPr>
      <w:rFonts w:eastAsia="Arial Unicode MS"/>
      <w:szCs w:val="22"/>
    </w:rPr>
  </w:style>
  <w:style w:type="paragraph" w:customStyle="1" w:styleId="xl41">
    <w:name w:val="xl41"/>
    <w:basedOn w:val="Normal"/>
    <w:pPr>
      <w:spacing w:before="100" w:beforeAutospacing="1" w:after="100" w:afterAutospacing="1"/>
      <w:textAlignment w:val="top"/>
    </w:pPr>
    <w:rPr>
      <w:rFonts w:eastAsia="Arial Unicode MS"/>
      <w:szCs w:val="22"/>
    </w:rPr>
  </w:style>
  <w:style w:type="paragraph" w:customStyle="1" w:styleId="xl42">
    <w:name w:val="xl42"/>
    <w:basedOn w:val="Normal"/>
    <w:pPr>
      <w:spacing w:before="100" w:beforeAutospacing="1" w:after="100" w:afterAutospacing="1"/>
      <w:jc w:val="center"/>
    </w:pPr>
    <w:rPr>
      <w:rFonts w:eastAsia="Arial Unicode MS"/>
      <w:szCs w:val="22"/>
    </w:rPr>
  </w:style>
  <w:style w:type="paragraph" w:customStyle="1" w:styleId="xl43">
    <w:name w:val="xl43"/>
    <w:basedOn w:val="Normal"/>
    <w:pPr>
      <w:pBdr>
        <w:top w:val="single" w:sz="8" w:space="0" w:color="auto"/>
        <w:left w:val="single" w:sz="8" w:space="0" w:color="auto"/>
        <w:bottom w:val="single" w:sz="8" w:space="0" w:color="auto"/>
      </w:pBdr>
      <w:spacing w:before="100" w:beforeAutospacing="1" w:after="100" w:afterAutospacing="1"/>
    </w:pPr>
    <w:rPr>
      <w:rFonts w:eastAsia="Arial Unicode MS"/>
      <w:b/>
      <w:bCs/>
      <w:szCs w:val="22"/>
    </w:rPr>
  </w:style>
  <w:style w:type="paragraph" w:customStyle="1" w:styleId="xl44">
    <w:name w:val="xl44"/>
    <w:basedOn w:val="Normal"/>
    <w:pPr>
      <w:pBdr>
        <w:top w:val="single" w:sz="8" w:space="0" w:color="auto"/>
        <w:bottom w:val="single" w:sz="8" w:space="0" w:color="auto"/>
      </w:pBdr>
      <w:spacing w:before="100" w:beforeAutospacing="1" w:after="100" w:afterAutospacing="1"/>
      <w:jc w:val="center"/>
    </w:pPr>
    <w:rPr>
      <w:rFonts w:eastAsia="Arial Unicode MS"/>
      <w:b/>
      <w:bCs/>
      <w:szCs w:val="22"/>
    </w:rPr>
  </w:style>
  <w:style w:type="paragraph" w:customStyle="1" w:styleId="xl45">
    <w:name w:val="xl45"/>
    <w:basedOn w:val="Normal"/>
    <w:pPr>
      <w:pBdr>
        <w:top w:val="single" w:sz="8" w:space="0" w:color="auto"/>
        <w:left w:val="single" w:sz="4" w:space="0" w:color="auto"/>
        <w:bottom w:val="single" w:sz="8" w:space="0" w:color="auto"/>
        <w:right w:val="single" w:sz="8" w:space="0" w:color="auto"/>
      </w:pBdr>
      <w:spacing w:before="100" w:beforeAutospacing="1" w:after="100" w:afterAutospacing="1"/>
    </w:pPr>
    <w:rPr>
      <w:rFonts w:eastAsia="Arial Unicode MS"/>
      <w:b/>
      <w:bCs/>
      <w:szCs w:val="22"/>
    </w:rPr>
  </w:style>
  <w:style w:type="paragraph" w:customStyle="1" w:styleId="xl46">
    <w:name w:val="xl46"/>
    <w:basedOn w:val="Normal"/>
    <w:pPr>
      <w:pBdr>
        <w:left w:val="single" w:sz="4" w:space="0" w:color="auto"/>
      </w:pBdr>
      <w:spacing w:before="100" w:beforeAutospacing="1" w:after="100" w:afterAutospacing="1"/>
    </w:pPr>
    <w:rPr>
      <w:rFonts w:eastAsia="Arial Unicode MS"/>
      <w:szCs w:val="22"/>
    </w:rPr>
  </w:style>
  <w:style w:type="paragraph" w:customStyle="1" w:styleId="xl47">
    <w:name w:val="xl47"/>
    <w:basedOn w:val="Normal"/>
    <w:pPr>
      <w:pBdr>
        <w:left w:val="single" w:sz="8" w:space="0" w:color="auto"/>
        <w:bottom w:val="single" w:sz="8" w:space="0" w:color="auto"/>
      </w:pBdr>
      <w:spacing w:before="100" w:beforeAutospacing="1" w:after="100" w:afterAutospacing="1"/>
    </w:pPr>
    <w:rPr>
      <w:rFonts w:eastAsia="Arial Unicode MS"/>
      <w:szCs w:val="22"/>
    </w:rPr>
  </w:style>
  <w:style w:type="paragraph" w:customStyle="1" w:styleId="xl48">
    <w:name w:val="xl48"/>
    <w:basedOn w:val="Normal"/>
    <w:pPr>
      <w:pBdr>
        <w:bottom w:val="single" w:sz="8" w:space="0" w:color="auto"/>
      </w:pBdr>
      <w:spacing w:before="100" w:beforeAutospacing="1" w:after="100" w:afterAutospacing="1"/>
      <w:jc w:val="center"/>
    </w:pPr>
    <w:rPr>
      <w:rFonts w:eastAsia="Arial Unicode MS"/>
      <w:szCs w:val="22"/>
    </w:rPr>
  </w:style>
  <w:style w:type="paragraph" w:customStyle="1" w:styleId="xl49">
    <w:name w:val="xl49"/>
    <w:basedOn w:val="Normal"/>
    <w:pPr>
      <w:pBdr>
        <w:left w:val="single" w:sz="4" w:space="0" w:color="auto"/>
        <w:bottom w:val="single" w:sz="8" w:space="0" w:color="auto"/>
        <w:right w:val="single" w:sz="8" w:space="0" w:color="auto"/>
      </w:pBdr>
      <w:spacing w:before="100" w:beforeAutospacing="1" w:after="100" w:afterAutospacing="1"/>
    </w:pPr>
    <w:rPr>
      <w:rFonts w:eastAsia="Arial Unicode MS"/>
      <w:szCs w:val="22"/>
    </w:rPr>
  </w:style>
  <w:style w:type="paragraph" w:customStyle="1" w:styleId="xl50">
    <w:name w:val="xl50"/>
    <w:basedOn w:val="Normal"/>
    <w:pPr>
      <w:pBdr>
        <w:left w:val="single" w:sz="8" w:space="0" w:color="auto"/>
        <w:right w:val="single" w:sz="8" w:space="0" w:color="auto"/>
      </w:pBdr>
      <w:spacing w:before="100" w:beforeAutospacing="1" w:after="100" w:afterAutospacing="1"/>
    </w:pPr>
    <w:rPr>
      <w:rFonts w:eastAsia="Arial Unicode MS"/>
      <w:b/>
      <w:bCs/>
      <w:szCs w:val="22"/>
    </w:rPr>
  </w:style>
  <w:style w:type="paragraph" w:customStyle="1" w:styleId="xl51">
    <w:name w:val="xl51"/>
    <w:basedOn w:val="Normal"/>
    <w:pPr>
      <w:pBdr>
        <w:top w:val="single" w:sz="4" w:space="0" w:color="auto"/>
        <w:left w:val="single" w:sz="8" w:space="0" w:color="auto"/>
        <w:bottom w:val="single" w:sz="4" w:space="0" w:color="auto"/>
        <w:right w:val="single" w:sz="8" w:space="0" w:color="auto"/>
      </w:pBdr>
      <w:spacing w:before="100" w:beforeAutospacing="1" w:after="100" w:afterAutospacing="1"/>
    </w:pPr>
    <w:rPr>
      <w:rFonts w:eastAsia="Arial Unicode MS"/>
      <w:szCs w:val="22"/>
    </w:rPr>
  </w:style>
  <w:style w:type="paragraph" w:customStyle="1" w:styleId="xl52">
    <w:name w:val="xl52"/>
    <w:basedOn w:val="Normal"/>
    <w:pPr>
      <w:pBdr>
        <w:top w:val="single" w:sz="4" w:space="0" w:color="auto"/>
        <w:left w:val="single" w:sz="8" w:space="0" w:color="auto"/>
        <w:bottom w:val="single" w:sz="4" w:space="0" w:color="auto"/>
        <w:right w:val="single" w:sz="8" w:space="0" w:color="auto"/>
      </w:pBdr>
      <w:spacing w:before="100" w:beforeAutospacing="1" w:after="100" w:afterAutospacing="1"/>
    </w:pPr>
    <w:rPr>
      <w:rFonts w:eastAsia="Arial Unicode MS"/>
      <w:szCs w:val="22"/>
    </w:rPr>
  </w:style>
  <w:style w:type="paragraph" w:customStyle="1" w:styleId="xl53">
    <w:name w:val="xl53"/>
    <w:basedOn w:val="Normal"/>
    <w:pPr>
      <w:pBdr>
        <w:left w:val="single" w:sz="8" w:space="0" w:color="auto"/>
        <w:right w:val="single" w:sz="8" w:space="0" w:color="auto"/>
      </w:pBdr>
      <w:spacing w:before="100" w:beforeAutospacing="1" w:after="100" w:afterAutospacing="1"/>
    </w:pPr>
    <w:rPr>
      <w:rFonts w:eastAsia="Arial Unicode MS"/>
      <w:szCs w:val="22"/>
    </w:rPr>
  </w:style>
  <w:style w:type="paragraph" w:customStyle="1" w:styleId="xl54">
    <w:name w:val="xl54"/>
    <w:basedOn w:val="Normal"/>
    <w:pPr>
      <w:pBdr>
        <w:top w:val="single" w:sz="4" w:space="0" w:color="auto"/>
        <w:left w:val="single" w:sz="8" w:space="0" w:color="auto"/>
        <w:bottom w:val="single" w:sz="8" w:space="0" w:color="auto"/>
        <w:right w:val="single" w:sz="8" w:space="0" w:color="auto"/>
      </w:pBdr>
      <w:spacing w:before="100" w:beforeAutospacing="1" w:after="100" w:afterAutospacing="1"/>
    </w:pPr>
    <w:rPr>
      <w:rFonts w:eastAsia="Arial Unicode MS"/>
      <w:szCs w:val="22"/>
    </w:rPr>
  </w:style>
  <w:style w:type="paragraph" w:customStyle="1" w:styleId="xl55">
    <w:name w:val="xl55"/>
    <w:basedOn w:val="Normal"/>
    <w:pPr>
      <w:pBdr>
        <w:top w:val="single" w:sz="8" w:space="0" w:color="auto"/>
      </w:pBdr>
      <w:spacing w:before="100" w:beforeAutospacing="1" w:after="100" w:afterAutospacing="1"/>
    </w:pPr>
    <w:rPr>
      <w:rFonts w:eastAsia="Arial Unicode MS"/>
      <w:szCs w:val="22"/>
    </w:rPr>
  </w:style>
  <w:style w:type="paragraph" w:customStyle="1" w:styleId="xl56">
    <w:name w:val="xl56"/>
    <w:basedOn w:val="Normal"/>
    <w:pPr>
      <w:spacing w:before="100" w:beforeAutospacing="1" w:after="100" w:afterAutospacing="1"/>
    </w:pPr>
    <w:rPr>
      <w:rFonts w:eastAsia="Arial Unicode MS"/>
      <w:szCs w:val="22"/>
    </w:rPr>
  </w:style>
  <w:style w:type="paragraph" w:customStyle="1" w:styleId="xl57">
    <w:name w:val="xl57"/>
    <w:basedOn w:val="Normal"/>
    <w:pPr>
      <w:pBdr>
        <w:bottom w:val="single" w:sz="8" w:space="0" w:color="auto"/>
      </w:pBdr>
      <w:spacing w:before="100" w:beforeAutospacing="1" w:after="100" w:afterAutospacing="1"/>
    </w:pPr>
    <w:rPr>
      <w:rFonts w:eastAsia="Arial Unicode MS"/>
      <w:szCs w:val="22"/>
    </w:rPr>
  </w:style>
  <w:style w:type="paragraph" w:customStyle="1" w:styleId="xl58">
    <w:name w:val="xl58"/>
    <w:basedOn w:val="Normal"/>
    <w:pPr>
      <w:pBdr>
        <w:top w:val="single" w:sz="8" w:space="0" w:color="auto"/>
        <w:left w:val="single" w:sz="8" w:space="0" w:color="auto"/>
        <w:bottom w:val="single" w:sz="8" w:space="0" w:color="auto"/>
        <w:right w:val="single" w:sz="8" w:space="0" w:color="auto"/>
      </w:pBdr>
      <w:spacing w:before="100" w:beforeAutospacing="1" w:after="100" w:afterAutospacing="1"/>
    </w:pPr>
    <w:rPr>
      <w:rFonts w:eastAsia="Arial Unicode MS"/>
      <w:b/>
      <w:bCs/>
      <w:szCs w:val="22"/>
    </w:rPr>
  </w:style>
  <w:style w:type="paragraph" w:customStyle="1" w:styleId="xl59">
    <w:name w:val="xl59"/>
    <w:basedOn w:val="Normal"/>
    <w:pPr>
      <w:pBdr>
        <w:left w:val="single" w:sz="8" w:space="0" w:color="auto"/>
        <w:bottom w:val="single" w:sz="4" w:space="0" w:color="auto"/>
        <w:right w:val="single" w:sz="8" w:space="0" w:color="auto"/>
      </w:pBdr>
      <w:spacing w:before="100" w:beforeAutospacing="1" w:after="100" w:afterAutospacing="1"/>
    </w:pPr>
    <w:rPr>
      <w:rFonts w:eastAsia="Arial Unicode MS"/>
      <w:szCs w:val="22"/>
    </w:rPr>
  </w:style>
  <w:style w:type="paragraph" w:customStyle="1" w:styleId="xl60">
    <w:name w:val="xl60"/>
    <w:basedOn w:val="Normal"/>
    <w:pPr>
      <w:pBdr>
        <w:left w:val="single" w:sz="8" w:space="0" w:color="auto"/>
        <w:bottom w:val="single" w:sz="8" w:space="0" w:color="auto"/>
        <w:right w:val="single" w:sz="8" w:space="0" w:color="auto"/>
      </w:pBdr>
      <w:spacing w:before="100" w:beforeAutospacing="1" w:after="100" w:afterAutospacing="1"/>
    </w:pPr>
    <w:rPr>
      <w:rFonts w:eastAsia="Arial Unicode MS"/>
      <w:szCs w:val="22"/>
    </w:rPr>
  </w:style>
  <w:style w:type="paragraph" w:customStyle="1" w:styleId="xl61">
    <w:name w:val="xl61"/>
    <w:basedOn w:val="Normal"/>
    <w:pPr>
      <w:pBdr>
        <w:left w:val="single" w:sz="8" w:space="0" w:color="auto"/>
        <w:bottom w:val="single" w:sz="4" w:space="0" w:color="auto"/>
      </w:pBdr>
      <w:spacing w:before="100" w:beforeAutospacing="1" w:after="100" w:afterAutospacing="1"/>
    </w:pPr>
    <w:rPr>
      <w:rFonts w:eastAsia="Arial Unicode MS"/>
      <w:szCs w:val="22"/>
    </w:rPr>
  </w:style>
  <w:style w:type="paragraph" w:customStyle="1" w:styleId="xl62">
    <w:name w:val="xl62"/>
    <w:basedOn w:val="Normal"/>
    <w:pPr>
      <w:pBdr>
        <w:left w:val="single" w:sz="4" w:space="0" w:color="auto"/>
        <w:bottom w:val="single" w:sz="4" w:space="0" w:color="auto"/>
        <w:right w:val="single" w:sz="4" w:space="0" w:color="auto"/>
      </w:pBdr>
      <w:spacing w:before="100" w:beforeAutospacing="1" w:after="100" w:afterAutospacing="1"/>
      <w:jc w:val="center"/>
    </w:pPr>
    <w:rPr>
      <w:rFonts w:eastAsia="Arial Unicode MS"/>
      <w:szCs w:val="22"/>
    </w:rPr>
  </w:style>
  <w:style w:type="paragraph" w:customStyle="1" w:styleId="xl63">
    <w:name w:val="xl63"/>
    <w:basedOn w:val="Normal"/>
    <w:pPr>
      <w:pBdr>
        <w:left w:val="single" w:sz="4" w:space="0" w:color="auto"/>
        <w:bottom w:val="single" w:sz="4" w:space="0" w:color="auto"/>
        <w:right w:val="single" w:sz="8" w:space="0" w:color="auto"/>
      </w:pBdr>
      <w:spacing w:before="100" w:beforeAutospacing="1" w:after="100" w:afterAutospacing="1"/>
    </w:pPr>
    <w:rPr>
      <w:rFonts w:eastAsia="Arial Unicode MS"/>
      <w:szCs w:val="22"/>
    </w:rPr>
  </w:style>
  <w:style w:type="paragraph" w:customStyle="1" w:styleId="xl64">
    <w:name w:val="xl64"/>
    <w:basedOn w:val="Normal"/>
    <w:pPr>
      <w:pBdr>
        <w:left w:val="single" w:sz="4" w:space="0" w:color="auto"/>
      </w:pBdr>
      <w:spacing w:before="100" w:beforeAutospacing="1" w:after="100" w:afterAutospacing="1"/>
    </w:pPr>
    <w:rPr>
      <w:rFonts w:eastAsia="Arial Unicode MS"/>
      <w:szCs w:val="22"/>
    </w:rPr>
  </w:style>
  <w:style w:type="paragraph" w:customStyle="1" w:styleId="xl65">
    <w:name w:val="xl65"/>
    <w:basedOn w:val="Normal"/>
    <w:pPr>
      <w:pBdr>
        <w:top w:val="single" w:sz="4" w:space="0" w:color="auto"/>
        <w:left w:val="single" w:sz="8" w:space="0" w:color="auto"/>
        <w:right w:val="single" w:sz="8" w:space="0" w:color="auto"/>
      </w:pBdr>
      <w:spacing w:before="100" w:beforeAutospacing="1" w:after="100" w:afterAutospacing="1"/>
    </w:pPr>
    <w:rPr>
      <w:rFonts w:eastAsia="Arial Unicode MS"/>
      <w:szCs w:val="22"/>
    </w:rPr>
  </w:style>
  <w:style w:type="paragraph" w:customStyle="1" w:styleId="xl66">
    <w:name w:val="xl66"/>
    <w:basedOn w:val="Normal"/>
    <w:pPr>
      <w:pBdr>
        <w:left w:val="single" w:sz="4" w:space="0" w:color="auto"/>
        <w:bottom w:val="single" w:sz="8" w:space="0" w:color="auto"/>
        <w:right w:val="single" w:sz="4" w:space="0" w:color="auto"/>
      </w:pBdr>
      <w:spacing w:before="100" w:beforeAutospacing="1" w:after="100" w:afterAutospacing="1"/>
      <w:jc w:val="center"/>
    </w:pPr>
    <w:rPr>
      <w:rFonts w:eastAsia="Arial Unicode MS"/>
      <w:szCs w:val="22"/>
    </w:rPr>
  </w:style>
  <w:style w:type="paragraph" w:customStyle="1" w:styleId="xl67">
    <w:name w:val="xl67"/>
    <w:basedOn w:val="Normal"/>
    <w:pPr>
      <w:pBdr>
        <w:left w:val="single" w:sz="4" w:space="0" w:color="auto"/>
        <w:bottom w:val="single" w:sz="8" w:space="0" w:color="auto"/>
      </w:pBdr>
      <w:spacing w:before="100" w:beforeAutospacing="1" w:after="100" w:afterAutospacing="1"/>
    </w:pPr>
    <w:rPr>
      <w:rFonts w:eastAsia="Arial Unicode MS"/>
      <w:szCs w:val="22"/>
    </w:rPr>
  </w:style>
  <w:style w:type="paragraph" w:customStyle="1" w:styleId="xl68">
    <w:name w:val="xl68"/>
    <w:basedOn w:val="Normal"/>
    <w:pPr>
      <w:pBdr>
        <w:top w:val="single" w:sz="8" w:space="0" w:color="auto"/>
        <w:left w:val="single" w:sz="8" w:space="0" w:color="auto"/>
        <w:bottom w:val="single" w:sz="4" w:space="0" w:color="auto"/>
        <w:right w:val="single" w:sz="8" w:space="0" w:color="auto"/>
      </w:pBdr>
      <w:spacing w:before="100" w:beforeAutospacing="1" w:after="100" w:afterAutospacing="1"/>
      <w:jc w:val="center"/>
    </w:pPr>
    <w:rPr>
      <w:rFonts w:eastAsia="Arial Unicode MS"/>
      <w:b/>
      <w:bCs/>
      <w:szCs w:val="22"/>
    </w:rPr>
  </w:style>
  <w:style w:type="paragraph" w:customStyle="1" w:styleId="Texte">
    <w:name w:val="Texte"/>
    <w:basedOn w:val="Normal"/>
    <w:pPr>
      <w:widowControl w:val="0"/>
      <w:tabs>
        <w:tab w:val="left" w:pos="720"/>
      </w:tabs>
      <w:spacing w:before="120" w:after="120"/>
    </w:pPr>
  </w:style>
  <w:style w:type="paragraph" w:styleId="NormalWeb">
    <w:name w:val="Normal (Web)"/>
    <w:basedOn w:val="Normal"/>
    <w:rsid w:val="00424E0F"/>
    <w:pPr>
      <w:spacing w:before="100" w:beforeAutospacing="1" w:after="100" w:afterAutospacing="1"/>
      <w:jc w:val="left"/>
    </w:pPr>
    <w:rPr>
      <w:rFonts w:ascii="Verdana" w:hAnsi="Verdana"/>
      <w:color w:val="000000"/>
      <w:sz w:val="18"/>
      <w:szCs w:val="18"/>
      <w:lang w:val="en-US"/>
    </w:rPr>
  </w:style>
  <w:style w:type="paragraph" w:customStyle="1" w:styleId="Para-decision">
    <w:name w:val="Para-decision"/>
    <w:basedOn w:val="Normal"/>
    <w:pPr>
      <w:tabs>
        <w:tab w:val="left" w:pos="-1440"/>
        <w:tab w:val="left" w:pos="-720"/>
        <w:tab w:val="left" w:pos="0"/>
        <w:tab w:val="left" w:pos="720"/>
        <w:tab w:val="left" w:pos="1440"/>
      </w:tabs>
      <w:suppressAutoHyphens/>
      <w:overflowPunct w:val="0"/>
      <w:autoSpaceDE w:val="0"/>
      <w:autoSpaceDN w:val="0"/>
      <w:adjustRightInd w:val="0"/>
      <w:spacing w:after="240" w:line="240" w:lineRule="exact"/>
      <w:ind w:firstLine="720"/>
      <w:textAlignment w:val="baseline"/>
    </w:pPr>
    <w:rPr>
      <w:rFonts w:ascii="Courier" w:hAnsi="Courier"/>
      <w:color w:val="000000"/>
      <w:sz w:val="20"/>
    </w:rPr>
  </w:style>
  <w:style w:type="character" w:styleId="FollowedHyperlink">
    <w:name w:val="FollowedHyperlink"/>
    <w:rsid w:val="00424E0F"/>
    <w:rPr>
      <w:color w:val="800080"/>
      <w:u w:val="single"/>
    </w:rPr>
  </w:style>
  <w:style w:type="paragraph" w:customStyle="1" w:styleId="xl22">
    <w:name w:val="xl22"/>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rPr>
  </w:style>
  <w:style w:type="paragraph" w:customStyle="1" w:styleId="xl23">
    <w:name w:val="xl23"/>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color w:val="000000"/>
    </w:rPr>
  </w:style>
  <w:style w:type="paragraph" w:customStyle="1" w:styleId="content">
    <w:name w:val="content"/>
    <w:basedOn w:val="Normal"/>
    <w:pPr>
      <w:spacing w:before="100" w:beforeAutospacing="1" w:after="100" w:afterAutospacing="1" w:line="260" w:lineRule="atLeast"/>
    </w:pPr>
    <w:rPr>
      <w:rFonts w:ascii="Arial Unicode MS" w:eastAsia="Arial Unicode MS" w:hAnsi="Arial Unicode MS" w:cs="Arial Unicode MS"/>
      <w:sz w:val="18"/>
      <w:szCs w:val="18"/>
    </w:rPr>
  </w:style>
  <w:style w:type="paragraph" w:customStyle="1" w:styleId="Para20">
    <w:name w:val="Para2"/>
    <w:basedOn w:val="Para1"/>
    <w:rsid w:val="00424E0F"/>
    <w:pPr>
      <w:autoSpaceDE w:val="0"/>
      <w:autoSpaceDN w:val="0"/>
    </w:pPr>
  </w:style>
  <w:style w:type="paragraph" w:customStyle="1" w:styleId="HEADINGNOTFORTOC">
    <w:name w:val="HEADING (NOT FOR TOC)"/>
    <w:basedOn w:val="Heading1"/>
    <w:next w:val="Heading2"/>
    <w:rsid w:val="00424E0F"/>
  </w:style>
  <w:style w:type="paragraph" w:styleId="Subtitle">
    <w:name w:val="Subtitle"/>
    <w:basedOn w:val="Normal"/>
    <w:qFormat/>
    <w:rPr>
      <w:b/>
      <w:bCs/>
    </w:rPr>
  </w:style>
  <w:style w:type="character" w:styleId="Strong">
    <w:name w:val="Strong"/>
    <w:qFormat/>
    <w:rsid w:val="00424E0F"/>
    <w:rPr>
      <w:b/>
      <w:bCs/>
    </w:rPr>
  </w:style>
  <w:style w:type="paragraph" w:customStyle="1" w:styleId="Para10">
    <w:name w:val="Para 1"/>
    <w:basedOn w:val="BodyText"/>
    <w:rsid w:val="00424E0F"/>
    <w:pPr>
      <w:ind w:firstLine="0"/>
    </w:pPr>
    <w:rPr>
      <w:bCs/>
      <w:iCs w:val="0"/>
      <w:szCs w:val="22"/>
    </w:rPr>
  </w:style>
  <w:style w:type="paragraph" w:customStyle="1" w:styleId="Style1">
    <w:name w:val="Style1"/>
    <w:basedOn w:val="Para10"/>
    <w:pPr>
      <w:numPr>
        <w:ilvl w:val="1"/>
        <w:numId w:val="2"/>
      </w:numPr>
      <w:tabs>
        <w:tab w:val="clear" w:pos="1800"/>
        <w:tab w:val="num" w:pos="360"/>
      </w:tabs>
    </w:pPr>
  </w:style>
  <w:style w:type="paragraph" w:customStyle="1" w:styleId="aident">
    <w:name w:val="(a) ident"/>
    <w:basedOn w:val="Normal"/>
    <w:pPr>
      <w:numPr>
        <w:numId w:val="3"/>
      </w:numPr>
      <w:autoSpaceDE w:val="0"/>
      <w:autoSpaceDN w:val="0"/>
      <w:spacing w:before="120" w:after="120"/>
    </w:pPr>
    <w:rPr>
      <w:snapToGrid w:val="0"/>
      <w:szCs w:val="18"/>
    </w:rPr>
  </w:style>
  <w:style w:type="paragraph" w:styleId="BalloonText">
    <w:name w:val="Balloon Text"/>
    <w:basedOn w:val="Normal"/>
    <w:link w:val="BalloonTextChar1"/>
    <w:semiHidden/>
    <w:rsid w:val="00424E0F"/>
    <w:rPr>
      <w:rFonts w:ascii="Tahoma" w:hAnsi="Tahoma" w:cs="Tahoma"/>
      <w:sz w:val="16"/>
      <w:szCs w:val="16"/>
    </w:rPr>
  </w:style>
  <w:style w:type="paragraph" w:customStyle="1" w:styleId="Paranum">
    <w:name w:val="Paranum"/>
    <w:basedOn w:val="Para1"/>
    <w:rsid w:val="00424E0F"/>
    <w:pPr>
      <w:numPr>
        <w:numId w:val="10"/>
      </w:numPr>
      <w:spacing w:line="240" w:lineRule="exact"/>
    </w:pPr>
    <w:rPr>
      <w:snapToGrid/>
      <w:szCs w:val="20"/>
      <w:lang w:val="en-US"/>
    </w:rPr>
  </w:style>
  <w:style w:type="paragraph" w:customStyle="1" w:styleId="Document1">
    <w:name w:val="Document 1"/>
    <w:basedOn w:val="Normal"/>
    <w:next w:val="Normal"/>
    <w:pPr>
      <w:suppressAutoHyphens/>
      <w:overflowPunct w:val="0"/>
      <w:autoSpaceDE w:val="0"/>
      <w:autoSpaceDN w:val="0"/>
      <w:adjustRightInd w:val="0"/>
      <w:spacing w:after="120" w:line="240" w:lineRule="exact"/>
      <w:textAlignment w:val="baseline"/>
    </w:pPr>
    <w:rPr>
      <w:rFonts w:ascii="Courier" w:hAnsi="Courier"/>
      <w:sz w:val="20"/>
    </w:rPr>
  </w:style>
  <w:style w:type="paragraph" w:customStyle="1" w:styleId="Head2">
    <w:name w:val="Head2"/>
    <w:basedOn w:val="Normal"/>
    <w:pPr>
      <w:keepNext/>
      <w:overflowPunct w:val="0"/>
      <w:autoSpaceDE w:val="0"/>
      <w:autoSpaceDN w:val="0"/>
      <w:adjustRightInd w:val="0"/>
      <w:spacing w:line="240" w:lineRule="exact"/>
      <w:jc w:val="center"/>
      <w:textAlignment w:val="baseline"/>
    </w:pPr>
    <w:rPr>
      <w:rFonts w:ascii="Courier" w:hAnsi="Courier"/>
      <w:sz w:val="20"/>
    </w:rPr>
  </w:style>
  <w:style w:type="paragraph" w:customStyle="1" w:styleId="Masthead">
    <w:name w:val="Masthead"/>
    <w:basedOn w:val="Normal"/>
    <w:next w:val="Normal"/>
    <w:pPr>
      <w:overflowPunct w:val="0"/>
      <w:autoSpaceDE w:val="0"/>
      <w:autoSpaceDN w:val="0"/>
      <w:adjustRightInd w:val="0"/>
      <w:textAlignment w:val="baseline"/>
    </w:pPr>
    <w:rPr>
      <w:rFonts w:ascii="Courier" w:hAnsi="Courier"/>
      <w:sz w:val="20"/>
    </w:rPr>
  </w:style>
  <w:style w:type="paragraph" w:customStyle="1" w:styleId="para1indent">
    <w:name w:val="para1indent"/>
    <w:basedOn w:val="Para1"/>
    <w:pPr>
      <w:tabs>
        <w:tab w:val="left" w:pos="360"/>
      </w:tabs>
      <w:overflowPunct w:val="0"/>
      <w:autoSpaceDE w:val="0"/>
      <w:autoSpaceDN w:val="0"/>
      <w:adjustRightInd w:val="0"/>
      <w:textAlignment w:val="baseline"/>
    </w:pPr>
    <w:rPr>
      <w:rFonts w:ascii="Courier" w:hAnsi="Courier"/>
      <w:sz w:val="20"/>
      <w:szCs w:val="20"/>
      <w:lang w:val="en-US"/>
    </w:rPr>
  </w:style>
  <w:style w:type="paragraph" w:customStyle="1" w:styleId="Paranumbered">
    <w:name w:val="Paranumbered"/>
    <w:basedOn w:val="Normal"/>
    <w:pPr>
      <w:tabs>
        <w:tab w:val="left" w:pos="720"/>
      </w:tabs>
      <w:overflowPunct w:val="0"/>
      <w:autoSpaceDE w:val="0"/>
      <w:autoSpaceDN w:val="0"/>
      <w:adjustRightInd w:val="0"/>
      <w:spacing w:before="120" w:after="120" w:line="240" w:lineRule="exact"/>
      <w:textAlignment w:val="baseline"/>
    </w:pPr>
    <w:rPr>
      <w:rFonts w:ascii="Courier" w:hAnsi="Courier"/>
      <w:sz w:val="20"/>
    </w:rPr>
  </w:style>
  <w:style w:type="paragraph" w:customStyle="1" w:styleId="p3">
    <w:name w:val="p3"/>
    <w:basedOn w:val="Normal"/>
    <w:pPr>
      <w:widowControl w:val="0"/>
      <w:tabs>
        <w:tab w:val="left" w:pos="204"/>
      </w:tabs>
      <w:autoSpaceDE w:val="0"/>
      <w:autoSpaceDN w:val="0"/>
      <w:adjustRightInd w:val="0"/>
      <w:spacing w:line="260" w:lineRule="atLeast"/>
    </w:pPr>
    <w:rPr>
      <w:sz w:val="20"/>
    </w:rPr>
  </w:style>
  <w:style w:type="character" w:customStyle="1" w:styleId="BodyTextChar">
    <w:name w:val="Body Text Char"/>
    <w:rsid w:val="00424E0F"/>
    <w:rPr>
      <w:iCs/>
      <w:sz w:val="22"/>
      <w:szCs w:val="24"/>
      <w:lang w:val="en-GB" w:eastAsia="en-US" w:bidi="ar-SA"/>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paragraph" w:customStyle="1" w:styleId="Para1alternative">
    <w:name w:val="Para1 (alternative)"/>
    <w:basedOn w:val="Normal"/>
    <w:pPr>
      <w:numPr>
        <w:numId w:val="4"/>
      </w:numPr>
      <w:spacing w:before="120" w:after="120"/>
    </w:pPr>
    <w:rPr>
      <w:snapToGrid w:val="0"/>
      <w:szCs w:val="18"/>
    </w:rPr>
  </w:style>
  <w:style w:type="paragraph" w:customStyle="1" w:styleId="MainParanoChapter">
    <w:name w:val="Main Para no Chapter #"/>
    <w:basedOn w:val="Normal"/>
    <w:pPr>
      <w:tabs>
        <w:tab w:val="left" w:pos="810"/>
      </w:tabs>
      <w:overflowPunct w:val="0"/>
      <w:autoSpaceDE w:val="0"/>
      <w:autoSpaceDN w:val="0"/>
      <w:adjustRightInd w:val="0"/>
      <w:spacing w:after="240"/>
      <w:textAlignment w:val="baseline"/>
    </w:pPr>
  </w:style>
  <w:style w:type="character" w:customStyle="1" w:styleId="content1">
    <w:name w:val="content1"/>
    <w:rPr>
      <w:rFonts w:ascii="Arial" w:hAnsi="Arial" w:cs="Arial" w:hint="default"/>
      <w:b w:val="0"/>
      <w:bCs w:val="0"/>
      <w:color w:val="000000"/>
      <w:sz w:val="24"/>
      <w:szCs w:val="24"/>
    </w:rPr>
  </w:style>
  <w:style w:type="character" w:styleId="CommentReference">
    <w:name w:val="annotation reference"/>
    <w:uiPriority w:val="99"/>
    <w:semiHidden/>
    <w:rPr>
      <w:sz w:val="16"/>
      <w:szCs w:val="16"/>
    </w:rPr>
  </w:style>
  <w:style w:type="paragraph" w:styleId="CommentText">
    <w:name w:val="annotation text"/>
    <w:basedOn w:val="Normal"/>
    <w:link w:val="CommentTextChar"/>
    <w:semiHidden/>
    <w:rPr>
      <w:sz w:val="20"/>
    </w:rPr>
  </w:style>
  <w:style w:type="character" w:customStyle="1" w:styleId="BodyText2Char">
    <w:name w:val="Body Text 2 Char"/>
    <w:uiPriority w:val="99"/>
    <w:rPr>
      <w:sz w:val="22"/>
      <w:lang w:val="en-US" w:eastAsia="en-US" w:bidi="ar-SA"/>
    </w:rPr>
  </w:style>
  <w:style w:type="character" w:customStyle="1" w:styleId="BodyText2CharCharChar">
    <w:name w:val="Body Text 2 Char Char Char"/>
    <w:rPr>
      <w:sz w:val="22"/>
      <w:lang w:val="en-US" w:eastAsia="en-US" w:bidi="ar-SA"/>
    </w:rPr>
  </w:style>
  <w:style w:type="character" w:customStyle="1" w:styleId="BodyText2CharCharCharCharCharCharCharCharCharCharCharCharCharCharCharCharCharCharChar">
    <w:name w:val="Body Text 2 Char Char Char Char Char Char Char Char Char Char Char Char Char Char Char Char Char Char Char"/>
    <w:rPr>
      <w:sz w:val="22"/>
      <w:lang w:val="en-US" w:eastAsia="en-US" w:bidi="ar-SA"/>
    </w:rPr>
  </w:style>
  <w:style w:type="paragraph" w:customStyle="1" w:styleId="StylePara1Firstline127cm">
    <w:name w:val="Style Para1 + First line:  1.27 cm"/>
    <w:basedOn w:val="Para1"/>
    <w:rsid w:val="00424E0F"/>
    <w:pPr>
      <w:tabs>
        <w:tab w:val="num" w:pos="360"/>
      </w:tabs>
    </w:pPr>
    <w:rPr>
      <w:szCs w:val="20"/>
    </w:rPr>
  </w:style>
  <w:style w:type="character" w:customStyle="1" w:styleId="Heading2Char">
    <w:name w:val="Heading 2 Char"/>
    <w:rPr>
      <w:b/>
      <w:bCs/>
      <w:i/>
      <w:iCs/>
      <w:sz w:val="22"/>
      <w:szCs w:val="24"/>
      <w:lang w:val="en-GB" w:eastAsia="en-US" w:bidi="ar-SA"/>
    </w:rPr>
  </w:style>
  <w:style w:type="paragraph" w:customStyle="1" w:styleId="subhead">
    <w:name w:val="subhead"/>
    <w:basedOn w:val="Normal"/>
    <w:next w:val="Para1"/>
    <w:pPr>
      <w:spacing w:before="120" w:after="120"/>
      <w:jc w:val="center"/>
    </w:pPr>
    <w:rPr>
      <w:i/>
    </w:rPr>
  </w:style>
  <w:style w:type="character" w:styleId="Emphasis">
    <w:name w:val="Emphasis"/>
    <w:uiPriority w:val="20"/>
    <w:qFormat/>
    <w:rPr>
      <w:i/>
      <w:iCs/>
    </w:rPr>
  </w:style>
  <w:style w:type="character" w:customStyle="1" w:styleId="BlockTextChar">
    <w:name w:val="Block Text Char"/>
    <w:rPr>
      <w:sz w:val="24"/>
      <w:szCs w:val="24"/>
      <w:lang w:val="en-US" w:eastAsia="en-US" w:bidi="ar-SA"/>
    </w:rPr>
  </w:style>
  <w:style w:type="paragraph" w:customStyle="1" w:styleId="bodytext210">
    <w:name w:val="bodytext21"/>
    <w:basedOn w:val="Normal"/>
    <w:pPr>
      <w:spacing w:before="100" w:beforeAutospacing="1" w:after="100" w:afterAutospacing="1"/>
    </w:pPr>
    <w:rPr>
      <w:rFonts w:ascii="Arial Unicode MS" w:eastAsia="Arial Unicode MS" w:hAnsi="Arial Unicode MS" w:cs="Arial Unicode MS"/>
    </w:rPr>
  </w:style>
  <w:style w:type="character" w:customStyle="1" w:styleId="BodyText2CharCharCharCharCharCharCharCharCharCharCharCharCharCharCharCharCharCharCharChar">
    <w:name w:val="Body Text 2 Char Char Char Char Char Char Char Char Char Char Char Char Char Char Char Char Char Char Char Char"/>
    <w:rPr>
      <w:sz w:val="22"/>
      <w:lang w:val="en-US" w:eastAsia="en-US" w:bidi="ar-SA"/>
    </w:rPr>
  </w:style>
  <w:style w:type="paragraph" w:styleId="TOC1">
    <w:name w:val="toc 1"/>
    <w:basedOn w:val="Normal"/>
    <w:next w:val="Normal"/>
    <w:autoRedefine/>
    <w:semiHidden/>
    <w:rsid w:val="00424E0F"/>
    <w:pPr>
      <w:tabs>
        <w:tab w:val="left" w:pos="1440"/>
        <w:tab w:val="right" w:leader="dot" w:pos="9360"/>
      </w:tabs>
      <w:spacing w:after="120"/>
      <w:ind w:left="1440" w:right="540" w:hanging="1440"/>
      <w:jc w:val="left"/>
    </w:pPr>
    <w:rPr>
      <w:noProof/>
      <w:szCs w:val="22"/>
    </w:rPr>
  </w:style>
  <w:style w:type="paragraph" w:styleId="CommentSubject">
    <w:name w:val="annotation subject"/>
    <w:basedOn w:val="CommentText"/>
    <w:next w:val="CommentText"/>
    <w:semiHidden/>
    <w:rPr>
      <w:b/>
      <w:bCs/>
    </w:rPr>
  </w:style>
  <w:style w:type="character" w:customStyle="1" w:styleId="MathieuRgnier">
    <w:name w:val="Mathieu Régnier"/>
    <w:semiHidden/>
    <w:rPr>
      <w:rFonts w:ascii="Arial" w:hAnsi="Arial" w:cs="Arial"/>
      <w:color w:val="auto"/>
      <w:sz w:val="20"/>
      <w:szCs w:val="20"/>
    </w:rPr>
  </w:style>
  <w:style w:type="paragraph" w:customStyle="1" w:styleId="bodytextnoindent">
    <w:name w:val="body text (no indent)"/>
    <w:basedOn w:val="Normal"/>
    <w:rsid w:val="00424E0F"/>
    <w:pPr>
      <w:widowControl w:val="0"/>
      <w:overflowPunct w:val="0"/>
      <w:autoSpaceDE w:val="0"/>
      <w:autoSpaceDN w:val="0"/>
      <w:adjustRightInd w:val="0"/>
      <w:spacing w:before="120" w:after="120"/>
      <w:textAlignment w:val="baseline"/>
    </w:pPr>
    <w:rPr>
      <w:szCs w:val="20"/>
      <w:lang w:eastAsia="de-DE"/>
    </w:rPr>
  </w:style>
  <w:style w:type="paragraph" w:customStyle="1" w:styleId="Bodytextitalic">
    <w:name w:val="Body text italic"/>
    <w:basedOn w:val="BodyText"/>
    <w:rsid w:val="00424E0F"/>
    <w:rPr>
      <w:i/>
      <w:iCs w:val="0"/>
    </w:rPr>
  </w:style>
  <w:style w:type="paragraph" w:customStyle="1" w:styleId="boxbody">
    <w:name w:val="boxbody"/>
    <w:basedOn w:val="Normal"/>
    <w:rsid w:val="00424E0F"/>
    <w:pPr>
      <w:spacing w:before="100" w:beforeAutospacing="1" w:after="100" w:afterAutospacing="1"/>
      <w:ind w:left="612" w:right="612"/>
    </w:pPr>
    <w:rPr>
      <w:rFonts w:ascii="Helvetica" w:eastAsia="Arial Unicode MS" w:hAnsi="Helvetica" w:cs="Arial Unicode MS"/>
      <w:sz w:val="18"/>
      <w:szCs w:val="18"/>
    </w:rPr>
  </w:style>
  <w:style w:type="paragraph" w:styleId="EndnoteText">
    <w:name w:val="endnote text"/>
    <w:basedOn w:val="Normal"/>
    <w:semiHidden/>
    <w:rsid w:val="00424E0F"/>
    <w:pPr>
      <w:widowControl w:val="0"/>
      <w:tabs>
        <w:tab w:val="left" w:pos="-720"/>
      </w:tabs>
      <w:suppressAutoHyphens/>
    </w:pPr>
    <w:rPr>
      <w:rFonts w:ascii="Courier New" w:hAnsi="Courier New"/>
    </w:rPr>
  </w:style>
  <w:style w:type="paragraph" w:customStyle="1" w:styleId="Heading-plain">
    <w:name w:val="Heading - plain"/>
    <w:basedOn w:val="Heading2"/>
    <w:next w:val="BodyText"/>
    <w:rsid w:val="00424E0F"/>
    <w:pPr>
      <w:tabs>
        <w:tab w:val="clear" w:pos="720"/>
        <w:tab w:val="left" w:pos="900"/>
      </w:tabs>
    </w:pPr>
    <w:rPr>
      <w:rFonts w:eastAsia="Batang" w:cs="Times New Roman"/>
      <w:b w:val="0"/>
      <w:bCs w:val="0"/>
      <w:szCs w:val="20"/>
    </w:rPr>
  </w:style>
  <w:style w:type="paragraph" w:customStyle="1" w:styleId="Heading1longmultiline">
    <w:name w:val="Heading 1 (long multiline)"/>
    <w:basedOn w:val="Heading1"/>
    <w:link w:val="Heading1longmultilineChar"/>
    <w:rsid w:val="00424E0F"/>
    <w:pPr>
      <w:ind w:left="1843" w:hanging="1134"/>
      <w:jc w:val="left"/>
    </w:pPr>
  </w:style>
  <w:style w:type="paragraph" w:customStyle="1" w:styleId="Heading1multiline">
    <w:name w:val="Heading 1 (multiline)"/>
    <w:basedOn w:val="Heading1"/>
    <w:rsid w:val="00424E0F"/>
    <w:pPr>
      <w:ind w:left="1843" w:right="996" w:hanging="567"/>
      <w:jc w:val="left"/>
    </w:pPr>
  </w:style>
  <w:style w:type="paragraph" w:customStyle="1" w:styleId="Heading2multiline">
    <w:name w:val="Heading 2 (multiline)"/>
    <w:basedOn w:val="Heading1"/>
    <w:next w:val="Normal"/>
    <w:rsid w:val="00424E0F"/>
    <w:pPr>
      <w:spacing w:before="120"/>
      <w:ind w:left="1843" w:right="998" w:hanging="567"/>
      <w:jc w:val="left"/>
    </w:pPr>
    <w:rPr>
      <w:i/>
      <w:iCs/>
      <w:caps w:val="0"/>
    </w:rPr>
  </w:style>
  <w:style w:type="paragraph" w:customStyle="1" w:styleId="Heading2longmultiline">
    <w:name w:val="Heading 2 (long multiline)"/>
    <w:basedOn w:val="Heading2multiline"/>
    <w:rsid w:val="00424E0F"/>
    <w:pPr>
      <w:ind w:left="2127" w:hanging="1276"/>
    </w:pPr>
  </w:style>
  <w:style w:type="paragraph" w:customStyle="1" w:styleId="Heading2noletter">
    <w:name w:val="Heading 2 (no letter)"/>
    <w:basedOn w:val="Heading2"/>
    <w:rsid w:val="00424E0F"/>
    <w:pPr>
      <w:tabs>
        <w:tab w:val="clear" w:pos="720"/>
      </w:tabs>
    </w:pPr>
    <w:rPr>
      <w:rFonts w:cs="Times New Roman"/>
    </w:rPr>
  </w:style>
  <w:style w:type="character" w:customStyle="1" w:styleId="Heading2CharChar">
    <w:name w:val="Heading 2 Char Char"/>
    <w:rsid w:val="00424E0F"/>
    <w:rPr>
      <w:rFonts w:ascii="Arial" w:hAnsi="Arial" w:cs="Arial"/>
      <w:b/>
      <w:bCs/>
      <w:i/>
      <w:iCs/>
      <w:noProof w:val="0"/>
      <w:sz w:val="28"/>
      <w:szCs w:val="28"/>
      <w:lang w:val="en-US" w:eastAsia="en-US" w:bidi="ar-SA"/>
    </w:rPr>
  </w:style>
  <w:style w:type="paragraph" w:customStyle="1" w:styleId="Heading3multiline">
    <w:name w:val="Heading 3 (multiline)"/>
    <w:basedOn w:val="Heading3"/>
    <w:next w:val="Normal"/>
    <w:rsid w:val="00424E0F"/>
    <w:pPr>
      <w:ind w:left="1418" w:hanging="425"/>
      <w:jc w:val="left"/>
    </w:pPr>
  </w:style>
  <w:style w:type="paragraph" w:customStyle="1" w:styleId="Heading-plain0">
    <w:name w:val="Heading-plain"/>
    <w:basedOn w:val="Normal"/>
    <w:rsid w:val="00424E0F"/>
    <w:pPr>
      <w:spacing w:before="120" w:after="120"/>
      <w:jc w:val="center"/>
      <w:outlineLvl w:val="0"/>
    </w:pPr>
    <w:rPr>
      <w:i/>
      <w:szCs w:val="20"/>
    </w:rPr>
  </w:style>
  <w:style w:type="paragraph" w:customStyle="1" w:styleId="Heading-plainbold">
    <w:name w:val="Heading-plain bold"/>
    <w:basedOn w:val="BodyText"/>
    <w:rsid w:val="00424E0F"/>
    <w:pPr>
      <w:ind w:firstLine="0"/>
      <w:jc w:val="center"/>
    </w:pPr>
    <w:rPr>
      <w:b/>
      <w:bCs/>
      <w:i/>
      <w:iCs w:val="0"/>
    </w:rPr>
  </w:style>
  <w:style w:type="paragraph" w:customStyle="1" w:styleId="Heading-plainitalic">
    <w:name w:val="Heading-plain italic"/>
    <w:basedOn w:val="Heading-plainbold"/>
    <w:rsid w:val="00424E0F"/>
    <w:rPr>
      <w:b w:val="0"/>
      <w:bCs w:val="0"/>
    </w:rPr>
  </w:style>
  <w:style w:type="character" w:customStyle="1" w:styleId="Para1Char">
    <w:name w:val="Para 1 Char"/>
    <w:rsid w:val="00424E0F"/>
    <w:rPr>
      <w:rFonts w:eastAsia="MS Mincho"/>
      <w:bCs/>
      <w:iCs/>
      <w:sz w:val="22"/>
      <w:szCs w:val="22"/>
      <w:lang w:val="en-GB" w:eastAsia="en-US" w:bidi="ar-SA"/>
    </w:rPr>
  </w:style>
  <w:style w:type="paragraph" w:customStyle="1" w:styleId="Para2rev">
    <w:name w:val="Para 2 (rev)"/>
    <w:basedOn w:val="Normal"/>
    <w:rsid w:val="00424E0F"/>
    <w:pPr>
      <w:tabs>
        <w:tab w:val="num" w:pos="720"/>
      </w:tabs>
      <w:spacing w:after="120"/>
      <w:ind w:left="720" w:hanging="360"/>
    </w:pPr>
  </w:style>
  <w:style w:type="paragraph" w:customStyle="1" w:styleId="Paraofficial">
    <w:name w:val="Para official"/>
    <w:basedOn w:val="Normal"/>
    <w:rsid w:val="00424E0F"/>
    <w:pPr>
      <w:framePr w:hSpace="187" w:vSpace="187" w:wrap="notBeside" w:vAnchor="text" w:hAnchor="text" w:y="1"/>
      <w:numPr>
        <w:numId w:val="6"/>
      </w:numPr>
      <w:spacing w:before="240" w:after="240"/>
      <w:jc w:val="left"/>
    </w:pPr>
    <w:rPr>
      <w:szCs w:val="20"/>
    </w:rPr>
  </w:style>
  <w:style w:type="paragraph" w:customStyle="1" w:styleId="Para1Char0">
    <w:name w:val="Para1 Char"/>
    <w:basedOn w:val="Normal"/>
    <w:rsid w:val="00424E0F"/>
    <w:pPr>
      <w:tabs>
        <w:tab w:val="num" w:pos="720"/>
      </w:tabs>
      <w:spacing w:before="120" w:after="120"/>
      <w:ind w:left="360"/>
    </w:pPr>
    <w:rPr>
      <w:snapToGrid w:val="0"/>
      <w:szCs w:val="18"/>
    </w:rPr>
  </w:style>
  <w:style w:type="paragraph" w:customStyle="1" w:styleId="Para1-Annex">
    <w:name w:val="Para1-Annex"/>
    <w:basedOn w:val="Normal"/>
    <w:rsid w:val="00424E0F"/>
    <w:pPr>
      <w:numPr>
        <w:numId w:val="7"/>
      </w:numPr>
      <w:spacing w:after="120"/>
    </w:pPr>
    <w:rPr>
      <w:rFonts w:cs="Times New Roman"/>
      <w:szCs w:val="22"/>
      <w:lang w:val="en-US"/>
    </w:rPr>
  </w:style>
  <w:style w:type="paragraph" w:customStyle="1" w:styleId="Para40">
    <w:name w:val="Para4"/>
    <w:basedOn w:val="Para3"/>
    <w:rsid w:val="00424E0F"/>
    <w:pPr>
      <w:numPr>
        <w:ilvl w:val="0"/>
        <w:numId w:val="0"/>
      </w:numPr>
      <w:tabs>
        <w:tab w:val="clear" w:pos="1980"/>
        <w:tab w:val="left" w:pos="2552"/>
        <w:tab w:val="num" w:pos="3540"/>
      </w:tabs>
      <w:ind w:left="2552" w:hanging="567"/>
    </w:pPr>
    <w:rPr>
      <w:lang w:val="en-US"/>
    </w:rPr>
  </w:style>
  <w:style w:type="paragraph" w:customStyle="1" w:styleId="StyleBodyTextTimesNewRoman11ptCharChar">
    <w:name w:val="Style Body Text + Times New Roman 11 pt Char Char"/>
    <w:basedOn w:val="BodyText"/>
    <w:rsid w:val="00424E0F"/>
    <w:rPr>
      <w:iCs w:val="0"/>
      <w:snapToGrid w:val="0"/>
      <w:color w:val="000000"/>
      <w:szCs w:val="22"/>
      <w:lang w:val="en-US"/>
    </w:rPr>
  </w:style>
  <w:style w:type="character" w:customStyle="1" w:styleId="StyleBodyTextTimesNewRoman11ptCharCharChar">
    <w:name w:val="Style Body Text + Times New Roman 11 pt Char Char Char"/>
    <w:rsid w:val="00424E0F"/>
    <w:rPr>
      <w:rFonts w:cs="Angsana New"/>
      <w:iCs/>
      <w:snapToGrid w:val="0"/>
      <w:color w:val="000000"/>
      <w:sz w:val="22"/>
      <w:szCs w:val="22"/>
      <w:lang w:val="en-US" w:eastAsia="en-US" w:bidi="ar-SA"/>
    </w:rPr>
  </w:style>
  <w:style w:type="paragraph" w:styleId="TOC2">
    <w:name w:val="toc 2"/>
    <w:basedOn w:val="Normal"/>
    <w:next w:val="Normal"/>
    <w:autoRedefine/>
    <w:semiHidden/>
    <w:rsid w:val="00424E0F"/>
    <w:pPr>
      <w:tabs>
        <w:tab w:val="left" w:pos="2700"/>
        <w:tab w:val="right" w:leader="dot" w:pos="9360"/>
      </w:tabs>
      <w:ind w:left="2160" w:right="720" w:hanging="1260"/>
    </w:pPr>
    <w:rPr>
      <w:noProof/>
      <w:szCs w:val="22"/>
    </w:rPr>
  </w:style>
  <w:style w:type="paragraph" w:styleId="TOC3">
    <w:name w:val="toc 3"/>
    <w:basedOn w:val="Normal"/>
    <w:next w:val="Normal"/>
    <w:autoRedefine/>
    <w:semiHidden/>
    <w:rsid w:val="00424E0F"/>
    <w:pPr>
      <w:ind w:left="2160" w:hanging="720"/>
    </w:pPr>
  </w:style>
  <w:style w:type="paragraph" w:styleId="TOC5">
    <w:name w:val="toc 5"/>
    <w:basedOn w:val="Normal"/>
    <w:next w:val="Normal"/>
    <w:autoRedefine/>
    <w:semiHidden/>
    <w:rsid w:val="00424E0F"/>
    <w:pPr>
      <w:ind w:left="880"/>
    </w:pPr>
  </w:style>
  <w:style w:type="character" w:customStyle="1" w:styleId="Heading1Char">
    <w:name w:val="Heading 1 Char"/>
    <w:link w:val="Heading1"/>
    <w:rsid w:val="00CA25AD"/>
    <w:rPr>
      <w:rFonts w:cs="Angsana New"/>
      <w:b/>
      <w:caps/>
      <w:sz w:val="22"/>
      <w:szCs w:val="24"/>
      <w:lang w:val="en-GB" w:eastAsia="en-US" w:bidi="ar-SA"/>
    </w:rPr>
  </w:style>
  <w:style w:type="numbering" w:styleId="111111">
    <w:name w:val="Outline List 2"/>
    <w:basedOn w:val="NoList"/>
    <w:rsid w:val="005B3F2E"/>
    <w:pPr>
      <w:numPr>
        <w:numId w:val="11"/>
      </w:numPr>
    </w:pPr>
  </w:style>
  <w:style w:type="numbering" w:customStyle="1" w:styleId="Style2">
    <w:name w:val="Style2"/>
    <w:rsid w:val="005B3F2E"/>
    <w:pPr>
      <w:numPr>
        <w:numId w:val="12"/>
      </w:numPr>
    </w:pPr>
  </w:style>
  <w:style w:type="character" w:customStyle="1" w:styleId="Heading1longmultilineChar">
    <w:name w:val="Heading 1 (long multiline) Char"/>
    <w:basedOn w:val="Heading1Char"/>
    <w:link w:val="Heading1longmultiline"/>
    <w:rsid w:val="00CA25AD"/>
    <w:rPr>
      <w:rFonts w:cs="Angsana New"/>
      <w:b/>
      <w:caps/>
      <w:sz w:val="22"/>
      <w:szCs w:val="24"/>
      <w:lang w:val="en-GB" w:eastAsia="en-US" w:bidi="ar-SA"/>
    </w:rPr>
  </w:style>
  <w:style w:type="paragraph" w:customStyle="1" w:styleId="ColorfulList-Accent11">
    <w:name w:val="Colorful List - Accent 11"/>
    <w:basedOn w:val="Normal"/>
    <w:qFormat/>
    <w:rsid w:val="00CA4FBF"/>
    <w:pPr>
      <w:ind w:left="720"/>
    </w:pPr>
  </w:style>
  <w:style w:type="paragraph" w:customStyle="1" w:styleId="Default">
    <w:name w:val="Default"/>
    <w:basedOn w:val="Normal"/>
    <w:rsid w:val="00900F86"/>
    <w:pPr>
      <w:autoSpaceDE w:val="0"/>
      <w:autoSpaceDN w:val="0"/>
      <w:jc w:val="left"/>
    </w:pPr>
    <w:rPr>
      <w:rFonts w:eastAsia="Calibri" w:cs="Times New Roman"/>
      <w:color w:val="000000"/>
      <w:sz w:val="24"/>
      <w:lang w:val="en-US"/>
    </w:rPr>
  </w:style>
  <w:style w:type="character" w:customStyle="1" w:styleId="apple-style-span">
    <w:name w:val="apple-style-span"/>
    <w:rsid w:val="00900F86"/>
  </w:style>
  <w:style w:type="character" w:customStyle="1" w:styleId="HeaderChar">
    <w:name w:val="Header Char"/>
    <w:link w:val="Header"/>
    <w:rsid w:val="00203EDB"/>
    <w:rPr>
      <w:rFonts w:cs="Angsana New"/>
      <w:sz w:val="22"/>
      <w:szCs w:val="24"/>
      <w:lang w:val="en-GB" w:eastAsia="en-US"/>
    </w:rPr>
  </w:style>
  <w:style w:type="character" w:customStyle="1" w:styleId="PlainTextChar">
    <w:name w:val="Plain Text Char"/>
    <w:link w:val="PlainText"/>
    <w:uiPriority w:val="99"/>
    <w:rsid w:val="00B22797"/>
    <w:rPr>
      <w:rFonts w:ascii="Courier New" w:hAnsi="Courier New" w:cs="Courier New"/>
      <w:szCs w:val="24"/>
      <w:lang w:eastAsia="en-US"/>
    </w:rPr>
  </w:style>
  <w:style w:type="character" w:customStyle="1" w:styleId="FooterChar">
    <w:name w:val="Footer Char"/>
    <w:link w:val="Footer"/>
    <w:uiPriority w:val="99"/>
    <w:rsid w:val="00316C7D"/>
    <w:rPr>
      <w:rFonts w:cs="Angsana New"/>
      <w:sz w:val="22"/>
      <w:szCs w:val="24"/>
      <w:lang w:eastAsia="en-US"/>
    </w:rPr>
  </w:style>
  <w:style w:type="paragraph" w:customStyle="1" w:styleId="SubtleEmphasis1">
    <w:name w:val="Subtle Emphasis1"/>
    <w:basedOn w:val="Normal"/>
    <w:uiPriority w:val="34"/>
    <w:qFormat/>
    <w:rsid w:val="00057950"/>
    <w:pPr>
      <w:ind w:left="720"/>
    </w:pPr>
  </w:style>
  <w:style w:type="paragraph" w:customStyle="1" w:styleId="StyleHeading3TimesNewRomanBoldBoldNotItalicAllcaps">
    <w:name w:val="Style Heading 3 + Times New Roman Bold Bold Not Italic All caps"/>
    <w:basedOn w:val="Heading3"/>
    <w:next w:val="Heading2"/>
    <w:rsid w:val="00FA7F67"/>
    <w:rPr>
      <w:rFonts w:ascii="Times New Roman Bold" w:hAnsi="Times New Roman Bold"/>
      <w:b/>
      <w:bCs/>
      <w:i w:val="0"/>
      <w:iCs w:val="0"/>
      <w:caps/>
    </w:rPr>
  </w:style>
  <w:style w:type="paragraph" w:customStyle="1" w:styleId="DarkList-Accent61">
    <w:name w:val="Dark List - Accent 61"/>
    <w:uiPriority w:val="1"/>
    <w:qFormat/>
    <w:rsid w:val="00276F6A"/>
    <w:rPr>
      <w:rFonts w:ascii="Calibri" w:hAnsi="Calibri"/>
      <w:sz w:val="22"/>
      <w:szCs w:val="22"/>
    </w:rPr>
  </w:style>
  <w:style w:type="paragraph" w:customStyle="1" w:styleId="Paraa">
    <w:name w:val="Para (a)"/>
    <w:basedOn w:val="Normal"/>
    <w:rsid w:val="00463F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jc w:val="left"/>
      <w:outlineLvl w:val="1"/>
    </w:pPr>
    <w:rPr>
      <w:rFonts w:eastAsia="SimSun" w:cs="Times New Roman"/>
      <w:szCs w:val="20"/>
      <w:lang w:eastAsia="zh-CN"/>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link w:val="FootnoteText"/>
    <w:uiPriority w:val="99"/>
    <w:rsid w:val="003C3938"/>
    <w:rPr>
      <w:rFonts w:cs="Angsana New"/>
      <w:sz w:val="18"/>
      <w:szCs w:val="24"/>
      <w:lang w:val="en-GB"/>
    </w:rPr>
  </w:style>
  <w:style w:type="character" w:customStyle="1" w:styleId="StyleFootnoteReferenceNounderlineSuperscriptKernat10pt">
    <w:name w:val="Style Footnote Reference + No underline Superscript Kern at 10 pt"/>
    <w:rsid w:val="003C3938"/>
    <w:rPr>
      <w:kern w:val="20"/>
      <w:sz w:val="22"/>
      <w:u w:val="none"/>
      <w:vertAlign w:val="superscript"/>
    </w:rPr>
  </w:style>
  <w:style w:type="character" w:customStyle="1" w:styleId="s13">
    <w:name w:val="s13"/>
    <w:rsid w:val="00745CC8"/>
  </w:style>
  <w:style w:type="paragraph" w:customStyle="1" w:styleId="ColorfulGrid-Accent61">
    <w:name w:val="Colorful Grid - Accent 61"/>
    <w:hidden/>
    <w:uiPriority w:val="99"/>
    <w:semiHidden/>
    <w:rsid w:val="00EC5B43"/>
    <w:rPr>
      <w:rFonts w:cs="Angsana New"/>
      <w:sz w:val="22"/>
      <w:szCs w:val="24"/>
      <w:lang w:val="en-GB"/>
    </w:rPr>
  </w:style>
  <w:style w:type="paragraph" w:customStyle="1" w:styleId="ColorfulGrid-Accent62">
    <w:name w:val="Colorful Grid - Accent 62"/>
    <w:hidden/>
    <w:uiPriority w:val="99"/>
    <w:semiHidden/>
    <w:rsid w:val="00023D05"/>
    <w:rPr>
      <w:rFonts w:cs="Angsana New"/>
      <w:sz w:val="22"/>
      <w:szCs w:val="24"/>
      <w:lang w:val="en-GB"/>
    </w:rPr>
  </w:style>
  <w:style w:type="paragraph" w:customStyle="1" w:styleId="SubtleEmphasis2">
    <w:name w:val="Subtle Emphasis2"/>
    <w:basedOn w:val="Normal"/>
    <w:uiPriority w:val="34"/>
    <w:qFormat/>
    <w:rsid w:val="00914CF7"/>
    <w:pPr>
      <w:ind w:left="720"/>
    </w:pPr>
  </w:style>
  <w:style w:type="paragraph" w:customStyle="1" w:styleId="LightGrid-Accent31">
    <w:name w:val="Light Grid - Accent 31"/>
    <w:basedOn w:val="Normal"/>
    <w:uiPriority w:val="34"/>
    <w:qFormat/>
    <w:rsid w:val="009252DF"/>
    <w:pPr>
      <w:ind w:left="720"/>
    </w:pPr>
  </w:style>
  <w:style w:type="paragraph" w:styleId="Revision">
    <w:name w:val="Revision"/>
    <w:hidden/>
    <w:rsid w:val="00A97ADC"/>
    <w:rPr>
      <w:rFonts w:cs="Angsana New"/>
      <w:sz w:val="22"/>
      <w:szCs w:val="24"/>
      <w:lang w:val="en-GB"/>
    </w:rPr>
  </w:style>
  <w:style w:type="paragraph" w:customStyle="1" w:styleId="meetingname">
    <w:name w:val="meeting name"/>
    <w:basedOn w:val="Normal"/>
    <w:qFormat/>
    <w:rsid w:val="00AD1731"/>
    <w:pPr>
      <w:ind w:left="170" w:right="3119" w:hanging="170"/>
      <w:jc w:val="left"/>
    </w:pPr>
    <w:rPr>
      <w:rFonts w:eastAsia="Malgun Gothic" w:cs="Times New Roman"/>
      <w:caps/>
      <w:snapToGrid w:val="0"/>
    </w:rPr>
  </w:style>
  <w:style w:type="paragraph" w:styleId="TOC9">
    <w:name w:val="toc 9"/>
    <w:basedOn w:val="Normal"/>
    <w:next w:val="Normal"/>
    <w:autoRedefine/>
    <w:rsid w:val="001416C5"/>
    <w:pPr>
      <w:tabs>
        <w:tab w:val="num" w:pos="1440"/>
      </w:tabs>
      <w:spacing w:before="120" w:after="120"/>
      <w:ind w:left="1440" w:hanging="360"/>
      <w:jc w:val="left"/>
    </w:pPr>
    <w:rPr>
      <w:rFonts w:eastAsia="Times New Roman" w:cs="Times New Roman"/>
    </w:rPr>
  </w:style>
  <w:style w:type="paragraph" w:styleId="ListParagraph">
    <w:name w:val="List Paragraph"/>
    <w:basedOn w:val="Normal"/>
    <w:uiPriority w:val="34"/>
    <w:qFormat/>
    <w:rsid w:val="0098127B"/>
    <w:pPr>
      <w:ind w:left="720"/>
    </w:pPr>
  </w:style>
  <w:style w:type="character" w:customStyle="1" w:styleId="CommentTextChar">
    <w:name w:val="Comment Text Char"/>
    <w:link w:val="CommentText"/>
    <w:semiHidden/>
    <w:rsid w:val="00FD31F7"/>
    <w:rPr>
      <w:rFonts w:cs="Angsana New"/>
      <w:szCs w:val="24"/>
      <w:lang w:val="en-GB"/>
    </w:rPr>
  </w:style>
  <w:style w:type="character" w:customStyle="1" w:styleId="BalloonTextChar">
    <w:name w:val="Balloon Text Char"/>
    <w:uiPriority w:val="99"/>
    <w:semiHidden/>
    <w:rsid w:val="009D0FEB"/>
    <w:rPr>
      <w:rFonts w:ascii="Lucida Grande" w:hAnsi="Lucida Grande"/>
      <w:sz w:val="18"/>
      <w:szCs w:val="18"/>
    </w:rPr>
  </w:style>
  <w:style w:type="character" w:customStyle="1" w:styleId="BalloonTextChar1">
    <w:name w:val="Balloon Text Char1"/>
    <w:link w:val="BalloonText"/>
    <w:semiHidden/>
    <w:rsid w:val="009D0FEB"/>
    <w:rPr>
      <w:rFonts w:ascii="Tahoma" w:hAnsi="Tahoma" w:cs="Tahoma"/>
      <w:sz w:val="16"/>
      <w:szCs w:val="16"/>
      <w:lang w:val="en-GB" w:eastAsia="en-US"/>
    </w:rPr>
  </w:style>
  <w:style w:type="paragraph" w:customStyle="1" w:styleId="Paragraph">
    <w:name w:val="Paragraph"/>
    <w:basedOn w:val="Normal"/>
    <w:rsid w:val="009D0FEB"/>
    <w:pPr>
      <w:spacing w:before="120" w:after="120"/>
    </w:pPr>
    <w:rPr>
      <w:rFonts w:eastAsia="Malgun Gothic" w:cs="Times New Roman"/>
    </w:rPr>
  </w:style>
  <w:style w:type="paragraph" w:customStyle="1" w:styleId="Heading4">
    <w:name w:val="Heading4"/>
    <w:basedOn w:val="Normal"/>
    <w:rsid w:val="009D0FEB"/>
    <w:pPr>
      <w:numPr>
        <w:numId w:val="15"/>
      </w:numPr>
    </w:pPr>
    <w:rPr>
      <w:rFonts w:eastAsia="Malgun Gothic" w:cs="Times New Roman"/>
      <w:b/>
      <w:i/>
      <w:iCs/>
      <w:szCs w:val="20"/>
    </w:rPr>
  </w:style>
  <w:style w:type="paragraph" w:customStyle="1" w:styleId="Activity">
    <w:name w:val="Activity"/>
    <w:basedOn w:val="Normal"/>
    <w:rsid w:val="009D0FEB"/>
    <w:pPr>
      <w:numPr>
        <w:ilvl w:val="1"/>
        <w:numId w:val="16"/>
      </w:numPr>
      <w:spacing w:before="120" w:after="120"/>
    </w:pPr>
    <w:rPr>
      <w:rFonts w:eastAsia="Malgun Gothic" w:cs="Times New Roman"/>
    </w:rPr>
  </w:style>
  <w:style w:type="paragraph" w:customStyle="1" w:styleId="heading-plainbold0">
    <w:name w:val="heading-plain bold"/>
    <w:basedOn w:val="Heading1"/>
    <w:rsid w:val="009D0FEB"/>
    <w:pPr>
      <w:tabs>
        <w:tab w:val="clear" w:pos="720"/>
        <w:tab w:val="left" w:pos="770"/>
      </w:tabs>
      <w:spacing w:before="120"/>
    </w:pPr>
    <w:rPr>
      <w:rFonts w:eastAsia="Malgun Gothic" w:cs="Times New Roman"/>
      <w:i/>
      <w:iCs/>
      <w:caps w:val="0"/>
      <w:sz w:val="24"/>
      <w:szCs w:val="20"/>
    </w:rPr>
  </w:style>
  <w:style w:type="paragraph" w:customStyle="1" w:styleId="para11">
    <w:name w:val="para1"/>
    <w:basedOn w:val="Normal"/>
    <w:rsid w:val="009D0FEB"/>
    <w:pPr>
      <w:spacing w:before="100" w:beforeAutospacing="1" w:after="100" w:afterAutospacing="1"/>
      <w:jc w:val="left"/>
    </w:pPr>
    <w:rPr>
      <w:rFonts w:ascii="Arial Unicode MS" w:eastAsia="Arial Unicode MS" w:hAnsi="Arial Unicode MS" w:cs="Arial Unicode MS"/>
      <w:sz w:val="24"/>
      <w:lang w:val="en-US"/>
    </w:rPr>
  </w:style>
  <w:style w:type="paragraph" w:customStyle="1" w:styleId="FOOTNOTETEX">
    <w:name w:val="FOOTNOTE TEX"/>
    <w:rsid w:val="009D0FEB"/>
    <w:pPr>
      <w:widowControl w:val="0"/>
      <w:tabs>
        <w:tab w:val="left" w:pos="-720"/>
      </w:tabs>
      <w:suppressAutoHyphens/>
    </w:pPr>
    <w:rPr>
      <w:rFonts w:eastAsia="Malgun Gothic"/>
    </w:rPr>
  </w:style>
  <w:style w:type="paragraph" w:customStyle="1" w:styleId="Numbering">
    <w:name w:val="Numbering"/>
    <w:basedOn w:val="Normal"/>
    <w:rsid w:val="009D0FEB"/>
    <w:pPr>
      <w:numPr>
        <w:numId w:val="17"/>
      </w:numPr>
    </w:pPr>
    <w:rPr>
      <w:rFonts w:eastAsia="Malgun Gothic" w:cs="Times New Roman"/>
      <w:lang w:val="en-US"/>
    </w:rPr>
  </w:style>
  <w:style w:type="character" w:customStyle="1" w:styleId="CharChar2">
    <w:name w:val="Char Char2"/>
    <w:semiHidden/>
    <w:rsid w:val="009D0FEB"/>
    <w:rPr>
      <w:lang w:val="en-GB" w:eastAsia="en-US"/>
    </w:rPr>
  </w:style>
  <w:style w:type="paragraph" w:styleId="ListBullet">
    <w:name w:val="List Bullet"/>
    <w:basedOn w:val="Normal"/>
    <w:autoRedefine/>
    <w:rsid w:val="009D0FEB"/>
    <w:pPr>
      <w:numPr>
        <w:numId w:val="18"/>
      </w:numPr>
      <w:jc w:val="left"/>
    </w:pPr>
    <w:rPr>
      <w:rFonts w:eastAsia="Malgun Gothic" w:cs="Times New Roman"/>
      <w:sz w:val="24"/>
      <w:lang w:val="en-US"/>
    </w:rPr>
  </w:style>
  <w:style w:type="character" w:customStyle="1" w:styleId="CharChar3">
    <w:name w:val="Char Char3"/>
    <w:rsid w:val="009D0FEB"/>
    <w:rPr>
      <w:rFonts w:ascii="Times New Roman" w:hAnsi="Times New Roman"/>
      <w:b/>
      <w:caps/>
      <w:sz w:val="24"/>
      <w:lang w:val="en-GB"/>
    </w:rPr>
  </w:style>
  <w:style w:type="character" w:customStyle="1" w:styleId="Heading6Char">
    <w:name w:val="Heading 6 Char"/>
    <w:link w:val="Heading6"/>
    <w:locked/>
    <w:rsid w:val="009D0FEB"/>
    <w:rPr>
      <w:rFonts w:cs="Angsana New"/>
      <w:sz w:val="22"/>
      <w:szCs w:val="24"/>
      <w:u w:val="single"/>
      <w:lang w:val="en-GB" w:eastAsia="en-US"/>
    </w:rPr>
  </w:style>
  <w:style w:type="character" w:customStyle="1" w:styleId="Heading9Char">
    <w:name w:val="Heading 9 Char"/>
    <w:link w:val="Heading9"/>
    <w:rsid w:val="009D0FEB"/>
    <w:rPr>
      <w:rFonts w:cs="Angsana New"/>
      <w:i/>
      <w:iCs/>
      <w:sz w:val="22"/>
      <w:szCs w:val="24"/>
      <w:lang w:val="en-GB" w:eastAsia="en-US"/>
    </w:rPr>
  </w:style>
  <w:style w:type="paragraph" w:customStyle="1" w:styleId="ColorfulShading-Accent11">
    <w:name w:val="Colorful Shading - Accent 11"/>
    <w:hidden/>
    <w:uiPriority w:val="99"/>
    <w:semiHidden/>
    <w:rsid w:val="009D0FEB"/>
    <w:rPr>
      <w:rFonts w:eastAsia="Malgun Gothic"/>
      <w:sz w:val="22"/>
      <w:szCs w:val="24"/>
      <w:lang w:val="en-GB"/>
    </w:rPr>
  </w:style>
  <w:style w:type="paragraph" w:customStyle="1" w:styleId="ColorfulList-Accent12">
    <w:name w:val="Colorful List - Accent 12"/>
    <w:basedOn w:val="Normal"/>
    <w:uiPriority w:val="34"/>
    <w:qFormat/>
    <w:rsid w:val="009D0FEB"/>
    <w:pPr>
      <w:ind w:left="720"/>
    </w:pPr>
    <w:rPr>
      <w:rFonts w:eastAsia="Malgun Gothic" w:cs="Times New Roman"/>
    </w:rPr>
  </w:style>
  <w:style w:type="character" w:customStyle="1" w:styleId="hps">
    <w:name w:val="hps"/>
    <w:rsid w:val="009D0FEB"/>
  </w:style>
  <w:style w:type="table" w:styleId="TableGrid">
    <w:name w:val="Table Grid"/>
    <w:basedOn w:val="TableNormal"/>
    <w:rsid w:val="009D0FEB"/>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Para1Before0pt">
    <w:name w:val="Style Para1 + Before:  0 pt"/>
    <w:basedOn w:val="Para1"/>
    <w:rsid w:val="009D0FEB"/>
    <w:pPr>
      <w:numPr>
        <w:numId w:val="12"/>
      </w:numPr>
      <w:spacing w:before="120"/>
    </w:pPr>
    <w:rPr>
      <w:rFonts w:eastAsia="Malgun Gothic" w:cs="Times New Roman"/>
      <w:szCs w:val="20"/>
      <w:lang w:eastAsia="x-none"/>
    </w:rPr>
  </w:style>
  <w:style w:type="paragraph" w:customStyle="1" w:styleId="Quotationtextindented">
    <w:name w:val="Quotation text (indented)"/>
    <w:basedOn w:val="Normal"/>
    <w:qFormat/>
    <w:rsid w:val="009D0FEB"/>
    <w:pPr>
      <w:spacing w:before="120" w:after="120"/>
      <w:ind w:left="720" w:right="720"/>
    </w:pPr>
    <w:rPr>
      <w:rFonts w:eastAsia="Times New Roman" w:cs="Times New Roman"/>
      <w:bCs/>
    </w:rPr>
  </w:style>
  <w:style w:type="character" w:styleId="HTMLVariable">
    <w:name w:val="HTML Variable"/>
    <w:uiPriority w:val="99"/>
    <w:unhideWhenUsed/>
    <w:rsid w:val="009D0FEB"/>
    <w:rPr>
      <w:i/>
      <w:iCs/>
    </w:rPr>
  </w:style>
  <w:style w:type="paragraph" w:customStyle="1" w:styleId="Corpo">
    <w:name w:val="Corpo"/>
    <w:rsid w:val="009D0FEB"/>
    <w:pPr>
      <w:pBdr>
        <w:top w:val="none" w:sz="96" w:space="31" w:color="FFFFFF" w:frame="1"/>
        <w:left w:val="none" w:sz="96" w:space="31" w:color="FFFFFF" w:frame="1"/>
        <w:bottom w:val="none" w:sz="96" w:space="31" w:color="FFFFFF" w:frame="1"/>
        <w:right w:val="none" w:sz="96" w:space="31" w:color="FFFFFF" w:frame="1"/>
        <w:bar w:val="none" w:sz="0" w:color="000000"/>
      </w:pBdr>
    </w:pPr>
    <w:rPr>
      <w:rFonts w:eastAsia="Arial Unicode MS" w:hAnsi="Arial Unicode MS" w:cs="Arial Unicode MS"/>
      <w:color w:val="000000"/>
      <w:sz w:val="24"/>
      <w:szCs w:val="24"/>
      <w:u w:color="000000"/>
    </w:rPr>
  </w:style>
  <w:style w:type="paragraph" w:customStyle="1" w:styleId="recommendationheader">
    <w:name w:val="recommendation header"/>
    <w:basedOn w:val="Heading2"/>
    <w:qFormat/>
    <w:rsid w:val="009D0FEB"/>
    <w:rPr>
      <w:rFonts w:eastAsia="Times New Roman" w:cs="Times New Roman"/>
      <w:i/>
    </w:rPr>
  </w:style>
  <w:style w:type="character" w:customStyle="1" w:styleId="views-field">
    <w:name w:val="views-field"/>
    <w:rsid w:val="00A372D4"/>
  </w:style>
  <w:style w:type="character" w:customStyle="1" w:styleId="field-content">
    <w:name w:val="field-content"/>
    <w:rsid w:val="00A372D4"/>
  </w:style>
  <w:style w:type="character" w:customStyle="1" w:styleId="FootnoteTextChar1">
    <w:name w:val="Footnote Text Char1"/>
    <w:aliases w:val="Footnote Text Char Char,Footnote Text Char Char Char Char Char Char Char,Footnote Text Char Char Char Char1 Char,Footnote Text Char Char Char Char Char1 Char,Footnote Text Char Char Char Char Char Char1"/>
    <w:rsid w:val="000D5303"/>
    <w:rPr>
      <w:lang w:val="en-US" w:eastAsia="en-US" w:bidi="ar-SA"/>
    </w:rPr>
  </w:style>
  <w:style w:type="character" w:styleId="PlaceholderText">
    <w:name w:val="Placeholder Text"/>
    <w:basedOn w:val="DefaultParagraphFont"/>
    <w:uiPriority w:val="99"/>
    <w:semiHidden/>
    <w:rsid w:val="0007070D"/>
    <w:rPr>
      <w:color w:val="808080"/>
    </w:rPr>
  </w:style>
  <w:style w:type="character" w:customStyle="1" w:styleId="UnresolvedMention1">
    <w:name w:val="Unresolved Mention1"/>
    <w:basedOn w:val="DefaultParagraphFont"/>
    <w:uiPriority w:val="99"/>
    <w:semiHidden/>
    <w:unhideWhenUsed/>
    <w:rsid w:val="00823EAA"/>
    <w:rPr>
      <w:color w:val="808080"/>
      <w:shd w:val="clear" w:color="auto" w:fill="E6E6E6"/>
    </w:rPr>
  </w:style>
  <w:style w:type="character" w:styleId="UnresolvedMention">
    <w:name w:val="Unresolved Mention"/>
    <w:basedOn w:val="DefaultParagraphFont"/>
    <w:uiPriority w:val="99"/>
    <w:semiHidden/>
    <w:unhideWhenUsed/>
    <w:rsid w:val="0037796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915781">
      <w:bodyDiv w:val="1"/>
      <w:marLeft w:val="0"/>
      <w:marRight w:val="0"/>
      <w:marTop w:val="0"/>
      <w:marBottom w:val="0"/>
      <w:divBdr>
        <w:top w:val="none" w:sz="0" w:space="0" w:color="auto"/>
        <w:left w:val="none" w:sz="0" w:space="0" w:color="auto"/>
        <w:bottom w:val="none" w:sz="0" w:space="0" w:color="auto"/>
        <w:right w:val="none" w:sz="0" w:space="0" w:color="auto"/>
      </w:divBdr>
    </w:div>
    <w:div w:id="87889847">
      <w:bodyDiv w:val="1"/>
      <w:marLeft w:val="0"/>
      <w:marRight w:val="0"/>
      <w:marTop w:val="0"/>
      <w:marBottom w:val="0"/>
      <w:divBdr>
        <w:top w:val="none" w:sz="0" w:space="0" w:color="auto"/>
        <w:left w:val="none" w:sz="0" w:space="0" w:color="auto"/>
        <w:bottom w:val="none" w:sz="0" w:space="0" w:color="auto"/>
        <w:right w:val="none" w:sz="0" w:space="0" w:color="auto"/>
      </w:divBdr>
    </w:div>
    <w:div w:id="103037346">
      <w:bodyDiv w:val="1"/>
      <w:marLeft w:val="0"/>
      <w:marRight w:val="0"/>
      <w:marTop w:val="0"/>
      <w:marBottom w:val="0"/>
      <w:divBdr>
        <w:top w:val="none" w:sz="0" w:space="0" w:color="auto"/>
        <w:left w:val="none" w:sz="0" w:space="0" w:color="auto"/>
        <w:bottom w:val="none" w:sz="0" w:space="0" w:color="auto"/>
        <w:right w:val="none" w:sz="0" w:space="0" w:color="auto"/>
      </w:divBdr>
    </w:div>
    <w:div w:id="189420196">
      <w:bodyDiv w:val="1"/>
      <w:marLeft w:val="0"/>
      <w:marRight w:val="0"/>
      <w:marTop w:val="0"/>
      <w:marBottom w:val="0"/>
      <w:divBdr>
        <w:top w:val="none" w:sz="0" w:space="0" w:color="auto"/>
        <w:left w:val="none" w:sz="0" w:space="0" w:color="auto"/>
        <w:bottom w:val="none" w:sz="0" w:space="0" w:color="auto"/>
        <w:right w:val="none" w:sz="0" w:space="0" w:color="auto"/>
      </w:divBdr>
    </w:div>
    <w:div w:id="221016111">
      <w:bodyDiv w:val="1"/>
      <w:marLeft w:val="0"/>
      <w:marRight w:val="0"/>
      <w:marTop w:val="0"/>
      <w:marBottom w:val="0"/>
      <w:divBdr>
        <w:top w:val="none" w:sz="0" w:space="0" w:color="auto"/>
        <w:left w:val="none" w:sz="0" w:space="0" w:color="auto"/>
        <w:bottom w:val="none" w:sz="0" w:space="0" w:color="auto"/>
        <w:right w:val="none" w:sz="0" w:space="0" w:color="auto"/>
      </w:divBdr>
    </w:div>
    <w:div w:id="235559495">
      <w:bodyDiv w:val="1"/>
      <w:marLeft w:val="0"/>
      <w:marRight w:val="0"/>
      <w:marTop w:val="0"/>
      <w:marBottom w:val="0"/>
      <w:divBdr>
        <w:top w:val="none" w:sz="0" w:space="0" w:color="auto"/>
        <w:left w:val="none" w:sz="0" w:space="0" w:color="auto"/>
        <w:bottom w:val="none" w:sz="0" w:space="0" w:color="auto"/>
        <w:right w:val="none" w:sz="0" w:space="0" w:color="auto"/>
      </w:divBdr>
      <w:divsChild>
        <w:div w:id="1257864751">
          <w:marLeft w:val="0"/>
          <w:marRight w:val="0"/>
          <w:marTop w:val="0"/>
          <w:marBottom w:val="0"/>
          <w:divBdr>
            <w:top w:val="none" w:sz="0" w:space="0" w:color="auto"/>
            <w:left w:val="none" w:sz="0" w:space="0" w:color="auto"/>
            <w:bottom w:val="none" w:sz="0" w:space="0" w:color="auto"/>
            <w:right w:val="none" w:sz="0" w:space="0" w:color="auto"/>
          </w:divBdr>
          <w:divsChild>
            <w:div w:id="875193993">
              <w:marLeft w:val="0"/>
              <w:marRight w:val="0"/>
              <w:marTop w:val="0"/>
              <w:marBottom w:val="0"/>
              <w:divBdr>
                <w:top w:val="none" w:sz="0" w:space="0" w:color="auto"/>
                <w:left w:val="none" w:sz="0" w:space="0" w:color="auto"/>
                <w:bottom w:val="none" w:sz="0" w:space="0" w:color="auto"/>
                <w:right w:val="none" w:sz="0" w:space="0" w:color="auto"/>
              </w:divBdr>
              <w:divsChild>
                <w:div w:id="1043214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0768078">
      <w:bodyDiv w:val="1"/>
      <w:marLeft w:val="0"/>
      <w:marRight w:val="0"/>
      <w:marTop w:val="0"/>
      <w:marBottom w:val="0"/>
      <w:divBdr>
        <w:top w:val="none" w:sz="0" w:space="0" w:color="auto"/>
        <w:left w:val="none" w:sz="0" w:space="0" w:color="auto"/>
        <w:bottom w:val="none" w:sz="0" w:space="0" w:color="auto"/>
        <w:right w:val="none" w:sz="0" w:space="0" w:color="auto"/>
      </w:divBdr>
    </w:div>
    <w:div w:id="604462907">
      <w:bodyDiv w:val="1"/>
      <w:marLeft w:val="0"/>
      <w:marRight w:val="0"/>
      <w:marTop w:val="0"/>
      <w:marBottom w:val="0"/>
      <w:divBdr>
        <w:top w:val="none" w:sz="0" w:space="0" w:color="auto"/>
        <w:left w:val="none" w:sz="0" w:space="0" w:color="auto"/>
        <w:bottom w:val="none" w:sz="0" w:space="0" w:color="auto"/>
        <w:right w:val="none" w:sz="0" w:space="0" w:color="auto"/>
      </w:divBdr>
    </w:div>
    <w:div w:id="751896205">
      <w:bodyDiv w:val="1"/>
      <w:marLeft w:val="0"/>
      <w:marRight w:val="0"/>
      <w:marTop w:val="0"/>
      <w:marBottom w:val="0"/>
      <w:divBdr>
        <w:top w:val="none" w:sz="0" w:space="0" w:color="auto"/>
        <w:left w:val="none" w:sz="0" w:space="0" w:color="auto"/>
        <w:bottom w:val="none" w:sz="0" w:space="0" w:color="auto"/>
        <w:right w:val="none" w:sz="0" w:space="0" w:color="auto"/>
      </w:divBdr>
      <w:divsChild>
        <w:div w:id="361562754">
          <w:marLeft w:val="0"/>
          <w:marRight w:val="0"/>
          <w:marTop w:val="0"/>
          <w:marBottom w:val="0"/>
          <w:divBdr>
            <w:top w:val="none" w:sz="0" w:space="0" w:color="auto"/>
            <w:left w:val="none" w:sz="0" w:space="0" w:color="auto"/>
            <w:bottom w:val="none" w:sz="0" w:space="0" w:color="auto"/>
            <w:right w:val="none" w:sz="0" w:space="0" w:color="auto"/>
          </w:divBdr>
          <w:divsChild>
            <w:div w:id="327447157">
              <w:marLeft w:val="0"/>
              <w:marRight w:val="0"/>
              <w:marTop w:val="0"/>
              <w:marBottom w:val="0"/>
              <w:divBdr>
                <w:top w:val="none" w:sz="0" w:space="0" w:color="auto"/>
                <w:left w:val="none" w:sz="0" w:space="0" w:color="auto"/>
                <w:bottom w:val="none" w:sz="0" w:space="0" w:color="auto"/>
                <w:right w:val="none" w:sz="0" w:space="0" w:color="auto"/>
              </w:divBdr>
              <w:divsChild>
                <w:div w:id="666401199">
                  <w:marLeft w:val="0"/>
                  <w:marRight w:val="0"/>
                  <w:marTop w:val="0"/>
                  <w:marBottom w:val="0"/>
                  <w:divBdr>
                    <w:top w:val="none" w:sz="0" w:space="0" w:color="auto"/>
                    <w:left w:val="none" w:sz="0" w:space="0" w:color="auto"/>
                    <w:bottom w:val="none" w:sz="0" w:space="0" w:color="auto"/>
                    <w:right w:val="none" w:sz="0" w:space="0" w:color="auto"/>
                  </w:divBdr>
                  <w:divsChild>
                    <w:div w:id="317803880">
                      <w:marLeft w:val="0"/>
                      <w:marRight w:val="0"/>
                      <w:marTop w:val="0"/>
                      <w:marBottom w:val="0"/>
                      <w:divBdr>
                        <w:top w:val="none" w:sz="0" w:space="0" w:color="auto"/>
                        <w:left w:val="none" w:sz="0" w:space="0" w:color="auto"/>
                        <w:bottom w:val="none" w:sz="0" w:space="0" w:color="auto"/>
                        <w:right w:val="none" w:sz="0" w:space="0" w:color="auto"/>
                      </w:divBdr>
                    </w:div>
                  </w:divsChild>
                </w:div>
                <w:div w:id="1837109640">
                  <w:marLeft w:val="0"/>
                  <w:marRight w:val="0"/>
                  <w:marTop w:val="0"/>
                  <w:marBottom w:val="0"/>
                  <w:divBdr>
                    <w:top w:val="none" w:sz="0" w:space="0" w:color="auto"/>
                    <w:left w:val="none" w:sz="0" w:space="0" w:color="auto"/>
                    <w:bottom w:val="none" w:sz="0" w:space="0" w:color="auto"/>
                    <w:right w:val="none" w:sz="0" w:space="0" w:color="auto"/>
                  </w:divBdr>
                  <w:divsChild>
                    <w:div w:id="1928687069">
                      <w:marLeft w:val="0"/>
                      <w:marRight w:val="0"/>
                      <w:marTop w:val="0"/>
                      <w:marBottom w:val="0"/>
                      <w:divBdr>
                        <w:top w:val="none" w:sz="0" w:space="0" w:color="auto"/>
                        <w:left w:val="none" w:sz="0" w:space="0" w:color="auto"/>
                        <w:bottom w:val="none" w:sz="0" w:space="0" w:color="auto"/>
                        <w:right w:val="none" w:sz="0" w:space="0" w:color="auto"/>
                      </w:divBdr>
                      <w:divsChild>
                        <w:div w:id="295574242">
                          <w:marLeft w:val="0"/>
                          <w:marRight w:val="0"/>
                          <w:marTop w:val="0"/>
                          <w:marBottom w:val="0"/>
                          <w:divBdr>
                            <w:top w:val="none" w:sz="0" w:space="0" w:color="auto"/>
                            <w:left w:val="none" w:sz="0" w:space="0" w:color="auto"/>
                            <w:bottom w:val="none" w:sz="0" w:space="0" w:color="auto"/>
                            <w:right w:val="none" w:sz="0" w:space="0" w:color="auto"/>
                          </w:divBdr>
                        </w:div>
                        <w:div w:id="969088481">
                          <w:marLeft w:val="0"/>
                          <w:marRight w:val="0"/>
                          <w:marTop w:val="0"/>
                          <w:marBottom w:val="0"/>
                          <w:divBdr>
                            <w:top w:val="none" w:sz="0" w:space="0" w:color="auto"/>
                            <w:left w:val="none" w:sz="0" w:space="0" w:color="auto"/>
                            <w:bottom w:val="none" w:sz="0" w:space="0" w:color="auto"/>
                            <w:right w:val="none" w:sz="0" w:space="0" w:color="auto"/>
                          </w:divBdr>
                        </w:div>
                        <w:div w:id="1117722547">
                          <w:marLeft w:val="0"/>
                          <w:marRight w:val="0"/>
                          <w:marTop w:val="0"/>
                          <w:marBottom w:val="0"/>
                          <w:divBdr>
                            <w:top w:val="none" w:sz="0" w:space="0" w:color="auto"/>
                            <w:left w:val="none" w:sz="0" w:space="0" w:color="auto"/>
                            <w:bottom w:val="none" w:sz="0" w:space="0" w:color="auto"/>
                            <w:right w:val="none" w:sz="0" w:space="0" w:color="auto"/>
                          </w:divBdr>
                        </w:div>
                        <w:div w:id="1204253640">
                          <w:marLeft w:val="0"/>
                          <w:marRight w:val="0"/>
                          <w:marTop w:val="0"/>
                          <w:marBottom w:val="0"/>
                          <w:divBdr>
                            <w:top w:val="none" w:sz="0" w:space="0" w:color="auto"/>
                            <w:left w:val="none" w:sz="0" w:space="0" w:color="auto"/>
                            <w:bottom w:val="none" w:sz="0" w:space="0" w:color="auto"/>
                            <w:right w:val="none" w:sz="0" w:space="0" w:color="auto"/>
                          </w:divBdr>
                        </w:div>
                        <w:div w:id="1727796603">
                          <w:marLeft w:val="0"/>
                          <w:marRight w:val="0"/>
                          <w:marTop w:val="0"/>
                          <w:marBottom w:val="0"/>
                          <w:divBdr>
                            <w:top w:val="none" w:sz="0" w:space="0" w:color="auto"/>
                            <w:left w:val="none" w:sz="0" w:space="0" w:color="auto"/>
                            <w:bottom w:val="none" w:sz="0" w:space="0" w:color="auto"/>
                            <w:right w:val="none" w:sz="0" w:space="0" w:color="auto"/>
                          </w:divBdr>
                        </w:div>
                        <w:div w:id="1734619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0412531">
          <w:marLeft w:val="0"/>
          <w:marRight w:val="0"/>
          <w:marTop w:val="0"/>
          <w:marBottom w:val="0"/>
          <w:divBdr>
            <w:top w:val="none" w:sz="0" w:space="0" w:color="auto"/>
            <w:left w:val="none" w:sz="0" w:space="0" w:color="auto"/>
            <w:bottom w:val="none" w:sz="0" w:space="0" w:color="auto"/>
            <w:right w:val="none" w:sz="0" w:space="0" w:color="auto"/>
          </w:divBdr>
          <w:divsChild>
            <w:div w:id="1809590826">
              <w:marLeft w:val="0"/>
              <w:marRight w:val="0"/>
              <w:marTop w:val="0"/>
              <w:marBottom w:val="0"/>
              <w:divBdr>
                <w:top w:val="none" w:sz="0" w:space="0" w:color="auto"/>
                <w:left w:val="none" w:sz="0" w:space="0" w:color="auto"/>
                <w:bottom w:val="none" w:sz="0" w:space="0" w:color="auto"/>
                <w:right w:val="none" w:sz="0" w:space="0" w:color="auto"/>
              </w:divBdr>
              <w:divsChild>
                <w:div w:id="1980914257">
                  <w:marLeft w:val="0"/>
                  <w:marRight w:val="0"/>
                  <w:marTop w:val="0"/>
                  <w:marBottom w:val="0"/>
                  <w:divBdr>
                    <w:top w:val="none" w:sz="0" w:space="0" w:color="auto"/>
                    <w:left w:val="none" w:sz="0" w:space="0" w:color="auto"/>
                    <w:bottom w:val="none" w:sz="0" w:space="0" w:color="auto"/>
                    <w:right w:val="none" w:sz="0" w:space="0" w:color="auto"/>
                  </w:divBdr>
                  <w:divsChild>
                    <w:div w:id="303317957">
                      <w:marLeft w:val="0"/>
                      <w:marRight w:val="0"/>
                      <w:marTop w:val="0"/>
                      <w:marBottom w:val="0"/>
                      <w:divBdr>
                        <w:top w:val="none" w:sz="0" w:space="0" w:color="auto"/>
                        <w:left w:val="none" w:sz="0" w:space="0" w:color="auto"/>
                        <w:bottom w:val="none" w:sz="0" w:space="0" w:color="auto"/>
                        <w:right w:val="none" w:sz="0" w:space="0" w:color="auto"/>
                      </w:divBdr>
                      <w:divsChild>
                        <w:div w:id="38551193">
                          <w:marLeft w:val="0"/>
                          <w:marRight w:val="0"/>
                          <w:marTop w:val="0"/>
                          <w:marBottom w:val="0"/>
                          <w:divBdr>
                            <w:top w:val="none" w:sz="0" w:space="0" w:color="auto"/>
                            <w:left w:val="none" w:sz="0" w:space="0" w:color="auto"/>
                            <w:bottom w:val="none" w:sz="0" w:space="0" w:color="auto"/>
                            <w:right w:val="none" w:sz="0" w:space="0" w:color="auto"/>
                          </w:divBdr>
                        </w:div>
                        <w:div w:id="468476177">
                          <w:marLeft w:val="0"/>
                          <w:marRight w:val="0"/>
                          <w:marTop w:val="0"/>
                          <w:marBottom w:val="0"/>
                          <w:divBdr>
                            <w:top w:val="none" w:sz="0" w:space="0" w:color="auto"/>
                            <w:left w:val="none" w:sz="0" w:space="0" w:color="auto"/>
                            <w:bottom w:val="none" w:sz="0" w:space="0" w:color="auto"/>
                            <w:right w:val="none" w:sz="0" w:space="0" w:color="auto"/>
                          </w:divBdr>
                        </w:div>
                        <w:div w:id="485585492">
                          <w:marLeft w:val="0"/>
                          <w:marRight w:val="0"/>
                          <w:marTop w:val="0"/>
                          <w:marBottom w:val="0"/>
                          <w:divBdr>
                            <w:top w:val="none" w:sz="0" w:space="0" w:color="auto"/>
                            <w:left w:val="none" w:sz="0" w:space="0" w:color="auto"/>
                            <w:bottom w:val="none" w:sz="0" w:space="0" w:color="auto"/>
                            <w:right w:val="none" w:sz="0" w:space="0" w:color="auto"/>
                          </w:divBdr>
                        </w:div>
                        <w:div w:id="677390343">
                          <w:marLeft w:val="0"/>
                          <w:marRight w:val="0"/>
                          <w:marTop w:val="0"/>
                          <w:marBottom w:val="0"/>
                          <w:divBdr>
                            <w:top w:val="none" w:sz="0" w:space="0" w:color="auto"/>
                            <w:left w:val="none" w:sz="0" w:space="0" w:color="auto"/>
                            <w:bottom w:val="none" w:sz="0" w:space="0" w:color="auto"/>
                            <w:right w:val="none" w:sz="0" w:space="0" w:color="auto"/>
                          </w:divBdr>
                        </w:div>
                        <w:div w:id="904993708">
                          <w:marLeft w:val="0"/>
                          <w:marRight w:val="0"/>
                          <w:marTop w:val="0"/>
                          <w:marBottom w:val="0"/>
                          <w:divBdr>
                            <w:top w:val="none" w:sz="0" w:space="0" w:color="auto"/>
                            <w:left w:val="none" w:sz="0" w:space="0" w:color="auto"/>
                            <w:bottom w:val="none" w:sz="0" w:space="0" w:color="auto"/>
                            <w:right w:val="none" w:sz="0" w:space="0" w:color="auto"/>
                          </w:divBdr>
                        </w:div>
                        <w:div w:id="1159926621">
                          <w:marLeft w:val="0"/>
                          <w:marRight w:val="0"/>
                          <w:marTop w:val="0"/>
                          <w:marBottom w:val="0"/>
                          <w:divBdr>
                            <w:top w:val="none" w:sz="0" w:space="0" w:color="auto"/>
                            <w:left w:val="none" w:sz="0" w:space="0" w:color="auto"/>
                            <w:bottom w:val="none" w:sz="0" w:space="0" w:color="auto"/>
                            <w:right w:val="none" w:sz="0" w:space="0" w:color="auto"/>
                          </w:divBdr>
                        </w:div>
                        <w:div w:id="1254318522">
                          <w:marLeft w:val="0"/>
                          <w:marRight w:val="0"/>
                          <w:marTop w:val="0"/>
                          <w:marBottom w:val="0"/>
                          <w:divBdr>
                            <w:top w:val="none" w:sz="0" w:space="0" w:color="auto"/>
                            <w:left w:val="none" w:sz="0" w:space="0" w:color="auto"/>
                            <w:bottom w:val="none" w:sz="0" w:space="0" w:color="auto"/>
                            <w:right w:val="none" w:sz="0" w:space="0" w:color="auto"/>
                          </w:divBdr>
                        </w:div>
                        <w:div w:id="1355379694">
                          <w:marLeft w:val="0"/>
                          <w:marRight w:val="0"/>
                          <w:marTop w:val="0"/>
                          <w:marBottom w:val="0"/>
                          <w:divBdr>
                            <w:top w:val="none" w:sz="0" w:space="0" w:color="auto"/>
                            <w:left w:val="none" w:sz="0" w:space="0" w:color="auto"/>
                            <w:bottom w:val="none" w:sz="0" w:space="0" w:color="auto"/>
                            <w:right w:val="none" w:sz="0" w:space="0" w:color="auto"/>
                          </w:divBdr>
                        </w:div>
                        <w:div w:id="1410227142">
                          <w:marLeft w:val="0"/>
                          <w:marRight w:val="0"/>
                          <w:marTop w:val="0"/>
                          <w:marBottom w:val="0"/>
                          <w:divBdr>
                            <w:top w:val="none" w:sz="0" w:space="0" w:color="auto"/>
                            <w:left w:val="none" w:sz="0" w:space="0" w:color="auto"/>
                            <w:bottom w:val="none" w:sz="0" w:space="0" w:color="auto"/>
                            <w:right w:val="none" w:sz="0" w:space="0" w:color="auto"/>
                          </w:divBdr>
                        </w:div>
                        <w:div w:id="1775706501">
                          <w:marLeft w:val="0"/>
                          <w:marRight w:val="0"/>
                          <w:marTop w:val="0"/>
                          <w:marBottom w:val="0"/>
                          <w:divBdr>
                            <w:top w:val="none" w:sz="0" w:space="0" w:color="auto"/>
                            <w:left w:val="none" w:sz="0" w:space="0" w:color="auto"/>
                            <w:bottom w:val="none" w:sz="0" w:space="0" w:color="auto"/>
                            <w:right w:val="none" w:sz="0" w:space="0" w:color="auto"/>
                          </w:divBdr>
                        </w:div>
                        <w:div w:id="1845166586">
                          <w:marLeft w:val="0"/>
                          <w:marRight w:val="0"/>
                          <w:marTop w:val="0"/>
                          <w:marBottom w:val="0"/>
                          <w:divBdr>
                            <w:top w:val="none" w:sz="0" w:space="0" w:color="auto"/>
                            <w:left w:val="none" w:sz="0" w:space="0" w:color="auto"/>
                            <w:bottom w:val="none" w:sz="0" w:space="0" w:color="auto"/>
                            <w:right w:val="none" w:sz="0" w:space="0" w:color="auto"/>
                          </w:divBdr>
                        </w:div>
                        <w:div w:id="195671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9659137">
          <w:marLeft w:val="0"/>
          <w:marRight w:val="0"/>
          <w:marTop w:val="0"/>
          <w:marBottom w:val="0"/>
          <w:divBdr>
            <w:top w:val="none" w:sz="0" w:space="0" w:color="auto"/>
            <w:left w:val="none" w:sz="0" w:space="0" w:color="auto"/>
            <w:bottom w:val="none" w:sz="0" w:space="0" w:color="auto"/>
            <w:right w:val="none" w:sz="0" w:space="0" w:color="auto"/>
          </w:divBdr>
          <w:divsChild>
            <w:div w:id="1228883633">
              <w:marLeft w:val="0"/>
              <w:marRight w:val="0"/>
              <w:marTop w:val="0"/>
              <w:marBottom w:val="0"/>
              <w:divBdr>
                <w:top w:val="none" w:sz="0" w:space="0" w:color="auto"/>
                <w:left w:val="none" w:sz="0" w:space="0" w:color="auto"/>
                <w:bottom w:val="none" w:sz="0" w:space="0" w:color="auto"/>
                <w:right w:val="none" w:sz="0" w:space="0" w:color="auto"/>
              </w:divBdr>
              <w:divsChild>
                <w:div w:id="633174203">
                  <w:marLeft w:val="0"/>
                  <w:marRight w:val="0"/>
                  <w:marTop w:val="0"/>
                  <w:marBottom w:val="0"/>
                  <w:divBdr>
                    <w:top w:val="none" w:sz="0" w:space="0" w:color="auto"/>
                    <w:left w:val="none" w:sz="0" w:space="0" w:color="auto"/>
                    <w:bottom w:val="none" w:sz="0" w:space="0" w:color="auto"/>
                    <w:right w:val="none" w:sz="0" w:space="0" w:color="auto"/>
                  </w:divBdr>
                  <w:divsChild>
                    <w:div w:id="562258815">
                      <w:marLeft w:val="0"/>
                      <w:marRight w:val="0"/>
                      <w:marTop w:val="0"/>
                      <w:marBottom w:val="0"/>
                      <w:divBdr>
                        <w:top w:val="none" w:sz="0" w:space="0" w:color="auto"/>
                        <w:left w:val="none" w:sz="0" w:space="0" w:color="auto"/>
                        <w:bottom w:val="none" w:sz="0" w:space="0" w:color="auto"/>
                        <w:right w:val="none" w:sz="0" w:space="0" w:color="auto"/>
                      </w:divBdr>
                      <w:divsChild>
                        <w:div w:id="61804240">
                          <w:marLeft w:val="0"/>
                          <w:marRight w:val="0"/>
                          <w:marTop w:val="0"/>
                          <w:marBottom w:val="0"/>
                          <w:divBdr>
                            <w:top w:val="none" w:sz="0" w:space="0" w:color="auto"/>
                            <w:left w:val="none" w:sz="0" w:space="0" w:color="auto"/>
                            <w:bottom w:val="none" w:sz="0" w:space="0" w:color="auto"/>
                            <w:right w:val="none" w:sz="0" w:space="0" w:color="auto"/>
                          </w:divBdr>
                        </w:div>
                        <w:div w:id="308754397">
                          <w:marLeft w:val="0"/>
                          <w:marRight w:val="0"/>
                          <w:marTop w:val="0"/>
                          <w:marBottom w:val="0"/>
                          <w:divBdr>
                            <w:top w:val="none" w:sz="0" w:space="0" w:color="auto"/>
                            <w:left w:val="none" w:sz="0" w:space="0" w:color="auto"/>
                            <w:bottom w:val="none" w:sz="0" w:space="0" w:color="auto"/>
                            <w:right w:val="none" w:sz="0" w:space="0" w:color="auto"/>
                          </w:divBdr>
                        </w:div>
                        <w:div w:id="311103876">
                          <w:marLeft w:val="0"/>
                          <w:marRight w:val="0"/>
                          <w:marTop w:val="0"/>
                          <w:marBottom w:val="0"/>
                          <w:divBdr>
                            <w:top w:val="none" w:sz="0" w:space="0" w:color="auto"/>
                            <w:left w:val="none" w:sz="0" w:space="0" w:color="auto"/>
                            <w:bottom w:val="none" w:sz="0" w:space="0" w:color="auto"/>
                            <w:right w:val="none" w:sz="0" w:space="0" w:color="auto"/>
                          </w:divBdr>
                        </w:div>
                        <w:div w:id="563368769">
                          <w:marLeft w:val="0"/>
                          <w:marRight w:val="0"/>
                          <w:marTop w:val="0"/>
                          <w:marBottom w:val="0"/>
                          <w:divBdr>
                            <w:top w:val="none" w:sz="0" w:space="0" w:color="auto"/>
                            <w:left w:val="none" w:sz="0" w:space="0" w:color="auto"/>
                            <w:bottom w:val="none" w:sz="0" w:space="0" w:color="auto"/>
                            <w:right w:val="none" w:sz="0" w:space="0" w:color="auto"/>
                          </w:divBdr>
                        </w:div>
                        <w:div w:id="1153180540">
                          <w:marLeft w:val="0"/>
                          <w:marRight w:val="0"/>
                          <w:marTop w:val="0"/>
                          <w:marBottom w:val="0"/>
                          <w:divBdr>
                            <w:top w:val="none" w:sz="0" w:space="0" w:color="auto"/>
                            <w:left w:val="none" w:sz="0" w:space="0" w:color="auto"/>
                            <w:bottom w:val="none" w:sz="0" w:space="0" w:color="auto"/>
                            <w:right w:val="none" w:sz="0" w:space="0" w:color="auto"/>
                          </w:divBdr>
                        </w:div>
                        <w:div w:id="1201164624">
                          <w:marLeft w:val="0"/>
                          <w:marRight w:val="0"/>
                          <w:marTop w:val="0"/>
                          <w:marBottom w:val="0"/>
                          <w:divBdr>
                            <w:top w:val="none" w:sz="0" w:space="0" w:color="auto"/>
                            <w:left w:val="none" w:sz="0" w:space="0" w:color="auto"/>
                            <w:bottom w:val="none" w:sz="0" w:space="0" w:color="auto"/>
                            <w:right w:val="none" w:sz="0" w:space="0" w:color="auto"/>
                          </w:divBdr>
                        </w:div>
                        <w:div w:id="1286498531">
                          <w:marLeft w:val="0"/>
                          <w:marRight w:val="0"/>
                          <w:marTop w:val="0"/>
                          <w:marBottom w:val="0"/>
                          <w:divBdr>
                            <w:top w:val="none" w:sz="0" w:space="0" w:color="auto"/>
                            <w:left w:val="none" w:sz="0" w:space="0" w:color="auto"/>
                            <w:bottom w:val="none" w:sz="0" w:space="0" w:color="auto"/>
                            <w:right w:val="none" w:sz="0" w:space="0" w:color="auto"/>
                          </w:divBdr>
                        </w:div>
                        <w:div w:id="1320767297">
                          <w:marLeft w:val="0"/>
                          <w:marRight w:val="0"/>
                          <w:marTop w:val="0"/>
                          <w:marBottom w:val="0"/>
                          <w:divBdr>
                            <w:top w:val="none" w:sz="0" w:space="0" w:color="auto"/>
                            <w:left w:val="none" w:sz="0" w:space="0" w:color="auto"/>
                            <w:bottom w:val="none" w:sz="0" w:space="0" w:color="auto"/>
                            <w:right w:val="none" w:sz="0" w:space="0" w:color="auto"/>
                          </w:divBdr>
                        </w:div>
                        <w:div w:id="1379622070">
                          <w:marLeft w:val="0"/>
                          <w:marRight w:val="0"/>
                          <w:marTop w:val="0"/>
                          <w:marBottom w:val="0"/>
                          <w:divBdr>
                            <w:top w:val="none" w:sz="0" w:space="0" w:color="auto"/>
                            <w:left w:val="none" w:sz="0" w:space="0" w:color="auto"/>
                            <w:bottom w:val="none" w:sz="0" w:space="0" w:color="auto"/>
                            <w:right w:val="none" w:sz="0" w:space="0" w:color="auto"/>
                          </w:divBdr>
                        </w:div>
                        <w:div w:id="1772361621">
                          <w:marLeft w:val="0"/>
                          <w:marRight w:val="0"/>
                          <w:marTop w:val="0"/>
                          <w:marBottom w:val="0"/>
                          <w:divBdr>
                            <w:top w:val="none" w:sz="0" w:space="0" w:color="auto"/>
                            <w:left w:val="none" w:sz="0" w:space="0" w:color="auto"/>
                            <w:bottom w:val="none" w:sz="0" w:space="0" w:color="auto"/>
                            <w:right w:val="none" w:sz="0" w:space="0" w:color="auto"/>
                          </w:divBdr>
                        </w:div>
                        <w:div w:id="2093238079">
                          <w:marLeft w:val="0"/>
                          <w:marRight w:val="0"/>
                          <w:marTop w:val="0"/>
                          <w:marBottom w:val="0"/>
                          <w:divBdr>
                            <w:top w:val="none" w:sz="0" w:space="0" w:color="auto"/>
                            <w:left w:val="none" w:sz="0" w:space="0" w:color="auto"/>
                            <w:bottom w:val="none" w:sz="0" w:space="0" w:color="auto"/>
                            <w:right w:val="none" w:sz="0" w:space="0" w:color="auto"/>
                          </w:divBdr>
                        </w:div>
                        <w:div w:id="213833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764518">
                  <w:marLeft w:val="0"/>
                  <w:marRight w:val="0"/>
                  <w:marTop w:val="0"/>
                  <w:marBottom w:val="0"/>
                  <w:divBdr>
                    <w:top w:val="none" w:sz="0" w:space="0" w:color="auto"/>
                    <w:left w:val="none" w:sz="0" w:space="0" w:color="auto"/>
                    <w:bottom w:val="none" w:sz="0" w:space="0" w:color="auto"/>
                    <w:right w:val="none" w:sz="0" w:space="0" w:color="auto"/>
                  </w:divBdr>
                  <w:divsChild>
                    <w:div w:id="45136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8494983">
          <w:marLeft w:val="0"/>
          <w:marRight w:val="0"/>
          <w:marTop w:val="0"/>
          <w:marBottom w:val="0"/>
          <w:divBdr>
            <w:top w:val="none" w:sz="0" w:space="0" w:color="auto"/>
            <w:left w:val="none" w:sz="0" w:space="0" w:color="auto"/>
            <w:bottom w:val="none" w:sz="0" w:space="0" w:color="auto"/>
            <w:right w:val="none" w:sz="0" w:space="0" w:color="auto"/>
          </w:divBdr>
          <w:divsChild>
            <w:div w:id="1160199517">
              <w:marLeft w:val="0"/>
              <w:marRight w:val="0"/>
              <w:marTop w:val="0"/>
              <w:marBottom w:val="0"/>
              <w:divBdr>
                <w:top w:val="none" w:sz="0" w:space="0" w:color="auto"/>
                <w:left w:val="none" w:sz="0" w:space="0" w:color="auto"/>
                <w:bottom w:val="none" w:sz="0" w:space="0" w:color="auto"/>
                <w:right w:val="none" w:sz="0" w:space="0" w:color="auto"/>
              </w:divBdr>
              <w:divsChild>
                <w:div w:id="200439354">
                  <w:marLeft w:val="0"/>
                  <w:marRight w:val="0"/>
                  <w:marTop w:val="0"/>
                  <w:marBottom w:val="0"/>
                  <w:divBdr>
                    <w:top w:val="none" w:sz="0" w:space="0" w:color="auto"/>
                    <w:left w:val="none" w:sz="0" w:space="0" w:color="auto"/>
                    <w:bottom w:val="none" w:sz="0" w:space="0" w:color="auto"/>
                    <w:right w:val="none" w:sz="0" w:space="0" w:color="auto"/>
                  </w:divBdr>
                  <w:divsChild>
                    <w:div w:id="43022121">
                      <w:marLeft w:val="0"/>
                      <w:marRight w:val="0"/>
                      <w:marTop w:val="0"/>
                      <w:marBottom w:val="0"/>
                      <w:divBdr>
                        <w:top w:val="none" w:sz="0" w:space="0" w:color="auto"/>
                        <w:left w:val="none" w:sz="0" w:space="0" w:color="auto"/>
                        <w:bottom w:val="none" w:sz="0" w:space="0" w:color="auto"/>
                        <w:right w:val="none" w:sz="0" w:space="0" w:color="auto"/>
                      </w:divBdr>
                      <w:divsChild>
                        <w:div w:id="128208368">
                          <w:marLeft w:val="0"/>
                          <w:marRight w:val="0"/>
                          <w:marTop w:val="0"/>
                          <w:marBottom w:val="0"/>
                          <w:divBdr>
                            <w:top w:val="none" w:sz="0" w:space="0" w:color="auto"/>
                            <w:left w:val="none" w:sz="0" w:space="0" w:color="auto"/>
                            <w:bottom w:val="none" w:sz="0" w:space="0" w:color="auto"/>
                            <w:right w:val="none" w:sz="0" w:space="0" w:color="auto"/>
                          </w:divBdr>
                        </w:div>
                        <w:div w:id="132257731">
                          <w:marLeft w:val="0"/>
                          <w:marRight w:val="0"/>
                          <w:marTop w:val="0"/>
                          <w:marBottom w:val="0"/>
                          <w:divBdr>
                            <w:top w:val="none" w:sz="0" w:space="0" w:color="auto"/>
                            <w:left w:val="none" w:sz="0" w:space="0" w:color="auto"/>
                            <w:bottom w:val="none" w:sz="0" w:space="0" w:color="auto"/>
                            <w:right w:val="none" w:sz="0" w:space="0" w:color="auto"/>
                          </w:divBdr>
                        </w:div>
                        <w:div w:id="610863958">
                          <w:marLeft w:val="0"/>
                          <w:marRight w:val="0"/>
                          <w:marTop w:val="0"/>
                          <w:marBottom w:val="0"/>
                          <w:divBdr>
                            <w:top w:val="none" w:sz="0" w:space="0" w:color="auto"/>
                            <w:left w:val="none" w:sz="0" w:space="0" w:color="auto"/>
                            <w:bottom w:val="none" w:sz="0" w:space="0" w:color="auto"/>
                            <w:right w:val="none" w:sz="0" w:space="0" w:color="auto"/>
                          </w:divBdr>
                        </w:div>
                        <w:div w:id="784007265">
                          <w:marLeft w:val="0"/>
                          <w:marRight w:val="0"/>
                          <w:marTop w:val="0"/>
                          <w:marBottom w:val="0"/>
                          <w:divBdr>
                            <w:top w:val="none" w:sz="0" w:space="0" w:color="auto"/>
                            <w:left w:val="none" w:sz="0" w:space="0" w:color="auto"/>
                            <w:bottom w:val="none" w:sz="0" w:space="0" w:color="auto"/>
                            <w:right w:val="none" w:sz="0" w:space="0" w:color="auto"/>
                          </w:divBdr>
                        </w:div>
                        <w:div w:id="1159879169">
                          <w:marLeft w:val="0"/>
                          <w:marRight w:val="0"/>
                          <w:marTop w:val="0"/>
                          <w:marBottom w:val="0"/>
                          <w:divBdr>
                            <w:top w:val="none" w:sz="0" w:space="0" w:color="auto"/>
                            <w:left w:val="none" w:sz="0" w:space="0" w:color="auto"/>
                            <w:bottom w:val="none" w:sz="0" w:space="0" w:color="auto"/>
                            <w:right w:val="none" w:sz="0" w:space="0" w:color="auto"/>
                          </w:divBdr>
                        </w:div>
                        <w:div w:id="1398474769">
                          <w:marLeft w:val="0"/>
                          <w:marRight w:val="0"/>
                          <w:marTop w:val="0"/>
                          <w:marBottom w:val="0"/>
                          <w:divBdr>
                            <w:top w:val="none" w:sz="0" w:space="0" w:color="auto"/>
                            <w:left w:val="none" w:sz="0" w:space="0" w:color="auto"/>
                            <w:bottom w:val="none" w:sz="0" w:space="0" w:color="auto"/>
                            <w:right w:val="none" w:sz="0" w:space="0" w:color="auto"/>
                          </w:divBdr>
                        </w:div>
                        <w:div w:id="1471244645">
                          <w:marLeft w:val="0"/>
                          <w:marRight w:val="0"/>
                          <w:marTop w:val="0"/>
                          <w:marBottom w:val="0"/>
                          <w:divBdr>
                            <w:top w:val="none" w:sz="0" w:space="0" w:color="auto"/>
                            <w:left w:val="none" w:sz="0" w:space="0" w:color="auto"/>
                            <w:bottom w:val="none" w:sz="0" w:space="0" w:color="auto"/>
                            <w:right w:val="none" w:sz="0" w:space="0" w:color="auto"/>
                          </w:divBdr>
                        </w:div>
                        <w:div w:id="1486631795">
                          <w:marLeft w:val="0"/>
                          <w:marRight w:val="0"/>
                          <w:marTop w:val="0"/>
                          <w:marBottom w:val="0"/>
                          <w:divBdr>
                            <w:top w:val="none" w:sz="0" w:space="0" w:color="auto"/>
                            <w:left w:val="none" w:sz="0" w:space="0" w:color="auto"/>
                            <w:bottom w:val="none" w:sz="0" w:space="0" w:color="auto"/>
                            <w:right w:val="none" w:sz="0" w:space="0" w:color="auto"/>
                          </w:divBdr>
                        </w:div>
                        <w:div w:id="1777796620">
                          <w:marLeft w:val="0"/>
                          <w:marRight w:val="0"/>
                          <w:marTop w:val="0"/>
                          <w:marBottom w:val="0"/>
                          <w:divBdr>
                            <w:top w:val="none" w:sz="0" w:space="0" w:color="auto"/>
                            <w:left w:val="none" w:sz="0" w:space="0" w:color="auto"/>
                            <w:bottom w:val="none" w:sz="0" w:space="0" w:color="auto"/>
                            <w:right w:val="none" w:sz="0" w:space="0" w:color="auto"/>
                          </w:divBdr>
                        </w:div>
                        <w:div w:id="1872260398">
                          <w:marLeft w:val="0"/>
                          <w:marRight w:val="0"/>
                          <w:marTop w:val="0"/>
                          <w:marBottom w:val="0"/>
                          <w:divBdr>
                            <w:top w:val="none" w:sz="0" w:space="0" w:color="auto"/>
                            <w:left w:val="none" w:sz="0" w:space="0" w:color="auto"/>
                            <w:bottom w:val="none" w:sz="0" w:space="0" w:color="auto"/>
                            <w:right w:val="none" w:sz="0" w:space="0" w:color="auto"/>
                          </w:divBdr>
                        </w:div>
                        <w:div w:id="1945453222">
                          <w:marLeft w:val="0"/>
                          <w:marRight w:val="0"/>
                          <w:marTop w:val="0"/>
                          <w:marBottom w:val="0"/>
                          <w:divBdr>
                            <w:top w:val="none" w:sz="0" w:space="0" w:color="auto"/>
                            <w:left w:val="none" w:sz="0" w:space="0" w:color="auto"/>
                            <w:bottom w:val="none" w:sz="0" w:space="0" w:color="auto"/>
                            <w:right w:val="none" w:sz="0" w:space="0" w:color="auto"/>
                          </w:divBdr>
                        </w:div>
                        <w:div w:id="1949237677">
                          <w:marLeft w:val="0"/>
                          <w:marRight w:val="0"/>
                          <w:marTop w:val="0"/>
                          <w:marBottom w:val="0"/>
                          <w:divBdr>
                            <w:top w:val="none" w:sz="0" w:space="0" w:color="auto"/>
                            <w:left w:val="none" w:sz="0" w:space="0" w:color="auto"/>
                            <w:bottom w:val="none" w:sz="0" w:space="0" w:color="auto"/>
                            <w:right w:val="none" w:sz="0" w:space="0" w:color="auto"/>
                          </w:divBdr>
                        </w:div>
                        <w:div w:id="2029480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217521">
                  <w:marLeft w:val="0"/>
                  <w:marRight w:val="0"/>
                  <w:marTop w:val="0"/>
                  <w:marBottom w:val="0"/>
                  <w:divBdr>
                    <w:top w:val="none" w:sz="0" w:space="0" w:color="auto"/>
                    <w:left w:val="none" w:sz="0" w:space="0" w:color="auto"/>
                    <w:bottom w:val="none" w:sz="0" w:space="0" w:color="auto"/>
                    <w:right w:val="none" w:sz="0" w:space="0" w:color="auto"/>
                  </w:divBdr>
                  <w:divsChild>
                    <w:div w:id="51541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850561">
          <w:marLeft w:val="0"/>
          <w:marRight w:val="0"/>
          <w:marTop w:val="0"/>
          <w:marBottom w:val="0"/>
          <w:divBdr>
            <w:top w:val="none" w:sz="0" w:space="0" w:color="auto"/>
            <w:left w:val="none" w:sz="0" w:space="0" w:color="auto"/>
            <w:bottom w:val="none" w:sz="0" w:space="0" w:color="auto"/>
            <w:right w:val="none" w:sz="0" w:space="0" w:color="auto"/>
          </w:divBdr>
          <w:divsChild>
            <w:div w:id="2114595491">
              <w:marLeft w:val="0"/>
              <w:marRight w:val="0"/>
              <w:marTop w:val="0"/>
              <w:marBottom w:val="0"/>
              <w:divBdr>
                <w:top w:val="none" w:sz="0" w:space="0" w:color="auto"/>
                <w:left w:val="none" w:sz="0" w:space="0" w:color="auto"/>
                <w:bottom w:val="none" w:sz="0" w:space="0" w:color="auto"/>
                <w:right w:val="none" w:sz="0" w:space="0" w:color="auto"/>
              </w:divBdr>
              <w:divsChild>
                <w:div w:id="1444812109">
                  <w:marLeft w:val="0"/>
                  <w:marRight w:val="0"/>
                  <w:marTop w:val="0"/>
                  <w:marBottom w:val="0"/>
                  <w:divBdr>
                    <w:top w:val="none" w:sz="0" w:space="0" w:color="auto"/>
                    <w:left w:val="none" w:sz="0" w:space="0" w:color="auto"/>
                    <w:bottom w:val="none" w:sz="0" w:space="0" w:color="auto"/>
                    <w:right w:val="none" w:sz="0" w:space="0" w:color="auto"/>
                  </w:divBdr>
                  <w:divsChild>
                    <w:div w:id="1759130807">
                      <w:marLeft w:val="0"/>
                      <w:marRight w:val="0"/>
                      <w:marTop w:val="0"/>
                      <w:marBottom w:val="0"/>
                      <w:divBdr>
                        <w:top w:val="none" w:sz="0" w:space="0" w:color="auto"/>
                        <w:left w:val="none" w:sz="0" w:space="0" w:color="auto"/>
                        <w:bottom w:val="none" w:sz="0" w:space="0" w:color="auto"/>
                        <w:right w:val="none" w:sz="0" w:space="0" w:color="auto"/>
                      </w:divBdr>
                    </w:div>
                  </w:divsChild>
                </w:div>
                <w:div w:id="1632394693">
                  <w:marLeft w:val="0"/>
                  <w:marRight w:val="0"/>
                  <w:marTop w:val="0"/>
                  <w:marBottom w:val="0"/>
                  <w:divBdr>
                    <w:top w:val="none" w:sz="0" w:space="0" w:color="auto"/>
                    <w:left w:val="none" w:sz="0" w:space="0" w:color="auto"/>
                    <w:bottom w:val="none" w:sz="0" w:space="0" w:color="auto"/>
                    <w:right w:val="none" w:sz="0" w:space="0" w:color="auto"/>
                  </w:divBdr>
                  <w:divsChild>
                    <w:div w:id="907886702">
                      <w:marLeft w:val="0"/>
                      <w:marRight w:val="0"/>
                      <w:marTop w:val="0"/>
                      <w:marBottom w:val="0"/>
                      <w:divBdr>
                        <w:top w:val="none" w:sz="0" w:space="0" w:color="auto"/>
                        <w:left w:val="none" w:sz="0" w:space="0" w:color="auto"/>
                        <w:bottom w:val="none" w:sz="0" w:space="0" w:color="auto"/>
                        <w:right w:val="none" w:sz="0" w:space="0" w:color="auto"/>
                      </w:divBdr>
                      <w:divsChild>
                        <w:div w:id="858743046">
                          <w:marLeft w:val="0"/>
                          <w:marRight w:val="0"/>
                          <w:marTop w:val="0"/>
                          <w:marBottom w:val="0"/>
                          <w:divBdr>
                            <w:top w:val="none" w:sz="0" w:space="0" w:color="auto"/>
                            <w:left w:val="none" w:sz="0" w:space="0" w:color="auto"/>
                            <w:bottom w:val="none" w:sz="0" w:space="0" w:color="auto"/>
                            <w:right w:val="none" w:sz="0" w:space="0" w:color="auto"/>
                          </w:divBdr>
                        </w:div>
                        <w:div w:id="1085418651">
                          <w:marLeft w:val="0"/>
                          <w:marRight w:val="0"/>
                          <w:marTop w:val="0"/>
                          <w:marBottom w:val="0"/>
                          <w:divBdr>
                            <w:top w:val="none" w:sz="0" w:space="0" w:color="auto"/>
                            <w:left w:val="none" w:sz="0" w:space="0" w:color="auto"/>
                            <w:bottom w:val="none" w:sz="0" w:space="0" w:color="auto"/>
                            <w:right w:val="none" w:sz="0" w:space="0" w:color="auto"/>
                          </w:divBdr>
                        </w:div>
                        <w:div w:id="1207059930">
                          <w:marLeft w:val="0"/>
                          <w:marRight w:val="0"/>
                          <w:marTop w:val="0"/>
                          <w:marBottom w:val="0"/>
                          <w:divBdr>
                            <w:top w:val="none" w:sz="0" w:space="0" w:color="auto"/>
                            <w:left w:val="none" w:sz="0" w:space="0" w:color="auto"/>
                            <w:bottom w:val="none" w:sz="0" w:space="0" w:color="auto"/>
                            <w:right w:val="none" w:sz="0" w:space="0" w:color="auto"/>
                          </w:divBdr>
                        </w:div>
                        <w:div w:id="1249268279">
                          <w:marLeft w:val="0"/>
                          <w:marRight w:val="0"/>
                          <w:marTop w:val="0"/>
                          <w:marBottom w:val="0"/>
                          <w:divBdr>
                            <w:top w:val="none" w:sz="0" w:space="0" w:color="auto"/>
                            <w:left w:val="none" w:sz="0" w:space="0" w:color="auto"/>
                            <w:bottom w:val="none" w:sz="0" w:space="0" w:color="auto"/>
                            <w:right w:val="none" w:sz="0" w:space="0" w:color="auto"/>
                          </w:divBdr>
                        </w:div>
                        <w:div w:id="1500928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5008434">
          <w:marLeft w:val="0"/>
          <w:marRight w:val="0"/>
          <w:marTop w:val="0"/>
          <w:marBottom w:val="0"/>
          <w:divBdr>
            <w:top w:val="none" w:sz="0" w:space="0" w:color="auto"/>
            <w:left w:val="none" w:sz="0" w:space="0" w:color="auto"/>
            <w:bottom w:val="none" w:sz="0" w:space="0" w:color="auto"/>
            <w:right w:val="none" w:sz="0" w:space="0" w:color="auto"/>
          </w:divBdr>
          <w:divsChild>
            <w:div w:id="1079669954">
              <w:marLeft w:val="0"/>
              <w:marRight w:val="0"/>
              <w:marTop w:val="0"/>
              <w:marBottom w:val="0"/>
              <w:divBdr>
                <w:top w:val="none" w:sz="0" w:space="0" w:color="auto"/>
                <w:left w:val="none" w:sz="0" w:space="0" w:color="auto"/>
                <w:bottom w:val="none" w:sz="0" w:space="0" w:color="auto"/>
                <w:right w:val="none" w:sz="0" w:space="0" w:color="auto"/>
              </w:divBdr>
              <w:divsChild>
                <w:div w:id="340622154">
                  <w:marLeft w:val="0"/>
                  <w:marRight w:val="0"/>
                  <w:marTop w:val="0"/>
                  <w:marBottom w:val="0"/>
                  <w:divBdr>
                    <w:top w:val="none" w:sz="0" w:space="0" w:color="auto"/>
                    <w:left w:val="none" w:sz="0" w:space="0" w:color="auto"/>
                    <w:bottom w:val="none" w:sz="0" w:space="0" w:color="auto"/>
                    <w:right w:val="none" w:sz="0" w:space="0" w:color="auto"/>
                  </w:divBdr>
                  <w:divsChild>
                    <w:div w:id="1796750137">
                      <w:marLeft w:val="0"/>
                      <w:marRight w:val="0"/>
                      <w:marTop w:val="0"/>
                      <w:marBottom w:val="0"/>
                      <w:divBdr>
                        <w:top w:val="none" w:sz="0" w:space="0" w:color="auto"/>
                        <w:left w:val="none" w:sz="0" w:space="0" w:color="auto"/>
                        <w:bottom w:val="none" w:sz="0" w:space="0" w:color="auto"/>
                        <w:right w:val="none" w:sz="0" w:space="0" w:color="auto"/>
                      </w:divBdr>
                    </w:div>
                  </w:divsChild>
                </w:div>
                <w:div w:id="1860049606">
                  <w:marLeft w:val="0"/>
                  <w:marRight w:val="0"/>
                  <w:marTop w:val="0"/>
                  <w:marBottom w:val="0"/>
                  <w:divBdr>
                    <w:top w:val="none" w:sz="0" w:space="0" w:color="auto"/>
                    <w:left w:val="none" w:sz="0" w:space="0" w:color="auto"/>
                    <w:bottom w:val="none" w:sz="0" w:space="0" w:color="auto"/>
                    <w:right w:val="none" w:sz="0" w:space="0" w:color="auto"/>
                  </w:divBdr>
                  <w:divsChild>
                    <w:div w:id="489099435">
                      <w:marLeft w:val="0"/>
                      <w:marRight w:val="0"/>
                      <w:marTop w:val="0"/>
                      <w:marBottom w:val="0"/>
                      <w:divBdr>
                        <w:top w:val="none" w:sz="0" w:space="0" w:color="auto"/>
                        <w:left w:val="none" w:sz="0" w:space="0" w:color="auto"/>
                        <w:bottom w:val="none" w:sz="0" w:space="0" w:color="auto"/>
                        <w:right w:val="none" w:sz="0" w:space="0" w:color="auto"/>
                      </w:divBdr>
                      <w:divsChild>
                        <w:div w:id="691759912">
                          <w:marLeft w:val="0"/>
                          <w:marRight w:val="0"/>
                          <w:marTop w:val="0"/>
                          <w:marBottom w:val="0"/>
                          <w:divBdr>
                            <w:top w:val="none" w:sz="0" w:space="0" w:color="auto"/>
                            <w:left w:val="none" w:sz="0" w:space="0" w:color="auto"/>
                            <w:bottom w:val="none" w:sz="0" w:space="0" w:color="auto"/>
                            <w:right w:val="none" w:sz="0" w:space="0" w:color="auto"/>
                          </w:divBdr>
                        </w:div>
                        <w:div w:id="1371106419">
                          <w:marLeft w:val="0"/>
                          <w:marRight w:val="0"/>
                          <w:marTop w:val="0"/>
                          <w:marBottom w:val="0"/>
                          <w:divBdr>
                            <w:top w:val="none" w:sz="0" w:space="0" w:color="auto"/>
                            <w:left w:val="none" w:sz="0" w:space="0" w:color="auto"/>
                            <w:bottom w:val="none" w:sz="0" w:space="0" w:color="auto"/>
                            <w:right w:val="none" w:sz="0" w:space="0" w:color="auto"/>
                          </w:divBdr>
                        </w:div>
                        <w:div w:id="1936744572">
                          <w:marLeft w:val="0"/>
                          <w:marRight w:val="0"/>
                          <w:marTop w:val="0"/>
                          <w:marBottom w:val="0"/>
                          <w:divBdr>
                            <w:top w:val="none" w:sz="0" w:space="0" w:color="auto"/>
                            <w:left w:val="none" w:sz="0" w:space="0" w:color="auto"/>
                            <w:bottom w:val="none" w:sz="0" w:space="0" w:color="auto"/>
                            <w:right w:val="none" w:sz="0" w:space="0" w:color="auto"/>
                          </w:divBdr>
                        </w:div>
                        <w:div w:id="1941176912">
                          <w:marLeft w:val="0"/>
                          <w:marRight w:val="0"/>
                          <w:marTop w:val="0"/>
                          <w:marBottom w:val="0"/>
                          <w:divBdr>
                            <w:top w:val="none" w:sz="0" w:space="0" w:color="auto"/>
                            <w:left w:val="none" w:sz="0" w:space="0" w:color="auto"/>
                            <w:bottom w:val="none" w:sz="0" w:space="0" w:color="auto"/>
                            <w:right w:val="none" w:sz="0" w:space="0" w:color="auto"/>
                          </w:divBdr>
                        </w:div>
                        <w:div w:id="2134902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4321095">
      <w:bodyDiv w:val="1"/>
      <w:marLeft w:val="0"/>
      <w:marRight w:val="0"/>
      <w:marTop w:val="0"/>
      <w:marBottom w:val="0"/>
      <w:divBdr>
        <w:top w:val="none" w:sz="0" w:space="0" w:color="auto"/>
        <w:left w:val="none" w:sz="0" w:space="0" w:color="auto"/>
        <w:bottom w:val="none" w:sz="0" w:space="0" w:color="auto"/>
        <w:right w:val="none" w:sz="0" w:space="0" w:color="auto"/>
      </w:divBdr>
    </w:div>
    <w:div w:id="853492205">
      <w:bodyDiv w:val="1"/>
      <w:marLeft w:val="0"/>
      <w:marRight w:val="0"/>
      <w:marTop w:val="0"/>
      <w:marBottom w:val="0"/>
      <w:divBdr>
        <w:top w:val="none" w:sz="0" w:space="0" w:color="auto"/>
        <w:left w:val="none" w:sz="0" w:space="0" w:color="auto"/>
        <w:bottom w:val="none" w:sz="0" w:space="0" w:color="auto"/>
        <w:right w:val="none" w:sz="0" w:space="0" w:color="auto"/>
      </w:divBdr>
    </w:div>
    <w:div w:id="1019772813">
      <w:bodyDiv w:val="1"/>
      <w:marLeft w:val="0"/>
      <w:marRight w:val="0"/>
      <w:marTop w:val="0"/>
      <w:marBottom w:val="0"/>
      <w:divBdr>
        <w:top w:val="none" w:sz="0" w:space="0" w:color="auto"/>
        <w:left w:val="none" w:sz="0" w:space="0" w:color="auto"/>
        <w:bottom w:val="none" w:sz="0" w:space="0" w:color="auto"/>
        <w:right w:val="none" w:sz="0" w:space="0" w:color="auto"/>
      </w:divBdr>
      <w:divsChild>
        <w:div w:id="291324904">
          <w:marLeft w:val="0"/>
          <w:marRight w:val="0"/>
          <w:marTop w:val="105"/>
          <w:marBottom w:val="105"/>
          <w:divBdr>
            <w:top w:val="none" w:sz="0" w:space="0" w:color="auto"/>
            <w:left w:val="none" w:sz="0" w:space="0" w:color="auto"/>
            <w:bottom w:val="none" w:sz="0" w:space="0" w:color="auto"/>
            <w:right w:val="none" w:sz="0" w:space="0" w:color="auto"/>
          </w:divBdr>
        </w:div>
        <w:div w:id="425005409">
          <w:marLeft w:val="0"/>
          <w:marRight w:val="0"/>
          <w:marTop w:val="105"/>
          <w:marBottom w:val="105"/>
          <w:divBdr>
            <w:top w:val="none" w:sz="0" w:space="0" w:color="auto"/>
            <w:left w:val="none" w:sz="0" w:space="0" w:color="auto"/>
            <w:bottom w:val="none" w:sz="0" w:space="0" w:color="auto"/>
            <w:right w:val="none" w:sz="0" w:space="0" w:color="auto"/>
          </w:divBdr>
        </w:div>
        <w:div w:id="823594046">
          <w:marLeft w:val="0"/>
          <w:marRight w:val="0"/>
          <w:marTop w:val="105"/>
          <w:marBottom w:val="105"/>
          <w:divBdr>
            <w:top w:val="none" w:sz="0" w:space="0" w:color="auto"/>
            <w:left w:val="none" w:sz="0" w:space="0" w:color="auto"/>
            <w:bottom w:val="none" w:sz="0" w:space="0" w:color="auto"/>
            <w:right w:val="none" w:sz="0" w:space="0" w:color="auto"/>
          </w:divBdr>
        </w:div>
        <w:div w:id="1177420747">
          <w:marLeft w:val="0"/>
          <w:marRight w:val="0"/>
          <w:marTop w:val="105"/>
          <w:marBottom w:val="105"/>
          <w:divBdr>
            <w:top w:val="none" w:sz="0" w:space="0" w:color="auto"/>
            <w:left w:val="none" w:sz="0" w:space="0" w:color="auto"/>
            <w:bottom w:val="none" w:sz="0" w:space="0" w:color="auto"/>
            <w:right w:val="none" w:sz="0" w:space="0" w:color="auto"/>
          </w:divBdr>
        </w:div>
      </w:divsChild>
    </w:div>
    <w:div w:id="1051882605">
      <w:bodyDiv w:val="1"/>
      <w:marLeft w:val="0"/>
      <w:marRight w:val="0"/>
      <w:marTop w:val="0"/>
      <w:marBottom w:val="0"/>
      <w:divBdr>
        <w:top w:val="none" w:sz="0" w:space="0" w:color="auto"/>
        <w:left w:val="none" w:sz="0" w:space="0" w:color="auto"/>
        <w:bottom w:val="none" w:sz="0" w:space="0" w:color="auto"/>
        <w:right w:val="none" w:sz="0" w:space="0" w:color="auto"/>
      </w:divBdr>
    </w:div>
    <w:div w:id="1138260566">
      <w:bodyDiv w:val="1"/>
      <w:marLeft w:val="0"/>
      <w:marRight w:val="0"/>
      <w:marTop w:val="0"/>
      <w:marBottom w:val="0"/>
      <w:divBdr>
        <w:top w:val="none" w:sz="0" w:space="0" w:color="auto"/>
        <w:left w:val="none" w:sz="0" w:space="0" w:color="auto"/>
        <w:bottom w:val="none" w:sz="0" w:space="0" w:color="auto"/>
        <w:right w:val="none" w:sz="0" w:space="0" w:color="auto"/>
      </w:divBdr>
    </w:div>
    <w:div w:id="1182820688">
      <w:bodyDiv w:val="1"/>
      <w:marLeft w:val="0"/>
      <w:marRight w:val="0"/>
      <w:marTop w:val="0"/>
      <w:marBottom w:val="0"/>
      <w:divBdr>
        <w:top w:val="none" w:sz="0" w:space="0" w:color="auto"/>
        <w:left w:val="none" w:sz="0" w:space="0" w:color="auto"/>
        <w:bottom w:val="none" w:sz="0" w:space="0" w:color="auto"/>
        <w:right w:val="none" w:sz="0" w:space="0" w:color="auto"/>
      </w:divBdr>
    </w:div>
    <w:div w:id="1187403935">
      <w:bodyDiv w:val="1"/>
      <w:marLeft w:val="0"/>
      <w:marRight w:val="0"/>
      <w:marTop w:val="0"/>
      <w:marBottom w:val="0"/>
      <w:divBdr>
        <w:top w:val="none" w:sz="0" w:space="0" w:color="auto"/>
        <w:left w:val="none" w:sz="0" w:space="0" w:color="auto"/>
        <w:bottom w:val="none" w:sz="0" w:space="0" w:color="auto"/>
        <w:right w:val="none" w:sz="0" w:space="0" w:color="auto"/>
      </w:divBdr>
      <w:divsChild>
        <w:div w:id="106900715">
          <w:marLeft w:val="0"/>
          <w:marRight w:val="0"/>
          <w:marTop w:val="0"/>
          <w:marBottom w:val="0"/>
          <w:divBdr>
            <w:top w:val="none" w:sz="0" w:space="0" w:color="auto"/>
            <w:left w:val="none" w:sz="0" w:space="0" w:color="auto"/>
            <w:bottom w:val="none" w:sz="0" w:space="0" w:color="auto"/>
            <w:right w:val="none" w:sz="0" w:space="0" w:color="auto"/>
          </w:divBdr>
          <w:divsChild>
            <w:div w:id="218130419">
              <w:marLeft w:val="0"/>
              <w:marRight w:val="0"/>
              <w:marTop w:val="0"/>
              <w:marBottom w:val="0"/>
              <w:divBdr>
                <w:top w:val="none" w:sz="0" w:space="0" w:color="auto"/>
                <w:left w:val="none" w:sz="0" w:space="0" w:color="auto"/>
                <w:bottom w:val="none" w:sz="0" w:space="0" w:color="auto"/>
                <w:right w:val="none" w:sz="0" w:space="0" w:color="auto"/>
              </w:divBdr>
              <w:divsChild>
                <w:div w:id="33858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301625">
      <w:bodyDiv w:val="1"/>
      <w:marLeft w:val="0"/>
      <w:marRight w:val="0"/>
      <w:marTop w:val="0"/>
      <w:marBottom w:val="0"/>
      <w:divBdr>
        <w:top w:val="none" w:sz="0" w:space="0" w:color="auto"/>
        <w:left w:val="none" w:sz="0" w:space="0" w:color="auto"/>
        <w:bottom w:val="none" w:sz="0" w:space="0" w:color="auto"/>
        <w:right w:val="none" w:sz="0" w:space="0" w:color="auto"/>
      </w:divBdr>
    </w:div>
    <w:div w:id="1279146612">
      <w:bodyDiv w:val="1"/>
      <w:marLeft w:val="0"/>
      <w:marRight w:val="0"/>
      <w:marTop w:val="0"/>
      <w:marBottom w:val="0"/>
      <w:divBdr>
        <w:top w:val="none" w:sz="0" w:space="0" w:color="auto"/>
        <w:left w:val="none" w:sz="0" w:space="0" w:color="auto"/>
        <w:bottom w:val="none" w:sz="0" w:space="0" w:color="auto"/>
        <w:right w:val="none" w:sz="0" w:space="0" w:color="auto"/>
      </w:divBdr>
    </w:div>
    <w:div w:id="1295060187">
      <w:bodyDiv w:val="1"/>
      <w:marLeft w:val="0"/>
      <w:marRight w:val="0"/>
      <w:marTop w:val="0"/>
      <w:marBottom w:val="0"/>
      <w:divBdr>
        <w:top w:val="none" w:sz="0" w:space="0" w:color="auto"/>
        <w:left w:val="none" w:sz="0" w:space="0" w:color="auto"/>
        <w:bottom w:val="none" w:sz="0" w:space="0" w:color="auto"/>
        <w:right w:val="none" w:sz="0" w:space="0" w:color="auto"/>
      </w:divBdr>
    </w:div>
    <w:div w:id="1295065511">
      <w:bodyDiv w:val="1"/>
      <w:marLeft w:val="0"/>
      <w:marRight w:val="0"/>
      <w:marTop w:val="0"/>
      <w:marBottom w:val="0"/>
      <w:divBdr>
        <w:top w:val="none" w:sz="0" w:space="0" w:color="auto"/>
        <w:left w:val="none" w:sz="0" w:space="0" w:color="auto"/>
        <w:bottom w:val="none" w:sz="0" w:space="0" w:color="auto"/>
        <w:right w:val="none" w:sz="0" w:space="0" w:color="auto"/>
      </w:divBdr>
    </w:div>
    <w:div w:id="1454322391">
      <w:bodyDiv w:val="1"/>
      <w:marLeft w:val="0"/>
      <w:marRight w:val="0"/>
      <w:marTop w:val="0"/>
      <w:marBottom w:val="0"/>
      <w:divBdr>
        <w:top w:val="none" w:sz="0" w:space="0" w:color="auto"/>
        <w:left w:val="none" w:sz="0" w:space="0" w:color="auto"/>
        <w:bottom w:val="none" w:sz="0" w:space="0" w:color="auto"/>
        <w:right w:val="none" w:sz="0" w:space="0" w:color="auto"/>
      </w:divBdr>
    </w:div>
    <w:div w:id="1557005660">
      <w:bodyDiv w:val="1"/>
      <w:marLeft w:val="0"/>
      <w:marRight w:val="0"/>
      <w:marTop w:val="0"/>
      <w:marBottom w:val="0"/>
      <w:divBdr>
        <w:top w:val="none" w:sz="0" w:space="0" w:color="auto"/>
        <w:left w:val="none" w:sz="0" w:space="0" w:color="auto"/>
        <w:bottom w:val="none" w:sz="0" w:space="0" w:color="auto"/>
        <w:right w:val="none" w:sz="0" w:space="0" w:color="auto"/>
      </w:divBdr>
    </w:div>
    <w:div w:id="1686594552">
      <w:bodyDiv w:val="1"/>
      <w:marLeft w:val="0"/>
      <w:marRight w:val="0"/>
      <w:marTop w:val="0"/>
      <w:marBottom w:val="0"/>
      <w:divBdr>
        <w:top w:val="none" w:sz="0" w:space="0" w:color="auto"/>
        <w:left w:val="none" w:sz="0" w:space="0" w:color="auto"/>
        <w:bottom w:val="none" w:sz="0" w:space="0" w:color="auto"/>
        <w:right w:val="none" w:sz="0" w:space="0" w:color="auto"/>
      </w:divBdr>
    </w:div>
    <w:div w:id="1689453476">
      <w:bodyDiv w:val="1"/>
      <w:marLeft w:val="0"/>
      <w:marRight w:val="0"/>
      <w:marTop w:val="0"/>
      <w:marBottom w:val="0"/>
      <w:divBdr>
        <w:top w:val="none" w:sz="0" w:space="0" w:color="auto"/>
        <w:left w:val="none" w:sz="0" w:space="0" w:color="auto"/>
        <w:bottom w:val="none" w:sz="0" w:space="0" w:color="auto"/>
        <w:right w:val="none" w:sz="0" w:space="0" w:color="auto"/>
      </w:divBdr>
    </w:div>
    <w:div w:id="1709525334">
      <w:bodyDiv w:val="1"/>
      <w:marLeft w:val="0"/>
      <w:marRight w:val="0"/>
      <w:marTop w:val="0"/>
      <w:marBottom w:val="0"/>
      <w:divBdr>
        <w:top w:val="none" w:sz="0" w:space="0" w:color="auto"/>
        <w:left w:val="none" w:sz="0" w:space="0" w:color="auto"/>
        <w:bottom w:val="none" w:sz="0" w:space="0" w:color="auto"/>
        <w:right w:val="none" w:sz="0" w:space="0" w:color="auto"/>
      </w:divBdr>
    </w:div>
    <w:div w:id="1717315376">
      <w:bodyDiv w:val="1"/>
      <w:marLeft w:val="0"/>
      <w:marRight w:val="0"/>
      <w:marTop w:val="0"/>
      <w:marBottom w:val="0"/>
      <w:divBdr>
        <w:top w:val="none" w:sz="0" w:space="0" w:color="auto"/>
        <w:left w:val="none" w:sz="0" w:space="0" w:color="auto"/>
        <w:bottom w:val="none" w:sz="0" w:space="0" w:color="auto"/>
        <w:right w:val="none" w:sz="0" w:space="0" w:color="auto"/>
      </w:divBdr>
    </w:div>
    <w:div w:id="1748259029">
      <w:bodyDiv w:val="1"/>
      <w:marLeft w:val="0"/>
      <w:marRight w:val="0"/>
      <w:marTop w:val="0"/>
      <w:marBottom w:val="0"/>
      <w:divBdr>
        <w:top w:val="none" w:sz="0" w:space="0" w:color="auto"/>
        <w:left w:val="none" w:sz="0" w:space="0" w:color="auto"/>
        <w:bottom w:val="none" w:sz="0" w:space="0" w:color="auto"/>
        <w:right w:val="none" w:sz="0" w:space="0" w:color="auto"/>
      </w:divBdr>
    </w:div>
    <w:div w:id="1769888250">
      <w:bodyDiv w:val="1"/>
      <w:marLeft w:val="0"/>
      <w:marRight w:val="0"/>
      <w:marTop w:val="0"/>
      <w:marBottom w:val="0"/>
      <w:divBdr>
        <w:top w:val="none" w:sz="0" w:space="0" w:color="auto"/>
        <w:left w:val="none" w:sz="0" w:space="0" w:color="auto"/>
        <w:bottom w:val="none" w:sz="0" w:space="0" w:color="auto"/>
        <w:right w:val="none" w:sz="0" w:space="0" w:color="auto"/>
      </w:divBdr>
      <w:divsChild>
        <w:div w:id="1667897178">
          <w:marLeft w:val="0"/>
          <w:marRight w:val="0"/>
          <w:marTop w:val="0"/>
          <w:marBottom w:val="0"/>
          <w:divBdr>
            <w:top w:val="none" w:sz="0" w:space="0" w:color="auto"/>
            <w:left w:val="none" w:sz="0" w:space="0" w:color="auto"/>
            <w:bottom w:val="none" w:sz="0" w:space="0" w:color="auto"/>
            <w:right w:val="none" w:sz="0" w:space="0" w:color="auto"/>
          </w:divBdr>
          <w:divsChild>
            <w:div w:id="1781144183">
              <w:marLeft w:val="0"/>
              <w:marRight w:val="0"/>
              <w:marTop w:val="0"/>
              <w:marBottom w:val="0"/>
              <w:divBdr>
                <w:top w:val="none" w:sz="0" w:space="0" w:color="auto"/>
                <w:left w:val="none" w:sz="0" w:space="0" w:color="auto"/>
                <w:bottom w:val="none" w:sz="0" w:space="0" w:color="auto"/>
                <w:right w:val="none" w:sz="0" w:space="0" w:color="auto"/>
              </w:divBdr>
              <w:divsChild>
                <w:div w:id="28338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2735465">
      <w:bodyDiv w:val="1"/>
      <w:marLeft w:val="0"/>
      <w:marRight w:val="0"/>
      <w:marTop w:val="0"/>
      <w:marBottom w:val="0"/>
      <w:divBdr>
        <w:top w:val="none" w:sz="0" w:space="0" w:color="auto"/>
        <w:left w:val="none" w:sz="0" w:space="0" w:color="auto"/>
        <w:bottom w:val="none" w:sz="0" w:space="0" w:color="auto"/>
        <w:right w:val="none" w:sz="0" w:space="0" w:color="auto"/>
      </w:divBdr>
    </w:div>
    <w:div w:id="1930381191">
      <w:bodyDiv w:val="1"/>
      <w:marLeft w:val="0"/>
      <w:marRight w:val="0"/>
      <w:marTop w:val="0"/>
      <w:marBottom w:val="0"/>
      <w:divBdr>
        <w:top w:val="none" w:sz="0" w:space="0" w:color="auto"/>
        <w:left w:val="none" w:sz="0" w:space="0" w:color="auto"/>
        <w:bottom w:val="none" w:sz="0" w:space="0" w:color="auto"/>
        <w:right w:val="none" w:sz="0" w:space="0" w:color="auto"/>
      </w:divBdr>
    </w:div>
    <w:div w:id="2055426457">
      <w:bodyDiv w:val="1"/>
      <w:marLeft w:val="0"/>
      <w:marRight w:val="0"/>
      <w:marTop w:val="0"/>
      <w:marBottom w:val="0"/>
      <w:divBdr>
        <w:top w:val="none" w:sz="0" w:space="0" w:color="auto"/>
        <w:left w:val="none" w:sz="0" w:space="0" w:color="auto"/>
        <w:bottom w:val="none" w:sz="0" w:space="0" w:color="auto"/>
        <w:right w:val="none" w:sz="0" w:space="0" w:color="auto"/>
      </w:divBdr>
    </w:div>
    <w:div w:id="2107455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www.cbd.int/doc/decisions/cop-13/cop-13-dec-21-en.pdf" TargetMode="External"/><Relationship Id="rId18" Type="http://schemas.openxmlformats.org/officeDocument/2006/relationships/image" Target="media/image6.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www.cbd.int/decision/cop/default.shtml?id=7104" TargetMode="External"/><Relationship Id="rId17" Type="http://schemas.openxmlformats.org/officeDocument/2006/relationships/image" Target="media/image5.png"/><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chart" Target="charts/chart1.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bd.int/doc/decisions/cop-13/cop-13-dec-21-en.pdf"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footer" Target="footer2.xml"/><Relationship Id="rId10" Type="http://schemas.openxmlformats.org/officeDocument/2006/relationships/image" Target="media/image3.emf"/><Relationship Id="rId19"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s://www.cbd.int/doc/decisions/cop-10/cop-10-dec-26-en.pdf" TargetMode="External"/><Relationship Id="rId22"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tats.oecd.org/viewhtml.aspx?datasetcode=RIOMARKERS&amp;lang=en" TargetMode="External"/><Relationship Id="rId2" Type="http://schemas.openxmlformats.org/officeDocument/2006/relationships/hyperlink" Target="https://climatefundsupdate.org/the-funds/" TargetMode="External"/><Relationship Id="rId1" Type="http://schemas.openxmlformats.org/officeDocument/2006/relationships/hyperlink" Target="https://www.cbd.int/doc/meetings/cop/cop-11/information/cop-11-inf-20-en.pdf" TargetMode="External"/><Relationship Id="rId4" Type="http://schemas.openxmlformats.org/officeDocument/2006/relationships/hyperlink" Target="http://www.hudson.org/cgp" TargetMode="External"/></Relationships>
</file>

<file path=word/charts/_rels/chart1.xml.rels><?xml version="1.0" encoding="UTF-8" standalone="yes"?>
<Relationships xmlns="http://schemas.openxmlformats.org/package/2006/relationships"><Relationship Id="rId2" Type="http://schemas.openxmlformats.org/officeDocument/2006/relationships/oleObject" Target="file:///C:\Users\xiang\Documents\2018\gef7\gef-over-time.xls"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fundinglevels!$K$26:$K$29</c:f>
              <c:strCache>
                <c:ptCount val="4"/>
                <c:pt idx="0">
                  <c:v>GEF3 (2002-06)</c:v>
                </c:pt>
                <c:pt idx="1">
                  <c:v>GEF4 (2006-10)</c:v>
                </c:pt>
                <c:pt idx="2">
                  <c:v>GEF5 (2010-14)</c:v>
                </c:pt>
                <c:pt idx="3">
                  <c:v>GEF6 (2014-18)</c:v>
                </c:pt>
              </c:strCache>
            </c:strRef>
          </c:cat>
          <c:val>
            <c:numRef>
              <c:f>fundinglevels!$L$26:$L$29</c:f>
              <c:numCache>
                <c:formatCode>0.0%</c:formatCode>
                <c:ptCount val="4"/>
                <c:pt idx="0">
                  <c:v>9.2229031585561172E-2</c:v>
                </c:pt>
                <c:pt idx="1">
                  <c:v>5.6916263535001996E-2</c:v>
                </c:pt>
                <c:pt idx="2">
                  <c:v>5.0936816457390725E-2</c:v>
                </c:pt>
                <c:pt idx="3">
                  <c:v>3.5569685845021556E-2</c:v>
                </c:pt>
              </c:numCache>
            </c:numRef>
          </c:val>
          <c:extLst>
            <c:ext xmlns:c16="http://schemas.microsoft.com/office/drawing/2014/chart" uri="{C3380CC4-5D6E-409C-BE32-E72D297353CC}">
              <c16:uniqueId val="{00000000-F9C7-C44B-ADBA-649C4DA8B77D}"/>
            </c:ext>
          </c:extLst>
        </c:ser>
        <c:dLbls>
          <c:showLegendKey val="0"/>
          <c:showVal val="1"/>
          <c:showCatName val="0"/>
          <c:showSerName val="0"/>
          <c:showPercent val="0"/>
          <c:showBubbleSize val="0"/>
        </c:dLbls>
        <c:gapWidth val="150"/>
        <c:overlap val="-25"/>
        <c:axId val="72221056"/>
        <c:axId val="73364992"/>
      </c:barChart>
      <c:catAx>
        <c:axId val="72221056"/>
        <c:scaling>
          <c:orientation val="minMax"/>
        </c:scaling>
        <c:delete val="0"/>
        <c:axPos val="b"/>
        <c:numFmt formatCode="General" sourceLinked="0"/>
        <c:majorTickMark val="none"/>
        <c:minorTickMark val="none"/>
        <c:tickLblPos val="nextTo"/>
        <c:crossAx val="73364992"/>
        <c:crosses val="autoZero"/>
        <c:auto val="1"/>
        <c:lblAlgn val="ctr"/>
        <c:lblOffset val="100"/>
        <c:noMultiLvlLbl val="0"/>
      </c:catAx>
      <c:valAx>
        <c:axId val="73364992"/>
        <c:scaling>
          <c:orientation val="minMax"/>
        </c:scaling>
        <c:delete val="1"/>
        <c:axPos val="l"/>
        <c:numFmt formatCode="0.0%" sourceLinked="1"/>
        <c:majorTickMark val="out"/>
        <c:minorTickMark val="none"/>
        <c:tickLblPos val="nextTo"/>
        <c:crossAx val="72221056"/>
        <c:crosses val="autoZero"/>
        <c:crossBetween val="between"/>
      </c:valAx>
    </c:plotArea>
    <c:plotVisOnly val="1"/>
    <c:dispBlanksAs val="gap"/>
    <c:showDLblsOverMax val="0"/>
  </c:chart>
  <c:externalData r:id="rId2">
    <c:autoUpdate val="0"/>
  </c:externalData>
</c:chartSpac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F667401F4DD449AA1053D043335D8FD"/>
        <w:category>
          <w:name w:val="General"/>
          <w:gallery w:val="placeholder"/>
        </w:category>
        <w:types>
          <w:type w:val="bbPlcHdr"/>
        </w:types>
        <w:behaviors>
          <w:behavior w:val="content"/>
        </w:behaviors>
        <w:guid w:val="{FFB1D17D-F58B-47E0-A41D-49358882E3C1}"/>
      </w:docPartPr>
      <w:docPartBody>
        <w:p w:rsidR="00055C10" w:rsidRDefault="00DB232C">
          <w:r w:rsidRPr="00DC4F36">
            <w:rPr>
              <w:rStyle w:val="PlaceholderText"/>
            </w:rPr>
            <w:t>[Title]</w:t>
          </w:r>
        </w:p>
      </w:docPartBody>
    </w:docPart>
    <w:docPart>
      <w:docPartPr>
        <w:name w:val="0EFA02AA087E457AB4E4602B89ABF8E4"/>
        <w:category>
          <w:name w:val="General"/>
          <w:gallery w:val="placeholder"/>
        </w:category>
        <w:types>
          <w:type w:val="bbPlcHdr"/>
        </w:types>
        <w:behaviors>
          <w:behavior w:val="content"/>
        </w:behaviors>
        <w:guid w:val="{82F9D421-5853-4F18-BD9D-08653FFCCF87}"/>
      </w:docPartPr>
      <w:docPartBody>
        <w:p w:rsidR="00055C10" w:rsidRDefault="00DB232C">
          <w:r w:rsidRPr="00DC4F36">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ngsana New">
    <w:panose1 w:val="02020603050405020304"/>
    <w:charset w:val="00"/>
    <w:family w:val="roman"/>
    <w:pitch w:val="variable"/>
    <w:sig w:usb0="81000003" w:usb1="00000000" w:usb2="00000000" w:usb3="00000000" w:csb0="00010001" w:csb1="00000000"/>
  </w:font>
  <w:font w:name="Times New Roman Bold">
    <w:altName w:val="Times New Roman"/>
    <w:panose1 w:val="02020803070505020304"/>
    <w:charset w:val="00"/>
    <w:family w:val="auto"/>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Univers">
    <w:altName w:val="Univers"/>
    <w:charset w:val="00"/>
    <w:family w:val="swiss"/>
    <w:pitch w:val="variable"/>
    <w:sig w:usb0="80000287" w:usb1="00000000" w:usb2="00000000" w:usb3="00000000" w:csb0="0000000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lgun Gothic">
    <w:altName w:val="맑은 고딕"/>
    <w:panose1 w:val="020B0503020000020004"/>
    <w:charset w:val="81"/>
    <w:family w:val="swiss"/>
    <w:pitch w:val="variable"/>
    <w:sig w:usb0="9000002F" w:usb1="29D77CFB" w:usb2="00000012" w:usb3="00000000" w:csb0="00080001" w:csb1="00000000"/>
  </w:font>
  <w:font w:name="Lucida Grande">
    <w:altName w:val="Segoe UI"/>
    <w:charset w:val="00"/>
    <w:family w:val="auto"/>
    <w:pitch w:val="variable"/>
    <w:sig w:usb0="E1000AEF" w:usb1="5000A1FF" w:usb2="00000000" w:usb3="00000000" w:csb0="000001BF" w:csb1="00000000"/>
  </w:font>
  <w:font w:name="DengXian Light">
    <w:altName w:val="等线 Light"/>
    <w:charset w:val="86"/>
    <w:family w:val="auto"/>
    <w:pitch w:val="variable"/>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auto"/>
    <w:pitch w:val="variable"/>
    <w:sig w:usb0="00000001" w:usb1="080E0000" w:usb2="00000010" w:usb3="00000000" w:csb0="0004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232C"/>
    <w:rsid w:val="00055C10"/>
    <w:rsid w:val="00DB232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B232C"/>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E76C1B-BAAF-40D4-B084-533CF80537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12</Pages>
  <Words>5987</Words>
  <Characters>34129</Characters>
  <Application>Microsoft Office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The financial mechanism (Article 21)</vt:lpstr>
    </vt:vector>
  </TitlesOfParts>
  <Company>SCBD</Company>
  <LinksUpToDate>false</LinksUpToDate>
  <CharactersWithSpaces>40036</CharactersWithSpaces>
  <SharedDoc>false</SharedDoc>
  <HLinks>
    <vt:vector size="18" baseType="variant">
      <vt:variant>
        <vt:i4>7536672</vt:i4>
      </vt:variant>
      <vt:variant>
        <vt:i4>6</vt:i4>
      </vt:variant>
      <vt:variant>
        <vt:i4>0</vt:i4>
      </vt:variant>
      <vt:variant>
        <vt:i4>5</vt:i4>
      </vt:variant>
      <vt:variant>
        <vt:lpwstr>http://stats.oecd.org/viewhtml.aspx?datasetcode=RIOMARKERS&amp;lang=en</vt:lpwstr>
      </vt:variant>
      <vt:variant>
        <vt:lpwstr/>
      </vt:variant>
      <vt:variant>
        <vt:i4>589853</vt:i4>
      </vt:variant>
      <vt:variant>
        <vt:i4>3</vt:i4>
      </vt:variant>
      <vt:variant>
        <vt:i4>0</vt:i4>
      </vt:variant>
      <vt:variant>
        <vt:i4>5</vt:i4>
      </vt:variant>
      <vt:variant>
        <vt:lpwstr>https://climatefundsupdate.org/the-funds/</vt:lpwstr>
      </vt:variant>
      <vt:variant>
        <vt:lpwstr/>
      </vt:variant>
      <vt:variant>
        <vt:i4>5505039</vt:i4>
      </vt:variant>
      <vt:variant>
        <vt:i4>0</vt:i4>
      </vt:variant>
      <vt:variant>
        <vt:i4>0</vt:i4>
      </vt:variant>
      <vt:variant>
        <vt:i4>5</vt:i4>
      </vt:variant>
      <vt:variant>
        <vt:lpwstr>https://www.cbd.int/doc/meetings/cop/cop-11/information/cop-11-inf-20-en.pdf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financial mechanism (Article 21)</dc:title>
  <dc:subject>CBD/SBI/2/8</dc:subject>
  <dc:creator>SCBD</dc:creator>
  <cp:lastModifiedBy>veronique lefebvre</cp:lastModifiedBy>
  <cp:revision>4</cp:revision>
  <cp:lastPrinted>2018-04-17T16:02:00Z</cp:lastPrinted>
  <dcterms:created xsi:type="dcterms:W3CDTF">2018-06-04T14:38:00Z</dcterms:created>
  <dcterms:modified xsi:type="dcterms:W3CDTF">2018-06-05T18:56:00Z</dcterms:modified>
</cp:coreProperties>
</file>